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10465" w14:textId="77777777" w:rsidR="0059146A" w:rsidRDefault="0059146A" w:rsidP="005B5769">
      <w:pPr>
        <w:pStyle w:val="ListBullet"/>
        <w:tabs>
          <w:tab w:val="clear" w:pos="284"/>
        </w:tabs>
      </w:pPr>
      <w:bookmarkStart w:id="0" w:name="_GoBack"/>
      <w:bookmarkEnd w:id="0"/>
    </w:p>
    <w:p w14:paraId="3F224CC0" w14:textId="77777777" w:rsidR="0059146A" w:rsidRDefault="0059146A" w:rsidP="005B5769">
      <w:pPr>
        <w:pStyle w:val="ListBullet"/>
        <w:tabs>
          <w:tab w:val="clear" w:pos="284"/>
        </w:tabs>
      </w:pPr>
    </w:p>
    <w:p w14:paraId="21E73CB7" w14:textId="77777777" w:rsidR="0059146A" w:rsidRPr="0059146A" w:rsidRDefault="0059146A" w:rsidP="005B5769">
      <w:pPr>
        <w:pStyle w:val="ListBullet"/>
        <w:tabs>
          <w:tab w:val="clear" w:pos="284"/>
        </w:tabs>
      </w:pPr>
    </w:p>
    <w:p w14:paraId="3F10EE5B" w14:textId="77777777" w:rsidR="00A56F14" w:rsidRPr="0059146A" w:rsidRDefault="00A56F14" w:rsidP="0059146A">
      <w:pPr>
        <w:pStyle w:val="ListBullet"/>
        <w:tabs>
          <w:tab w:val="clear" w:pos="284"/>
        </w:tabs>
      </w:pPr>
    </w:p>
    <w:p w14:paraId="0794E38B" w14:textId="77777777" w:rsidR="00A56F14" w:rsidRDefault="00A56F14" w:rsidP="00A56F14">
      <w:pPr>
        <w:spacing w:after="200" w:line="276" w:lineRule="auto"/>
        <w:rPr>
          <w:b/>
        </w:rPr>
      </w:pPr>
    </w:p>
    <w:p w14:paraId="75E9EDBC" w14:textId="77777777" w:rsidR="00A56F14" w:rsidRDefault="00A56F14" w:rsidP="00A56F14">
      <w:pPr>
        <w:spacing w:after="200" w:line="276" w:lineRule="auto"/>
        <w:rPr>
          <w:b/>
        </w:rPr>
      </w:pPr>
    </w:p>
    <w:p w14:paraId="2A5245E0" w14:textId="77777777" w:rsidR="00C6626C" w:rsidRDefault="00C6626C" w:rsidP="00A56F14"/>
    <w:p w14:paraId="314F7087" w14:textId="77777777" w:rsidR="00C6626C" w:rsidRDefault="00C6626C" w:rsidP="00A56F14"/>
    <w:p w14:paraId="4F9CAFD4" w14:textId="77777777" w:rsidR="00C6626C" w:rsidRDefault="00C6626C" w:rsidP="00A56F14"/>
    <w:p w14:paraId="4912281D" w14:textId="77777777" w:rsidR="00C6626C" w:rsidRDefault="00C6626C" w:rsidP="00A56F14"/>
    <w:p w14:paraId="5899C10B" w14:textId="77777777" w:rsidR="00C6626C" w:rsidRDefault="00C6626C" w:rsidP="00A56F14"/>
    <w:p w14:paraId="1D8F9B0A" w14:textId="77777777" w:rsidR="00C6626C" w:rsidRDefault="00C6626C" w:rsidP="00A56F14"/>
    <w:p w14:paraId="293B9285" w14:textId="77777777" w:rsidR="00C6626C" w:rsidRDefault="00C6626C" w:rsidP="00A56F14"/>
    <w:p w14:paraId="6D70C185" w14:textId="77777777" w:rsidR="00C6626C" w:rsidRDefault="00C6626C" w:rsidP="00A56F14"/>
    <w:p w14:paraId="19BCF6EB" w14:textId="77777777" w:rsidR="00C6626C" w:rsidRDefault="00C6626C" w:rsidP="00A56F14"/>
    <w:p w14:paraId="0159428F" w14:textId="77777777" w:rsidR="00C6626C" w:rsidRDefault="00C6626C" w:rsidP="00A56F14"/>
    <w:p w14:paraId="585B095E" w14:textId="77777777" w:rsidR="00C6626C" w:rsidRDefault="00C6626C" w:rsidP="00A56F14"/>
    <w:p w14:paraId="37833570" w14:textId="77777777" w:rsidR="00C6626C" w:rsidRDefault="00C6626C" w:rsidP="00A56F14"/>
    <w:p w14:paraId="3FA5EA45" w14:textId="77777777" w:rsidR="00C6626C" w:rsidRDefault="00C6626C" w:rsidP="00A56F14"/>
    <w:p w14:paraId="5B193813" w14:textId="77777777" w:rsidR="00C6626C" w:rsidRDefault="00C6626C" w:rsidP="00A56F14"/>
    <w:p w14:paraId="71891707" w14:textId="77777777" w:rsidR="00C6626C" w:rsidRDefault="00C6626C" w:rsidP="00A56F14"/>
    <w:p w14:paraId="3345577D" w14:textId="77777777" w:rsidR="00C6626C" w:rsidRDefault="00C6626C" w:rsidP="00A56F14"/>
    <w:p w14:paraId="063A1847" w14:textId="77777777" w:rsidR="00C6626C" w:rsidRDefault="00C6626C" w:rsidP="00A56F14"/>
    <w:p w14:paraId="7DC2024D" w14:textId="77777777" w:rsidR="00C6626C" w:rsidRDefault="00C6626C" w:rsidP="00A56F14"/>
    <w:p w14:paraId="16DF521D" w14:textId="77777777" w:rsidR="00C6626C" w:rsidRDefault="00C6626C" w:rsidP="00A56F14"/>
    <w:p w14:paraId="105DEC0B" w14:textId="77777777" w:rsidR="00C6626C" w:rsidRDefault="00C6626C" w:rsidP="00A56F14"/>
    <w:p w14:paraId="7E351CBD" w14:textId="77777777" w:rsidR="00C6626C" w:rsidRDefault="00C6626C" w:rsidP="00A56F14"/>
    <w:p w14:paraId="569C6815" w14:textId="77777777" w:rsidR="00A56F14" w:rsidRPr="002A51CA" w:rsidRDefault="00A56F14" w:rsidP="002A51CA">
      <w:pPr>
        <w:pStyle w:val="Title"/>
        <w:spacing w:after="120" w:line="600" w:lineRule="exact"/>
        <w:rPr>
          <w:spacing w:val="-20"/>
          <w:sz w:val="60"/>
        </w:rPr>
      </w:pPr>
      <w:r w:rsidRPr="002A51CA">
        <w:rPr>
          <w:noProof/>
          <w:spacing w:val="-20"/>
          <w:sz w:val="60"/>
          <w:lang w:val="en-AU" w:eastAsia="en-AU"/>
        </w:rPr>
        <w:drawing>
          <wp:anchor distT="0" distB="0" distL="114300" distR="114300" simplePos="0" relativeHeight="251664384" behindDoc="1" locked="1" layoutInCell="1" allowOverlap="1" wp14:anchorId="2A68D6A0" wp14:editId="12FE7040">
            <wp:simplePos x="0" y="0"/>
            <wp:positionH relativeFrom="page">
              <wp:posOffset>872490</wp:posOffset>
            </wp:positionH>
            <wp:positionV relativeFrom="page">
              <wp:posOffset>1561465</wp:posOffset>
            </wp:positionV>
            <wp:extent cx="3167380" cy="5543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sidRPr="002A51CA">
        <w:rPr>
          <w:noProof/>
          <w:spacing w:val="-20"/>
          <w:sz w:val="60"/>
          <w:lang w:val="en-AU" w:eastAsia="en-AU"/>
        </w:rPr>
        <w:drawing>
          <wp:anchor distT="0" distB="0" distL="114300" distR="114300" simplePos="0" relativeHeight="251663360" behindDoc="1" locked="1" layoutInCell="1" allowOverlap="1" wp14:anchorId="4624FC99" wp14:editId="13FB6003">
            <wp:simplePos x="0" y="0"/>
            <wp:positionH relativeFrom="page">
              <wp:posOffset>7620</wp:posOffset>
            </wp:positionH>
            <wp:positionV relativeFrom="page">
              <wp:posOffset>-7620</wp:posOffset>
            </wp:positionV>
            <wp:extent cx="7750810" cy="10725785"/>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10">
                      <a:extLst>
                        <a:ext uri="{28A0092B-C50C-407E-A947-70E740481C1C}">
                          <a14:useLocalDpi xmlns:a14="http://schemas.microsoft.com/office/drawing/2010/main" val="0"/>
                        </a:ext>
                      </a:extLst>
                    </a:blip>
                    <a:stretch>
                      <a:fillRect/>
                    </a:stretch>
                  </pic:blipFill>
                  <pic:spPr>
                    <a:xfrm>
                      <a:off x="0" y="0"/>
                      <a:ext cx="7750810" cy="10725785"/>
                    </a:xfrm>
                    <a:prstGeom prst="rect">
                      <a:avLst/>
                    </a:prstGeom>
                  </pic:spPr>
                </pic:pic>
              </a:graphicData>
            </a:graphic>
            <wp14:sizeRelH relativeFrom="margin">
              <wp14:pctWidth>0</wp14:pctWidth>
            </wp14:sizeRelH>
            <wp14:sizeRelV relativeFrom="margin">
              <wp14:pctHeight>0</wp14:pctHeight>
            </wp14:sizeRelV>
          </wp:anchor>
        </w:drawing>
      </w:r>
      <w:r w:rsidR="00C6626C" w:rsidRPr="002A51CA">
        <w:rPr>
          <w:spacing w:val="-20"/>
          <w:sz w:val="60"/>
        </w:rPr>
        <w:t xml:space="preserve">Aid Program, Performance </w:t>
      </w:r>
    </w:p>
    <w:p w14:paraId="4951DD59" w14:textId="77777777" w:rsidR="00C6626C" w:rsidRPr="002A51CA" w:rsidRDefault="00C6626C" w:rsidP="002A51CA">
      <w:pPr>
        <w:pStyle w:val="Title"/>
        <w:spacing w:after="120" w:line="600" w:lineRule="exact"/>
        <w:rPr>
          <w:spacing w:val="-20"/>
          <w:sz w:val="60"/>
        </w:rPr>
      </w:pPr>
      <w:r w:rsidRPr="002A51CA">
        <w:rPr>
          <w:spacing w:val="-20"/>
          <w:sz w:val="60"/>
        </w:rPr>
        <w:t>Report 2015-16</w:t>
      </w:r>
    </w:p>
    <w:p w14:paraId="64A57280" w14:textId="77777777" w:rsidR="00C6626C" w:rsidRDefault="0046548E" w:rsidP="00A56F14">
      <w:r>
        <w:rPr>
          <w:sz w:val="40"/>
        </w:rPr>
        <w:t>Philippines</w:t>
      </w:r>
    </w:p>
    <w:p w14:paraId="3A268A2B" w14:textId="77777777" w:rsidR="00C6626C" w:rsidRPr="002A51CA" w:rsidRDefault="00C6626C" w:rsidP="00A56F14">
      <w:pPr>
        <w:rPr>
          <w:sz w:val="24"/>
        </w:rPr>
      </w:pPr>
      <w:r w:rsidRPr="002A51CA">
        <w:rPr>
          <w:sz w:val="24"/>
        </w:rPr>
        <w:t>September 2016</w:t>
      </w:r>
    </w:p>
    <w:p w14:paraId="738F5C26" w14:textId="77777777" w:rsidR="00C6626C" w:rsidRDefault="00C6626C" w:rsidP="00A56F14">
      <w:pPr>
        <w:sectPr w:rsidR="00C6626C" w:rsidSect="0031491F">
          <w:headerReference w:type="even" r:id="rId11"/>
          <w:headerReference w:type="default" r:id="rId12"/>
          <w:footerReference w:type="even" r:id="rId13"/>
          <w:footerReference w:type="default" r:id="rId14"/>
          <w:headerReference w:type="first" r:id="rId15"/>
          <w:footerReference w:type="first" r:id="rId16"/>
          <w:pgSz w:w="11906" w:h="16838" w:code="9"/>
          <w:pgMar w:top="1952" w:right="1134" w:bottom="851" w:left="1134" w:header="1814" w:footer="567" w:gutter="0"/>
          <w:pgBorders w:offsetFrom="page">
            <w:top w:val="single" w:sz="4" w:space="24" w:color="auto"/>
          </w:pgBorders>
          <w:cols w:space="397"/>
          <w:docGrid w:linePitch="360"/>
        </w:sectPr>
      </w:pPr>
    </w:p>
    <w:p w14:paraId="5DCF1769" w14:textId="77777777" w:rsidR="00C6626C" w:rsidRPr="00B57401" w:rsidRDefault="00C6626C" w:rsidP="004C4211">
      <w:pPr>
        <w:pStyle w:val="ListBullet"/>
        <w:tabs>
          <w:tab w:val="clear" w:pos="284"/>
        </w:tabs>
        <w:spacing w:before="280" w:after="160"/>
        <w:rPr>
          <w:kern w:val="28"/>
        </w:rPr>
      </w:pPr>
      <w:r w:rsidRPr="00B57401">
        <w:rPr>
          <w:rFonts w:asciiTheme="majorHAnsi" w:eastAsiaTheme="majorEastAsia" w:hAnsiTheme="majorHAnsi" w:cstheme="majorBidi"/>
          <w:caps/>
          <w:sz w:val="38"/>
          <w:szCs w:val="26"/>
          <w:lang w:val="en-GB" w:eastAsia="en-US"/>
        </w:rPr>
        <w:lastRenderedPageBreak/>
        <w:t>Key Messages</w:t>
      </w:r>
      <w:r w:rsidRPr="00B57401">
        <w:rPr>
          <w:rFonts w:ascii="Helvetica" w:hAnsi="Helvetica" w:cs="Arial"/>
          <w:kern w:val="28"/>
          <w:sz w:val="28"/>
          <w:szCs w:val="28"/>
        </w:rPr>
        <w:tab/>
      </w:r>
      <w:r w:rsidRPr="00B57401">
        <w:rPr>
          <w:rFonts w:ascii="Helvetica" w:hAnsi="Helvetica" w:cs="Arial"/>
          <w:kern w:val="28"/>
          <w:sz w:val="24"/>
          <w:szCs w:val="28"/>
        </w:rPr>
        <w:tab/>
      </w:r>
      <w:r w:rsidRPr="00B57401">
        <w:rPr>
          <w:rFonts w:ascii="Helvetica" w:hAnsi="Helvetica" w:cs="Arial"/>
          <w:kern w:val="28"/>
          <w:sz w:val="32"/>
          <w:szCs w:val="32"/>
        </w:rPr>
        <w:tab/>
      </w:r>
      <w:r w:rsidRPr="00B57401">
        <w:rPr>
          <w:rFonts w:ascii="Helvetica" w:hAnsi="Helvetica" w:cs="Arial"/>
          <w:kern w:val="28"/>
          <w:sz w:val="32"/>
          <w:szCs w:val="32"/>
        </w:rPr>
        <w:tab/>
      </w:r>
      <w:r w:rsidRPr="00B57401">
        <w:rPr>
          <w:rFonts w:ascii="Helvetica" w:hAnsi="Helvetica" w:cs="Arial"/>
          <w:kern w:val="28"/>
          <w:sz w:val="32"/>
          <w:szCs w:val="32"/>
        </w:rPr>
        <w:tab/>
      </w:r>
      <w:r w:rsidRPr="00B57401">
        <w:rPr>
          <w:rFonts w:ascii="Helvetica" w:hAnsi="Helvetica" w:cs="Arial"/>
          <w:kern w:val="28"/>
          <w:sz w:val="32"/>
          <w:szCs w:val="32"/>
        </w:rPr>
        <w:tab/>
      </w:r>
    </w:p>
    <w:p w14:paraId="6CC20FDA" w14:textId="08FF05E4" w:rsidR="005962C8" w:rsidRPr="00C33840" w:rsidRDefault="005962C8" w:rsidP="00666618">
      <w:pPr>
        <w:spacing w:before="60"/>
        <w:rPr>
          <w:color w:val="auto"/>
        </w:rPr>
      </w:pPr>
      <w:r w:rsidRPr="00C33840">
        <w:rPr>
          <w:color w:val="auto"/>
        </w:rPr>
        <w:t xml:space="preserve">This report provides an assessment of the performance of Australia’s aid program in the Philippines for the period 1 July 2015 to 30 June 2016. Over the reporting period our aid investments have closely aligned </w:t>
      </w:r>
      <w:r w:rsidR="00F670BD">
        <w:rPr>
          <w:color w:val="auto"/>
        </w:rPr>
        <w:t>the</w:t>
      </w:r>
      <w:r w:rsidRPr="00C33840">
        <w:rPr>
          <w:color w:val="auto"/>
        </w:rPr>
        <w:t xml:space="preserve"> priorities of the Philippine Government </w:t>
      </w:r>
      <w:r w:rsidR="00F670BD">
        <w:rPr>
          <w:color w:val="auto"/>
        </w:rPr>
        <w:t>and</w:t>
      </w:r>
      <w:r w:rsidRPr="00C33840">
        <w:rPr>
          <w:color w:val="auto"/>
        </w:rPr>
        <w:t xml:space="preserve"> the Australian Government. We have assessed our progress against the objectives</w:t>
      </w:r>
      <w:r w:rsidR="00B70A23" w:rsidRPr="00C33840">
        <w:rPr>
          <w:color w:val="auto"/>
        </w:rPr>
        <w:t xml:space="preserve"> outlined in the Philippines Aid Investment Plan</w:t>
      </w:r>
      <w:r w:rsidR="00B57401">
        <w:rPr>
          <w:color w:val="auto"/>
        </w:rPr>
        <w:t>.</w:t>
      </w:r>
    </w:p>
    <w:p w14:paraId="3789C01C" w14:textId="243C1E8A" w:rsidR="005962C8" w:rsidRPr="00C33840" w:rsidRDefault="003354BB" w:rsidP="00666618">
      <w:pPr>
        <w:spacing w:before="60"/>
        <w:rPr>
          <w:color w:val="auto"/>
        </w:rPr>
      </w:pPr>
      <w:r>
        <w:rPr>
          <w:color w:val="auto"/>
        </w:rPr>
        <w:t xml:space="preserve">In </w:t>
      </w:r>
      <w:r w:rsidR="00F670BD">
        <w:rPr>
          <w:color w:val="auto"/>
        </w:rPr>
        <w:t>2015-16 we have:</w:t>
      </w:r>
    </w:p>
    <w:p w14:paraId="3A9BD60D" w14:textId="5C10C497" w:rsidR="005962C8" w:rsidRPr="00C33840" w:rsidRDefault="00874852" w:rsidP="00C87A0B">
      <w:pPr>
        <w:pStyle w:val="ListParagraph"/>
        <w:numPr>
          <w:ilvl w:val="0"/>
          <w:numId w:val="25"/>
        </w:numPr>
        <w:suppressAutoHyphens w:val="0"/>
        <w:spacing w:before="0" w:after="0" w:line="240" w:lineRule="auto"/>
        <w:ind w:left="426"/>
        <w:rPr>
          <w:color w:val="auto"/>
        </w:rPr>
      </w:pPr>
      <w:r>
        <w:rPr>
          <w:color w:val="auto"/>
        </w:rPr>
        <w:t>l</w:t>
      </w:r>
      <w:r w:rsidR="005962C8" w:rsidRPr="00C33840">
        <w:rPr>
          <w:color w:val="auto"/>
        </w:rPr>
        <w:t xml:space="preserve">everaged </w:t>
      </w:r>
      <w:r w:rsidR="00603108">
        <w:rPr>
          <w:color w:val="auto"/>
        </w:rPr>
        <w:t>A</w:t>
      </w:r>
      <w:r w:rsidR="00A222F3">
        <w:rPr>
          <w:color w:val="auto"/>
        </w:rPr>
        <w:t>UD</w:t>
      </w:r>
      <w:r w:rsidR="005962C8" w:rsidRPr="00C33840">
        <w:rPr>
          <w:color w:val="auto"/>
        </w:rPr>
        <w:t xml:space="preserve">200 million in Philippine Government funding in the 2016 national budget for local road rehabilitation in 74 provinces, through the Provincial Road Management Facility. </w:t>
      </w:r>
      <w:r w:rsidR="000E6E92">
        <w:rPr>
          <w:color w:val="auto"/>
        </w:rPr>
        <w:t>Over the six years of the program to</w:t>
      </w:r>
      <w:r w:rsidR="005962C8" w:rsidRPr="00C33840">
        <w:rPr>
          <w:color w:val="auto"/>
        </w:rPr>
        <w:t xml:space="preserve"> June 2016</w:t>
      </w:r>
      <w:r w:rsidR="000E6E92">
        <w:rPr>
          <w:color w:val="auto"/>
        </w:rPr>
        <w:t>,</w:t>
      </w:r>
      <w:r w:rsidR="005962C8" w:rsidRPr="00C33840">
        <w:rPr>
          <w:color w:val="auto"/>
        </w:rPr>
        <w:t xml:space="preserve"> it ha</w:t>
      </w:r>
      <w:r w:rsidR="00603108">
        <w:rPr>
          <w:color w:val="auto"/>
        </w:rPr>
        <w:t>d</w:t>
      </w:r>
      <w:r w:rsidR="005962C8" w:rsidRPr="00C33840">
        <w:rPr>
          <w:color w:val="auto"/>
        </w:rPr>
        <w:t xml:space="preserve"> </w:t>
      </w:r>
      <w:r w:rsidR="00603108">
        <w:rPr>
          <w:color w:val="auto"/>
        </w:rPr>
        <w:t>rehabilitated and maintained</w:t>
      </w:r>
      <w:r w:rsidR="005962C8" w:rsidRPr="00C33840">
        <w:rPr>
          <w:color w:val="auto"/>
        </w:rPr>
        <w:t xml:space="preserve"> </w:t>
      </w:r>
      <w:r w:rsidR="00CE71E8">
        <w:rPr>
          <w:color w:val="auto"/>
        </w:rPr>
        <w:t>a total distance of 628</w:t>
      </w:r>
      <w:r w:rsidR="00603108">
        <w:rPr>
          <w:color w:val="auto"/>
        </w:rPr>
        <w:t xml:space="preserve"> kilometres of provincial roads. The program has </w:t>
      </w:r>
      <w:r w:rsidR="00F04FFE">
        <w:rPr>
          <w:color w:val="auto"/>
        </w:rPr>
        <w:t xml:space="preserve">helped to </w:t>
      </w:r>
      <w:r w:rsidR="005962C8" w:rsidRPr="00C33840">
        <w:rPr>
          <w:color w:val="auto"/>
        </w:rPr>
        <w:t>impr</w:t>
      </w:r>
      <w:r w:rsidR="00F04FFE">
        <w:rPr>
          <w:color w:val="auto"/>
        </w:rPr>
        <w:t>ove</w:t>
      </w:r>
      <w:r w:rsidR="005962C8" w:rsidRPr="00C33840">
        <w:rPr>
          <w:color w:val="auto"/>
        </w:rPr>
        <w:t xml:space="preserve"> road management practices </w:t>
      </w:r>
      <w:r w:rsidR="00603108">
        <w:rPr>
          <w:color w:val="auto"/>
        </w:rPr>
        <w:t xml:space="preserve">by local governments </w:t>
      </w:r>
      <w:r w:rsidR="005962C8" w:rsidRPr="00C33840">
        <w:rPr>
          <w:color w:val="auto"/>
        </w:rPr>
        <w:t xml:space="preserve">in </w:t>
      </w:r>
      <w:r w:rsidR="00A222F3">
        <w:rPr>
          <w:color w:val="auto"/>
        </w:rPr>
        <w:t xml:space="preserve">ten </w:t>
      </w:r>
      <w:r w:rsidR="003D6C8D">
        <w:rPr>
          <w:color w:val="auto"/>
        </w:rPr>
        <w:t>provinces</w:t>
      </w:r>
      <w:r w:rsidR="003E4F69">
        <w:rPr>
          <w:color w:val="auto"/>
        </w:rPr>
        <w:t>.</w:t>
      </w:r>
      <w:r w:rsidR="005962C8" w:rsidRPr="00C33840">
        <w:rPr>
          <w:color w:val="auto"/>
        </w:rPr>
        <w:t xml:space="preserve"> </w:t>
      </w:r>
    </w:p>
    <w:p w14:paraId="5DDE5F94" w14:textId="312EC93F" w:rsidR="005962C8" w:rsidRPr="00F670BD" w:rsidRDefault="00874852" w:rsidP="0032653C">
      <w:pPr>
        <w:pStyle w:val="ListParagraph"/>
        <w:numPr>
          <w:ilvl w:val="0"/>
          <w:numId w:val="25"/>
        </w:numPr>
        <w:suppressAutoHyphens w:val="0"/>
        <w:spacing w:before="0" w:after="0" w:line="240" w:lineRule="auto"/>
        <w:ind w:left="426"/>
        <w:rPr>
          <w:color w:val="auto"/>
        </w:rPr>
      </w:pPr>
      <w:r w:rsidRPr="00F670BD">
        <w:rPr>
          <w:color w:val="auto"/>
        </w:rPr>
        <w:t>provided</w:t>
      </w:r>
      <w:r w:rsidR="004D7A0D" w:rsidRPr="00F670BD">
        <w:rPr>
          <w:color w:val="auto"/>
        </w:rPr>
        <w:t xml:space="preserve"> support through</w:t>
      </w:r>
      <w:r w:rsidR="005962C8" w:rsidRPr="00F670BD">
        <w:rPr>
          <w:color w:val="auto"/>
        </w:rPr>
        <w:t xml:space="preserve"> the Philippine Public Pri</w:t>
      </w:r>
      <w:r w:rsidR="004D7A0D" w:rsidRPr="00F670BD">
        <w:rPr>
          <w:color w:val="auto"/>
        </w:rPr>
        <w:t>vate Partnership (PPP) program for infrastructure improvements in the Philippines</w:t>
      </w:r>
      <w:r w:rsidR="00C8302B">
        <w:rPr>
          <w:color w:val="auto"/>
        </w:rPr>
        <w:t>,</w:t>
      </w:r>
      <w:r w:rsidRPr="00F670BD">
        <w:rPr>
          <w:color w:val="auto"/>
        </w:rPr>
        <w:t xml:space="preserve"> which</w:t>
      </w:r>
      <w:r w:rsidR="004D7A0D" w:rsidRPr="00F670BD">
        <w:rPr>
          <w:color w:val="auto"/>
        </w:rPr>
        <w:t xml:space="preserve"> </w:t>
      </w:r>
      <w:r w:rsidR="005962C8" w:rsidRPr="00F670BD">
        <w:rPr>
          <w:color w:val="auto"/>
        </w:rPr>
        <w:t xml:space="preserve">was </w:t>
      </w:r>
      <w:r w:rsidR="004D7A0D" w:rsidRPr="00F670BD">
        <w:rPr>
          <w:color w:val="auto"/>
        </w:rPr>
        <w:t>critical</w:t>
      </w:r>
      <w:r w:rsidR="005962C8" w:rsidRPr="00F670BD">
        <w:rPr>
          <w:color w:val="auto"/>
        </w:rPr>
        <w:t xml:space="preserve"> to </w:t>
      </w:r>
      <w:r w:rsidR="004D7A0D" w:rsidRPr="00F670BD">
        <w:rPr>
          <w:color w:val="auto"/>
        </w:rPr>
        <w:t>ensuring that the Philippine Government has competitively tendered more than 12 projects</w:t>
      </w:r>
      <w:r w:rsidR="0032653C" w:rsidRPr="00F670BD">
        <w:rPr>
          <w:color w:val="auto"/>
        </w:rPr>
        <w:t xml:space="preserve"> up to July 2016. Australian-supported technical assistance has helped the Philippine Government get the projects to market and ensure</w:t>
      </w:r>
      <w:r w:rsidR="00F670BD" w:rsidRPr="00F670BD">
        <w:rPr>
          <w:color w:val="auto"/>
        </w:rPr>
        <w:t>d</w:t>
      </w:r>
      <w:r w:rsidR="0032653C" w:rsidRPr="00F670BD">
        <w:rPr>
          <w:color w:val="auto"/>
        </w:rPr>
        <w:t xml:space="preserve"> that tenders are technically sound and commercially viable.</w:t>
      </w:r>
      <w:r w:rsidR="00F670BD">
        <w:rPr>
          <w:color w:val="auto"/>
        </w:rPr>
        <w:t xml:space="preserve"> </w:t>
      </w:r>
      <w:r w:rsidR="005962C8" w:rsidRPr="00F670BD">
        <w:rPr>
          <w:color w:val="auto"/>
        </w:rPr>
        <w:t>Two projects worth US</w:t>
      </w:r>
      <w:r w:rsidR="00A222F3" w:rsidRPr="00F670BD">
        <w:rPr>
          <w:color w:val="auto"/>
        </w:rPr>
        <w:t>D</w:t>
      </w:r>
      <w:r w:rsidR="005962C8" w:rsidRPr="00F670BD">
        <w:rPr>
          <w:color w:val="auto"/>
        </w:rPr>
        <w:t>631 million were awarded in 2015-16 after open and competitive bidding processes</w:t>
      </w:r>
      <w:r w:rsidR="0032653C" w:rsidRPr="00F670BD">
        <w:rPr>
          <w:color w:val="auto"/>
        </w:rPr>
        <w:t>.</w:t>
      </w:r>
    </w:p>
    <w:p w14:paraId="37058AD5" w14:textId="252233FB" w:rsidR="005962C8" w:rsidRPr="00A222F3" w:rsidRDefault="00F670BD" w:rsidP="00C87A0B">
      <w:pPr>
        <w:pStyle w:val="ListParagraph"/>
        <w:numPr>
          <w:ilvl w:val="0"/>
          <w:numId w:val="25"/>
        </w:numPr>
        <w:suppressAutoHyphens w:val="0"/>
        <w:spacing w:before="0" w:after="0" w:line="240" w:lineRule="auto"/>
        <w:ind w:left="426"/>
        <w:rPr>
          <w:color w:val="auto"/>
        </w:rPr>
      </w:pPr>
      <w:r>
        <w:rPr>
          <w:color w:val="auto"/>
        </w:rPr>
        <w:t>supported</w:t>
      </w:r>
      <w:r w:rsidR="005962C8" w:rsidRPr="00A222F3">
        <w:rPr>
          <w:color w:val="auto"/>
        </w:rPr>
        <w:t xml:space="preserve"> </w:t>
      </w:r>
      <w:r w:rsidR="00874852">
        <w:rPr>
          <w:color w:val="auto"/>
        </w:rPr>
        <w:t xml:space="preserve">the </w:t>
      </w:r>
      <w:r w:rsidR="005962C8" w:rsidRPr="00A222F3">
        <w:rPr>
          <w:color w:val="auto"/>
        </w:rPr>
        <w:t>creation of the Philippine Competition Commission through human resource, organisational development and business planning support</w:t>
      </w:r>
      <w:r w:rsidR="00A222F3" w:rsidRPr="00A222F3">
        <w:rPr>
          <w:color w:val="auto"/>
        </w:rPr>
        <w:t xml:space="preserve">. </w:t>
      </w:r>
      <w:r>
        <w:rPr>
          <w:color w:val="auto"/>
        </w:rPr>
        <w:t>The</w:t>
      </w:r>
      <w:r w:rsidR="00A222F3" w:rsidRPr="00A222F3">
        <w:rPr>
          <w:color w:val="auto"/>
        </w:rPr>
        <w:t xml:space="preserve"> </w:t>
      </w:r>
      <w:r w:rsidR="00F04FFE">
        <w:rPr>
          <w:color w:val="auto"/>
        </w:rPr>
        <w:t>C</w:t>
      </w:r>
      <w:r w:rsidR="00A222F3" w:rsidRPr="00A222F3">
        <w:rPr>
          <w:color w:val="auto"/>
        </w:rPr>
        <w:t xml:space="preserve">ommission has been set up to </w:t>
      </w:r>
      <w:r w:rsidR="00A222F3">
        <w:rPr>
          <w:color w:val="auto"/>
        </w:rPr>
        <w:t xml:space="preserve">ensure </w:t>
      </w:r>
      <w:r w:rsidR="005E6FAE" w:rsidRPr="00A222F3">
        <w:rPr>
          <w:color w:val="auto"/>
          <w:lang w:val="en"/>
        </w:rPr>
        <w:t>efficient and fair market competition among businesses engaged in trade, industry, and all</w:t>
      </w:r>
      <w:r w:rsidR="00A222F3">
        <w:rPr>
          <w:color w:val="auto"/>
          <w:lang w:val="en"/>
        </w:rPr>
        <w:t xml:space="preserve"> commercial economic activities.</w:t>
      </w:r>
    </w:p>
    <w:p w14:paraId="6AABCD97" w14:textId="68FCC3FF" w:rsidR="005962C8" w:rsidRPr="0032653C" w:rsidRDefault="00F670BD" w:rsidP="00C87A0B">
      <w:pPr>
        <w:pStyle w:val="ListParagraph"/>
        <w:numPr>
          <w:ilvl w:val="0"/>
          <w:numId w:val="25"/>
        </w:numPr>
        <w:suppressAutoHyphens w:val="0"/>
        <w:spacing w:before="0" w:after="0" w:line="240" w:lineRule="auto"/>
        <w:ind w:left="426"/>
        <w:rPr>
          <w:color w:val="auto"/>
        </w:rPr>
      </w:pPr>
      <w:r>
        <w:rPr>
          <w:color w:val="auto"/>
        </w:rPr>
        <w:t>responded to the</w:t>
      </w:r>
      <w:r w:rsidR="005962C8" w:rsidRPr="0032653C">
        <w:rPr>
          <w:color w:val="auto"/>
        </w:rPr>
        <w:t xml:space="preserve"> Philippines request</w:t>
      </w:r>
      <w:r>
        <w:rPr>
          <w:color w:val="auto"/>
        </w:rPr>
        <w:t xml:space="preserve"> for</w:t>
      </w:r>
      <w:r w:rsidR="005962C8" w:rsidRPr="0032653C">
        <w:rPr>
          <w:color w:val="auto"/>
        </w:rPr>
        <w:t xml:space="preserve"> support </w:t>
      </w:r>
      <w:r w:rsidR="00771D54" w:rsidRPr="00C24771">
        <w:rPr>
          <w:color w:val="auto"/>
        </w:rPr>
        <w:t>within 48 hours</w:t>
      </w:r>
      <w:r w:rsidR="00771D54">
        <w:rPr>
          <w:color w:val="auto"/>
        </w:rPr>
        <w:t xml:space="preserve"> </w:t>
      </w:r>
      <w:r w:rsidR="005962C8" w:rsidRPr="0032653C">
        <w:rPr>
          <w:color w:val="auto"/>
        </w:rPr>
        <w:t>for its humanitarian response after Typhoon</w:t>
      </w:r>
      <w:r w:rsidR="0001595B">
        <w:rPr>
          <w:color w:val="auto"/>
        </w:rPr>
        <w:t>s</w:t>
      </w:r>
      <w:r w:rsidR="005962C8" w:rsidRPr="0032653C">
        <w:rPr>
          <w:color w:val="auto"/>
        </w:rPr>
        <w:t xml:space="preserve"> Melor </w:t>
      </w:r>
      <w:r w:rsidR="003B3434" w:rsidRPr="0032653C">
        <w:rPr>
          <w:color w:val="auto"/>
        </w:rPr>
        <w:t>(</w:t>
      </w:r>
      <w:r w:rsidR="005962C8" w:rsidRPr="0032653C">
        <w:rPr>
          <w:color w:val="auto"/>
        </w:rPr>
        <w:t>Nona</w:t>
      </w:r>
      <w:r w:rsidR="003B3434" w:rsidRPr="0032653C">
        <w:rPr>
          <w:color w:val="auto"/>
        </w:rPr>
        <w:t>)</w:t>
      </w:r>
      <w:r w:rsidR="0001595B">
        <w:rPr>
          <w:color w:val="auto"/>
        </w:rPr>
        <w:t xml:space="preserve"> and Koppu (Lando)</w:t>
      </w:r>
      <w:r w:rsidR="0032653C">
        <w:rPr>
          <w:color w:val="auto"/>
        </w:rPr>
        <w:t xml:space="preserve">. </w:t>
      </w:r>
      <w:r w:rsidR="00CC5163">
        <w:rPr>
          <w:color w:val="auto"/>
        </w:rPr>
        <w:t xml:space="preserve"> </w:t>
      </w:r>
    </w:p>
    <w:p w14:paraId="5BFB0D3E" w14:textId="01E28021" w:rsidR="005962C8" w:rsidRPr="00B25CE8" w:rsidRDefault="00874852" w:rsidP="00A9563C">
      <w:pPr>
        <w:pStyle w:val="ListParagraph"/>
        <w:numPr>
          <w:ilvl w:val="0"/>
          <w:numId w:val="25"/>
        </w:numPr>
        <w:suppressAutoHyphens w:val="0"/>
        <w:spacing w:before="0" w:after="0" w:line="240" w:lineRule="auto"/>
        <w:ind w:left="426"/>
        <w:rPr>
          <w:color w:val="auto"/>
        </w:rPr>
      </w:pPr>
      <w:r>
        <w:rPr>
          <w:color w:val="auto"/>
        </w:rPr>
        <w:t>s</w:t>
      </w:r>
      <w:r w:rsidR="005962C8" w:rsidRPr="00C33840">
        <w:rPr>
          <w:color w:val="auto"/>
        </w:rPr>
        <w:t>upported the Philippines Department of Education to deliver significant improvements to</w:t>
      </w:r>
      <w:r w:rsidR="000C6F4D">
        <w:rPr>
          <w:color w:val="auto"/>
        </w:rPr>
        <w:t xml:space="preserve"> Philippine education services. In 2015-16 </w:t>
      </w:r>
      <w:r w:rsidR="00A222F3">
        <w:rPr>
          <w:color w:val="auto"/>
        </w:rPr>
        <w:t>we</w:t>
      </w:r>
      <w:r w:rsidR="000C6F4D">
        <w:rPr>
          <w:color w:val="auto"/>
        </w:rPr>
        <w:t xml:space="preserve"> provided capacity building on the new curriculum, supported development </w:t>
      </w:r>
      <w:r w:rsidR="00962283">
        <w:rPr>
          <w:color w:val="auto"/>
        </w:rPr>
        <w:t xml:space="preserve">and </w:t>
      </w:r>
      <w:r>
        <w:rPr>
          <w:color w:val="auto"/>
        </w:rPr>
        <w:t>trialling</w:t>
      </w:r>
      <w:r>
        <w:rPr>
          <w:rStyle w:val="CommentReference"/>
        </w:rPr>
        <w:t xml:space="preserve"> </w:t>
      </w:r>
      <w:r>
        <w:rPr>
          <w:color w:val="auto"/>
        </w:rPr>
        <w:t>of</w:t>
      </w:r>
      <w:r w:rsidR="000C6F4D">
        <w:rPr>
          <w:color w:val="auto"/>
        </w:rPr>
        <w:t xml:space="preserve"> new teacher standards, built</w:t>
      </w:r>
      <w:r w:rsidR="00A222F3">
        <w:rPr>
          <w:color w:val="auto"/>
        </w:rPr>
        <w:t xml:space="preserve"> 87 </w:t>
      </w:r>
      <w:r w:rsidR="000C6F4D">
        <w:rPr>
          <w:color w:val="auto"/>
        </w:rPr>
        <w:t>new classrooms</w:t>
      </w:r>
      <w:r w:rsidR="00A222F3">
        <w:rPr>
          <w:color w:val="auto"/>
        </w:rPr>
        <w:t xml:space="preserve"> in disadvantaged areas </w:t>
      </w:r>
      <w:r w:rsidR="00483978">
        <w:rPr>
          <w:color w:val="auto"/>
        </w:rPr>
        <w:t xml:space="preserve">and </w:t>
      </w:r>
      <w:r w:rsidR="000C6F4D">
        <w:rPr>
          <w:color w:val="auto"/>
        </w:rPr>
        <w:t>provide</w:t>
      </w:r>
      <w:r w:rsidR="00483978">
        <w:rPr>
          <w:color w:val="auto"/>
        </w:rPr>
        <w:t>d</w:t>
      </w:r>
      <w:r w:rsidR="000C6F4D">
        <w:rPr>
          <w:color w:val="auto"/>
        </w:rPr>
        <w:t xml:space="preserve"> technical support for the Department of Education to develop 22 new policies </w:t>
      </w:r>
      <w:r w:rsidR="00A9563C">
        <w:rPr>
          <w:color w:val="auto"/>
        </w:rPr>
        <w:t>for teacher development</w:t>
      </w:r>
      <w:r w:rsidR="00962283">
        <w:rPr>
          <w:color w:val="auto"/>
        </w:rPr>
        <w:t xml:space="preserve">, </w:t>
      </w:r>
      <w:r w:rsidR="00A9563C">
        <w:rPr>
          <w:color w:val="auto"/>
        </w:rPr>
        <w:t>classroom and systems assessments</w:t>
      </w:r>
      <w:r>
        <w:rPr>
          <w:color w:val="auto"/>
        </w:rPr>
        <w:t>,</w:t>
      </w:r>
      <w:r w:rsidR="00962283">
        <w:rPr>
          <w:color w:val="auto"/>
        </w:rPr>
        <w:t xml:space="preserve"> policy planning and research</w:t>
      </w:r>
      <w:r w:rsidR="00A9563C">
        <w:rPr>
          <w:color w:val="auto"/>
        </w:rPr>
        <w:t xml:space="preserve">. </w:t>
      </w:r>
      <w:r w:rsidR="00483978">
        <w:rPr>
          <w:color w:val="auto"/>
        </w:rPr>
        <w:t>O</w:t>
      </w:r>
      <w:r w:rsidR="005962C8" w:rsidRPr="00B25CE8">
        <w:rPr>
          <w:color w:val="auto"/>
        </w:rPr>
        <w:t xml:space="preserve">ur </w:t>
      </w:r>
      <w:r w:rsidR="00C8302B">
        <w:rPr>
          <w:color w:val="auto"/>
        </w:rPr>
        <w:t>program has</w:t>
      </w:r>
      <w:r w:rsidR="00483978">
        <w:rPr>
          <w:color w:val="auto"/>
        </w:rPr>
        <w:t xml:space="preserve"> helped</w:t>
      </w:r>
      <w:r w:rsidR="00A9563C" w:rsidRPr="00B25CE8">
        <w:rPr>
          <w:color w:val="auto"/>
        </w:rPr>
        <w:t xml:space="preserve"> to underpin</w:t>
      </w:r>
      <w:r w:rsidR="005962C8" w:rsidRPr="00B25CE8">
        <w:rPr>
          <w:color w:val="auto"/>
        </w:rPr>
        <w:t xml:space="preserve"> the education reform agenda of expanding the </w:t>
      </w:r>
      <w:r w:rsidR="004C19D6" w:rsidRPr="00B25CE8">
        <w:rPr>
          <w:color w:val="auto"/>
        </w:rPr>
        <w:t>ten-year</w:t>
      </w:r>
      <w:r w:rsidR="005962C8" w:rsidRPr="00B25CE8">
        <w:rPr>
          <w:color w:val="auto"/>
        </w:rPr>
        <w:t xml:space="preserve"> secondary school system to </w:t>
      </w:r>
      <w:r w:rsidR="00483978">
        <w:rPr>
          <w:color w:val="auto"/>
        </w:rPr>
        <w:t xml:space="preserve">include </w:t>
      </w:r>
      <w:r w:rsidR="005962C8" w:rsidRPr="00B25CE8">
        <w:rPr>
          <w:color w:val="auto"/>
        </w:rPr>
        <w:t xml:space="preserve">mandatory kindergarten </w:t>
      </w:r>
      <w:r w:rsidR="00483978">
        <w:rPr>
          <w:color w:val="auto"/>
        </w:rPr>
        <w:t>and</w:t>
      </w:r>
      <w:r w:rsidR="005962C8" w:rsidRPr="00B25CE8">
        <w:rPr>
          <w:color w:val="auto"/>
        </w:rPr>
        <w:t xml:space="preserve"> years 11 and</w:t>
      </w:r>
      <w:r w:rsidR="000C6F4D" w:rsidRPr="00B25CE8">
        <w:rPr>
          <w:color w:val="auto"/>
        </w:rPr>
        <w:t xml:space="preserve"> </w:t>
      </w:r>
      <w:r w:rsidR="005962C8" w:rsidRPr="00B25CE8">
        <w:rPr>
          <w:color w:val="auto"/>
        </w:rPr>
        <w:t>12</w:t>
      </w:r>
      <w:r w:rsidR="00483978">
        <w:rPr>
          <w:color w:val="auto"/>
        </w:rPr>
        <w:t xml:space="preserve"> in the curriculum</w:t>
      </w:r>
      <w:r w:rsidR="005962C8" w:rsidRPr="00B25CE8">
        <w:rPr>
          <w:color w:val="auto"/>
        </w:rPr>
        <w:t xml:space="preserve">. </w:t>
      </w:r>
    </w:p>
    <w:p w14:paraId="5121537A" w14:textId="04C2F13B" w:rsidR="00483978" w:rsidRDefault="00483978" w:rsidP="00483978">
      <w:pPr>
        <w:pStyle w:val="ListParagraph"/>
        <w:numPr>
          <w:ilvl w:val="0"/>
          <w:numId w:val="25"/>
        </w:numPr>
        <w:suppressAutoHyphens w:val="0"/>
        <w:spacing w:before="0" w:after="0" w:line="240" w:lineRule="auto"/>
        <w:ind w:left="426"/>
        <w:rPr>
          <w:color w:val="auto"/>
        </w:rPr>
      </w:pPr>
      <w:r>
        <w:rPr>
          <w:color w:val="auto"/>
        </w:rPr>
        <w:t>provided technical support t</w:t>
      </w:r>
      <w:r w:rsidR="00483724" w:rsidRPr="00B25CE8">
        <w:rPr>
          <w:color w:val="auto"/>
        </w:rPr>
        <w:t>hrough the Coalitions for Change program</w:t>
      </w:r>
      <w:r w:rsidR="00A9563C" w:rsidRPr="00B25CE8">
        <w:rPr>
          <w:color w:val="auto"/>
        </w:rPr>
        <w:t xml:space="preserve"> </w:t>
      </w:r>
      <w:r>
        <w:rPr>
          <w:color w:val="auto"/>
        </w:rPr>
        <w:t>for</w:t>
      </w:r>
      <w:r w:rsidR="00A9563C" w:rsidRPr="00B25CE8">
        <w:rPr>
          <w:color w:val="auto"/>
        </w:rPr>
        <w:t xml:space="preserve"> geos</w:t>
      </w:r>
      <w:r>
        <w:rPr>
          <w:color w:val="auto"/>
        </w:rPr>
        <w:t xml:space="preserve">patial mapping of road networks. This </w:t>
      </w:r>
      <w:r w:rsidR="00A9563C" w:rsidRPr="00B25CE8">
        <w:rPr>
          <w:color w:val="auto"/>
        </w:rPr>
        <w:t xml:space="preserve">provided evidence for </w:t>
      </w:r>
      <w:r w:rsidR="00483724" w:rsidRPr="00B25CE8">
        <w:rPr>
          <w:color w:val="auto"/>
        </w:rPr>
        <w:t>the Philippine G</w:t>
      </w:r>
      <w:r w:rsidR="00A9563C" w:rsidRPr="00B25CE8">
        <w:rPr>
          <w:color w:val="auto"/>
        </w:rPr>
        <w:t>overnment to approve infrastructure plans</w:t>
      </w:r>
      <w:r w:rsidR="00483724" w:rsidRPr="00B25CE8">
        <w:rPr>
          <w:color w:val="auto"/>
        </w:rPr>
        <w:t xml:space="preserve"> and increase budget allocations to enable more local roads to be rehabilitated. </w:t>
      </w:r>
      <w:r>
        <w:rPr>
          <w:color w:val="auto"/>
        </w:rPr>
        <w:t xml:space="preserve">The Coalitions for Change program also supported the Philippine Government and businesses to leverage AUD50 million </w:t>
      </w:r>
      <w:r w:rsidR="00483724" w:rsidRPr="00483978">
        <w:rPr>
          <w:color w:val="auto"/>
        </w:rPr>
        <w:t xml:space="preserve">worth of assets to provide more senior high school students with access to industry immersion opportunities. </w:t>
      </w:r>
    </w:p>
    <w:p w14:paraId="6D8E0494" w14:textId="6AE63F6A" w:rsidR="005E6FAE" w:rsidRPr="00455BFA" w:rsidRDefault="00455BFA" w:rsidP="00455BFA">
      <w:pPr>
        <w:pStyle w:val="ListParagraph"/>
        <w:numPr>
          <w:ilvl w:val="0"/>
          <w:numId w:val="25"/>
        </w:numPr>
        <w:suppressAutoHyphens w:val="0"/>
        <w:spacing w:before="0" w:after="0" w:line="240" w:lineRule="auto"/>
        <w:ind w:left="426"/>
        <w:rPr>
          <w:color w:val="auto"/>
        </w:rPr>
      </w:pPr>
      <w:r>
        <w:rPr>
          <w:color w:val="auto"/>
        </w:rPr>
        <w:t>we</w:t>
      </w:r>
      <w:r w:rsidR="005E6FAE" w:rsidRPr="00455BFA">
        <w:rPr>
          <w:color w:val="auto"/>
        </w:rPr>
        <w:t xml:space="preserve"> bui</w:t>
      </w:r>
      <w:r>
        <w:rPr>
          <w:color w:val="auto"/>
        </w:rPr>
        <w:t>lt 101 day-care centres and 252 </w:t>
      </w:r>
      <w:r w:rsidR="005E6FAE" w:rsidRPr="00455BFA">
        <w:rPr>
          <w:color w:val="auto"/>
        </w:rPr>
        <w:t>school buildings</w:t>
      </w:r>
      <w:r>
        <w:rPr>
          <w:color w:val="auto"/>
        </w:rPr>
        <w:t xml:space="preserve"> in poor communities</w:t>
      </w:r>
      <w:r w:rsidR="005E6FAE" w:rsidRPr="00455BFA">
        <w:rPr>
          <w:color w:val="auto"/>
        </w:rPr>
        <w:t xml:space="preserve"> so that households </w:t>
      </w:r>
      <w:r>
        <w:rPr>
          <w:color w:val="auto"/>
        </w:rPr>
        <w:t>could</w:t>
      </w:r>
      <w:r w:rsidR="005E6FAE" w:rsidRPr="00455BFA">
        <w:rPr>
          <w:color w:val="auto"/>
        </w:rPr>
        <w:t xml:space="preserve"> better meet</w:t>
      </w:r>
      <w:r w:rsidR="00483978">
        <w:rPr>
          <w:color w:val="auto"/>
        </w:rPr>
        <w:t xml:space="preserve"> the education requirements of the conditional cash transfer program</w:t>
      </w:r>
      <w:r w:rsidR="005E6FAE" w:rsidRPr="00455BFA">
        <w:rPr>
          <w:color w:val="auto"/>
        </w:rPr>
        <w:t>.</w:t>
      </w:r>
    </w:p>
    <w:p w14:paraId="03615A5A" w14:textId="2B624214" w:rsidR="005962C8" w:rsidRPr="00C33840" w:rsidRDefault="005962C8" w:rsidP="00C87A0B">
      <w:pPr>
        <w:pStyle w:val="ListParagraph"/>
        <w:numPr>
          <w:ilvl w:val="0"/>
          <w:numId w:val="25"/>
        </w:numPr>
        <w:suppressAutoHyphens w:val="0"/>
        <w:spacing w:before="0" w:after="0" w:line="240" w:lineRule="auto"/>
        <w:ind w:left="426"/>
        <w:rPr>
          <w:color w:val="auto"/>
        </w:rPr>
      </w:pPr>
      <w:r w:rsidRPr="00C33840">
        <w:rPr>
          <w:color w:val="auto"/>
        </w:rPr>
        <w:t>brokered three partnerships between Australian and Philippine Universities for research collaboration, faculty and student exchanges to deliver joint degrees. This has strengthened the quality of programs offered by Philippine universities and increased the visibility of Australian institutions in the Philippines.</w:t>
      </w:r>
    </w:p>
    <w:p w14:paraId="48D3E338" w14:textId="79D982EE" w:rsidR="005962C8" w:rsidRPr="00C33840" w:rsidRDefault="005962C8" w:rsidP="00C87A0B">
      <w:pPr>
        <w:pStyle w:val="ListParagraph"/>
        <w:numPr>
          <w:ilvl w:val="0"/>
          <w:numId w:val="25"/>
        </w:numPr>
        <w:suppressAutoHyphens w:val="0"/>
        <w:spacing w:before="0" w:after="0" w:line="240" w:lineRule="auto"/>
        <w:ind w:left="426"/>
        <w:rPr>
          <w:color w:val="auto"/>
        </w:rPr>
      </w:pPr>
      <w:r w:rsidRPr="00C33840">
        <w:rPr>
          <w:color w:val="auto"/>
        </w:rPr>
        <w:t>supported ongoing dialogue with the new Philippine Government administration, Congress and the Senate on the Bangsamoro Basic Law</w:t>
      </w:r>
      <w:r w:rsidR="001172CF">
        <w:rPr>
          <w:color w:val="auto"/>
        </w:rPr>
        <w:t xml:space="preserve"> t</w:t>
      </w:r>
      <w:r w:rsidR="001172CF" w:rsidRPr="00C33840">
        <w:rPr>
          <w:color w:val="auto"/>
        </w:rPr>
        <w:t>hrough the Building Autonomous and Stable Institutions and Communities in the Bangsamoro program</w:t>
      </w:r>
      <w:r w:rsidRPr="00C33840">
        <w:rPr>
          <w:color w:val="auto"/>
        </w:rPr>
        <w:t xml:space="preserve">. </w:t>
      </w:r>
      <w:r w:rsidR="00C8302B">
        <w:rPr>
          <w:color w:val="auto"/>
        </w:rPr>
        <w:t>Over the reporting period w</w:t>
      </w:r>
      <w:r w:rsidRPr="00C33840">
        <w:rPr>
          <w:color w:val="auto"/>
        </w:rPr>
        <w:t xml:space="preserve">e developed communication strategies to counter anti-Muslim narratives; worked with key legislators and staff to raise awareness on the draft law; supported the increased participation of women in the peace process; brought Moro Islamic Liberation Front representatives and legislators together; and supported the livelihoods of conflict-affected communities to shore up the peace process. </w:t>
      </w:r>
    </w:p>
    <w:p w14:paraId="036F6C7E" w14:textId="77777777" w:rsidR="00B57401" w:rsidRDefault="00B57401" w:rsidP="00666618">
      <w:pPr>
        <w:pStyle w:val="ListBullet"/>
        <w:tabs>
          <w:tab w:val="clear" w:pos="284"/>
        </w:tabs>
        <w:spacing w:before="240"/>
        <w:rPr>
          <w:rFonts w:asciiTheme="majorHAnsi" w:eastAsiaTheme="majorEastAsia" w:hAnsiTheme="majorHAnsi" w:cstheme="majorBidi"/>
          <w:caps/>
          <w:sz w:val="38"/>
          <w:szCs w:val="26"/>
          <w:lang w:val="en-GB" w:eastAsia="en-US"/>
        </w:rPr>
      </w:pPr>
    </w:p>
    <w:p w14:paraId="03C0C1DA" w14:textId="77777777" w:rsidR="00A865A2" w:rsidRPr="00E210F5" w:rsidRDefault="00C6626C" w:rsidP="004C4211">
      <w:pPr>
        <w:pStyle w:val="ListBullet"/>
        <w:tabs>
          <w:tab w:val="clear" w:pos="284"/>
        </w:tabs>
        <w:spacing w:before="280" w:after="160"/>
        <w:rPr>
          <w:rFonts w:ascii="Helvetica" w:hAnsi="Helvetica" w:cs="Arial"/>
          <w:kern w:val="28"/>
          <w:sz w:val="32"/>
          <w:szCs w:val="32"/>
        </w:rPr>
      </w:pPr>
      <w:r w:rsidRPr="00E210F5">
        <w:rPr>
          <w:rFonts w:asciiTheme="majorHAnsi" w:eastAsiaTheme="majorEastAsia" w:hAnsiTheme="majorHAnsi" w:cstheme="majorBidi"/>
          <w:caps/>
          <w:sz w:val="38"/>
          <w:szCs w:val="26"/>
          <w:lang w:val="en-GB" w:eastAsia="en-US"/>
        </w:rPr>
        <w:lastRenderedPageBreak/>
        <w:t xml:space="preserve">Context </w:t>
      </w:r>
      <w:r w:rsidRPr="00E210F5">
        <w:rPr>
          <w:rFonts w:asciiTheme="majorHAnsi" w:eastAsiaTheme="majorEastAsia" w:hAnsiTheme="majorHAnsi" w:cstheme="majorBidi"/>
          <w:caps/>
          <w:sz w:val="38"/>
          <w:szCs w:val="26"/>
          <w:lang w:val="en-GB" w:eastAsia="en-US"/>
        </w:rPr>
        <w:tab/>
      </w:r>
      <w:r w:rsidRPr="00E210F5">
        <w:rPr>
          <w:rFonts w:ascii="Helvetica" w:hAnsi="Helvetica" w:cs="Arial"/>
          <w:kern w:val="28"/>
          <w:sz w:val="32"/>
          <w:szCs w:val="32"/>
        </w:rPr>
        <w:tab/>
      </w:r>
    </w:p>
    <w:p w14:paraId="7373694C" w14:textId="2A406DD9" w:rsidR="005962C8" w:rsidRPr="00C33840" w:rsidRDefault="005962C8" w:rsidP="005962C8">
      <w:pPr>
        <w:rPr>
          <w:color w:val="auto"/>
        </w:rPr>
      </w:pPr>
      <w:r w:rsidRPr="00C33840">
        <w:rPr>
          <w:color w:val="auto"/>
        </w:rPr>
        <w:t xml:space="preserve">Australia has been a long-time development partner of the Philippines, with a history of working in a broad range of sectors </w:t>
      </w:r>
      <w:r w:rsidR="000E520B">
        <w:rPr>
          <w:color w:val="auto"/>
        </w:rPr>
        <w:t>including</w:t>
      </w:r>
      <w:r w:rsidRPr="00C33840">
        <w:rPr>
          <w:color w:val="auto"/>
        </w:rPr>
        <w:t xml:space="preserve"> governance, infrastructure, public financial management, social protection, land reform and education. </w:t>
      </w:r>
    </w:p>
    <w:p w14:paraId="5CE33059" w14:textId="48340CD7" w:rsidR="00AE1A56" w:rsidRDefault="00AE1A56" w:rsidP="0026367B">
      <w:pPr>
        <w:rPr>
          <w:color w:val="auto"/>
        </w:rPr>
      </w:pPr>
      <w:r>
        <w:rPr>
          <w:color w:val="auto"/>
        </w:rPr>
        <w:t xml:space="preserve">The Philippines has continued its strong economic growth </w:t>
      </w:r>
      <w:r w:rsidR="00AF38AF">
        <w:rPr>
          <w:color w:val="auto"/>
        </w:rPr>
        <w:t xml:space="preserve">rates </w:t>
      </w:r>
      <w:r>
        <w:rPr>
          <w:color w:val="auto"/>
        </w:rPr>
        <w:t>over the last year, with 5.8% growth recorded in 2015</w:t>
      </w:r>
      <w:r w:rsidR="00D66C07">
        <w:rPr>
          <w:rStyle w:val="EndnoteReference"/>
          <w:color w:val="auto"/>
        </w:rPr>
        <w:endnoteReference w:id="2"/>
      </w:r>
      <w:r>
        <w:rPr>
          <w:color w:val="auto"/>
        </w:rPr>
        <w:t xml:space="preserve">. This </w:t>
      </w:r>
      <w:r w:rsidR="00503B71">
        <w:rPr>
          <w:color w:val="auto"/>
        </w:rPr>
        <w:t>is a continuation of</w:t>
      </w:r>
      <w:r>
        <w:rPr>
          <w:color w:val="auto"/>
        </w:rPr>
        <w:t xml:space="preserve"> the positive legacy of the Aquino administration, which averaged 6.2% growth between 2010 and 2015. The Aquino administration oversaw a period of </w:t>
      </w:r>
      <w:r w:rsidR="000E6E92">
        <w:rPr>
          <w:color w:val="auto"/>
        </w:rPr>
        <w:t>improved</w:t>
      </w:r>
      <w:r>
        <w:rPr>
          <w:color w:val="auto"/>
        </w:rPr>
        <w:t xml:space="preserve"> governance and fiscal policy, which increased government revenue (including through increased tax collections), reduced corruption, tightened procurement rules and improved budgeting.</w:t>
      </w:r>
      <w:r w:rsidR="00C80543">
        <w:rPr>
          <w:color w:val="auto"/>
        </w:rPr>
        <w:t xml:space="preserve"> It has </w:t>
      </w:r>
      <w:r w:rsidR="00C8302B">
        <w:rPr>
          <w:color w:val="auto"/>
        </w:rPr>
        <w:t>created</w:t>
      </w:r>
      <w:r w:rsidR="00C80543">
        <w:rPr>
          <w:color w:val="auto"/>
        </w:rPr>
        <w:t xml:space="preserve"> a good foundation for Australia to continue to support </w:t>
      </w:r>
      <w:r w:rsidR="00AF38AF">
        <w:rPr>
          <w:color w:val="auto"/>
        </w:rPr>
        <w:t>improvements to governance and budgeting, for example</w:t>
      </w:r>
      <w:r w:rsidR="00C80543">
        <w:rPr>
          <w:color w:val="auto"/>
        </w:rPr>
        <w:t xml:space="preserve"> to increase foreign direct investment</w:t>
      </w:r>
      <w:r w:rsidR="00AF38AF">
        <w:rPr>
          <w:color w:val="auto"/>
        </w:rPr>
        <w:t xml:space="preserve"> and to promote inclusive economic growth</w:t>
      </w:r>
      <w:r w:rsidR="00C80543">
        <w:rPr>
          <w:color w:val="auto"/>
        </w:rPr>
        <w:t>.</w:t>
      </w:r>
      <w:r w:rsidR="003B705B">
        <w:rPr>
          <w:color w:val="auto"/>
        </w:rPr>
        <w:t xml:space="preserve"> </w:t>
      </w:r>
      <w:r w:rsidR="003B705B" w:rsidRPr="0026367B">
        <w:rPr>
          <w:color w:val="auto"/>
        </w:rPr>
        <w:t xml:space="preserve">However, population growth has remained high </w:t>
      </w:r>
      <w:r w:rsidR="00503B71">
        <w:rPr>
          <w:color w:val="auto"/>
        </w:rPr>
        <w:t>- slowing per capita growth -</w:t>
      </w:r>
      <w:r w:rsidR="003B705B" w:rsidRPr="0026367B">
        <w:rPr>
          <w:color w:val="auto"/>
        </w:rPr>
        <w:t xml:space="preserve"> and poverty has fallen only slightly to 26.3% in 2015 from 27.9% in 2012</w:t>
      </w:r>
      <w:r w:rsidR="003B705B" w:rsidRPr="0026367B">
        <w:rPr>
          <w:rStyle w:val="EndnoteReference"/>
          <w:color w:val="auto"/>
        </w:rPr>
        <w:endnoteReference w:id="3"/>
      </w:r>
      <w:r w:rsidR="005E41D4">
        <w:rPr>
          <w:color w:val="auto"/>
        </w:rPr>
        <w:t xml:space="preserve">, signalling </w:t>
      </w:r>
      <w:r w:rsidR="00503B71">
        <w:rPr>
          <w:color w:val="auto"/>
        </w:rPr>
        <w:t xml:space="preserve">that significant </w:t>
      </w:r>
      <w:r w:rsidR="005E41D4">
        <w:rPr>
          <w:color w:val="auto"/>
        </w:rPr>
        <w:t xml:space="preserve">challenges remain. </w:t>
      </w:r>
    </w:p>
    <w:p w14:paraId="5D2DF91A" w14:textId="109BE69E" w:rsidR="00C80543" w:rsidRDefault="00C80543" w:rsidP="00C80543">
      <w:pPr>
        <w:rPr>
          <w:color w:val="auto"/>
        </w:rPr>
      </w:pPr>
      <w:r>
        <w:rPr>
          <w:color w:val="auto"/>
        </w:rPr>
        <w:t xml:space="preserve">The expansion of the conditional cash transfer program </w:t>
      </w:r>
      <w:r w:rsidR="00924D4A">
        <w:rPr>
          <w:color w:val="auto"/>
        </w:rPr>
        <w:t xml:space="preserve">over the past five years </w:t>
      </w:r>
      <w:r>
        <w:rPr>
          <w:color w:val="auto"/>
        </w:rPr>
        <w:t xml:space="preserve">encouraged increased access to education and improved nutrition outcomes, and reduced the number of out of school youth. </w:t>
      </w:r>
      <w:r w:rsidR="00AF38AF">
        <w:rPr>
          <w:color w:val="auto"/>
        </w:rPr>
        <w:t>Education investments, including t</w:t>
      </w:r>
      <w:r>
        <w:rPr>
          <w:color w:val="auto"/>
        </w:rPr>
        <w:t>he introduction of the compulsory K-12 curriculum and improved access to tertiary education</w:t>
      </w:r>
      <w:r w:rsidR="00AF38AF">
        <w:rPr>
          <w:color w:val="auto"/>
        </w:rPr>
        <w:t>,</w:t>
      </w:r>
      <w:r>
        <w:rPr>
          <w:color w:val="auto"/>
        </w:rPr>
        <w:t xml:space="preserve"> has helped to bring the Philippines into line with international standards in education</w:t>
      </w:r>
      <w:r w:rsidR="00AF38AF">
        <w:rPr>
          <w:color w:val="auto"/>
        </w:rPr>
        <w:t xml:space="preserve">. Increased investment by the Philippine Government in vocational education, including through training scholarships, </w:t>
      </w:r>
      <w:r w:rsidR="00F04FFE">
        <w:rPr>
          <w:color w:val="auto"/>
        </w:rPr>
        <w:t>has delivered</w:t>
      </w:r>
      <w:r w:rsidR="00AF38AF">
        <w:rPr>
          <w:color w:val="auto"/>
        </w:rPr>
        <w:t xml:space="preserve"> a</w:t>
      </w:r>
      <w:r w:rsidR="00F04FFE">
        <w:rPr>
          <w:color w:val="auto"/>
        </w:rPr>
        <w:t>n</w:t>
      </w:r>
      <w:r w:rsidR="00AF38AF">
        <w:rPr>
          <w:color w:val="auto"/>
        </w:rPr>
        <w:t xml:space="preserve"> </w:t>
      </w:r>
      <w:r w:rsidR="00F04FFE">
        <w:rPr>
          <w:color w:val="auto"/>
        </w:rPr>
        <w:t>intensive</w:t>
      </w:r>
      <w:r w:rsidR="00AF38AF">
        <w:rPr>
          <w:color w:val="auto"/>
        </w:rPr>
        <w:t xml:space="preserve"> effort to develop the future workforce</w:t>
      </w:r>
      <w:r w:rsidR="00503B71">
        <w:rPr>
          <w:color w:val="auto"/>
        </w:rPr>
        <w:t xml:space="preserve"> and increase economic growth</w:t>
      </w:r>
      <w:r w:rsidR="00AF38AF">
        <w:rPr>
          <w:color w:val="auto"/>
        </w:rPr>
        <w:t xml:space="preserve">. </w:t>
      </w:r>
    </w:p>
    <w:p w14:paraId="56F06EDA" w14:textId="22F0146B" w:rsidR="002B64D3" w:rsidRPr="002B64D3" w:rsidRDefault="002B64D3" w:rsidP="002B64D3">
      <w:pPr>
        <w:rPr>
          <w:color w:val="auto"/>
        </w:rPr>
      </w:pPr>
      <w:r w:rsidRPr="002B64D3">
        <w:rPr>
          <w:color w:val="auto"/>
        </w:rPr>
        <w:t>The Philippines remains the third most natural disaster prone and second most vulnerable to climate change country in the world. A growing population, rapid urbani</w:t>
      </w:r>
      <w:r w:rsidR="00C8302B">
        <w:rPr>
          <w:color w:val="auto"/>
        </w:rPr>
        <w:t>s</w:t>
      </w:r>
      <w:r w:rsidRPr="002B64D3">
        <w:rPr>
          <w:color w:val="auto"/>
        </w:rPr>
        <w:t>ation and a high incidence of poverty compound the Philippines’ vulnerability to disasters and climate change</w:t>
      </w:r>
      <w:r w:rsidRPr="002B64D3">
        <w:rPr>
          <w:color w:val="auto"/>
          <w:vertAlign w:val="superscript"/>
        </w:rPr>
        <w:endnoteReference w:id="4"/>
      </w:r>
      <w:r w:rsidRPr="002B64D3">
        <w:rPr>
          <w:color w:val="auto"/>
        </w:rPr>
        <w:t xml:space="preserve">. Support for disaster risk reduction and climate change adaptation measures remains critical as vulnerability to a wide range of natural disasters can undermine economic growth, threaten development gains and push people </w:t>
      </w:r>
      <w:r>
        <w:rPr>
          <w:color w:val="auto"/>
        </w:rPr>
        <w:t>in</w:t>
      </w:r>
      <w:r w:rsidRPr="002B64D3">
        <w:rPr>
          <w:color w:val="auto"/>
        </w:rPr>
        <w:t xml:space="preserve">to poverty. Australia is a key partner for the Philippines in implementing its disaster preparedness and resilience building agenda to support rapid nationally-led response and recovery from disasters, and climate and risk management measures. </w:t>
      </w:r>
    </w:p>
    <w:p w14:paraId="6B598B25" w14:textId="7A44A286" w:rsidR="005E41D4" w:rsidRDefault="005E41D4" w:rsidP="005E41D4">
      <w:pPr>
        <w:rPr>
          <w:color w:val="auto"/>
        </w:rPr>
      </w:pPr>
      <w:r w:rsidRPr="00C33840">
        <w:rPr>
          <w:color w:val="auto"/>
        </w:rPr>
        <w:t>The Philippine legislation that would have created an autonomous Bangsamoro political entity, and resolved a significant source of conflict in Muslim Mindanao, was not passed in the final session of congress before th</w:t>
      </w:r>
      <w:r>
        <w:rPr>
          <w:color w:val="auto"/>
        </w:rPr>
        <w:t xml:space="preserve">e Philippines’ 2016 elections. </w:t>
      </w:r>
      <w:r w:rsidRPr="00AF38AF">
        <w:rPr>
          <w:color w:val="auto"/>
        </w:rPr>
        <w:t xml:space="preserve">Despite this, the ceasefire between the Government of the Philippines and the Moro Islamic Liberation Front (MILF) has held. This is a sign of the depth of confidence in the peace process and the gains made to date, due in part to the support of the </w:t>
      </w:r>
      <w:r w:rsidR="00503B71">
        <w:rPr>
          <w:color w:val="auto"/>
        </w:rPr>
        <w:t xml:space="preserve">process by the </w:t>
      </w:r>
      <w:r w:rsidRPr="00AF38AF">
        <w:rPr>
          <w:color w:val="auto"/>
        </w:rPr>
        <w:t>international community</w:t>
      </w:r>
      <w:r>
        <w:rPr>
          <w:color w:val="auto"/>
        </w:rPr>
        <w:t>,</w:t>
      </w:r>
      <w:r w:rsidRPr="00AF38AF">
        <w:rPr>
          <w:color w:val="auto"/>
        </w:rPr>
        <w:t xml:space="preserve"> </w:t>
      </w:r>
      <w:r>
        <w:rPr>
          <w:color w:val="auto"/>
        </w:rPr>
        <w:t>including Australia</w:t>
      </w:r>
      <w:r w:rsidRPr="00AF38AF">
        <w:rPr>
          <w:color w:val="auto"/>
        </w:rPr>
        <w:t>.</w:t>
      </w:r>
      <w:r w:rsidRPr="00C33840">
        <w:rPr>
          <w:color w:val="auto"/>
        </w:rPr>
        <w:t xml:space="preserve"> Our programs are designed to respond to changes in the local context, both in Muslim Mindanao and at the national level. </w:t>
      </w:r>
      <w:r w:rsidR="00503B71">
        <w:rPr>
          <w:color w:val="auto"/>
        </w:rPr>
        <w:t>W</w:t>
      </w:r>
      <w:r w:rsidRPr="00C33840">
        <w:rPr>
          <w:color w:val="auto"/>
        </w:rPr>
        <w:t>e will be able to adapt our programs in this area to address emerging priorities and policies</w:t>
      </w:r>
      <w:r w:rsidR="00503B71">
        <w:rPr>
          <w:color w:val="auto"/>
        </w:rPr>
        <w:t xml:space="preserve"> of the new government,</w:t>
      </w:r>
      <w:r w:rsidRPr="00C33840">
        <w:rPr>
          <w:color w:val="auto"/>
        </w:rPr>
        <w:t xml:space="preserve"> and </w:t>
      </w:r>
      <w:r w:rsidR="00503B71">
        <w:rPr>
          <w:color w:val="auto"/>
        </w:rPr>
        <w:t xml:space="preserve">to </w:t>
      </w:r>
      <w:r w:rsidRPr="00C33840">
        <w:rPr>
          <w:color w:val="auto"/>
        </w:rPr>
        <w:t>help ensure that the trajectory towards a durable peace is maintained.</w:t>
      </w:r>
      <w:r>
        <w:rPr>
          <w:color w:val="auto"/>
        </w:rPr>
        <w:t xml:space="preserve"> </w:t>
      </w:r>
    </w:p>
    <w:p w14:paraId="76D96CAD" w14:textId="77777777" w:rsidR="004C4211" w:rsidRPr="004C4211" w:rsidRDefault="004C4211" w:rsidP="004C4211">
      <w:pPr>
        <w:rPr>
          <w:color w:val="auto"/>
          <w:lang w:val="en-US"/>
        </w:rPr>
      </w:pPr>
      <w:r w:rsidRPr="004C4211">
        <w:rPr>
          <w:color w:val="auto"/>
        </w:rPr>
        <w:t xml:space="preserve">A significant milestone was achieved in the Philippines for the Lesbian, Gay, Bisexual, Transgender and Intersex (LGBTI) community with the election of the first ever transgender politician to the House of Representatives. A female vice-president who is a popular women’s rights advocate was elected at the same time. These developments, along with other social reforms under President Aquino, whether through expansion of access to education, social welfare or health services, have given Australia an opportunity to strengthen our relationship and expand cooperation. In November 2015, the two governments </w:t>
      </w:r>
      <w:r w:rsidRPr="004C4211">
        <w:rPr>
          <w:color w:val="auto"/>
          <w:lang w:val="en-US"/>
        </w:rPr>
        <w:t xml:space="preserve">signed the Joint Declaration on the Australia-Philippines Comprehensive Partnership, an agreement to further deepen bilateral links between the two countries. </w:t>
      </w:r>
    </w:p>
    <w:p w14:paraId="4F4FF949" w14:textId="0F37E9B2" w:rsidR="00AF38AF" w:rsidRPr="00C33840" w:rsidRDefault="00AF38AF" w:rsidP="00AF38AF">
      <w:pPr>
        <w:rPr>
          <w:color w:val="auto"/>
        </w:rPr>
      </w:pPr>
      <w:r w:rsidRPr="00C33840">
        <w:rPr>
          <w:color w:val="auto"/>
        </w:rPr>
        <w:t xml:space="preserve">The new </w:t>
      </w:r>
      <w:r>
        <w:rPr>
          <w:color w:val="auto"/>
        </w:rPr>
        <w:t>Philippine Government</w:t>
      </w:r>
      <w:r w:rsidRPr="00C33840">
        <w:rPr>
          <w:color w:val="auto"/>
        </w:rPr>
        <w:t xml:space="preserve"> administration has expressed an intention to continue reforms of the previous administration which have been effective in boosting the country’s economic growth. Shortly after his election victory,</w:t>
      </w:r>
      <w:r>
        <w:rPr>
          <w:color w:val="auto"/>
        </w:rPr>
        <w:t xml:space="preserve"> President</w:t>
      </w:r>
      <w:r w:rsidRPr="00C33840">
        <w:rPr>
          <w:color w:val="auto"/>
        </w:rPr>
        <w:t xml:space="preserve"> Duterte released a</w:t>
      </w:r>
      <w:r>
        <w:rPr>
          <w:color w:val="auto"/>
        </w:rPr>
        <w:t xml:space="preserve"> ten</w:t>
      </w:r>
      <w:r w:rsidRPr="00C33840">
        <w:rPr>
          <w:color w:val="auto"/>
        </w:rPr>
        <w:t>–point economic plan with a focus on infrastructure and removal of bottlenecks</w:t>
      </w:r>
      <w:r>
        <w:rPr>
          <w:color w:val="auto"/>
        </w:rPr>
        <w:t>. The plan includes:</w:t>
      </w:r>
      <w:r w:rsidRPr="00C33840">
        <w:rPr>
          <w:color w:val="auto"/>
        </w:rPr>
        <w:t xml:space="preserve"> continuing and maintaining current macroeconomic policies; accelerating infrastructure spending; </w:t>
      </w:r>
      <w:r>
        <w:rPr>
          <w:color w:val="auto"/>
        </w:rPr>
        <w:t xml:space="preserve">increasing </w:t>
      </w:r>
      <w:r w:rsidRPr="00C33840">
        <w:rPr>
          <w:color w:val="auto"/>
        </w:rPr>
        <w:t xml:space="preserve">the </w:t>
      </w:r>
      <w:r>
        <w:rPr>
          <w:color w:val="auto"/>
        </w:rPr>
        <w:t xml:space="preserve">previous </w:t>
      </w:r>
      <w:r w:rsidRPr="00C33840">
        <w:rPr>
          <w:color w:val="auto"/>
        </w:rPr>
        <w:t xml:space="preserve">target </w:t>
      </w:r>
      <w:r>
        <w:rPr>
          <w:color w:val="auto"/>
        </w:rPr>
        <w:t>to now</w:t>
      </w:r>
      <w:r w:rsidRPr="00C33840">
        <w:rPr>
          <w:color w:val="auto"/>
        </w:rPr>
        <w:t xml:space="preserve"> set aside </w:t>
      </w:r>
      <w:r>
        <w:rPr>
          <w:color w:val="auto"/>
        </w:rPr>
        <w:t>seven percent</w:t>
      </w:r>
      <w:r w:rsidRPr="00C33840">
        <w:rPr>
          <w:color w:val="auto"/>
        </w:rPr>
        <w:t xml:space="preserve"> of the </w:t>
      </w:r>
      <w:r w:rsidRPr="00C33840">
        <w:rPr>
          <w:color w:val="auto"/>
        </w:rPr>
        <w:lastRenderedPageBreak/>
        <w:t>country’s gross domestic product to infrastructure spending</w:t>
      </w:r>
      <w:r>
        <w:rPr>
          <w:color w:val="auto"/>
        </w:rPr>
        <w:t xml:space="preserve"> (from five percent previously)</w:t>
      </w:r>
      <w:r w:rsidRPr="00C33840">
        <w:rPr>
          <w:color w:val="auto"/>
        </w:rPr>
        <w:t>; addressing the bottlenecks in land administration and management system</w:t>
      </w:r>
      <w:r>
        <w:rPr>
          <w:color w:val="auto"/>
        </w:rPr>
        <w:t>s</w:t>
      </w:r>
      <w:r w:rsidRPr="00C33840">
        <w:rPr>
          <w:color w:val="auto"/>
        </w:rPr>
        <w:t>; strengthening the basic education system; and expanding and improving implementation of</w:t>
      </w:r>
      <w:r>
        <w:rPr>
          <w:color w:val="auto"/>
        </w:rPr>
        <w:t xml:space="preserve"> the conditional cash transfer </w:t>
      </w:r>
      <w:r w:rsidRPr="00C33840">
        <w:rPr>
          <w:color w:val="auto"/>
        </w:rPr>
        <w:t xml:space="preserve">program.  </w:t>
      </w:r>
    </w:p>
    <w:p w14:paraId="1E5115F2" w14:textId="4496EA4B" w:rsidR="005E41D4" w:rsidRDefault="005E41D4" w:rsidP="005E41D4">
      <w:pPr>
        <w:rPr>
          <w:color w:val="auto"/>
        </w:rPr>
      </w:pPr>
      <w:r w:rsidRPr="00C33840">
        <w:rPr>
          <w:color w:val="auto"/>
        </w:rPr>
        <w:t xml:space="preserve">Australia’s aid to the Philippines </w:t>
      </w:r>
      <w:r w:rsidR="00503B71">
        <w:rPr>
          <w:color w:val="auto"/>
        </w:rPr>
        <w:t>was</w:t>
      </w:r>
      <w:r w:rsidRPr="00C33840">
        <w:rPr>
          <w:color w:val="auto"/>
        </w:rPr>
        <w:t xml:space="preserve"> well aligned with the Aquino administration’s development priorities, and </w:t>
      </w:r>
      <w:r>
        <w:rPr>
          <w:color w:val="auto"/>
        </w:rPr>
        <w:t xml:space="preserve">these </w:t>
      </w:r>
      <w:r w:rsidRPr="00C33840">
        <w:rPr>
          <w:color w:val="auto"/>
        </w:rPr>
        <w:t>e</w:t>
      </w:r>
      <w:r>
        <w:rPr>
          <w:color w:val="auto"/>
        </w:rPr>
        <w:t xml:space="preserve">arly signals from the incoming </w:t>
      </w:r>
      <w:r w:rsidRPr="00C33840">
        <w:rPr>
          <w:color w:val="auto"/>
        </w:rPr>
        <w:t xml:space="preserve">administration show that </w:t>
      </w:r>
      <w:r>
        <w:rPr>
          <w:color w:val="auto"/>
        </w:rPr>
        <w:t xml:space="preserve">our aid remains well placed to immediately support priorities that </w:t>
      </w:r>
      <w:r w:rsidR="00C8302B">
        <w:rPr>
          <w:color w:val="auto"/>
        </w:rPr>
        <w:t xml:space="preserve">the </w:t>
      </w:r>
      <w:r w:rsidR="001149F4">
        <w:rPr>
          <w:color w:val="auto"/>
        </w:rPr>
        <w:t>new administration</w:t>
      </w:r>
      <w:r>
        <w:rPr>
          <w:color w:val="auto"/>
        </w:rPr>
        <w:t xml:space="preserve"> has outlined. </w:t>
      </w:r>
      <w:r w:rsidRPr="00C33840">
        <w:rPr>
          <w:color w:val="auto"/>
        </w:rPr>
        <w:t xml:space="preserve">While Australia will work with the new administration to ensure our programs are responding to key development needs, we will need to be flexible with our work in </w:t>
      </w:r>
      <w:r w:rsidR="00503B71">
        <w:rPr>
          <w:color w:val="auto"/>
        </w:rPr>
        <w:t>the area</w:t>
      </w:r>
      <w:r w:rsidR="00F70792">
        <w:rPr>
          <w:color w:val="auto"/>
        </w:rPr>
        <w:t>s</w:t>
      </w:r>
      <w:r w:rsidR="00503B71">
        <w:rPr>
          <w:color w:val="auto"/>
        </w:rPr>
        <w:t xml:space="preserve"> of </w:t>
      </w:r>
      <w:r w:rsidRPr="00C33840">
        <w:rPr>
          <w:color w:val="auto"/>
        </w:rPr>
        <w:t>peace</w:t>
      </w:r>
      <w:r w:rsidR="00F70792">
        <w:rPr>
          <w:color w:val="auto"/>
        </w:rPr>
        <w:t>,</w:t>
      </w:r>
      <w:r w:rsidRPr="00C33840">
        <w:rPr>
          <w:color w:val="auto"/>
        </w:rPr>
        <w:t xml:space="preserve"> stability</w:t>
      </w:r>
      <w:r w:rsidR="00F70792">
        <w:rPr>
          <w:color w:val="auto"/>
        </w:rPr>
        <w:t xml:space="preserve"> and governance</w:t>
      </w:r>
      <w:r w:rsidRPr="00C33840">
        <w:rPr>
          <w:color w:val="auto"/>
        </w:rPr>
        <w:t xml:space="preserve"> while the new administration resolves how implementation of the peace process will proceed.</w:t>
      </w:r>
    </w:p>
    <w:p w14:paraId="5B8BBA4E" w14:textId="77777777" w:rsidR="00123F1D" w:rsidRPr="00C33840" w:rsidRDefault="002547DC" w:rsidP="004C4211">
      <w:pPr>
        <w:spacing w:after="120"/>
        <w:rPr>
          <w:b/>
          <w:color w:val="auto"/>
        </w:rPr>
      </w:pPr>
      <w:r w:rsidRPr="00C33840">
        <w:rPr>
          <w:b/>
          <w:color w:val="auto"/>
        </w:rPr>
        <w:t>The aid program in the Philippines</w:t>
      </w:r>
    </w:p>
    <w:p w14:paraId="1A772BB0" w14:textId="374D751D" w:rsidR="002547DC" w:rsidRPr="00C33840" w:rsidRDefault="002547DC" w:rsidP="00666618">
      <w:pPr>
        <w:spacing w:before="60" w:after="0"/>
        <w:rPr>
          <w:color w:val="auto"/>
        </w:rPr>
      </w:pPr>
      <w:r w:rsidRPr="00C33840">
        <w:rPr>
          <w:color w:val="auto"/>
        </w:rPr>
        <w:t xml:space="preserve">Australia has been a long term development partner with the Philippines Government and remains in a leading position as </w:t>
      </w:r>
      <w:r w:rsidR="000F63F0" w:rsidRPr="00C33840">
        <w:rPr>
          <w:color w:val="auto"/>
        </w:rPr>
        <w:t xml:space="preserve">a </w:t>
      </w:r>
      <w:r w:rsidRPr="00C33840">
        <w:rPr>
          <w:color w:val="auto"/>
        </w:rPr>
        <w:t xml:space="preserve">foreign </w:t>
      </w:r>
      <w:r w:rsidR="000F63F0" w:rsidRPr="00C33840">
        <w:rPr>
          <w:color w:val="auto"/>
        </w:rPr>
        <w:t xml:space="preserve">aid </w:t>
      </w:r>
      <w:r w:rsidRPr="00C33840">
        <w:rPr>
          <w:color w:val="auto"/>
        </w:rPr>
        <w:t>do</w:t>
      </w:r>
      <w:r w:rsidR="005962C8" w:rsidRPr="00C33840">
        <w:rPr>
          <w:color w:val="auto"/>
        </w:rPr>
        <w:t xml:space="preserve">nor: </w:t>
      </w:r>
      <w:r w:rsidR="00B70A23" w:rsidRPr="00C33840">
        <w:rPr>
          <w:color w:val="auto"/>
        </w:rPr>
        <w:t xml:space="preserve">in 2015 we were </w:t>
      </w:r>
      <w:r w:rsidR="005962C8" w:rsidRPr="00C33840">
        <w:rPr>
          <w:color w:val="auto"/>
        </w:rPr>
        <w:t>the secon</w:t>
      </w:r>
      <w:r w:rsidR="00B70A23" w:rsidRPr="00C33840">
        <w:rPr>
          <w:color w:val="auto"/>
        </w:rPr>
        <w:t>d largest bilateral grant donor</w:t>
      </w:r>
      <w:r w:rsidR="005962C8" w:rsidRPr="00C33840">
        <w:rPr>
          <w:color w:val="auto"/>
        </w:rPr>
        <w:t xml:space="preserve"> after the United States</w:t>
      </w:r>
      <w:r w:rsidR="00B70A23" w:rsidRPr="00C33840">
        <w:rPr>
          <w:color w:val="auto"/>
        </w:rPr>
        <w:t xml:space="preserve">, and we remain the seventh largest donor overall in terms of Official Development Assistance </w:t>
      </w:r>
      <w:r w:rsidR="00B304E2" w:rsidRPr="00C33840">
        <w:rPr>
          <w:color w:val="auto"/>
        </w:rPr>
        <w:t xml:space="preserve">(ODA) </w:t>
      </w:r>
      <w:r w:rsidR="00B70A23" w:rsidRPr="00C33840">
        <w:rPr>
          <w:color w:val="auto"/>
        </w:rPr>
        <w:t xml:space="preserve">grants and loans. </w:t>
      </w:r>
      <w:r w:rsidR="005962C8" w:rsidRPr="00C33840">
        <w:rPr>
          <w:color w:val="auto"/>
        </w:rPr>
        <w:t>T</w:t>
      </w:r>
      <w:r w:rsidR="00F004BD" w:rsidRPr="00C33840">
        <w:rPr>
          <w:color w:val="auto"/>
          <w:lang w:val="en-US"/>
        </w:rPr>
        <w:t>otal Australian ODA to the Philippines in 2015-16 was A</w:t>
      </w:r>
      <w:r w:rsidR="0026367B">
        <w:rPr>
          <w:color w:val="auto"/>
          <w:lang w:val="en-US"/>
        </w:rPr>
        <w:t>UD</w:t>
      </w:r>
      <w:r w:rsidR="00F004BD" w:rsidRPr="00C33840">
        <w:rPr>
          <w:color w:val="auto"/>
          <w:lang w:val="en-US"/>
        </w:rPr>
        <w:t>84.8 million, representing around 0.2 per cent of Philippines Government annual revenue</w:t>
      </w:r>
      <w:r w:rsidR="008739BE">
        <w:rPr>
          <w:rStyle w:val="CommentReference"/>
        </w:rPr>
        <w:t xml:space="preserve"> </w:t>
      </w:r>
      <w:r w:rsidR="00F004BD" w:rsidRPr="00C33840">
        <w:rPr>
          <w:color w:val="auto"/>
          <w:lang w:val="en-US"/>
        </w:rPr>
        <w:t>of US</w:t>
      </w:r>
      <w:r w:rsidR="0026367B">
        <w:rPr>
          <w:color w:val="auto"/>
          <w:lang w:val="en-US"/>
        </w:rPr>
        <w:t>D</w:t>
      </w:r>
      <w:r w:rsidR="00B70A23" w:rsidRPr="00C33840">
        <w:rPr>
          <w:color w:val="auto"/>
          <w:lang w:val="en-US"/>
        </w:rPr>
        <w:t xml:space="preserve">42.5 billion. </w:t>
      </w:r>
      <w:r w:rsidR="000E520B">
        <w:rPr>
          <w:color w:val="auto"/>
          <w:lang w:val="en-US"/>
        </w:rPr>
        <w:t>Given this, the challenge for Australia remains in how we engage in the Philippines to leverage change to promote economic growth. This is reflected in the</w:t>
      </w:r>
      <w:r w:rsidR="000F63F0" w:rsidRPr="00C33840">
        <w:rPr>
          <w:color w:val="auto"/>
        </w:rPr>
        <w:t xml:space="preserve"> Philippines </w:t>
      </w:r>
      <w:r w:rsidR="00B70A23" w:rsidRPr="00C33840">
        <w:rPr>
          <w:color w:val="auto"/>
        </w:rPr>
        <w:t xml:space="preserve">Aid Investment Plan </w:t>
      </w:r>
      <w:r w:rsidR="000F63F0" w:rsidRPr="00C33840">
        <w:rPr>
          <w:color w:val="auto"/>
        </w:rPr>
        <w:t>2015-16 to 2017-18</w:t>
      </w:r>
      <w:r w:rsidR="00F004BD" w:rsidRPr="00C33840">
        <w:rPr>
          <w:color w:val="auto"/>
        </w:rPr>
        <w:t xml:space="preserve"> </w:t>
      </w:r>
      <w:r w:rsidR="000E520B">
        <w:rPr>
          <w:color w:val="auto"/>
        </w:rPr>
        <w:t xml:space="preserve">which </w:t>
      </w:r>
      <w:r w:rsidR="00F004BD" w:rsidRPr="00C33840">
        <w:rPr>
          <w:color w:val="auto"/>
        </w:rPr>
        <w:t>focus</w:t>
      </w:r>
      <w:r w:rsidR="00B70A23" w:rsidRPr="00C33840">
        <w:rPr>
          <w:color w:val="auto"/>
        </w:rPr>
        <w:t>es</w:t>
      </w:r>
      <w:r w:rsidR="00F004BD" w:rsidRPr="00C33840">
        <w:rPr>
          <w:color w:val="auto"/>
        </w:rPr>
        <w:t xml:space="preserve"> on:</w:t>
      </w:r>
    </w:p>
    <w:p w14:paraId="68D3C13F" w14:textId="1A46B301" w:rsidR="00F004BD" w:rsidRPr="00945543" w:rsidRDefault="00F004BD" w:rsidP="00666618">
      <w:pPr>
        <w:pStyle w:val="ListParagraph"/>
        <w:numPr>
          <w:ilvl w:val="0"/>
          <w:numId w:val="13"/>
        </w:numPr>
        <w:spacing w:before="60" w:after="0"/>
        <w:ind w:left="567" w:hanging="357"/>
        <w:rPr>
          <w:bCs/>
          <w:color w:val="auto"/>
          <w:lang w:val="en-US"/>
        </w:rPr>
      </w:pPr>
      <w:r w:rsidRPr="00945543">
        <w:rPr>
          <w:bCs/>
          <w:color w:val="auto"/>
        </w:rPr>
        <w:t xml:space="preserve">Enhancing the </w:t>
      </w:r>
      <w:r w:rsidR="00945543">
        <w:rPr>
          <w:bCs/>
          <w:color w:val="auto"/>
        </w:rPr>
        <w:t>foundations for economic growth</w:t>
      </w:r>
    </w:p>
    <w:p w14:paraId="1EA98493" w14:textId="03F98E47" w:rsidR="00F004BD" w:rsidRPr="00945543" w:rsidRDefault="00F004BD" w:rsidP="005E5FF7">
      <w:pPr>
        <w:pStyle w:val="ListParagraph"/>
        <w:numPr>
          <w:ilvl w:val="0"/>
          <w:numId w:val="13"/>
        </w:numPr>
        <w:ind w:left="567"/>
        <w:rPr>
          <w:color w:val="auto"/>
        </w:rPr>
      </w:pPr>
      <w:r w:rsidRPr="00945543">
        <w:rPr>
          <w:bCs/>
          <w:color w:val="auto"/>
        </w:rPr>
        <w:t>Building stronger institutions for transpa</w:t>
      </w:r>
      <w:r w:rsidR="00945543">
        <w:rPr>
          <w:bCs/>
          <w:color w:val="auto"/>
        </w:rPr>
        <w:t>rent and accountable governance</w:t>
      </w:r>
    </w:p>
    <w:p w14:paraId="684FCA73" w14:textId="2DBA07E5" w:rsidR="00192F2B" w:rsidRPr="00945543" w:rsidRDefault="00F004BD" w:rsidP="005E5FF7">
      <w:pPr>
        <w:pStyle w:val="ListParagraph"/>
        <w:numPr>
          <w:ilvl w:val="0"/>
          <w:numId w:val="13"/>
        </w:numPr>
        <w:ind w:left="567"/>
        <w:rPr>
          <w:bCs/>
          <w:color w:val="auto"/>
          <w:lang w:val="en-US"/>
        </w:rPr>
      </w:pPr>
      <w:r w:rsidRPr="00945543">
        <w:rPr>
          <w:bCs/>
          <w:color w:val="auto"/>
        </w:rPr>
        <w:t>Improving con</w:t>
      </w:r>
      <w:r w:rsidR="00945543">
        <w:rPr>
          <w:bCs/>
          <w:color w:val="auto"/>
        </w:rPr>
        <w:t>ditions for peace and stability</w:t>
      </w:r>
    </w:p>
    <w:p w14:paraId="58168FD1" w14:textId="77777777" w:rsidR="00C6626C" w:rsidRPr="006F2AA1" w:rsidRDefault="00C6626C" w:rsidP="004C4211">
      <w:pPr>
        <w:pStyle w:val="ListBullet"/>
        <w:tabs>
          <w:tab w:val="clear" w:pos="284"/>
        </w:tabs>
        <w:spacing w:before="280" w:after="160"/>
        <w:rPr>
          <w:rFonts w:asciiTheme="majorHAnsi" w:eastAsiaTheme="majorEastAsia" w:hAnsiTheme="majorHAnsi" w:cstheme="majorBidi"/>
          <w:caps/>
          <w:sz w:val="38"/>
          <w:szCs w:val="26"/>
          <w:lang w:val="en-GB" w:eastAsia="en-US"/>
        </w:rPr>
      </w:pPr>
      <w:r w:rsidRPr="006F2AA1">
        <w:rPr>
          <w:rFonts w:asciiTheme="majorHAnsi" w:eastAsiaTheme="majorEastAsia" w:hAnsiTheme="majorHAnsi" w:cstheme="majorBidi"/>
          <w:caps/>
          <w:sz w:val="38"/>
          <w:szCs w:val="26"/>
          <w:lang w:val="en-GB" w:eastAsia="en-US"/>
        </w:rPr>
        <w:t>Expenditure</w:t>
      </w:r>
    </w:p>
    <w:p w14:paraId="75C91D98" w14:textId="1B810D2B" w:rsidR="00B56A0A" w:rsidRDefault="00B56A0A" w:rsidP="002A51CA">
      <w:pPr>
        <w:rPr>
          <w:color w:val="auto"/>
        </w:rPr>
      </w:pPr>
      <w:r>
        <w:rPr>
          <w:color w:val="auto"/>
        </w:rPr>
        <w:t>In 2015-16 Australia’s total ODA to the Philippines was AUD84.8 million, down from AUD141.2 million in 2014-15. The bilateral aid program managed by the Department of Foreign Affairs and Trade totalled AUD68.4 million, with the rest comprising regional and global programs and other flows through other Australian Government Departments.</w:t>
      </w:r>
    </w:p>
    <w:p w14:paraId="4494332E" w14:textId="77777777" w:rsidR="002A51CA" w:rsidRPr="00666618" w:rsidRDefault="002A51CA" w:rsidP="004C4211">
      <w:pPr>
        <w:spacing w:after="120"/>
        <w:rPr>
          <w:b/>
          <w:color w:val="auto"/>
        </w:rPr>
      </w:pPr>
      <w:r w:rsidRPr="00666618">
        <w:rPr>
          <w:b/>
          <w:color w:val="auto"/>
        </w:rPr>
        <w:t xml:space="preserve">Table </w:t>
      </w:r>
      <w:r w:rsidRPr="00666618">
        <w:rPr>
          <w:b/>
          <w:color w:val="auto"/>
        </w:rPr>
        <w:fldChar w:fldCharType="begin"/>
      </w:r>
      <w:r w:rsidRPr="00666618">
        <w:rPr>
          <w:b/>
          <w:color w:val="auto"/>
        </w:rPr>
        <w:instrText xml:space="preserve"> SEQ Table \* ARABIC </w:instrText>
      </w:r>
      <w:r w:rsidRPr="00666618">
        <w:rPr>
          <w:b/>
          <w:color w:val="auto"/>
        </w:rPr>
        <w:fldChar w:fldCharType="separate"/>
      </w:r>
      <w:r w:rsidR="00D91D36">
        <w:rPr>
          <w:b/>
          <w:noProof/>
          <w:color w:val="auto"/>
        </w:rPr>
        <w:t>1</w:t>
      </w:r>
      <w:r w:rsidRPr="00666618">
        <w:rPr>
          <w:b/>
          <w:noProof/>
          <w:color w:val="auto"/>
        </w:rPr>
        <w:fldChar w:fldCharType="end"/>
      </w:r>
      <w:r w:rsidRPr="00666618">
        <w:rPr>
          <w:b/>
          <w:color w:val="auto"/>
        </w:rPr>
        <w:t xml:space="preserve"> Total ODA Expenditure in FY 2015-16</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1559"/>
        <w:gridCol w:w="1701"/>
      </w:tblGrid>
      <w:tr w:rsidR="002A51CA" w:rsidRPr="00CC697C" w14:paraId="5478ED87" w14:textId="77777777" w:rsidTr="008B080B">
        <w:tc>
          <w:tcPr>
            <w:tcW w:w="5637" w:type="dxa"/>
          </w:tcPr>
          <w:p w14:paraId="047C44E1" w14:textId="77777777" w:rsidR="002A51CA" w:rsidRPr="00CC697C" w:rsidRDefault="002A51CA" w:rsidP="00666618">
            <w:pPr>
              <w:pStyle w:val="NormalIndented"/>
              <w:spacing w:before="0" w:after="0"/>
              <w:rPr>
                <w:b/>
                <w:color w:val="auto"/>
                <w:sz w:val="20"/>
              </w:rPr>
            </w:pPr>
            <w:r w:rsidRPr="00CC697C">
              <w:rPr>
                <w:b/>
                <w:color w:val="auto"/>
                <w:sz w:val="20"/>
              </w:rPr>
              <w:t>Objective</w:t>
            </w:r>
          </w:p>
        </w:tc>
        <w:tc>
          <w:tcPr>
            <w:tcW w:w="1559" w:type="dxa"/>
          </w:tcPr>
          <w:p w14:paraId="2E6B250F" w14:textId="72CFF7B1" w:rsidR="002A51CA" w:rsidRPr="00CC697C" w:rsidRDefault="002A51CA" w:rsidP="00666618">
            <w:pPr>
              <w:pStyle w:val="NormalIndented"/>
              <w:spacing w:before="60" w:after="0"/>
              <w:rPr>
                <w:b/>
                <w:color w:val="auto"/>
                <w:sz w:val="20"/>
              </w:rPr>
            </w:pPr>
            <w:r w:rsidRPr="00CC697C">
              <w:rPr>
                <w:b/>
                <w:color w:val="auto"/>
                <w:sz w:val="20"/>
              </w:rPr>
              <w:t>A</w:t>
            </w:r>
            <w:r w:rsidR="00B56A0A">
              <w:rPr>
                <w:b/>
                <w:color w:val="auto"/>
                <w:sz w:val="20"/>
              </w:rPr>
              <w:t>UD</w:t>
            </w:r>
            <w:r w:rsidRPr="00CC697C">
              <w:rPr>
                <w:b/>
                <w:color w:val="auto"/>
                <w:sz w:val="20"/>
              </w:rPr>
              <w:t xml:space="preserve"> million</w:t>
            </w:r>
          </w:p>
        </w:tc>
        <w:tc>
          <w:tcPr>
            <w:tcW w:w="1701" w:type="dxa"/>
          </w:tcPr>
          <w:p w14:paraId="5F798890" w14:textId="77777777" w:rsidR="002A51CA" w:rsidRPr="00CC697C" w:rsidRDefault="002A51CA" w:rsidP="00666618">
            <w:pPr>
              <w:pStyle w:val="NormalIndented"/>
              <w:spacing w:before="60" w:after="0"/>
              <w:rPr>
                <w:b/>
                <w:color w:val="auto"/>
                <w:sz w:val="20"/>
              </w:rPr>
            </w:pPr>
            <w:r w:rsidRPr="00CC697C">
              <w:rPr>
                <w:b/>
                <w:color w:val="auto"/>
                <w:sz w:val="20"/>
              </w:rPr>
              <w:t>% of total ODA</w:t>
            </w:r>
          </w:p>
        </w:tc>
      </w:tr>
      <w:tr w:rsidR="002A51CA" w:rsidRPr="00C61187" w14:paraId="498B50AA" w14:textId="77777777" w:rsidTr="008B080B">
        <w:tc>
          <w:tcPr>
            <w:tcW w:w="5637" w:type="dxa"/>
          </w:tcPr>
          <w:p w14:paraId="3E3D3F7E" w14:textId="77777777" w:rsidR="002A51CA" w:rsidRPr="00CC697C" w:rsidRDefault="002A51CA" w:rsidP="00666618">
            <w:pPr>
              <w:pStyle w:val="NormalIndented"/>
              <w:spacing w:before="0" w:after="0"/>
              <w:rPr>
                <w:i/>
                <w:color w:val="auto"/>
                <w:sz w:val="20"/>
              </w:rPr>
            </w:pPr>
            <w:r w:rsidRPr="00CC697C">
              <w:rPr>
                <w:i/>
                <w:color w:val="auto"/>
                <w:sz w:val="20"/>
              </w:rPr>
              <w:t xml:space="preserve">Bilateral </w:t>
            </w:r>
          </w:p>
        </w:tc>
        <w:tc>
          <w:tcPr>
            <w:tcW w:w="1559" w:type="dxa"/>
          </w:tcPr>
          <w:p w14:paraId="4EB98A62" w14:textId="77777777" w:rsidR="002A51CA" w:rsidRPr="00BE6C6D" w:rsidRDefault="002A51CA" w:rsidP="00666618">
            <w:pPr>
              <w:pStyle w:val="NormalIndented"/>
              <w:spacing w:before="60" w:after="0"/>
              <w:rPr>
                <w:sz w:val="20"/>
              </w:rPr>
            </w:pPr>
          </w:p>
        </w:tc>
        <w:tc>
          <w:tcPr>
            <w:tcW w:w="1701" w:type="dxa"/>
          </w:tcPr>
          <w:p w14:paraId="3EFEA1A0" w14:textId="77777777" w:rsidR="002A51CA" w:rsidRPr="00BE6C6D" w:rsidRDefault="002A51CA" w:rsidP="00666618">
            <w:pPr>
              <w:pStyle w:val="NormalIndented"/>
              <w:spacing w:before="60" w:after="0"/>
              <w:rPr>
                <w:sz w:val="20"/>
              </w:rPr>
            </w:pPr>
          </w:p>
        </w:tc>
      </w:tr>
      <w:tr w:rsidR="002A51CA" w:rsidRPr="00C61187" w14:paraId="60817769" w14:textId="77777777" w:rsidTr="008B080B">
        <w:tc>
          <w:tcPr>
            <w:tcW w:w="5637" w:type="dxa"/>
          </w:tcPr>
          <w:p w14:paraId="00A265EC" w14:textId="77777777" w:rsidR="002A51CA" w:rsidRPr="00CC697C" w:rsidRDefault="002A51CA" w:rsidP="00666618">
            <w:pPr>
              <w:pStyle w:val="NormalIndented"/>
              <w:spacing w:before="0" w:after="0"/>
              <w:rPr>
                <w:color w:val="auto"/>
                <w:sz w:val="20"/>
              </w:rPr>
            </w:pPr>
            <w:r w:rsidRPr="00CC697C">
              <w:rPr>
                <w:color w:val="auto"/>
                <w:sz w:val="20"/>
              </w:rPr>
              <w:t>Objective 1</w:t>
            </w:r>
            <w:r w:rsidR="00E22378" w:rsidRPr="00CC697C">
              <w:rPr>
                <w:bCs/>
                <w:color w:val="auto"/>
                <w:sz w:val="20"/>
              </w:rPr>
              <w:t xml:space="preserve"> Enhancing the foundations for economic growth </w:t>
            </w:r>
          </w:p>
        </w:tc>
        <w:tc>
          <w:tcPr>
            <w:tcW w:w="1559" w:type="dxa"/>
          </w:tcPr>
          <w:p w14:paraId="712CD23E" w14:textId="77777777" w:rsidR="002A51CA" w:rsidRPr="00CC697C" w:rsidRDefault="00C403E9" w:rsidP="00666618">
            <w:pPr>
              <w:pStyle w:val="NormalIndented"/>
              <w:spacing w:before="60" w:after="0"/>
              <w:rPr>
                <w:color w:val="auto"/>
                <w:sz w:val="20"/>
              </w:rPr>
            </w:pPr>
            <w:r w:rsidRPr="00CC697C">
              <w:rPr>
                <w:color w:val="auto"/>
                <w:sz w:val="20"/>
              </w:rPr>
              <w:t>32.8</w:t>
            </w:r>
          </w:p>
        </w:tc>
        <w:tc>
          <w:tcPr>
            <w:tcW w:w="1701" w:type="dxa"/>
          </w:tcPr>
          <w:p w14:paraId="5F8A879D" w14:textId="2B716DC6" w:rsidR="002A51CA" w:rsidRPr="00CC697C" w:rsidRDefault="001D1BD0" w:rsidP="00666618">
            <w:pPr>
              <w:pStyle w:val="NormalIndented"/>
              <w:spacing w:before="60" w:after="0"/>
              <w:rPr>
                <w:color w:val="auto"/>
                <w:sz w:val="20"/>
              </w:rPr>
            </w:pPr>
            <w:r>
              <w:rPr>
                <w:color w:val="auto"/>
                <w:sz w:val="20"/>
              </w:rPr>
              <w:t>38.7</w:t>
            </w:r>
          </w:p>
        </w:tc>
      </w:tr>
      <w:tr w:rsidR="002A51CA" w:rsidRPr="00C61187" w14:paraId="65260F65" w14:textId="77777777" w:rsidTr="008B080B">
        <w:tc>
          <w:tcPr>
            <w:tcW w:w="5637" w:type="dxa"/>
          </w:tcPr>
          <w:p w14:paraId="61CEEE21" w14:textId="77777777" w:rsidR="002A51CA" w:rsidRPr="00CC697C" w:rsidRDefault="002A51CA" w:rsidP="00666618">
            <w:pPr>
              <w:pStyle w:val="NormalIndented"/>
              <w:spacing w:before="0" w:after="0"/>
              <w:rPr>
                <w:color w:val="auto"/>
                <w:sz w:val="20"/>
              </w:rPr>
            </w:pPr>
            <w:r w:rsidRPr="00CC697C">
              <w:rPr>
                <w:color w:val="auto"/>
                <w:sz w:val="20"/>
              </w:rPr>
              <w:t>Objective 2</w:t>
            </w:r>
            <w:r w:rsidR="00E22378" w:rsidRPr="00CC697C">
              <w:rPr>
                <w:color w:val="auto"/>
                <w:sz w:val="20"/>
              </w:rPr>
              <w:t xml:space="preserve"> </w:t>
            </w:r>
            <w:r w:rsidR="00E22378" w:rsidRPr="00CC697C">
              <w:rPr>
                <w:bCs/>
                <w:color w:val="auto"/>
                <w:sz w:val="20"/>
              </w:rPr>
              <w:t>Building stronger institutions for transparent and accountable governance</w:t>
            </w:r>
          </w:p>
        </w:tc>
        <w:tc>
          <w:tcPr>
            <w:tcW w:w="1559" w:type="dxa"/>
          </w:tcPr>
          <w:p w14:paraId="5A9252E9" w14:textId="77777777" w:rsidR="002A51CA" w:rsidRPr="00CC697C" w:rsidRDefault="00C403E9" w:rsidP="00666618">
            <w:pPr>
              <w:pStyle w:val="NormalIndented"/>
              <w:spacing w:before="60" w:after="0"/>
              <w:rPr>
                <w:color w:val="auto"/>
                <w:sz w:val="20"/>
              </w:rPr>
            </w:pPr>
            <w:r w:rsidRPr="00CC697C">
              <w:rPr>
                <w:color w:val="auto"/>
                <w:sz w:val="20"/>
              </w:rPr>
              <w:t>17.8</w:t>
            </w:r>
          </w:p>
        </w:tc>
        <w:tc>
          <w:tcPr>
            <w:tcW w:w="1701" w:type="dxa"/>
          </w:tcPr>
          <w:p w14:paraId="3A839634" w14:textId="08FFCCB9" w:rsidR="002A51CA" w:rsidRPr="00CC697C" w:rsidRDefault="001D1BD0" w:rsidP="00666618">
            <w:pPr>
              <w:pStyle w:val="NormalIndented"/>
              <w:spacing w:before="60" w:after="0"/>
              <w:rPr>
                <w:color w:val="auto"/>
                <w:sz w:val="20"/>
              </w:rPr>
            </w:pPr>
            <w:r>
              <w:rPr>
                <w:color w:val="auto"/>
                <w:sz w:val="20"/>
              </w:rPr>
              <w:t>21.0</w:t>
            </w:r>
          </w:p>
        </w:tc>
      </w:tr>
      <w:tr w:rsidR="002A51CA" w:rsidRPr="00C61187" w14:paraId="1B36E78E" w14:textId="77777777" w:rsidTr="008B080B">
        <w:tc>
          <w:tcPr>
            <w:tcW w:w="5637" w:type="dxa"/>
          </w:tcPr>
          <w:p w14:paraId="002992FA" w14:textId="77777777" w:rsidR="002A51CA" w:rsidRPr="00CC697C" w:rsidRDefault="002A51CA" w:rsidP="00666618">
            <w:pPr>
              <w:pStyle w:val="NormalIndented"/>
              <w:spacing w:before="0" w:after="0"/>
              <w:rPr>
                <w:color w:val="auto"/>
                <w:sz w:val="20"/>
              </w:rPr>
            </w:pPr>
            <w:r w:rsidRPr="00CC697C">
              <w:rPr>
                <w:color w:val="auto"/>
                <w:sz w:val="20"/>
              </w:rPr>
              <w:t>Objective 3</w:t>
            </w:r>
            <w:r w:rsidR="00E22378" w:rsidRPr="00CC697C">
              <w:rPr>
                <w:color w:val="auto"/>
                <w:sz w:val="20"/>
              </w:rPr>
              <w:t xml:space="preserve"> </w:t>
            </w:r>
            <w:r w:rsidR="00E22378" w:rsidRPr="00CC697C">
              <w:rPr>
                <w:bCs/>
                <w:color w:val="auto"/>
                <w:sz w:val="20"/>
              </w:rPr>
              <w:t>Improving conditions for peace and stability</w:t>
            </w:r>
          </w:p>
        </w:tc>
        <w:tc>
          <w:tcPr>
            <w:tcW w:w="1559" w:type="dxa"/>
          </w:tcPr>
          <w:p w14:paraId="55F828E8" w14:textId="77777777" w:rsidR="002A51CA" w:rsidRPr="00CC697C" w:rsidRDefault="00C403E9" w:rsidP="00666618">
            <w:pPr>
              <w:pStyle w:val="NormalIndented"/>
              <w:spacing w:before="60" w:after="0"/>
              <w:rPr>
                <w:color w:val="auto"/>
                <w:sz w:val="20"/>
              </w:rPr>
            </w:pPr>
            <w:r w:rsidRPr="00CC697C">
              <w:rPr>
                <w:color w:val="auto"/>
                <w:sz w:val="20"/>
              </w:rPr>
              <w:t>17.8</w:t>
            </w:r>
          </w:p>
        </w:tc>
        <w:tc>
          <w:tcPr>
            <w:tcW w:w="1701" w:type="dxa"/>
          </w:tcPr>
          <w:p w14:paraId="2C462CF1" w14:textId="0A3AB7D8" w:rsidR="002A51CA" w:rsidRPr="00CC697C" w:rsidRDefault="001D1BD0" w:rsidP="00666618">
            <w:pPr>
              <w:pStyle w:val="NormalIndented"/>
              <w:spacing w:before="60" w:after="0"/>
              <w:rPr>
                <w:color w:val="auto"/>
                <w:sz w:val="20"/>
              </w:rPr>
            </w:pPr>
            <w:r>
              <w:rPr>
                <w:color w:val="auto"/>
                <w:sz w:val="20"/>
              </w:rPr>
              <w:t>21.00</w:t>
            </w:r>
          </w:p>
        </w:tc>
      </w:tr>
      <w:tr w:rsidR="002A51CA" w:rsidRPr="00C61187" w14:paraId="5B595309" w14:textId="77777777" w:rsidTr="008B080B">
        <w:tc>
          <w:tcPr>
            <w:tcW w:w="5637" w:type="dxa"/>
          </w:tcPr>
          <w:p w14:paraId="245DE96F" w14:textId="77777777" w:rsidR="002A51CA" w:rsidRPr="00CC697C" w:rsidRDefault="002A51CA" w:rsidP="00666618">
            <w:pPr>
              <w:pStyle w:val="NormalIndented"/>
              <w:spacing w:before="0" w:after="0"/>
              <w:rPr>
                <w:color w:val="auto"/>
                <w:sz w:val="20"/>
              </w:rPr>
            </w:pPr>
            <w:r w:rsidRPr="00CC697C">
              <w:rPr>
                <w:color w:val="auto"/>
                <w:sz w:val="20"/>
              </w:rPr>
              <w:t>Sub-Total Bilateral</w:t>
            </w:r>
          </w:p>
        </w:tc>
        <w:tc>
          <w:tcPr>
            <w:tcW w:w="1559" w:type="dxa"/>
          </w:tcPr>
          <w:p w14:paraId="41D11FAA" w14:textId="77777777" w:rsidR="002A51CA" w:rsidRPr="00CC697C" w:rsidRDefault="00C403E9" w:rsidP="00666618">
            <w:pPr>
              <w:pStyle w:val="NormalIndented"/>
              <w:spacing w:before="60" w:after="0"/>
              <w:rPr>
                <w:color w:val="auto"/>
                <w:sz w:val="20"/>
              </w:rPr>
            </w:pPr>
            <w:r w:rsidRPr="00CC697C">
              <w:rPr>
                <w:bCs/>
                <w:color w:val="auto"/>
                <w:sz w:val="20"/>
              </w:rPr>
              <w:t>68.4</w:t>
            </w:r>
          </w:p>
        </w:tc>
        <w:tc>
          <w:tcPr>
            <w:tcW w:w="1701" w:type="dxa"/>
          </w:tcPr>
          <w:p w14:paraId="0EB89C85" w14:textId="33842726" w:rsidR="002A51CA" w:rsidRPr="00CC697C" w:rsidRDefault="001D1BD0" w:rsidP="00666618">
            <w:pPr>
              <w:pStyle w:val="NormalIndented"/>
              <w:spacing w:before="60" w:after="0"/>
              <w:rPr>
                <w:color w:val="auto"/>
                <w:sz w:val="20"/>
              </w:rPr>
            </w:pPr>
            <w:r>
              <w:rPr>
                <w:color w:val="auto"/>
                <w:sz w:val="20"/>
              </w:rPr>
              <w:t>80.7</w:t>
            </w:r>
          </w:p>
        </w:tc>
      </w:tr>
      <w:tr w:rsidR="002A51CA" w:rsidRPr="00C61187" w14:paraId="19646243" w14:textId="77777777" w:rsidTr="008B080B">
        <w:tc>
          <w:tcPr>
            <w:tcW w:w="5637" w:type="dxa"/>
          </w:tcPr>
          <w:p w14:paraId="0CD36D5E" w14:textId="77777777" w:rsidR="002A51CA" w:rsidRPr="00CC697C" w:rsidRDefault="002A51CA" w:rsidP="00666618">
            <w:pPr>
              <w:pStyle w:val="NormalIndented"/>
              <w:spacing w:before="0" w:after="0"/>
              <w:rPr>
                <w:i/>
                <w:color w:val="auto"/>
                <w:sz w:val="20"/>
              </w:rPr>
            </w:pPr>
            <w:r w:rsidRPr="00CC697C">
              <w:rPr>
                <w:i/>
                <w:color w:val="auto"/>
                <w:sz w:val="20"/>
              </w:rPr>
              <w:t>Regional and Global</w:t>
            </w:r>
          </w:p>
        </w:tc>
        <w:tc>
          <w:tcPr>
            <w:tcW w:w="1559" w:type="dxa"/>
          </w:tcPr>
          <w:p w14:paraId="2617749C" w14:textId="106C5495" w:rsidR="002A51CA" w:rsidRPr="00CC697C" w:rsidRDefault="00C403E9" w:rsidP="00666618">
            <w:pPr>
              <w:pStyle w:val="NormalIndented"/>
              <w:spacing w:before="60" w:after="0"/>
              <w:rPr>
                <w:color w:val="auto"/>
                <w:sz w:val="20"/>
              </w:rPr>
            </w:pPr>
            <w:r w:rsidRPr="00CC697C">
              <w:rPr>
                <w:color w:val="auto"/>
                <w:sz w:val="20"/>
              </w:rPr>
              <w:t>12.5</w:t>
            </w:r>
          </w:p>
        </w:tc>
        <w:tc>
          <w:tcPr>
            <w:tcW w:w="1701" w:type="dxa"/>
          </w:tcPr>
          <w:p w14:paraId="6CE146C2" w14:textId="535AC52A" w:rsidR="002A51CA" w:rsidRPr="00CC697C" w:rsidRDefault="001D1BD0" w:rsidP="00666618">
            <w:pPr>
              <w:pStyle w:val="NormalIndented"/>
              <w:spacing w:before="60" w:after="0"/>
              <w:rPr>
                <w:color w:val="auto"/>
                <w:sz w:val="20"/>
              </w:rPr>
            </w:pPr>
            <w:r>
              <w:rPr>
                <w:color w:val="auto"/>
                <w:sz w:val="20"/>
              </w:rPr>
              <w:t>14.7</w:t>
            </w:r>
          </w:p>
        </w:tc>
      </w:tr>
      <w:tr w:rsidR="002A51CA" w:rsidRPr="00C61187" w14:paraId="081E1F39" w14:textId="77777777" w:rsidTr="008B080B">
        <w:tc>
          <w:tcPr>
            <w:tcW w:w="5637" w:type="dxa"/>
          </w:tcPr>
          <w:p w14:paraId="3B1A5977" w14:textId="77777777" w:rsidR="002A51CA" w:rsidRPr="00CC697C" w:rsidRDefault="002A51CA" w:rsidP="00666618">
            <w:pPr>
              <w:pStyle w:val="NormalIndented"/>
              <w:spacing w:before="0" w:after="0"/>
              <w:rPr>
                <w:i/>
                <w:color w:val="auto"/>
                <w:sz w:val="20"/>
              </w:rPr>
            </w:pPr>
            <w:r w:rsidRPr="00CC697C">
              <w:rPr>
                <w:i/>
                <w:color w:val="auto"/>
                <w:sz w:val="20"/>
              </w:rPr>
              <w:t>Other Government Departments</w:t>
            </w:r>
          </w:p>
        </w:tc>
        <w:tc>
          <w:tcPr>
            <w:tcW w:w="1559" w:type="dxa"/>
          </w:tcPr>
          <w:p w14:paraId="7CE6FBC0" w14:textId="77777777" w:rsidR="002A51CA" w:rsidRPr="00CC697C" w:rsidRDefault="00C403E9" w:rsidP="00666618">
            <w:pPr>
              <w:pStyle w:val="NormalIndented"/>
              <w:spacing w:before="60" w:after="0"/>
              <w:rPr>
                <w:color w:val="auto"/>
                <w:sz w:val="20"/>
              </w:rPr>
            </w:pPr>
            <w:r w:rsidRPr="00CC697C">
              <w:rPr>
                <w:color w:val="auto"/>
                <w:sz w:val="20"/>
              </w:rPr>
              <w:t>3.9</w:t>
            </w:r>
          </w:p>
        </w:tc>
        <w:tc>
          <w:tcPr>
            <w:tcW w:w="1701" w:type="dxa"/>
          </w:tcPr>
          <w:p w14:paraId="4454E691" w14:textId="0DF78A9F" w:rsidR="002A51CA" w:rsidRPr="00CC697C" w:rsidRDefault="001D1BD0" w:rsidP="00666618">
            <w:pPr>
              <w:pStyle w:val="NormalIndented"/>
              <w:spacing w:before="60" w:after="0"/>
              <w:rPr>
                <w:color w:val="auto"/>
                <w:sz w:val="20"/>
              </w:rPr>
            </w:pPr>
            <w:r>
              <w:rPr>
                <w:color w:val="auto"/>
                <w:sz w:val="20"/>
              </w:rPr>
              <w:t>4.6</w:t>
            </w:r>
          </w:p>
        </w:tc>
      </w:tr>
      <w:tr w:rsidR="002A51CA" w:rsidRPr="00C61187" w14:paraId="2FAC943B" w14:textId="77777777" w:rsidTr="008B080B">
        <w:tc>
          <w:tcPr>
            <w:tcW w:w="5637" w:type="dxa"/>
          </w:tcPr>
          <w:p w14:paraId="06A07952" w14:textId="77777777" w:rsidR="002A51CA" w:rsidRPr="00CC697C" w:rsidRDefault="002A51CA" w:rsidP="00666618">
            <w:pPr>
              <w:pStyle w:val="NormalIndented"/>
              <w:spacing w:before="0" w:after="0"/>
              <w:rPr>
                <w:b/>
                <w:color w:val="auto"/>
                <w:sz w:val="20"/>
              </w:rPr>
            </w:pPr>
            <w:r w:rsidRPr="00CC697C">
              <w:rPr>
                <w:b/>
                <w:color w:val="auto"/>
                <w:sz w:val="20"/>
              </w:rPr>
              <w:t>Total ODA Expenditure</w:t>
            </w:r>
          </w:p>
        </w:tc>
        <w:tc>
          <w:tcPr>
            <w:tcW w:w="1559" w:type="dxa"/>
          </w:tcPr>
          <w:p w14:paraId="555AE753" w14:textId="77777777" w:rsidR="002A51CA" w:rsidRPr="00CC697C" w:rsidRDefault="00C403E9" w:rsidP="00666618">
            <w:pPr>
              <w:pStyle w:val="NormalIndented"/>
              <w:spacing w:before="60" w:after="0"/>
              <w:rPr>
                <w:b/>
                <w:color w:val="auto"/>
                <w:sz w:val="20"/>
              </w:rPr>
            </w:pPr>
            <w:r w:rsidRPr="00CC697C">
              <w:rPr>
                <w:b/>
                <w:color w:val="auto"/>
                <w:sz w:val="20"/>
              </w:rPr>
              <w:t>84.8</w:t>
            </w:r>
          </w:p>
        </w:tc>
        <w:tc>
          <w:tcPr>
            <w:tcW w:w="1701" w:type="dxa"/>
          </w:tcPr>
          <w:p w14:paraId="1B693F42" w14:textId="494B8609" w:rsidR="002A51CA" w:rsidRPr="00CC697C" w:rsidRDefault="001D1BD0" w:rsidP="00666618">
            <w:pPr>
              <w:pStyle w:val="NormalIndented"/>
              <w:spacing w:before="60" w:after="0"/>
              <w:rPr>
                <w:color w:val="auto"/>
                <w:sz w:val="20"/>
              </w:rPr>
            </w:pPr>
            <w:r>
              <w:rPr>
                <w:color w:val="auto"/>
                <w:sz w:val="20"/>
              </w:rPr>
              <w:t>100</w:t>
            </w:r>
          </w:p>
        </w:tc>
      </w:tr>
    </w:tbl>
    <w:p w14:paraId="0ABF5954" w14:textId="77777777" w:rsidR="002A51CA" w:rsidRPr="002A51CA" w:rsidRDefault="002A51CA" w:rsidP="004C4211">
      <w:pPr>
        <w:pStyle w:val="ListBullet"/>
        <w:tabs>
          <w:tab w:val="clear" w:pos="284"/>
        </w:tabs>
        <w:spacing w:before="280" w:after="160"/>
        <w:rPr>
          <w:rFonts w:asciiTheme="majorHAnsi" w:eastAsiaTheme="majorEastAsia" w:hAnsiTheme="majorHAnsi" w:cstheme="majorBidi"/>
          <w:caps/>
          <w:color w:val="495965" w:themeColor="text2"/>
          <w:sz w:val="38"/>
          <w:szCs w:val="26"/>
          <w:lang w:val="en-GB" w:eastAsia="en-US"/>
        </w:rPr>
      </w:pPr>
      <w:r w:rsidRPr="008724C7">
        <w:rPr>
          <w:rFonts w:asciiTheme="majorHAnsi" w:eastAsiaTheme="majorEastAsia" w:hAnsiTheme="majorHAnsi" w:cstheme="majorBidi"/>
          <w:caps/>
          <w:sz w:val="38"/>
          <w:szCs w:val="26"/>
          <w:lang w:val="en-GB" w:eastAsia="en-US"/>
        </w:rPr>
        <w:t>Progress towards Objectives</w:t>
      </w:r>
      <w:r w:rsidRPr="002A51CA">
        <w:rPr>
          <w:rFonts w:asciiTheme="majorHAnsi" w:eastAsiaTheme="majorEastAsia" w:hAnsiTheme="majorHAnsi" w:cstheme="majorBidi"/>
          <w:caps/>
          <w:color w:val="495965" w:themeColor="text2"/>
          <w:sz w:val="38"/>
          <w:szCs w:val="26"/>
          <w:lang w:val="en-GB" w:eastAsia="en-US"/>
        </w:rPr>
        <w:tab/>
      </w:r>
    </w:p>
    <w:p w14:paraId="505E059E" w14:textId="77777777" w:rsidR="002A51CA" w:rsidRPr="007572A7" w:rsidRDefault="002A51CA" w:rsidP="004C4211">
      <w:pPr>
        <w:spacing w:after="120"/>
        <w:rPr>
          <w:b/>
          <w:color w:val="auto"/>
          <w:sz w:val="24"/>
        </w:rPr>
      </w:pPr>
      <w:r w:rsidRPr="007572A7">
        <w:rPr>
          <w:b/>
          <w:color w:val="auto"/>
          <w:sz w:val="24"/>
        </w:rPr>
        <w:t xml:space="preserve">Table </w:t>
      </w:r>
      <w:r w:rsidRPr="007572A7">
        <w:rPr>
          <w:b/>
          <w:color w:val="auto"/>
          <w:sz w:val="24"/>
        </w:rPr>
        <w:fldChar w:fldCharType="begin"/>
      </w:r>
      <w:r w:rsidRPr="007572A7">
        <w:rPr>
          <w:b/>
          <w:color w:val="auto"/>
          <w:sz w:val="24"/>
        </w:rPr>
        <w:instrText xml:space="preserve"> SEQ Table \* ARABIC </w:instrText>
      </w:r>
      <w:r w:rsidRPr="007572A7">
        <w:rPr>
          <w:b/>
          <w:color w:val="auto"/>
          <w:sz w:val="24"/>
        </w:rPr>
        <w:fldChar w:fldCharType="separate"/>
      </w:r>
      <w:r w:rsidR="00D91D36">
        <w:rPr>
          <w:b/>
          <w:noProof/>
          <w:color w:val="auto"/>
          <w:sz w:val="24"/>
        </w:rPr>
        <w:t>2</w:t>
      </w:r>
      <w:r w:rsidRPr="007572A7">
        <w:rPr>
          <w:b/>
          <w:noProof/>
          <w:color w:val="auto"/>
          <w:sz w:val="24"/>
        </w:rPr>
        <w:fldChar w:fldCharType="end"/>
      </w:r>
      <w:r w:rsidRPr="007572A7">
        <w:rPr>
          <w:b/>
          <w:color w:val="auto"/>
          <w:sz w:val="24"/>
        </w:rPr>
        <w:t xml:space="preserve"> Rating of the Program's Progress towards Australia’s Aid Objectives</w:t>
      </w:r>
    </w:p>
    <w:tbl>
      <w:tblPr>
        <w:tblStyle w:val="APPR"/>
        <w:tblW w:w="5000" w:type="pct"/>
        <w:tblLook w:val="0000" w:firstRow="0" w:lastRow="0" w:firstColumn="0" w:lastColumn="0" w:noHBand="0" w:noVBand="0"/>
      </w:tblPr>
      <w:tblGrid>
        <w:gridCol w:w="6864"/>
        <w:gridCol w:w="1330"/>
        <w:gridCol w:w="467"/>
        <w:gridCol w:w="1249"/>
      </w:tblGrid>
      <w:tr w:rsidR="002A51CA" w:rsidRPr="007572A7" w14:paraId="4BFE71D4" w14:textId="77777777" w:rsidTr="00D15A00">
        <w:trPr>
          <w:cnfStyle w:val="000000010000" w:firstRow="0" w:lastRow="0" w:firstColumn="0" w:lastColumn="0" w:oddVBand="0" w:evenVBand="0" w:oddHBand="0" w:evenHBand="1" w:firstRowFirstColumn="0" w:firstRowLastColumn="0" w:lastRowFirstColumn="0" w:lastRowLastColumn="0"/>
          <w:trHeight w:val="651"/>
        </w:trPr>
        <w:tc>
          <w:tcPr>
            <w:tcW w:w="6029" w:type="dxa"/>
          </w:tcPr>
          <w:p w14:paraId="420A5A56" w14:textId="77777777" w:rsidR="002A51CA" w:rsidRPr="007572A7" w:rsidRDefault="002A51CA" w:rsidP="00BE6C6D">
            <w:pPr>
              <w:pStyle w:val="NormalIndented"/>
              <w:rPr>
                <w:color w:val="auto"/>
                <w:sz w:val="18"/>
                <w:lang w:eastAsia="en-US"/>
              </w:rPr>
            </w:pPr>
            <w:r w:rsidRPr="007572A7">
              <w:rPr>
                <w:noProof/>
                <w:color w:val="auto"/>
                <w:sz w:val="18"/>
                <w:lang w:val="en-AU"/>
              </w:rPr>
              <w:drawing>
                <wp:anchor distT="0" distB="0" distL="114300" distR="114300" simplePos="0" relativeHeight="251674624" behindDoc="0" locked="0" layoutInCell="1" allowOverlap="1" wp14:anchorId="2D9F122E" wp14:editId="4A89464D">
                  <wp:simplePos x="0" y="0"/>
                  <wp:positionH relativeFrom="column">
                    <wp:posOffset>0</wp:posOffset>
                  </wp:positionH>
                  <wp:positionV relativeFrom="paragraph">
                    <wp:posOffset>0</wp:posOffset>
                  </wp:positionV>
                  <wp:extent cx="1857375" cy="228600"/>
                  <wp:effectExtent l="0" t="0" r="9525" b="0"/>
                  <wp:wrapNone/>
                  <wp:docPr id="2" name="Picture 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72A7">
              <w:rPr>
                <w:color w:val="auto"/>
                <w:sz w:val="18"/>
                <w:lang w:eastAsia="en-US"/>
              </w:rPr>
              <w:t>Objective</w:t>
            </w:r>
          </w:p>
        </w:tc>
        <w:tc>
          <w:tcPr>
            <w:tcW w:w="972" w:type="dxa"/>
          </w:tcPr>
          <w:p w14:paraId="22386A37" w14:textId="77777777" w:rsidR="002A51CA" w:rsidRPr="007572A7" w:rsidRDefault="002A51CA" w:rsidP="00562088">
            <w:pPr>
              <w:pStyle w:val="NormalIndented"/>
              <w:rPr>
                <w:color w:val="auto"/>
                <w:sz w:val="18"/>
                <w:lang w:eastAsia="en-US"/>
              </w:rPr>
            </w:pPr>
            <w:r w:rsidRPr="007572A7">
              <w:rPr>
                <w:color w:val="auto"/>
                <w:sz w:val="18"/>
                <w:lang w:eastAsia="en-US"/>
              </w:rPr>
              <w:t>Previous Rating</w:t>
            </w:r>
            <w:r w:rsidR="00562088" w:rsidRPr="007572A7">
              <w:rPr>
                <w:rStyle w:val="EndnoteReference"/>
                <w:color w:val="auto"/>
                <w:sz w:val="18"/>
                <w:lang w:eastAsia="en-US"/>
              </w:rPr>
              <w:endnoteReference w:id="5"/>
            </w:r>
          </w:p>
        </w:tc>
        <w:tc>
          <w:tcPr>
            <w:tcW w:w="388" w:type="dxa"/>
          </w:tcPr>
          <w:p w14:paraId="694F72B4" w14:textId="77777777" w:rsidR="002A51CA" w:rsidRPr="007572A7" w:rsidRDefault="002A51CA" w:rsidP="00BE6C6D">
            <w:pPr>
              <w:pStyle w:val="NormalIndented"/>
              <w:rPr>
                <w:color w:val="auto"/>
                <w:sz w:val="18"/>
                <w:lang w:eastAsia="en-US"/>
              </w:rPr>
            </w:pPr>
          </w:p>
        </w:tc>
        <w:tc>
          <w:tcPr>
            <w:tcW w:w="1021" w:type="dxa"/>
          </w:tcPr>
          <w:p w14:paraId="27F06279" w14:textId="77777777" w:rsidR="002A51CA" w:rsidRPr="007572A7" w:rsidRDefault="002A51CA" w:rsidP="00BE6C6D">
            <w:pPr>
              <w:pStyle w:val="NormalIndented"/>
              <w:rPr>
                <w:color w:val="auto"/>
                <w:sz w:val="18"/>
                <w:lang w:eastAsia="en-US"/>
              </w:rPr>
            </w:pPr>
            <w:r w:rsidRPr="009D5C75">
              <w:rPr>
                <w:color w:val="auto"/>
                <w:sz w:val="18"/>
                <w:lang w:eastAsia="en-US"/>
              </w:rPr>
              <w:t>Current Rating</w:t>
            </w:r>
          </w:p>
        </w:tc>
      </w:tr>
      <w:tr w:rsidR="002A51CA" w:rsidRPr="00C61187" w14:paraId="79424988" w14:textId="77777777" w:rsidTr="008724C7">
        <w:trPr>
          <w:cnfStyle w:val="000000010000" w:firstRow="0" w:lastRow="0" w:firstColumn="0" w:lastColumn="0" w:oddVBand="0" w:evenVBand="0" w:oddHBand="0" w:evenHBand="1" w:firstRowFirstColumn="0" w:firstRowLastColumn="0" w:lastRowFirstColumn="0" w:lastRowLastColumn="0"/>
        </w:trPr>
        <w:tc>
          <w:tcPr>
            <w:tcW w:w="6029" w:type="dxa"/>
          </w:tcPr>
          <w:p w14:paraId="7B61C2DB" w14:textId="77777777" w:rsidR="002A51CA" w:rsidRPr="00BE6C6D" w:rsidRDefault="00483FBB" w:rsidP="00BE6C6D">
            <w:pPr>
              <w:pStyle w:val="NormalIndented"/>
              <w:rPr>
                <w:sz w:val="16"/>
                <w:lang w:eastAsia="en-US"/>
              </w:rPr>
            </w:pPr>
            <w:r w:rsidRPr="007572A7">
              <w:rPr>
                <w:color w:val="auto"/>
                <w:sz w:val="16"/>
                <w:lang w:eastAsia="en-US"/>
              </w:rPr>
              <w:t>Objective 1: Enhancing the foundations for economic growth</w:t>
            </w:r>
          </w:p>
        </w:tc>
        <w:tc>
          <w:tcPr>
            <w:tcW w:w="972" w:type="dxa"/>
            <w:shd w:val="clear" w:color="auto" w:fill="7FB64D" w:themeFill="accent3" w:themeFillShade="BF"/>
            <w:noWrap/>
          </w:tcPr>
          <w:p w14:paraId="707D3A86" w14:textId="77777777" w:rsidR="002A51CA" w:rsidRPr="00BE6C6D" w:rsidRDefault="002A51CA" w:rsidP="00BE6C6D">
            <w:pPr>
              <w:pStyle w:val="NormalIndented"/>
              <w:rPr>
                <w:color w:val="FFFFFF" w:themeColor="background1"/>
                <w:sz w:val="16"/>
                <w:lang w:eastAsia="en-US"/>
              </w:rPr>
            </w:pPr>
            <w:r w:rsidRPr="00BE6C6D">
              <w:rPr>
                <w:color w:val="FFFFFF" w:themeColor="background1"/>
                <w:sz w:val="16"/>
                <w:lang w:eastAsia="en-US"/>
              </w:rPr>
              <w:t>Green</w:t>
            </w:r>
          </w:p>
        </w:tc>
        <w:tc>
          <w:tcPr>
            <w:tcW w:w="388" w:type="dxa"/>
          </w:tcPr>
          <w:p w14:paraId="0F3B2756" w14:textId="77777777" w:rsidR="002A51CA" w:rsidRPr="00BE6C6D" w:rsidRDefault="002A51CA" w:rsidP="00BE6C6D">
            <w:pPr>
              <w:pStyle w:val="NormalIndented"/>
              <w:rPr>
                <w:color w:val="FFFFFF" w:themeColor="background1"/>
                <w:sz w:val="16"/>
                <w:lang w:eastAsia="en-US"/>
              </w:rPr>
            </w:pPr>
          </w:p>
        </w:tc>
        <w:tc>
          <w:tcPr>
            <w:tcW w:w="1021" w:type="dxa"/>
            <w:shd w:val="clear" w:color="auto" w:fill="FF9900"/>
            <w:noWrap/>
          </w:tcPr>
          <w:p w14:paraId="6B60BD12" w14:textId="198C80BA" w:rsidR="002A51CA" w:rsidRPr="00BE6C6D" w:rsidRDefault="009D5C75" w:rsidP="00BE6C6D">
            <w:pPr>
              <w:pStyle w:val="NormalIndented"/>
              <w:rPr>
                <w:color w:val="FFFFFF" w:themeColor="background1"/>
                <w:sz w:val="16"/>
                <w:lang w:eastAsia="en-US"/>
              </w:rPr>
            </w:pPr>
            <w:r w:rsidRPr="008739BE">
              <w:rPr>
                <w:color w:val="FFFFFF" w:themeColor="background1"/>
                <w:sz w:val="16"/>
                <w:lang w:eastAsia="en-US"/>
              </w:rPr>
              <w:t>Amber</w:t>
            </w:r>
          </w:p>
        </w:tc>
      </w:tr>
      <w:tr w:rsidR="002A51CA" w:rsidRPr="00C61187" w14:paraId="2CCFA3E2" w14:textId="77777777" w:rsidTr="00643346">
        <w:trPr>
          <w:cnfStyle w:val="000000010000" w:firstRow="0" w:lastRow="0" w:firstColumn="0" w:lastColumn="0" w:oddVBand="0" w:evenVBand="0" w:oddHBand="0" w:evenHBand="1" w:firstRowFirstColumn="0" w:firstRowLastColumn="0" w:lastRowFirstColumn="0" w:lastRowLastColumn="0"/>
        </w:trPr>
        <w:tc>
          <w:tcPr>
            <w:tcW w:w="6029" w:type="dxa"/>
          </w:tcPr>
          <w:p w14:paraId="7F0BD91E" w14:textId="77777777" w:rsidR="002A51CA" w:rsidRPr="00BE6C6D" w:rsidRDefault="00483FBB" w:rsidP="00BE6C6D">
            <w:pPr>
              <w:pStyle w:val="NormalIndented"/>
              <w:rPr>
                <w:sz w:val="16"/>
                <w:lang w:eastAsia="en-US"/>
              </w:rPr>
            </w:pPr>
            <w:r w:rsidRPr="007572A7">
              <w:rPr>
                <w:color w:val="auto"/>
                <w:sz w:val="16"/>
                <w:lang w:eastAsia="en-US"/>
              </w:rPr>
              <w:t>Objective 2: Building stronger institutions for transparent and accountable governance</w:t>
            </w:r>
          </w:p>
        </w:tc>
        <w:tc>
          <w:tcPr>
            <w:tcW w:w="972" w:type="dxa"/>
            <w:shd w:val="clear" w:color="auto" w:fill="7FB64D" w:themeFill="accent3" w:themeFillShade="BF"/>
            <w:noWrap/>
          </w:tcPr>
          <w:p w14:paraId="049557B4" w14:textId="77777777" w:rsidR="002A51CA" w:rsidRPr="00BE6C6D" w:rsidRDefault="00DC7659" w:rsidP="00BE6C6D">
            <w:pPr>
              <w:pStyle w:val="NormalIndented"/>
              <w:rPr>
                <w:color w:val="FFFFFF" w:themeColor="background1"/>
                <w:sz w:val="16"/>
                <w:lang w:eastAsia="en-US"/>
              </w:rPr>
            </w:pPr>
            <w:r>
              <w:rPr>
                <w:color w:val="FFFFFF" w:themeColor="background1"/>
                <w:sz w:val="16"/>
                <w:lang w:eastAsia="en-US"/>
              </w:rPr>
              <w:t>Green</w:t>
            </w:r>
          </w:p>
        </w:tc>
        <w:tc>
          <w:tcPr>
            <w:tcW w:w="388" w:type="dxa"/>
          </w:tcPr>
          <w:p w14:paraId="705234FB" w14:textId="77777777" w:rsidR="002A51CA" w:rsidRPr="00BE6C6D" w:rsidRDefault="002A51CA" w:rsidP="00BE6C6D">
            <w:pPr>
              <w:pStyle w:val="NormalIndented"/>
              <w:rPr>
                <w:color w:val="FFFFFF" w:themeColor="background1"/>
                <w:sz w:val="16"/>
                <w:lang w:eastAsia="en-US"/>
              </w:rPr>
            </w:pPr>
          </w:p>
        </w:tc>
        <w:tc>
          <w:tcPr>
            <w:tcW w:w="1021" w:type="dxa"/>
            <w:shd w:val="clear" w:color="auto" w:fill="7FB64D" w:themeFill="accent3" w:themeFillShade="BF"/>
            <w:noWrap/>
          </w:tcPr>
          <w:p w14:paraId="1CC781EA" w14:textId="77777777" w:rsidR="002A51CA" w:rsidRPr="00BE6C6D" w:rsidRDefault="002A51CA" w:rsidP="00BE6C6D">
            <w:pPr>
              <w:pStyle w:val="NormalIndented"/>
              <w:rPr>
                <w:color w:val="FFFFFF" w:themeColor="background1"/>
                <w:sz w:val="16"/>
                <w:lang w:eastAsia="en-US"/>
              </w:rPr>
            </w:pPr>
            <w:r w:rsidRPr="00BE6C6D">
              <w:rPr>
                <w:color w:val="FFFFFF" w:themeColor="background1"/>
                <w:sz w:val="16"/>
                <w:lang w:eastAsia="en-US"/>
              </w:rPr>
              <w:t>Green</w:t>
            </w:r>
          </w:p>
        </w:tc>
      </w:tr>
      <w:tr w:rsidR="002A51CA" w:rsidRPr="00C61187" w14:paraId="1F3BE1CF" w14:textId="77777777" w:rsidTr="00C8302B">
        <w:trPr>
          <w:cnfStyle w:val="000000010000" w:firstRow="0" w:lastRow="0" w:firstColumn="0" w:lastColumn="0" w:oddVBand="0" w:evenVBand="0" w:oddHBand="0" w:evenHBand="1" w:firstRowFirstColumn="0" w:firstRowLastColumn="0" w:lastRowFirstColumn="0" w:lastRowLastColumn="0"/>
        </w:trPr>
        <w:tc>
          <w:tcPr>
            <w:tcW w:w="6029" w:type="dxa"/>
          </w:tcPr>
          <w:p w14:paraId="34CEDF95" w14:textId="77777777" w:rsidR="002A51CA" w:rsidRPr="00BE6C6D" w:rsidRDefault="00483FBB" w:rsidP="00BE6C6D">
            <w:pPr>
              <w:pStyle w:val="NormalIndented"/>
              <w:rPr>
                <w:sz w:val="16"/>
                <w:lang w:eastAsia="en-US"/>
              </w:rPr>
            </w:pPr>
            <w:r w:rsidRPr="007572A7">
              <w:rPr>
                <w:color w:val="auto"/>
                <w:sz w:val="16"/>
                <w:lang w:eastAsia="en-US"/>
              </w:rPr>
              <w:lastRenderedPageBreak/>
              <w:t>Objective 3: Improving conditions for peace and stability</w:t>
            </w:r>
          </w:p>
        </w:tc>
        <w:tc>
          <w:tcPr>
            <w:tcW w:w="972" w:type="dxa"/>
            <w:shd w:val="clear" w:color="auto" w:fill="7FB64D" w:themeFill="accent3" w:themeFillShade="BF"/>
            <w:noWrap/>
          </w:tcPr>
          <w:p w14:paraId="7F641FBB" w14:textId="77777777" w:rsidR="002A51CA" w:rsidRPr="00BE6C6D" w:rsidRDefault="00DC7659" w:rsidP="00713F20">
            <w:pPr>
              <w:pStyle w:val="NormalIndented"/>
              <w:rPr>
                <w:color w:val="FFFFFF" w:themeColor="background1"/>
                <w:sz w:val="16"/>
                <w:lang w:eastAsia="en-US"/>
              </w:rPr>
            </w:pPr>
            <w:r w:rsidRPr="00713F20">
              <w:rPr>
                <w:color w:val="FFFFFF" w:themeColor="background1"/>
                <w:sz w:val="16"/>
                <w:lang w:eastAsia="en-US"/>
              </w:rPr>
              <w:t>Green</w:t>
            </w:r>
          </w:p>
        </w:tc>
        <w:tc>
          <w:tcPr>
            <w:tcW w:w="388" w:type="dxa"/>
          </w:tcPr>
          <w:p w14:paraId="3F224983" w14:textId="77777777" w:rsidR="002A51CA" w:rsidRPr="00BE6C6D" w:rsidRDefault="002A51CA" w:rsidP="00BE6C6D">
            <w:pPr>
              <w:pStyle w:val="NormalIndented"/>
              <w:rPr>
                <w:color w:val="FFFFFF" w:themeColor="background1"/>
                <w:sz w:val="16"/>
                <w:lang w:eastAsia="en-US"/>
              </w:rPr>
            </w:pPr>
          </w:p>
        </w:tc>
        <w:tc>
          <w:tcPr>
            <w:tcW w:w="1021" w:type="dxa"/>
            <w:shd w:val="clear" w:color="auto" w:fill="7FB64D" w:themeFill="accent3" w:themeFillShade="BF"/>
            <w:noWrap/>
          </w:tcPr>
          <w:p w14:paraId="216AF4BE" w14:textId="77777777" w:rsidR="002A51CA" w:rsidRPr="00BE6C6D" w:rsidRDefault="00643346" w:rsidP="00BE6C6D">
            <w:pPr>
              <w:pStyle w:val="NormalIndented"/>
              <w:rPr>
                <w:color w:val="FFFFFF" w:themeColor="background1"/>
                <w:sz w:val="16"/>
                <w:lang w:eastAsia="en-US"/>
              </w:rPr>
            </w:pPr>
            <w:r>
              <w:rPr>
                <w:color w:val="FFFFFF" w:themeColor="background1"/>
                <w:sz w:val="16"/>
                <w:lang w:eastAsia="en-US"/>
              </w:rPr>
              <w:t>Green</w:t>
            </w:r>
          </w:p>
        </w:tc>
      </w:tr>
    </w:tbl>
    <w:p w14:paraId="5752924C" w14:textId="77777777" w:rsidR="002A51CA" w:rsidRPr="007572A7" w:rsidRDefault="002A51CA" w:rsidP="00E24489">
      <w:pPr>
        <w:spacing w:before="0"/>
        <w:rPr>
          <w:color w:val="auto"/>
          <w:sz w:val="18"/>
        </w:rPr>
      </w:pPr>
      <w:r w:rsidRPr="007572A7">
        <w:rPr>
          <w:color w:val="auto"/>
          <w:sz w:val="18"/>
        </w:rPr>
        <w:t xml:space="preserve">Note: </w:t>
      </w:r>
    </w:p>
    <w:p w14:paraId="15C34E1F" w14:textId="77777777" w:rsidR="002A51CA" w:rsidRPr="00BE6C6D" w:rsidRDefault="002A51CA" w:rsidP="008B080B">
      <w:pPr>
        <w:pStyle w:val="NormalIndented"/>
        <w:spacing w:before="0" w:after="0"/>
        <w:rPr>
          <w:sz w:val="16"/>
        </w:rPr>
      </w:pPr>
      <w:r w:rsidRPr="00BE6C6D">
        <w:rPr>
          <w:color w:val="72AF2F"/>
          <w:sz w:val="16"/>
        </w:rPr>
        <w:sym w:font="Webdings" w:char="F067"/>
      </w:r>
      <w:r w:rsidRPr="00BE6C6D">
        <w:rPr>
          <w:sz w:val="16"/>
        </w:rPr>
        <w:t> </w:t>
      </w:r>
      <w:r w:rsidRPr="00BE6C6D">
        <w:rPr>
          <w:sz w:val="16"/>
        </w:rPr>
        <w:t xml:space="preserve"> </w:t>
      </w:r>
      <w:r w:rsidRPr="00B304E2">
        <w:rPr>
          <w:b/>
          <w:color w:val="auto"/>
          <w:sz w:val="16"/>
        </w:rPr>
        <w:t>Green</w:t>
      </w:r>
      <w:r w:rsidRPr="00B304E2">
        <w:rPr>
          <w:color w:val="auto"/>
          <w:sz w:val="16"/>
        </w:rPr>
        <w:t>. Progress is as expected at this stage of implementation and it is likely that the objective will be achieved. Standard program management practices are sufficient.</w:t>
      </w:r>
    </w:p>
    <w:p w14:paraId="0098ACF2" w14:textId="77777777" w:rsidR="002A51CA" w:rsidRPr="00BE6C6D" w:rsidRDefault="002A51CA" w:rsidP="008B080B">
      <w:pPr>
        <w:pStyle w:val="NormalIndented"/>
        <w:spacing w:before="0" w:after="0"/>
        <w:rPr>
          <w:sz w:val="16"/>
        </w:rPr>
      </w:pPr>
      <w:r w:rsidRPr="00BE6C6D">
        <w:rPr>
          <w:color w:val="E36C0A"/>
          <w:sz w:val="16"/>
        </w:rPr>
        <w:sym w:font="Webdings" w:char="F067"/>
      </w:r>
      <w:r w:rsidRPr="00BE6C6D">
        <w:rPr>
          <w:sz w:val="16"/>
        </w:rPr>
        <w:t> </w:t>
      </w:r>
      <w:r w:rsidRPr="00BE6C6D">
        <w:rPr>
          <w:sz w:val="16"/>
        </w:rPr>
        <w:t xml:space="preserve"> </w:t>
      </w:r>
      <w:r w:rsidRPr="00B304E2">
        <w:rPr>
          <w:b/>
          <w:color w:val="auto"/>
          <w:sz w:val="16"/>
        </w:rPr>
        <w:t>Amber</w:t>
      </w:r>
      <w:r w:rsidRPr="00B304E2">
        <w:rPr>
          <w:color w:val="auto"/>
          <w:sz w:val="16"/>
        </w:rPr>
        <w:t>. Progress is somewhat less than expected at this stage of implementation and restorative action will be necessary if the objective is to be achieved. Close performance monitoring is recommended.</w:t>
      </w:r>
    </w:p>
    <w:p w14:paraId="7C2F5D6F" w14:textId="77777777" w:rsidR="002A51CA" w:rsidRPr="00BE6C6D" w:rsidRDefault="002A51CA" w:rsidP="008B080B">
      <w:pPr>
        <w:pStyle w:val="NormalIndented"/>
        <w:spacing w:before="0" w:after="0"/>
        <w:rPr>
          <w:sz w:val="16"/>
        </w:rPr>
      </w:pPr>
      <w:r w:rsidRPr="00BE6C6D">
        <w:rPr>
          <w:color w:val="FF0000"/>
          <w:sz w:val="16"/>
        </w:rPr>
        <w:sym w:font="Webdings" w:char="F067"/>
      </w:r>
      <w:r w:rsidRPr="00BE6C6D">
        <w:rPr>
          <w:sz w:val="16"/>
        </w:rPr>
        <w:t> </w:t>
      </w:r>
      <w:r w:rsidRPr="00BE6C6D">
        <w:rPr>
          <w:sz w:val="16"/>
        </w:rPr>
        <w:t xml:space="preserve"> </w:t>
      </w:r>
      <w:r w:rsidRPr="00B304E2">
        <w:rPr>
          <w:b/>
          <w:color w:val="auto"/>
          <w:sz w:val="16"/>
        </w:rPr>
        <w:t>Red.</w:t>
      </w:r>
      <w:r w:rsidRPr="00B304E2">
        <w:rPr>
          <w:color w:val="auto"/>
          <w:sz w:val="16"/>
        </w:rPr>
        <w:t xml:space="preserve"> Progress is significantly less than expected at this stage of implementation and the objective is not likely to be met given available resources and priorities. Recasting the objective may be required.</w:t>
      </w:r>
    </w:p>
    <w:p w14:paraId="40205AE5" w14:textId="77777777" w:rsidR="002A51CA" w:rsidRPr="00C61187" w:rsidRDefault="002A51CA" w:rsidP="002A51CA">
      <w:pPr>
        <w:spacing w:before="20" w:after="20" w:line="180" w:lineRule="atLeast"/>
        <w:jc w:val="both"/>
        <w:rPr>
          <w:rFonts w:ascii="Franklin Gothic Book" w:eastAsia="Times New Roman" w:hAnsi="Franklin Gothic Book"/>
          <w:b/>
          <w:sz w:val="14"/>
          <w:szCs w:val="14"/>
        </w:rPr>
      </w:pPr>
      <w:r w:rsidRPr="00C61187">
        <w:rPr>
          <w:rFonts w:ascii="Franklin Gothic Book" w:eastAsia="Times New Roman" w:hAnsi="Franklin Gothic Book"/>
          <w:b/>
          <w:sz w:val="14"/>
          <w:szCs w:val="14"/>
        </w:rPr>
        <w:t xml:space="preserve">  </w:t>
      </w:r>
    </w:p>
    <w:p w14:paraId="344BD40A" w14:textId="77777777" w:rsidR="00713F20" w:rsidRPr="008125EB" w:rsidRDefault="00713F20" w:rsidP="002A51CA">
      <w:pPr>
        <w:rPr>
          <w:b/>
          <w:color w:val="auto"/>
        </w:rPr>
      </w:pPr>
      <w:r w:rsidRPr="008125EB">
        <w:rPr>
          <w:b/>
          <w:color w:val="auto"/>
        </w:rPr>
        <w:t>Objective 1</w:t>
      </w:r>
      <w:r w:rsidR="007B46FD" w:rsidRPr="008125EB">
        <w:rPr>
          <w:b/>
          <w:color w:val="auto"/>
        </w:rPr>
        <w:t>:</w:t>
      </w:r>
      <w:r w:rsidRPr="008125EB">
        <w:rPr>
          <w:b/>
          <w:color w:val="auto"/>
        </w:rPr>
        <w:t xml:space="preserve"> Enhancing the foundations for economic growth</w:t>
      </w:r>
    </w:p>
    <w:p w14:paraId="5C125D19" w14:textId="0DDD9225" w:rsidR="00713F20" w:rsidRPr="008125EB" w:rsidRDefault="00713F20" w:rsidP="00713F20">
      <w:pPr>
        <w:spacing w:before="0" w:after="0"/>
        <w:rPr>
          <w:color w:val="auto"/>
        </w:rPr>
      </w:pPr>
      <w:r w:rsidRPr="00F26ED7">
        <w:rPr>
          <w:b/>
          <w:color w:val="auto"/>
        </w:rPr>
        <w:t>Rating</w:t>
      </w:r>
      <w:r w:rsidR="007B46FD" w:rsidRPr="00F26ED7">
        <w:rPr>
          <w:b/>
          <w:color w:val="auto"/>
        </w:rPr>
        <w:t>:</w:t>
      </w:r>
      <w:r w:rsidR="007B46FD" w:rsidRPr="008125EB">
        <w:rPr>
          <w:color w:val="auto"/>
        </w:rPr>
        <w:t xml:space="preserve"> </w:t>
      </w:r>
      <w:r w:rsidR="000F0056">
        <w:rPr>
          <w:color w:val="auto"/>
        </w:rPr>
        <w:t>Amber</w:t>
      </w:r>
      <w:r w:rsidR="00F26ED7">
        <w:rPr>
          <w:color w:val="auto"/>
        </w:rPr>
        <w:t xml:space="preserve"> </w:t>
      </w:r>
    </w:p>
    <w:p w14:paraId="17405CBA" w14:textId="15EA2ACF" w:rsidR="00AA080D" w:rsidRDefault="00AA080D" w:rsidP="00C33840">
      <w:pPr>
        <w:rPr>
          <w:color w:val="auto"/>
          <w:lang w:val="en-AU"/>
        </w:rPr>
      </w:pPr>
      <w:r>
        <w:rPr>
          <w:color w:val="auto"/>
          <w:lang w:val="en-AU"/>
        </w:rPr>
        <w:t>This objective is rated amber as t</w:t>
      </w:r>
      <w:r w:rsidRPr="00AA080D">
        <w:rPr>
          <w:color w:val="auto"/>
          <w:lang w:val="en-AU"/>
        </w:rPr>
        <w:t>wo benchmarks set for 2015-16 (see table at Annex B</w:t>
      </w:r>
      <w:r w:rsidR="00A601A4">
        <w:rPr>
          <w:color w:val="auto"/>
          <w:lang w:val="en-AU"/>
        </w:rPr>
        <w:t>),</w:t>
      </w:r>
      <w:r w:rsidRPr="00AA080D">
        <w:rPr>
          <w:color w:val="auto"/>
          <w:lang w:val="en-AU"/>
        </w:rPr>
        <w:t xml:space="preserve"> relating to designs for the Aid-for-Trade facility and the new infrastructure program design, have been partially achieved. </w:t>
      </w:r>
    </w:p>
    <w:p w14:paraId="2229346D" w14:textId="7DE79951" w:rsidR="00041E17" w:rsidRPr="009722CC" w:rsidRDefault="00FF21F8" w:rsidP="00AA080D">
      <w:pPr>
        <w:rPr>
          <w:strike/>
          <w:color w:val="auto"/>
          <w:lang w:val="en-AU"/>
        </w:rPr>
      </w:pPr>
      <w:r>
        <w:rPr>
          <w:color w:val="auto"/>
          <w:lang w:val="en-AU"/>
        </w:rPr>
        <w:t>S</w:t>
      </w:r>
      <w:r w:rsidR="00C33840" w:rsidRPr="00C33840">
        <w:rPr>
          <w:color w:val="auto"/>
          <w:lang w:val="en-AU"/>
        </w:rPr>
        <w:t>ound infrastructure, efficient trade and economic policy and systems, and quality education services are all important foundation</w:t>
      </w:r>
      <w:r>
        <w:rPr>
          <w:color w:val="auto"/>
          <w:lang w:val="en-AU"/>
        </w:rPr>
        <w:t>s</w:t>
      </w:r>
      <w:r w:rsidR="00C33840" w:rsidRPr="00C33840">
        <w:rPr>
          <w:color w:val="auto"/>
          <w:lang w:val="en-AU"/>
        </w:rPr>
        <w:t xml:space="preserve"> for strong economic g</w:t>
      </w:r>
      <w:r w:rsidR="00C33840">
        <w:rPr>
          <w:color w:val="auto"/>
          <w:lang w:val="en-AU"/>
        </w:rPr>
        <w:t>rowth, and</w:t>
      </w:r>
      <w:r w:rsidR="00C33840" w:rsidRPr="00C33840">
        <w:rPr>
          <w:color w:val="auto"/>
          <w:lang w:val="en-AU"/>
        </w:rPr>
        <w:t xml:space="preserve"> Australia is supporting the Philippines Government to </w:t>
      </w:r>
      <w:r w:rsidR="00C33840">
        <w:rPr>
          <w:color w:val="auto"/>
          <w:lang w:val="en-AU"/>
        </w:rPr>
        <w:t>improve in these sectors</w:t>
      </w:r>
      <w:r w:rsidR="00C33840" w:rsidRPr="00C33840">
        <w:rPr>
          <w:color w:val="auto"/>
          <w:lang w:val="en-AU"/>
        </w:rPr>
        <w:t>.</w:t>
      </w:r>
      <w:r w:rsidR="00AA080D">
        <w:rPr>
          <w:color w:val="auto"/>
          <w:lang w:val="en-AU"/>
        </w:rPr>
        <w:t xml:space="preserve"> </w:t>
      </w:r>
      <w:r w:rsidR="007B46FD" w:rsidRPr="009D5C75">
        <w:rPr>
          <w:color w:val="auto"/>
          <w:lang w:val="en-AU"/>
        </w:rPr>
        <w:t xml:space="preserve">The </w:t>
      </w:r>
      <w:r w:rsidR="00041E17" w:rsidRPr="009D5C75">
        <w:rPr>
          <w:color w:val="auto"/>
          <w:lang w:val="en-AU"/>
        </w:rPr>
        <w:t xml:space="preserve">design for the </w:t>
      </w:r>
      <w:r w:rsidR="007B46FD" w:rsidRPr="009D5C75">
        <w:rPr>
          <w:color w:val="auto"/>
          <w:lang w:val="en-AU"/>
        </w:rPr>
        <w:t xml:space="preserve">new </w:t>
      </w:r>
      <w:r w:rsidR="00454C68" w:rsidRPr="000E6E92">
        <w:rPr>
          <w:b/>
          <w:color w:val="auto"/>
          <w:lang w:val="en-AU"/>
        </w:rPr>
        <w:t>Trade and</w:t>
      </w:r>
      <w:r w:rsidR="007B46FD" w:rsidRPr="000E6E92">
        <w:rPr>
          <w:b/>
          <w:color w:val="auto"/>
          <w:lang w:val="en-AU"/>
        </w:rPr>
        <w:t xml:space="preserve"> </w:t>
      </w:r>
      <w:r w:rsidR="008125EB" w:rsidRPr="000E6E92">
        <w:rPr>
          <w:b/>
          <w:color w:val="auto"/>
          <w:lang w:val="en-AU"/>
        </w:rPr>
        <w:t xml:space="preserve">Inclusive Economic </w:t>
      </w:r>
      <w:r w:rsidR="00541012" w:rsidRPr="000E6E92">
        <w:rPr>
          <w:b/>
          <w:color w:val="auto"/>
          <w:lang w:val="en-AU"/>
        </w:rPr>
        <w:t xml:space="preserve">Growth </w:t>
      </w:r>
      <w:r w:rsidR="008125EB" w:rsidRPr="000E6E92">
        <w:rPr>
          <w:b/>
          <w:color w:val="auto"/>
          <w:lang w:val="en-AU"/>
        </w:rPr>
        <w:t xml:space="preserve">Facility </w:t>
      </w:r>
      <w:r w:rsidR="008125EB" w:rsidRPr="009D5C75">
        <w:rPr>
          <w:color w:val="auto"/>
          <w:lang w:val="en-AU"/>
        </w:rPr>
        <w:t>is in process and will be finalised in early 2016-17.</w:t>
      </w:r>
      <w:r w:rsidR="00C3667E" w:rsidRPr="009D5C75">
        <w:rPr>
          <w:color w:val="auto"/>
          <w:lang w:val="en-AU"/>
        </w:rPr>
        <w:t xml:space="preserve"> </w:t>
      </w:r>
      <w:r w:rsidR="00DC35EB" w:rsidRPr="009D5C75">
        <w:rPr>
          <w:color w:val="auto"/>
          <w:lang w:val="en-AU"/>
        </w:rPr>
        <w:t xml:space="preserve">It is an expansion of the previous Aid-for-Trade Facility design </w:t>
      </w:r>
      <w:r w:rsidR="005E5D4D" w:rsidRPr="009D5C75">
        <w:rPr>
          <w:color w:val="auto"/>
          <w:lang w:val="en-AU"/>
        </w:rPr>
        <w:t xml:space="preserve">and </w:t>
      </w:r>
      <w:r w:rsidR="008125EB" w:rsidRPr="009D5C75">
        <w:rPr>
          <w:color w:val="auto"/>
          <w:lang w:val="en-AU"/>
        </w:rPr>
        <w:t>consolidat</w:t>
      </w:r>
      <w:r w:rsidR="005E5D4D" w:rsidRPr="009D5C75">
        <w:rPr>
          <w:color w:val="auto"/>
          <w:lang w:val="en-AU"/>
        </w:rPr>
        <w:t>es</w:t>
      </w:r>
      <w:r w:rsidR="008125EB" w:rsidRPr="009D5C75">
        <w:rPr>
          <w:color w:val="auto"/>
          <w:lang w:val="en-AU"/>
        </w:rPr>
        <w:t xml:space="preserve"> </w:t>
      </w:r>
      <w:r w:rsidR="00041E17" w:rsidRPr="009D5C75">
        <w:rPr>
          <w:color w:val="auto"/>
          <w:lang w:val="en-AU"/>
        </w:rPr>
        <w:t>ongoing w</w:t>
      </w:r>
      <w:r w:rsidR="008125EB" w:rsidRPr="009D5C75">
        <w:rPr>
          <w:color w:val="auto"/>
          <w:lang w:val="en-AU"/>
        </w:rPr>
        <w:t xml:space="preserve">ork streams from </w:t>
      </w:r>
      <w:r w:rsidR="00041E17" w:rsidRPr="009D5C75">
        <w:rPr>
          <w:color w:val="auto"/>
          <w:lang w:val="en-AU"/>
        </w:rPr>
        <w:t xml:space="preserve">the Human Resource and </w:t>
      </w:r>
      <w:r w:rsidR="00041E17" w:rsidRPr="000E6E92">
        <w:rPr>
          <w:b/>
          <w:color w:val="auto"/>
          <w:lang w:val="en-AU"/>
        </w:rPr>
        <w:t>Organisational Development Facility (HRODF)</w:t>
      </w:r>
      <w:r w:rsidR="00041E17" w:rsidRPr="000E6E92">
        <w:rPr>
          <w:color w:val="auto"/>
          <w:lang w:val="en-AU"/>
        </w:rPr>
        <w:t>,</w:t>
      </w:r>
      <w:r w:rsidR="00041E17" w:rsidRPr="009D5C75">
        <w:rPr>
          <w:color w:val="auto"/>
          <w:lang w:val="en-AU"/>
        </w:rPr>
        <w:t xml:space="preserve"> social protection, competition policy and economic research.</w:t>
      </w:r>
      <w:r w:rsidR="00E06A01" w:rsidRPr="009D5C75">
        <w:rPr>
          <w:color w:val="auto"/>
          <w:lang w:val="en-AU"/>
        </w:rPr>
        <w:t xml:space="preserve"> The facility </w:t>
      </w:r>
      <w:r w:rsidR="008724C7">
        <w:rPr>
          <w:color w:val="auto"/>
          <w:lang w:val="en-AU"/>
        </w:rPr>
        <w:t>will support</w:t>
      </w:r>
      <w:r w:rsidR="00E06A01" w:rsidRPr="009D5C75">
        <w:rPr>
          <w:color w:val="auto"/>
          <w:lang w:val="en-AU"/>
        </w:rPr>
        <w:t xml:space="preserve"> the Philippines </w:t>
      </w:r>
      <w:r w:rsidR="008724C7">
        <w:rPr>
          <w:color w:val="auto"/>
          <w:lang w:val="en-AU"/>
        </w:rPr>
        <w:t xml:space="preserve">to </w:t>
      </w:r>
      <w:r w:rsidR="00E06A01" w:rsidRPr="009D5C75">
        <w:rPr>
          <w:color w:val="auto"/>
          <w:lang w:val="en-AU"/>
        </w:rPr>
        <w:t xml:space="preserve">achieve </w:t>
      </w:r>
      <w:r w:rsidR="008125EB" w:rsidRPr="009D5C75">
        <w:rPr>
          <w:color w:val="auto"/>
          <w:lang w:val="en-AU"/>
        </w:rPr>
        <w:t xml:space="preserve">its goal of </w:t>
      </w:r>
      <w:r w:rsidR="00E06A01" w:rsidRPr="009D5C75">
        <w:rPr>
          <w:color w:val="auto"/>
          <w:lang w:val="en-AU"/>
        </w:rPr>
        <w:t xml:space="preserve">sustained growth through economic reform and implementation, </w:t>
      </w:r>
      <w:r w:rsidR="005E5D4D" w:rsidRPr="009D5C75">
        <w:rPr>
          <w:color w:val="auto"/>
          <w:lang w:val="en-AU"/>
        </w:rPr>
        <w:t xml:space="preserve">social inclusion </w:t>
      </w:r>
      <w:r w:rsidR="00E06A01" w:rsidRPr="009D5C75">
        <w:rPr>
          <w:color w:val="auto"/>
          <w:lang w:val="en-AU"/>
        </w:rPr>
        <w:t xml:space="preserve">and stronger institutions. The facility will also promote economic development </w:t>
      </w:r>
      <w:r w:rsidR="00C33840" w:rsidRPr="009D5C75">
        <w:rPr>
          <w:color w:val="auto"/>
          <w:lang w:val="en-AU"/>
        </w:rPr>
        <w:t>by</w:t>
      </w:r>
      <w:r w:rsidR="00E06A01" w:rsidRPr="009D5C75">
        <w:rPr>
          <w:color w:val="auto"/>
          <w:lang w:val="en-AU"/>
        </w:rPr>
        <w:t xml:space="preserve"> increasing aid for trade</w:t>
      </w:r>
      <w:r w:rsidR="00E06A01" w:rsidRPr="009D5C75">
        <w:rPr>
          <w:i/>
          <w:color w:val="auto"/>
          <w:lang w:val="en-AU"/>
        </w:rPr>
        <w:t>.</w:t>
      </w:r>
      <w:r w:rsidR="00E06A01" w:rsidRPr="009D5C75">
        <w:rPr>
          <w:color w:val="auto"/>
          <w:lang w:val="en-AU"/>
        </w:rPr>
        <w:t xml:space="preserve"> </w:t>
      </w:r>
      <w:r w:rsidR="00F85032" w:rsidRPr="00AD2645">
        <w:rPr>
          <w:color w:val="auto"/>
          <w:lang w:val="en-AU"/>
        </w:rPr>
        <w:t xml:space="preserve">The design for the new Infrastructure Connectivity for Economic Development Program is </w:t>
      </w:r>
      <w:r w:rsidR="00C33840" w:rsidRPr="00AD2645">
        <w:rPr>
          <w:color w:val="auto"/>
          <w:lang w:val="en-AU"/>
        </w:rPr>
        <w:t>ong</w:t>
      </w:r>
      <w:r w:rsidR="00F85032" w:rsidRPr="00AD2645">
        <w:rPr>
          <w:color w:val="auto"/>
          <w:lang w:val="en-AU"/>
        </w:rPr>
        <w:t xml:space="preserve">oing </w:t>
      </w:r>
      <w:r w:rsidR="00C33840" w:rsidRPr="00AD2645">
        <w:rPr>
          <w:color w:val="auto"/>
          <w:lang w:val="en-AU"/>
        </w:rPr>
        <w:t>and will be</w:t>
      </w:r>
      <w:r w:rsidR="00F85032" w:rsidRPr="00AD2645">
        <w:rPr>
          <w:color w:val="auto"/>
          <w:lang w:val="en-AU"/>
        </w:rPr>
        <w:t xml:space="preserve"> adjusted to meet new administratio</w:t>
      </w:r>
      <w:r w:rsidR="00E06A01" w:rsidRPr="00AD2645">
        <w:rPr>
          <w:color w:val="auto"/>
          <w:lang w:val="en-AU"/>
        </w:rPr>
        <w:t>n’s objectives to increase infrastructure</w:t>
      </w:r>
      <w:r w:rsidR="00F85032" w:rsidRPr="00AD2645">
        <w:rPr>
          <w:color w:val="auto"/>
          <w:lang w:val="en-AU"/>
        </w:rPr>
        <w:t xml:space="preserve"> spending, particularly for regions outside Metro Manila.</w:t>
      </w:r>
    </w:p>
    <w:p w14:paraId="21CD05F4" w14:textId="5F8E6424" w:rsidR="00BB79C0" w:rsidRPr="00BB79C0" w:rsidRDefault="002726DE" w:rsidP="00BB79C0">
      <w:pPr>
        <w:rPr>
          <w:color w:val="auto"/>
          <w:lang w:val="en-US"/>
        </w:rPr>
      </w:pPr>
      <w:r w:rsidRPr="00BB79C0">
        <w:rPr>
          <w:color w:val="auto"/>
          <w:lang w:val="en-AU"/>
        </w:rPr>
        <w:t xml:space="preserve">The </w:t>
      </w:r>
      <w:r w:rsidRPr="000E6E92">
        <w:rPr>
          <w:b/>
          <w:color w:val="auto"/>
          <w:lang w:val="en-AU"/>
        </w:rPr>
        <w:t xml:space="preserve">Provincial Road Management Facility (PRMF) </w:t>
      </w:r>
      <w:r w:rsidR="00FB76B4" w:rsidRPr="00BB79C0">
        <w:rPr>
          <w:color w:val="auto"/>
          <w:lang w:val="en-US"/>
        </w:rPr>
        <w:t>has supported</w:t>
      </w:r>
      <w:r w:rsidRPr="00BB79C0">
        <w:rPr>
          <w:color w:val="auto"/>
          <w:lang w:val="en-US"/>
        </w:rPr>
        <w:t xml:space="preserve"> improved local </w:t>
      </w:r>
      <w:r w:rsidR="009722CC" w:rsidRPr="00BB79C0">
        <w:rPr>
          <w:color w:val="auto"/>
          <w:lang w:val="en-US"/>
        </w:rPr>
        <w:t>road management to model economic growth pathways and improved community access to provincial services</w:t>
      </w:r>
      <w:r w:rsidR="008724C7">
        <w:rPr>
          <w:color w:val="auto"/>
          <w:lang w:val="en-US"/>
        </w:rPr>
        <w:t>,</w:t>
      </w:r>
      <w:r w:rsidR="009722CC" w:rsidRPr="00BB79C0">
        <w:rPr>
          <w:color w:val="auto"/>
          <w:lang w:val="en-US"/>
        </w:rPr>
        <w:t xml:space="preserve"> especially for the poor and people with disabilities. The program </w:t>
      </w:r>
      <w:r w:rsidR="00C33840" w:rsidRPr="00BB79C0">
        <w:rPr>
          <w:color w:val="auto"/>
          <w:lang w:val="en-US"/>
        </w:rPr>
        <w:t>was</w:t>
      </w:r>
      <w:r w:rsidRPr="00BB79C0">
        <w:rPr>
          <w:color w:val="auto"/>
          <w:lang w:val="en-US"/>
        </w:rPr>
        <w:t xml:space="preserve"> completed in </w:t>
      </w:r>
      <w:r w:rsidR="00BF69F3">
        <w:rPr>
          <w:color w:val="auto"/>
          <w:lang w:val="en-US"/>
        </w:rPr>
        <w:t>June</w:t>
      </w:r>
      <w:r w:rsidR="00E57702" w:rsidRPr="00BB79C0">
        <w:rPr>
          <w:color w:val="auto"/>
          <w:lang w:val="en-US"/>
        </w:rPr>
        <w:t xml:space="preserve"> 2016, </w:t>
      </w:r>
      <w:r w:rsidR="00BB79C0" w:rsidRPr="00BB79C0">
        <w:rPr>
          <w:color w:val="auto"/>
          <w:lang w:val="en-US"/>
        </w:rPr>
        <w:t xml:space="preserve">and helped stakeholders at the national and provincial levels to make permanent, systemic change to road rehabilitation systems. PRMF </w:t>
      </w:r>
      <w:r w:rsidRPr="00BB79C0">
        <w:rPr>
          <w:color w:val="auto"/>
          <w:lang w:val="en-US"/>
        </w:rPr>
        <w:t>worked with ten provincial local governments encouraging them to invest their development fund</w:t>
      </w:r>
      <w:r w:rsidR="00BB79C0" w:rsidRPr="00BB79C0">
        <w:rPr>
          <w:color w:val="auto"/>
          <w:lang w:val="en-US"/>
        </w:rPr>
        <w:t>s</w:t>
      </w:r>
      <w:r w:rsidRPr="00BB79C0">
        <w:rPr>
          <w:color w:val="auto"/>
          <w:lang w:val="en-US"/>
        </w:rPr>
        <w:t xml:space="preserve"> more in road maintenance</w:t>
      </w:r>
      <w:r w:rsidR="00BB79C0" w:rsidRPr="00BB79C0">
        <w:rPr>
          <w:color w:val="auto"/>
          <w:lang w:val="en-US"/>
        </w:rPr>
        <w:t>,</w:t>
      </w:r>
      <w:r w:rsidRPr="00BB79C0">
        <w:rPr>
          <w:color w:val="auto"/>
          <w:lang w:val="en-US"/>
        </w:rPr>
        <w:t xml:space="preserve"> and to modify the approach on maintenance. PRMF also supported the Department of </w:t>
      </w:r>
      <w:r w:rsidR="00BF69F3">
        <w:rPr>
          <w:color w:val="auto"/>
          <w:lang w:val="en-US"/>
        </w:rPr>
        <w:t xml:space="preserve">the </w:t>
      </w:r>
      <w:r w:rsidRPr="00BB79C0">
        <w:rPr>
          <w:color w:val="auto"/>
          <w:lang w:val="en-US"/>
        </w:rPr>
        <w:t xml:space="preserve">Interior and Local Government </w:t>
      </w:r>
      <w:r w:rsidR="00BB79C0" w:rsidRPr="00BB79C0">
        <w:rPr>
          <w:color w:val="auto"/>
          <w:lang w:val="en-US"/>
        </w:rPr>
        <w:t xml:space="preserve">to </w:t>
      </w:r>
      <w:r w:rsidR="00AF1679">
        <w:rPr>
          <w:color w:val="auto"/>
          <w:lang w:val="en-US"/>
        </w:rPr>
        <w:t>increase its efficiency</w:t>
      </w:r>
      <w:r w:rsidRPr="00BB79C0">
        <w:rPr>
          <w:color w:val="auto"/>
          <w:lang w:val="en-US"/>
        </w:rPr>
        <w:t xml:space="preserve"> </w:t>
      </w:r>
      <w:r w:rsidR="00BF69F3">
        <w:rPr>
          <w:color w:val="auto"/>
          <w:lang w:val="en-US"/>
        </w:rPr>
        <w:t xml:space="preserve">by developing a Roads and Bridges Information System, a local roads management manual </w:t>
      </w:r>
      <w:r w:rsidR="00B50B6D">
        <w:rPr>
          <w:color w:val="auto"/>
          <w:lang w:val="en-US"/>
        </w:rPr>
        <w:t xml:space="preserve">compliant </w:t>
      </w:r>
      <w:r w:rsidR="00BF69F3">
        <w:rPr>
          <w:color w:val="auto"/>
          <w:lang w:val="en-US"/>
        </w:rPr>
        <w:t xml:space="preserve">with </w:t>
      </w:r>
      <w:r w:rsidR="00B50B6D">
        <w:rPr>
          <w:color w:val="auto"/>
          <w:lang w:val="en-US"/>
        </w:rPr>
        <w:t xml:space="preserve">national government </w:t>
      </w:r>
      <w:r w:rsidR="00BF69F3">
        <w:rPr>
          <w:color w:val="auto"/>
          <w:lang w:val="en-US"/>
        </w:rPr>
        <w:t xml:space="preserve">design standards, and e-learning modules for </w:t>
      </w:r>
      <w:r w:rsidRPr="00BB79C0">
        <w:rPr>
          <w:color w:val="auto"/>
          <w:lang w:val="en-US"/>
        </w:rPr>
        <w:t>local government units as they promote good local road management.</w:t>
      </w:r>
      <w:r w:rsidR="004E5FB9" w:rsidRPr="00BB79C0">
        <w:rPr>
          <w:color w:val="auto"/>
          <w:lang w:val="en-US"/>
        </w:rPr>
        <w:t xml:space="preserve"> </w:t>
      </w:r>
    </w:p>
    <w:p w14:paraId="516A18A3" w14:textId="0E21400D" w:rsidR="006A2535" w:rsidRDefault="00BB79C0" w:rsidP="008739BE">
      <w:pPr>
        <w:pStyle w:val="ListParagraph"/>
        <w:numPr>
          <w:ilvl w:val="0"/>
          <w:numId w:val="29"/>
        </w:numPr>
        <w:ind w:left="567"/>
        <w:rPr>
          <w:color w:val="auto"/>
          <w:lang w:val="en-AU"/>
        </w:rPr>
      </w:pPr>
      <w:r w:rsidRPr="00BB79C0">
        <w:rPr>
          <w:color w:val="auto"/>
          <w:lang w:val="en-US"/>
        </w:rPr>
        <w:t xml:space="preserve">In 2015-16 PRMF </w:t>
      </w:r>
      <w:r w:rsidR="006643DC" w:rsidRPr="00BB79C0">
        <w:rPr>
          <w:color w:val="auto"/>
          <w:lang w:val="en-AU"/>
        </w:rPr>
        <w:t>rehabilitated and m</w:t>
      </w:r>
      <w:r w:rsidR="00603108">
        <w:rPr>
          <w:color w:val="auto"/>
          <w:lang w:val="en-AU"/>
        </w:rPr>
        <w:t>aintained a total distance of 2</w:t>
      </w:r>
      <w:r w:rsidR="00CE71E8">
        <w:rPr>
          <w:color w:val="auto"/>
          <w:lang w:val="en-AU"/>
        </w:rPr>
        <w:t>7</w:t>
      </w:r>
      <w:r w:rsidR="006643DC" w:rsidRPr="00BB79C0">
        <w:rPr>
          <w:color w:val="auto"/>
          <w:lang w:val="en-AU"/>
        </w:rPr>
        <w:t>8 kilometres of provincial roads</w:t>
      </w:r>
      <w:r w:rsidR="00C8302B">
        <w:rPr>
          <w:color w:val="auto"/>
          <w:lang w:val="en-AU"/>
        </w:rPr>
        <w:t>,</w:t>
      </w:r>
      <w:r w:rsidR="00D1697C" w:rsidRPr="00BB79C0">
        <w:rPr>
          <w:color w:val="auto"/>
          <w:lang w:val="en-AU"/>
        </w:rPr>
        <w:t xml:space="preserve"> including 102 kilometres </w:t>
      </w:r>
      <w:r w:rsidRPr="00BB79C0">
        <w:rPr>
          <w:color w:val="auto"/>
          <w:lang w:val="en-AU"/>
        </w:rPr>
        <w:t xml:space="preserve">that </w:t>
      </w:r>
      <w:r w:rsidR="00D1697C" w:rsidRPr="00BB79C0">
        <w:rPr>
          <w:color w:val="auto"/>
          <w:lang w:val="en-AU"/>
        </w:rPr>
        <w:t>are directly attributable to Australian funding</w:t>
      </w:r>
      <w:r w:rsidR="00B50B6D">
        <w:rPr>
          <w:color w:val="auto"/>
          <w:lang w:val="en-AU"/>
        </w:rPr>
        <w:t xml:space="preserve">. PRMF supported the League of Provinces of the Philippines to design and </w:t>
      </w:r>
      <w:r w:rsidR="00C8302B">
        <w:rPr>
          <w:color w:val="auto"/>
          <w:lang w:val="en-AU"/>
        </w:rPr>
        <w:t xml:space="preserve">submit </w:t>
      </w:r>
      <w:r w:rsidR="00B50B6D">
        <w:rPr>
          <w:color w:val="auto"/>
          <w:lang w:val="en-AU"/>
        </w:rPr>
        <w:t>the National Roads Program – a performance based and apolitical funding partnership between the National Government and all provinces. This</w:t>
      </w:r>
      <w:r w:rsidRPr="00BB79C0">
        <w:rPr>
          <w:color w:val="auto"/>
          <w:lang w:val="en-AU"/>
        </w:rPr>
        <w:t xml:space="preserve"> </w:t>
      </w:r>
      <w:r w:rsidR="006A2535" w:rsidRPr="00BB79C0">
        <w:rPr>
          <w:color w:val="auto"/>
          <w:lang w:val="en-AU"/>
        </w:rPr>
        <w:t xml:space="preserve">leveraged </w:t>
      </w:r>
      <w:r w:rsidR="00C33840" w:rsidRPr="00BB79C0">
        <w:rPr>
          <w:color w:val="auto"/>
          <w:lang w:val="en-AU"/>
        </w:rPr>
        <w:t>A</w:t>
      </w:r>
      <w:r w:rsidR="009D5C75">
        <w:rPr>
          <w:color w:val="auto"/>
          <w:lang w:val="en-AU"/>
        </w:rPr>
        <w:t>UD</w:t>
      </w:r>
      <w:r w:rsidR="006A2535" w:rsidRPr="00BB79C0">
        <w:rPr>
          <w:color w:val="auto"/>
          <w:lang w:val="en-AU"/>
        </w:rPr>
        <w:t>200-million national government funding in 2016 for local road rehabilitation through PRMF-initiated local road management reforms.</w:t>
      </w:r>
      <w:r w:rsidRPr="00BB79C0">
        <w:rPr>
          <w:color w:val="auto"/>
          <w:lang w:val="en-AU"/>
        </w:rPr>
        <w:t xml:space="preserve"> This was more than twenty times the size of the program target for leveraging national government funding.</w:t>
      </w:r>
    </w:p>
    <w:p w14:paraId="055367D3" w14:textId="260CCA72" w:rsidR="0051432E" w:rsidRPr="00BB79C0" w:rsidRDefault="00B60A94" w:rsidP="008739BE">
      <w:pPr>
        <w:pStyle w:val="ListParagraph"/>
        <w:numPr>
          <w:ilvl w:val="0"/>
          <w:numId w:val="29"/>
        </w:numPr>
        <w:ind w:left="567"/>
        <w:rPr>
          <w:color w:val="auto"/>
          <w:lang w:val="en-AU"/>
        </w:rPr>
      </w:pPr>
      <w:r>
        <w:rPr>
          <w:color w:val="auto"/>
          <w:lang w:val="en-AU"/>
        </w:rPr>
        <w:t xml:space="preserve">Local governments have increased employment opportunities </w:t>
      </w:r>
      <w:r w:rsidR="00C8302B">
        <w:rPr>
          <w:color w:val="auto"/>
          <w:lang w:val="en-AU"/>
        </w:rPr>
        <w:t>for</w:t>
      </w:r>
      <w:r>
        <w:rPr>
          <w:color w:val="auto"/>
          <w:lang w:val="en-AU"/>
        </w:rPr>
        <w:t xml:space="preserve"> communities by issuing contracts for routine road maintenance. Most community groups participating in this work have a high representation of women</w:t>
      </w:r>
      <w:r w:rsidR="00720FE9">
        <w:rPr>
          <w:color w:val="auto"/>
          <w:lang w:val="en-AU"/>
        </w:rPr>
        <w:t xml:space="preserve"> utilising </w:t>
      </w:r>
      <w:r w:rsidR="00C8302B">
        <w:rPr>
          <w:color w:val="auto"/>
          <w:lang w:val="en-AU"/>
        </w:rPr>
        <w:t xml:space="preserve">these </w:t>
      </w:r>
      <w:r w:rsidR="00720FE9">
        <w:rPr>
          <w:color w:val="auto"/>
          <w:lang w:val="en-AU"/>
        </w:rPr>
        <w:t xml:space="preserve">opportunities to earn additional income </w:t>
      </w:r>
      <w:r w:rsidR="003E4F69">
        <w:rPr>
          <w:color w:val="auto"/>
          <w:lang w:val="en-AU"/>
        </w:rPr>
        <w:t xml:space="preserve">for their families. Anecdotal evidence suggests these contracts provide practical employment opportunities for women because they can take advantage of the flexibility they offer. </w:t>
      </w:r>
    </w:p>
    <w:p w14:paraId="00B62889" w14:textId="53BF347B" w:rsidR="0012071E" w:rsidRPr="005317AB" w:rsidRDefault="006A2535" w:rsidP="00F85230">
      <w:pPr>
        <w:rPr>
          <w:color w:val="auto"/>
          <w:lang w:val="en-AU"/>
        </w:rPr>
      </w:pPr>
      <w:r w:rsidRPr="00C33840">
        <w:rPr>
          <w:color w:val="auto"/>
          <w:lang w:val="en-AU"/>
        </w:rPr>
        <w:t>The</w:t>
      </w:r>
      <w:r w:rsidR="00FD7B25" w:rsidRPr="00C33840">
        <w:rPr>
          <w:color w:val="auto"/>
          <w:lang w:val="en-AU"/>
        </w:rPr>
        <w:t xml:space="preserve"> independent completion report</w:t>
      </w:r>
      <w:r w:rsidRPr="00C33840">
        <w:rPr>
          <w:color w:val="auto"/>
          <w:lang w:val="en-AU"/>
        </w:rPr>
        <w:t xml:space="preserve"> for PRMF noted that the </w:t>
      </w:r>
      <w:r w:rsidR="00C33840" w:rsidRPr="00BB79C0">
        <w:rPr>
          <w:color w:val="auto"/>
          <w:lang w:val="en-AU"/>
        </w:rPr>
        <w:t>p</w:t>
      </w:r>
      <w:r w:rsidRPr="00BB79C0">
        <w:rPr>
          <w:color w:val="auto"/>
          <w:lang w:val="en-AU"/>
        </w:rPr>
        <w:t>rogram</w:t>
      </w:r>
      <w:r w:rsidRPr="00C33840">
        <w:rPr>
          <w:i/>
          <w:color w:val="auto"/>
          <w:lang w:val="en-AU"/>
        </w:rPr>
        <w:t xml:space="preserve"> </w:t>
      </w:r>
      <w:r w:rsidR="00BB79C0">
        <w:rPr>
          <w:i/>
          <w:color w:val="auto"/>
          <w:lang w:val="en-AU"/>
        </w:rPr>
        <w:t>‘</w:t>
      </w:r>
      <w:r w:rsidRPr="00C33840">
        <w:rPr>
          <w:i/>
          <w:color w:val="auto"/>
          <w:lang w:val="en-AU"/>
        </w:rPr>
        <w:t>has paved the way for a new era in the management of infrastructure in the Philippines, particularly for horizontal infrastructure managed by Local Government</w:t>
      </w:r>
      <w:r w:rsidR="00BB79C0">
        <w:rPr>
          <w:i/>
          <w:color w:val="auto"/>
          <w:lang w:val="en-AU"/>
        </w:rPr>
        <w:t>’</w:t>
      </w:r>
      <w:r w:rsidRPr="00C33840">
        <w:rPr>
          <w:color w:val="auto"/>
          <w:lang w:val="en-AU"/>
        </w:rPr>
        <w:t xml:space="preserve">. Over six years, PRMF has </w:t>
      </w:r>
      <w:r w:rsidR="00C0690D">
        <w:rPr>
          <w:color w:val="auto"/>
          <w:lang w:val="en-AU"/>
        </w:rPr>
        <w:t>ensured</w:t>
      </w:r>
      <w:r w:rsidR="00F85230">
        <w:rPr>
          <w:color w:val="auto"/>
          <w:lang w:val="en-AU"/>
        </w:rPr>
        <w:t xml:space="preserve"> </w:t>
      </w:r>
      <w:r w:rsidR="0012071E" w:rsidRPr="005317AB">
        <w:rPr>
          <w:color w:val="auto"/>
          <w:lang w:val="en-AU"/>
        </w:rPr>
        <w:t xml:space="preserve">all ten provinces now spend more of their own funds on maintaining core provincial roads due to improved local road management, with increased spending </w:t>
      </w:r>
      <w:r w:rsidR="0012071E" w:rsidRPr="005317AB">
        <w:rPr>
          <w:color w:val="auto"/>
          <w:lang w:val="en-AU"/>
        </w:rPr>
        <w:lastRenderedPageBreak/>
        <w:t>averaging more than 35 percent</w:t>
      </w:r>
      <w:r w:rsidR="00B50B6D">
        <w:rPr>
          <w:color w:val="auto"/>
          <w:lang w:val="en-AU"/>
        </w:rPr>
        <w:t xml:space="preserve"> over the six-year program. PRMF introduced the Enhanced Tax Revenue Assessment and Collection System, so partner provinces were able to increase local property tax collections by 85 percent on 2009 levels. PRMF ensured </w:t>
      </w:r>
      <w:r w:rsidR="0012071E" w:rsidRPr="005317AB">
        <w:rPr>
          <w:color w:val="auto"/>
          <w:lang w:val="en-AU"/>
        </w:rPr>
        <w:t xml:space="preserve">procurement structures and systems </w:t>
      </w:r>
      <w:r w:rsidR="00B50B6D">
        <w:rPr>
          <w:color w:val="auto"/>
          <w:lang w:val="en-AU"/>
        </w:rPr>
        <w:t>were</w:t>
      </w:r>
      <w:r w:rsidR="0012071E" w:rsidRPr="005317AB">
        <w:rPr>
          <w:color w:val="auto"/>
          <w:lang w:val="en-AU"/>
        </w:rPr>
        <w:t xml:space="preserve"> put in place in all </w:t>
      </w:r>
      <w:r w:rsidR="004B713A" w:rsidRPr="005317AB">
        <w:rPr>
          <w:color w:val="auto"/>
          <w:lang w:val="en-AU"/>
        </w:rPr>
        <w:t>ten provinces</w:t>
      </w:r>
      <w:r w:rsidR="0012071E" w:rsidRPr="005317AB">
        <w:rPr>
          <w:color w:val="auto"/>
          <w:lang w:val="en-AU"/>
        </w:rPr>
        <w:t xml:space="preserve"> complying with Philippine Government procurement law</w:t>
      </w:r>
      <w:r w:rsidR="00B50B6D">
        <w:rPr>
          <w:color w:val="auto"/>
          <w:lang w:val="en-AU"/>
        </w:rPr>
        <w:t>,</w:t>
      </w:r>
      <w:r w:rsidR="005317AB" w:rsidRPr="005317AB">
        <w:rPr>
          <w:color w:val="auto"/>
          <w:lang w:val="en-AU"/>
        </w:rPr>
        <w:t xml:space="preserve"> and</w:t>
      </w:r>
      <w:r w:rsidR="00F85230">
        <w:rPr>
          <w:color w:val="auto"/>
          <w:lang w:val="en-AU"/>
        </w:rPr>
        <w:t xml:space="preserve"> </w:t>
      </w:r>
      <w:r w:rsidR="0012071E" w:rsidRPr="005317AB">
        <w:rPr>
          <w:color w:val="auto"/>
          <w:lang w:val="en-AU"/>
        </w:rPr>
        <w:t>provinces have formulated and implemented multi-year human resource management and development plans to support l</w:t>
      </w:r>
      <w:r w:rsidR="005317AB" w:rsidRPr="005317AB">
        <w:rPr>
          <w:color w:val="auto"/>
          <w:lang w:val="en-AU"/>
        </w:rPr>
        <w:t>ocal road service delivery.</w:t>
      </w:r>
      <w:r w:rsidR="00924D4A">
        <w:rPr>
          <w:color w:val="auto"/>
          <w:lang w:val="en-AU"/>
        </w:rPr>
        <w:t xml:space="preserve"> By the end of the program the Philippine Government </w:t>
      </w:r>
      <w:r w:rsidR="00C8302B">
        <w:rPr>
          <w:color w:val="auto"/>
          <w:lang w:val="en-AU"/>
        </w:rPr>
        <w:t xml:space="preserve">had </w:t>
      </w:r>
      <w:r w:rsidR="00924D4A">
        <w:rPr>
          <w:color w:val="auto"/>
          <w:lang w:val="en-AU"/>
        </w:rPr>
        <w:t xml:space="preserve">reached a point where they were successfully taking </w:t>
      </w:r>
      <w:r w:rsidR="008724C7">
        <w:rPr>
          <w:color w:val="auto"/>
          <w:lang w:val="en-AU"/>
        </w:rPr>
        <w:t xml:space="preserve">these </w:t>
      </w:r>
      <w:r w:rsidR="00924D4A">
        <w:rPr>
          <w:color w:val="auto"/>
          <w:lang w:val="en-AU"/>
        </w:rPr>
        <w:t>reforms forward at the local level, and the new infrastructure connectivity program will pick up elements of the program where Australia can continue to provide a comparative advantage in this sector.</w:t>
      </w:r>
    </w:p>
    <w:p w14:paraId="673DD261" w14:textId="416C7BFE" w:rsidR="00C6546E" w:rsidRPr="00A3740A" w:rsidRDefault="00246633" w:rsidP="00246633">
      <w:pPr>
        <w:rPr>
          <w:color w:val="auto"/>
          <w:lang w:val="en-AU"/>
        </w:rPr>
      </w:pPr>
      <w:r w:rsidRPr="00FB76B4">
        <w:rPr>
          <w:color w:val="auto"/>
          <w:lang w:val="en-AU"/>
        </w:rPr>
        <w:t>Australia</w:t>
      </w:r>
      <w:r w:rsidR="00FB76B4" w:rsidRPr="00FB76B4">
        <w:rPr>
          <w:color w:val="auto"/>
          <w:lang w:val="en-AU"/>
        </w:rPr>
        <w:t xml:space="preserve"> </w:t>
      </w:r>
      <w:r w:rsidR="004171CE">
        <w:rPr>
          <w:color w:val="auto"/>
          <w:lang w:val="en-AU"/>
        </w:rPr>
        <w:t xml:space="preserve">is </w:t>
      </w:r>
      <w:r w:rsidR="00FB76B4" w:rsidRPr="00FB76B4">
        <w:rPr>
          <w:color w:val="auto"/>
          <w:lang w:val="en-AU"/>
        </w:rPr>
        <w:t xml:space="preserve">a long-term and trusted partner for </w:t>
      </w:r>
      <w:r w:rsidR="00843650" w:rsidRPr="00FB76B4">
        <w:rPr>
          <w:color w:val="auto"/>
          <w:lang w:val="en-AU"/>
        </w:rPr>
        <w:t>the Philippines Department of Education (DepED)</w:t>
      </w:r>
      <w:r w:rsidR="00C0690D">
        <w:rPr>
          <w:color w:val="auto"/>
          <w:lang w:val="en-AU"/>
        </w:rPr>
        <w:t xml:space="preserve"> and our work i</w:t>
      </w:r>
      <w:r w:rsidR="00C6546E" w:rsidRPr="00FB76B4">
        <w:rPr>
          <w:color w:val="auto"/>
          <w:lang w:val="en-AU"/>
        </w:rPr>
        <w:t xml:space="preserve">n the education sector </w:t>
      </w:r>
      <w:r w:rsidR="00C0690D">
        <w:rPr>
          <w:color w:val="auto"/>
          <w:lang w:val="en-AU"/>
        </w:rPr>
        <w:t xml:space="preserve">is Australia’s response to a direct request from the Philippine Government to implement their education development goals. </w:t>
      </w:r>
      <w:r w:rsidR="00A0588E">
        <w:rPr>
          <w:color w:val="auto"/>
          <w:lang w:val="en-AU"/>
        </w:rPr>
        <w:t>The student population of t</w:t>
      </w:r>
      <w:r w:rsidR="00C8302B">
        <w:rPr>
          <w:color w:val="auto"/>
          <w:lang w:val="en-AU"/>
        </w:rPr>
        <w:t>he Philippines now stands at 21 </w:t>
      </w:r>
      <w:r w:rsidR="00A0588E">
        <w:rPr>
          <w:color w:val="auto"/>
          <w:lang w:val="en-AU"/>
        </w:rPr>
        <w:t>million. The comprehensive education of these students will be a core foundation for the continued economic growth trajectory of the Philippines. DepEd ac</w:t>
      </w:r>
      <w:r w:rsidR="00DD7513">
        <w:rPr>
          <w:color w:val="auto"/>
          <w:lang w:val="en-AU"/>
        </w:rPr>
        <w:t>knowledges that a well-educated</w:t>
      </w:r>
      <w:r w:rsidR="00A0588E">
        <w:rPr>
          <w:color w:val="auto"/>
          <w:lang w:val="en-AU"/>
        </w:rPr>
        <w:t xml:space="preserve"> population is required to sustain the workforce of the future as the Philippine econom</w:t>
      </w:r>
      <w:r w:rsidR="00C8302B">
        <w:rPr>
          <w:color w:val="auto"/>
          <w:lang w:val="en-AU"/>
        </w:rPr>
        <w:t>y</w:t>
      </w:r>
      <w:r w:rsidR="00A0588E">
        <w:rPr>
          <w:color w:val="auto"/>
          <w:lang w:val="en-AU"/>
        </w:rPr>
        <w:t xml:space="preserve"> becomes increasingly driven by the services sector. </w:t>
      </w:r>
      <w:r w:rsidRPr="00FB76B4">
        <w:rPr>
          <w:color w:val="auto"/>
          <w:lang w:val="en-AU"/>
        </w:rPr>
        <w:t>Our support has contributed to improved learning quality, increased access to basic education, and better governance and service delivery, while supporting links between school education and industry.</w:t>
      </w:r>
      <w:r w:rsidR="007F392D" w:rsidRPr="00FB76B4">
        <w:rPr>
          <w:color w:val="auto"/>
          <w:lang w:val="en-AU"/>
        </w:rPr>
        <w:t xml:space="preserve"> </w:t>
      </w:r>
      <w:r w:rsidRPr="00FB76B4">
        <w:rPr>
          <w:color w:val="auto"/>
          <w:lang w:val="en-AU"/>
        </w:rPr>
        <w:t xml:space="preserve">The </w:t>
      </w:r>
      <w:r w:rsidRPr="000E6E92">
        <w:rPr>
          <w:b/>
          <w:color w:val="auto"/>
          <w:lang w:val="en-AU"/>
        </w:rPr>
        <w:t>Basic Education Sector Transformation Program (BEST)</w:t>
      </w:r>
      <w:r w:rsidRPr="00FB76B4">
        <w:rPr>
          <w:color w:val="auto"/>
          <w:lang w:val="en-AU"/>
        </w:rPr>
        <w:t xml:space="preserve"> </w:t>
      </w:r>
      <w:r w:rsidR="00FB76B4" w:rsidRPr="00FB76B4">
        <w:rPr>
          <w:color w:val="auto"/>
          <w:lang w:val="en-AU"/>
        </w:rPr>
        <w:t>adopts</w:t>
      </w:r>
      <w:r w:rsidRPr="00FB76B4">
        <w:rPr>
          <w:color w:val="auto"/>
          <w:lang w:val="en-AU"/>
        </w:rPr>
        <w:t xml:space="preserve"> an integrated systems approach to improve capacity of government administration, teacher education, classroom pedagogy</w:t>
      </w:r>
      <w:r w:rsidR="00FB76B4" w:rsidRPr="00FB76B4">
        <w:rPr>
          <w:color w:val="auto"/>
          <w:lang w:val="en-AU"/>
        </w:rPr>
        <w:t>,</w:t>
      </w:r>
      <w:r w:rsidRPr="00FB76B4">
        <w:rPr>
          <w:color w:val="auto"/>
          <w:lang w:val="en-AU"/>
        </w:rPr>
        <w:t xml:space="preserve"> and education facilities</w:t>
      </w:r>
      <w:r w:rsidRPr="004171CE">
        <w:rPr>
          <w:color w:val="auto"/>
          <w:lang w:val="en-AU"/>
        </w:rPr>
        <w:t>.</w:t>
      </w:r>
      <w:r w:rsidR="00FB76B4" w:rsidRPr="004171CE">
        <w:rPr>
          <w:color w:val="auto"/>
          <w:lang w:val="en-AU"/>
        </w:rPr>
        <w:t xml:space="preserve"> </w:t>
      </w:r>
      <w:r w:rsidR="00C6546E" w:rsidRPr="004171CE">
        <w:rPr>
          <w:color w:val="auto"/>
          <w:lang w:val="en-AU"/>
        </w:rPr>
        <w:t>In 2015-16 BEST has</w:t>
      </w:r>
      <w:r w:rsidR="009976E7" w:rsidRPr="004171CE">
        <w:rPr>
          <w:color w:val="auto"/>
          <w:lang w:val="en-AU"/>
        </w:rPr>
        <w:t xml:space="preserve"> delivered the following results</w:t>
      </w:r>
      <w:r w:rsidR="00C6546E" w:rsidRPr="004171CE">
        <w:rPr>
          <w:color w:val="auto"/>
          <w:lang w:val="en-AU"/>
        </w:rPr>
        <w:t>:</w:t>
      </w:r>
    </w:p>
    <w:p w14:paraId="52F05EE0" w14:textId="376472F3" w:rsidR="00A0588E" w:rsidRDefault="009976E7" w:rsidP="00025B82">
      <w:pPr>
        <w:pStyle w:val="ListParagraph"/>
        <w:numPr>
          <w:ilvl w:val="0"/>
          <w:numId w:val="29"/>
        </w:numPr>
        <w:ind w:left="567"/>
        <w:rPr>
          <w:color w:val="auto"/>
          <w:lang w:val="en-AU"/>
        </w:rPr>
      </w:pPr>
      <w:r w:rsidRPr="003A112F">
        <w:rPr>
          <w:color w:val="auto"/>
          <w:lang w:val="en-AU"/>
        </w:rPr>
        <w:t xml:space="preserve">22 policies developed with BEST technical support </w:t>
      </w:r>
      <w:r w:rsidR="006B2DC3">
        <w:rPr>
          <w:color w:val="auto"/>
          <w:lang w:val="en-AU"/>
        </w:rPr>
        <w:t>for</w:t>
      </w:r>
      <w:r w:rsidRPr="003A112F">
        <w:rPr>
          <w:color w:val="auto"/>
          <w:lang w:val="en-AU"/>
        </w:rPr>
        <w:t xml:space="preserve"> teacher de</w:t>
      </w:r>
      <w:r w:rsidR="001C7CAB" w:rsidRPr="003A112F">
        <w:rPr>
          <w:color w:val="auto"/>
          <w:lang w:val="en-AU"/>
        </w:rPr>
        <w:t>velopment</w:t>
      </w:r>
      <w:r w:rsidR="006A6D68">
        <w:rPr>
          <w:color w:val="auto"/>
          <w:lang w:val="en-AU"/>
        </w:rPr>
        <w:t>,</w:t>
      </w:r>
      <w:r w:rsidRPr="003A112F">
        <w:rPr>
          <w:color w:val="auto"/>
          <w:lang w:val="en-AU"/>
        </w:rPr>
        <w:t xml:space="preserve"> national classroom systems assessments</w:t>
      </w:r>
      <w:r w:rsidR="006A6D68">
        <w:rPr>
          <w:color w:val="auto"/>
          <w:lang w:val="en-AU"/>
        </w:rPr>
        <w:t xml:space="preserve"> </w:t>
      </w:r>
      <w:r w:rsidR="00F40653">
        <w:rPr>
          <w:color w:val="auto"/>
          <w:lang w:val="en-AU"/>
        </w:rPr>
        <w:t xml:space="preserve">, </w:t>
      </w:r>
      <w:r w:rsidR="006A6D68">
        <w:rPr>
          <w:color w:val="auto"/>
          <w:lang w:val="en-AU"/>
        </w:rPr>
        <w:t>indigenous people</w:t>
      </w:r>
      <w:r w:rsidR="00F40653">
        <w:rPr>
          <w:color w:val="auto"/>
          <w:lang w:val="en-AU"/>
        </w:rPr>
        <w:t>’s education and senior high school.</w:t>
      </w:r>
      <w:r w:rsidR="006A6D68">
        <w:rPr>
          <w:color w:val="auto"/>
          <w:lang w:val="en-AU"/>
        </w:rPr>
        <w:t xml:space="preserve"> </w:t>
      </w:r>
      <w:r w:rsidR="006A6D68" w:rsidRPr="006B2DC3">
        <w:rPr>
          <w:color w:val="auto"/>
          <w:lang w:val="en-AU"/>
        </w:rPr>
        <w:t xml:space="preserve">These policies </w:t>
      </w:r>
      <w:r w:rsidR="00F40653" w:rsidRPr="006B2DC3">
        <w:rPr>
          <w:color w:val="auto"/>
          <w:lang w:val="en-AU"/>
        </w:rPr>
        <w:t xml:space="preserve">allowed DepEd to initiate and sustain major reforms in K-12 and to fast track the implementation of priority programs. </w:t>
      </w:r>
      <w:r w:rsidR="00A0588E">
        <w:rPr>
          <w:color w:val="auto"/>
          <w:lang w:val="en-AU"/>
        </w:rPr>
        <w:t xml:space="preserve">Although Australia’s’ support has been aimed at the national policy level, the impact will be widely felt throughout the country as the new K-12 system is rolled out and embedded. </w:t>
      </w:r>
    </w:p>
    <w:p w14:paraId="6908F5B7" w14:textId="40B0CAC0" w:rsidR="009976E7" w:rsidRPr="003A112F" w:rsidRDefault="00F10F88" w:rsidP="00025B82">
      <w:pPr>
        <w:pStyle w:val="ListParagraph"/>
        <w:numPr>
          <w:ilvl w:val="0"/>
          <w:numId w:val="29"/>
        </w:numPr>
        <w:ind w:left="567"/>
        <w:rPr>
          <w:color w:val="auto"/>
          <w:lang w:val="en-AU"/>
        </w:rPr>
      </w:pPr>
      <w:r w:rsidRPr="003A112F">
        <w:rPr>
          <w:color w:val="auto"/>
          <w:lang w:val="en-AU"/>
        </w:rPr>
        <w:t xml:space="preserve">Delivered </w:t>
      </w:r>
      <w:r w:rsidR="009976E7" w:rsidRPr="003A112F">
        <w:rPr>
          <w:color w:val="auto"/>
          <w:lang w:val="en-AU"/>
        </w:rPr>
        <w:t xml:space="preserve">capacity building </w:t>
      </w:r>
      <w:r w:rsidRPr="003A112F">
        <w:rPr>
          <w:color w:val="auto"/>
          <w:lang w:val="en-AU"/>
        </w:rPr>
        <w:t>activities</w:t>
      </w:r>
      <w:r w:rsidR="009976E7" w:rsidRPr="003A112F">
        <w:rPr>
          <w:color w:val="auto"/>
          <w:lang w:val="en-AU"/>
        </w:rPr>
        <w:t xml:space="preserve"> </w:t>
      </w:r>
      <w:r w:rsidRPr="003A112F">
        <w:rPr>
          <w:color w:val="auto"/>
          <w:lang w:val="en-AU"/>
        </w:rPr>
        <w:t>on the new curriculum</w:t>
      </w:r>
      <w:r w:rsidR="009976E7" w:rsidRPr="003A112F">
        <w:rPr>
          <w:color w:val="auto"/>
          <w:lang w:val="en-AU"/>
        </w:rPr>
        <w:t xml:space="preserve">, </w:t>
      </w:r>
      <w:r w:rsidRPr="003A112F">
        <w:rPr>
          <w:color w:val="auto"/>
          <w:lang w:val="en-AU"/>
        </w:rPr>
        <w:t xml:space="preserve">indigenous education, </w:t>
      </w:r>
      <w:r w:rsidR="009976E7" w:rsidRPr="003A112F">
        <w:rPr>
          <w:color w:val="auto"/>
          <w:lang w:val="en-AU"/>
        </w:rPr>
        <w:t xml:space="preserve">leadership, management and </w:t>
      </w:r>
      <w:r w:rsidR="00C8302B">
        <w:rPr>
          <w:color w:val="auto"/>
          <w:lang w:val="en-AU"/>
        </w:rPr>
        <w:t>information and communication technology. This was</w:t>
      </w:r>
      <w:r w:rsidR="009976E7" w:rsidRPr="003A112F">
        <w:rPr>
          <w:color w:val="auto"/>
          <w:lang w:val="en-AU"/>
        </w:rPr>
        <w:t xml:space="preserve"> provided to 2,112 teachers</w:t>
      </w:r>
      <w:r w:rsidR="004171CE" w:rsidRPr="003A112F">
        <w:rPr>
          <w:color w:val="auto"/>
          <w:lang w:val="en-AU"/>
        </w:rPr>
        <w:t>, more than half of whom were female</w:t>
      </w:r>
      <w:r w:rsidR="00C8302B">
        <w:rPr>
          <w:color w:val="auto"/>
          <w:lang w:val="en-AU"/>
        </w:rPr>
        <w:t>.</w:t>
      </w:r>
    </w:p>
    <w:p w14:paraId="17C75901" w14:textId="2301F31F" w:rsidR="00286D35" w:rsidRPr="003A112F" w:rsidRDefault="00057D46" w:rsidP="00025B82">
      <w:pPr>
        <w:pStyle w:val="ListParagraph"/>
        <w:numPr>
          <w:ilvl w:val="0"/>
          <w:numId w:val="29"/>
        </w:numPr>
        <w:ind w:left="567"/>
        <w:rPr>
          <w:color w:val="auto"/>
          <w:lang w:val="en-AU"/>
        </w:rPr>
      </w:pPr>
      <w:r>
        <w:rPr>
          <w:color w:val="auto"/>
          <w:lang w:val="en-AU"/>
        </w:rPr>
        <w:t>87</w:t>
      </w:r>
      <w:r w:rsidR="009976E7" w:rsidRPr="003A112F">
        <w:rPr>
          <w:color w:val="auto"/>
          <w:lang w:val="en-AU"/>
        </w:rPr>
        <w:t xml:space="preserve"> classrooms were </w:t>
      </w:r>
      <w:r w:rsidR="009976E7" w:rsidRPr="00057D46">
        <w:rPr>
          <w:color w:val="auto"/>
          <w:lang w:val="en-AU"/>
        </w:rPr>
        <w:t>built</w:t>
      </w:r>
      <w:r>
        <w:rPr>
          <w:color w:val="auto"/>
          <w:lang w:val="en-AU"/>
        </w:rPr>
        <w:t xml:space="preserve"> </w:t>
      </w:r>
      <w:r w:rsidR="00DF7AB4">
        <w:rPr>
          <w:color w:val="auto"/>
          <w:lang w:val="en-AU"/>
        </w:rPr>
        <w:t>in Bicol, the Visayas, the National Capital Region and Davao Region,</w:t>
      </w:r>
      <w:r w:rsidR="00AF1679" w:rsidRPr="00057D46">
        <w:rPr>
          <w:color w:val="auto"/>
          <w:lang w:val="en-AU"/>
        </w:rPr>
        <w:t xml:space="preserve"> </w:t>
      </w:r>
      <w:r w:rsidR="009976E7" w:rsidRPr="00057D46">
        <w:rPr>
          <w:color w:val="auto"/>
          <w:lang w:val="en-AU"/>
        </w:rPr>
        <w:t>contributing</w:t>
      </w:r>
      <w:r w:rsidR="009976E7" w:rsidRPr="003A112F">
        <w:rPr>
          <w:color w:val="auto"/>
          <w:lang w:val="en-AU"/>
        </w:rPr>
        <w:t xml:space="preserve"> to more conducive learning </w:t>
      </w:r>
      <w:r w:rsidR="00286D35" w:rsidRPr="003A112F">
        <w:rPr>
          <w:color w:val="auto"/>
          <w:lang w:val="en-AU"/>
        </w:rPr>
        <w:t xml:space="preserve">environments </w:t>
      </w:r>
      <w:r w:rsidR="00DF7AB4">
        <w:rPr>
          <w:color w:val="auto"/>
          <w:lang w:val="en-AU"/>
        </w:rPr>
        <w:t xml:space="preserve">by reducing overcrowding </w:t>
      </w:r>
      <w:r w:rsidR="00286D35" w:rsidRPr="003A112F">
        <w:rPr>
          <w:color w:val="auto"/>
          <w:lang w:val="en-AU"/>
        </w:rPr>
        <w:t xml:space="preserve">for </w:t>
      </w:r>
      <w:r w:rsidR="00962283" w:rsidRPr="006B2DC3">
        <w:rPr>
          <w:color w:val="auto"/>
          <w:lang w:val="en-AU"/>
        </w:rPr>
        <w:t>3</w:t>
      </w:r>
      <w:r w:rsidR="00C07336" w:rsidRPr="006B2DC3">
        <w:rPr>
          <w:color w:val="auto"/>
          <w:lang w:val="en-AU"/>
        </w:rPr>
        <w:t>,</w:t>
      </w:r>
      <w:r w:rsidR="00962283" w:rsidRPr="006B2DC3">
        <w:rPr>
          <w:color w:val="auto"/>
          <w:lang w:val="en-AU"/>
        </w:rPr>
        <w:t>915</w:t>
      </w:r>
      <w:r w:rsidR="00C07336">
        <w:rPr>
          <w:color w:val="auto"/>
          <w:lang w:val="en-AU"/>
        </w:rPr>
        <w:t xml:space="preserve"> </w:t>
      </w:r>
      <w:r w:rsidR="003A112F" w:rsidRPr="003A112F">
        <w:rPr>
          <w:color w:val="auto"/>
          <w:lang w:val="en-AU"/>
        </w:rPr>
        <w:t>students and making good progress against the overall program target for classroom construction</w:t>
      </w:r>
      <w:r w:rsidR="00DF7AB4">
        <w:rPr>
          <w:color w:val="auto"/>
          <w:lang w:val="en-AU"/>
        </w:rPr>
        <w:t>.</w:t>
      </w:r>
    </w:p>
    <w:p w14:paraId="55AE47F0" w14:textId="7B82EDC0" w:rsidR="0043498E" w:rsidRDefault="00F9561B" w:rsidP="007F392D">
      <w:pPr>
        <w:rPr>
          <w:color w:val="auto"/>
          <w:lang w:val="en-US"/>
        </w:rPr>
      </w:pPr>
      <w:r w:rsidRPr="003A112F">
        <w:rPr>
          <w:color w:val="auto"/>
          <w:lang w:val="en-US"/>
        </w:rPr>
        <w:t>There is a critical shortage of infrastructure in the Philippines</w:t>
      </w:r>
      <w:r w:rsidR="003A112F" w:rsidRPr="003A112F">
        <w:rPr>
          <w:color w:val="auto"/>
          <w:lang w:val="en-US"/>
        </w:rPr>
        <w:t>, which</w:t>
      </w:r>
      <w:r w:rsidRPr="003A112F">
        <w:rPr>
          <w:color w:val="auto"/>
          <w:lang w:val="en-US"/>
        </w:rPr>
        <w:t xml:space="preserve"> constrains growth and poverty reduction</w:t>
      </w:r>
      <w:r w:rsidR="003A112F" w:rsidRPr="003A112F">
        <w:rPr>
          <w:color w:val="auto"/>
          <w:lang w:val="en-US"/>
        </w:rPr>
        <w:t xml:space="preserve"> efforts</w:t>
      </w:r>
      <w:r w:rsidRPr="003A112F">
        <w:rPr>
          <w:color w:val="auto"/>
          <w:lang w:val="en-US"/>
        </w:rPr>
        <w:t xml:space="preserve">. </w:t>
      </w:r>
      <w:r w:rsidR="00984AC8" w:rsidRPr="003A112F">
        <w:rPr>
          <w:color w:val="auto"/>
          <w:lang w:val="en-AU"/>
        </w:rPr>
        <w:t xml:space="preserve">The Philippines Government </w:t>
      </w:r>
      <w:r w:rsidR="003A112F" w:rsidRPr="003A112F">
        <w:rPr>
          <w:color w:val="auto"/>
          <w:lang w:val="en-AU"/>
        </w:rPr>
        <w:t>is aiming</w:t>
      </w:r>
      <w:r w:rsidR="00984AC8" w:rsidRPr="003A112F">
        <w:rPr>
          <w:color w:val="auto"/>
          <w:lang w:val="en-AU"/>
        </w:rPr>
        <w:t xml:space="preserve"> to increase ann</w:t>
      </w:r>
      <w:r w:rsidR="003A112F" w:rsidRPr="003A112F">
        <w:rPr>
          <w:color w:val="auto"/>
          <w:lang w:val="en-AU"/>
        </w:rPr>
        <w:t xml:space="preserve">ual infrastructure spending to </w:t>
      </w:r>
      <w:r w:rsidR="00DF7AB4">
        <w:rPr>
          <w:color w:val="auto"/>
          <w:lang w:val="en-AU"/>
        </w:rPr>
        <w:t>seven</w:t>
      </w:r>
      <w:r w:rsidR="003A112F" w:rsidRPr="003A112F">
        <w:rPr>
          <w:color w:val="auto"/>
          <w:lang w:val="en-AU"/>
        </w:rPr>
        <w:t xml:space="preserve"> percent</w:t>
      </w:r>
      <w:r w:rsidR="00984AC8" w:rsidRPr="003A112F">
        <w:rPr>
          <w:color w:val="auto"/>
          <w:lang w:val="en-AU"/>
        </w:rPr>
        <w:t xml:space="preserve"> of the country’s G</w:t>
      </w:r>
      <w:r w:rsidR="003A112F" w:rsidRPr="003A112F">
        <w:rPr>
          <w:color w:val="auto"/>
          <w:lang w:val="en-AU"/>
        </w:rPr>
        <w:t>ross Domestic Product</w:t>
      </w:r>
      <w:r w:rsidR="00984AC8" w:rsidRPr="003A112F">
        <w:rPr>
          <w:color w:val="auto"/>
          <w:lang w:val="en-AU"/>
        </w:rPr>
        <w:t xml:space="preserve">. A key strategy to achieve this goal is through the </w:t>
      </w:r>
      <w:r w:rsidR="003A112F" w:rsidRPr="000E6E92">
        <w:rPr>
          <w:b/>
          <w:color w:val="auto"/>
          <w:lang w:val="en-AU"/>
        </w:rPr>
        <w:t>Public Private Partnership program (PPP)</w:t>
      </w:r>
      <w:r w:rsidR="00984AC8" w:rsidRPr="003A112F">
        <w:rPr>
          <w:color w:val="auto"/>
          <w:lang w:val="en-AU"/>
        </w:rPr>
        <w:t xml:space="preserve"> for infrastructure projects. </w:t>
      </w:r>
      <w:r w:rsidRPr="003A112F">
        <w:rPr>
          <w:color w:val="auto"/>
          <w:lang w:val="en-US"/>
        </w:rPr>
        <w:t xml:space="preserve">Australia’s </w:t>
      </w:r>
      <w:r w:rsidR="003A112F" w:rsidRPr="003A112F">
        <w:rPr>
          <w:color w:val="auto"/>
          <w:lang w:val="en-US"/>
        </w:rPr>
        <w:t xml:space="preserve">grant </w:t>
      </w:r>
      <w:r w:rsidRPr="003A112F">
        <w:rPr>
          <w:color w:val="auto"/>
          <w:lang w:val="en-US"/>
        </w:rPr>
        <w:t xml:space="preserve">funding through </w:t>
      </w:r>
      <w:r w:rsidR="00AF1679">
        <w:rPr>
          <w:color w:val="auto"/>
          <w:lang w:val="en-US"/>
        </w:rPr>
        <w:t xml:space="preserve">the Asian Development Bank </w:t>
      </w:r>
      <w:r w:rsidR="00EC062A">
        <w:rPr>
          <w:color w:val="auto"/>
          <w:lang w:val="en-US"/>
        </w:rPr>
        <w:t>(and co-funded by Canada)</w:t>
      </w:r>
      <w:r w:rsidR="003A112F" w:rsidRPr="003A112F">
        <w:rPr>
          <w:color w:val="auto"/>
          <w:lang w:val="en-US"/>
        </w:rPr>
        <w:t xml:space="preserve"> for </w:t>
      </w:r>
      <w:r w:rsidRPr="003A112F">
        <w:rPr>
          <w:color w:val="auto"/>
          <w:lang w:val="en-US"/>
        </w:rPr>
        <w:t xml:space="preserve">the PPP </w:t>
      </w:r>
      <w:r w:rsidR="00EC062A">
        <w:rPr>
          <w:color w:val="auto"/>
          <w:lang w:val="en-US"/>
        </w:rPr>
        <w:t>program</w:t>
      </w:r>
      <w:r w:rsidRPr="003A112F">
        <w:rPr>
          <w:color w:val="auto"/>
          <w:lang w:val="en-US"/>
        </w:rPr>
        <w:t xml:space="preserve"> </w:t>
      </w:r>
      <w:r w:rsidR="003A112F" w:rsidRPr="003A112F">
        <w:rPr>
          <w:color w:val="auto"/>
          <w:lang w:val="en-US"/>
        </w:rPr>
        <w:t>is helping</w:t>
      </w:r>
      <w:r w:rsidRPr="003A112F">
        <w:rPr>
          <w:color w:val="auto"/>
          <w:lang w:val="en-US"/>
        </w:rPr>
        <w:t xml:space="preserve"> to create an environment that enables the government to harne</w:t>
      </w:r>
      <w:r w:rsidR="00F060C3">
        <w:rPr>
          <w:color w:val="auto"/>
          <w:lang w:val="en-US"/>
        </w:rPr>
        <w:t>ss more private sector finance</w:t>
      </w:r>
      <w:r w:rsidR="003A112F">
        <w:rPr>
          <w:color w:val="auto"/>
          <w:lang w:val="en-US"/>
        </w:rPr>
        <w:t>,</w:t>
      </w:r>
      <w:r w:rsidRPr="003A112F">
        <w:rPr>
          <w:color w:val="auto"/>
          <w:lang w:val="en-US"/>
        </w:rPr>
        <w:t xml:space="preserve"> and to use that finance more effectively to deliver infrastructure </w:t>
      </w:r>
      <w:r w:rsidR="003A112F" w:rsidRPr="003A112F">
        <w:rPr>
          <w:color w:val="auto"/>
          <w:lang w:val="en-US"/>
        </w:rPr>
        <w:t xml:space="preserve">in </w:t>
      </w:r>
      <w:r w:rsidRPr="003A112F">
        <w:rPr>
          <w:color w:val="auto"/>
          <w:lang w:val="en-US"/>
        </w:rPr>
        <w:t>road</w:t>
      </w:r>
      <w:r w:rsidR="003A112F" w:rsidRPr="003A112F">
        <w:rPr>
          <w:color w:val="auto"/>
          <w:lang w:val="en-US"/>
        </w:rPr>
        <w:t>s</w:t>
      </w:r>
      <w:r w:rsidRPr="003A112F">
        <w:rPr>
          <w:color w:val="auto"/>
          <w:lang w:val="en-US"/>
        </w:rPr>
        <w:t xml:space="preserve">, rail, </w:t>
      </w:r>
      <w:r w:rsidR="003A112F" w:rsidRPr="003A112F">
        <w:rPr>
          <w:color w:val="auto"/>
          <w:lang w:val="en-US"/>
        </w:rPr>
        <w:t xml:space="preserve">and </w:t>
      </w:r>
      <w:r w:rsidRPr="00E72E9D">
        <w:rPr>
          <w:color w:val="auto"/>
          <w:lang w:val="en-US"/>
        </w:rPr>
        <w:t>ports</w:t>
      </w:r>
      <w:r w:rsidR="00E72E9D">
        <w:rPr>
          <w:color w:val="auto"/>
          <w:lang w:val="en-US"/>
        </w:rPr>
        <w:t xml:space="preserve">. </w:t>
      </w:r>
    </w:p>
    <w:p w14:paraId="1A0AB475" w14:textId="595F1106" w:rsidR="00F9561B" w:rsidRPr="00F9561B" w:rsidRDefault="00F9561B" w:rsidP="00E31DB0">
      <w:pPr>
        <w:pStyle w:val="ListParagraph"/>
        <w:numPr>
          <w:ilvl w:val="0"/>
          <w:numId w:val="29"/>
        </w:numPr>
        <w:ind w:left="567"/>
        <w:rPr>
          <w:lang w:val="en-AU"/>
        </w:rPr>
      </w:pPr>
      <w:r w:rsidRPr="00E72E9D">
        <w:rPr>
          <w:color w:val="auto"/>
          <w:lang w:val="en-US"/>
        </w:rPr>
        <w:t>In 2015-16, PPP</w:t>
      </w:r>
      <w:r w:rsidR="00DF7AB4">
        <w:rPr>
          <w:color w:val="auto"/>
          <w:lang w:val="en-US"/>
        </w:rPr>
        <w:t xml:space="preserve"> program</w:t>
      </w:r>
      <w:r w:rsidRPr="00E72E9D">
        <w:rPr>
          <w:color w:val="auto"/>
          <w:lang w:val="en-US"/>
        </w:rPr>
        <w:t xml:space="preserve"> </w:t>
      </w:r>
      <w:r w:rsidRPr="00E72E9D">
        <w:rPr>
          <w:color w:val="auto"/>
          <w:lang w:val="en-AU"/>
        </w:rPr>
        <w:t xml:space="preserve">continued </w:t>
      </w:r>
      <w:r w:rsidR="00F10F88" w:rsidRPr="00E72E9D">
        <w:rPr>
          <w:color w:val="auto"/>
          <w:lang w:val="en-AU"/>
        </w:rPr>
        <w:t xml:space="preserve">its </w:t>
      </w:r>
      <w:r w:rsidRPr="00E72E9D">
        <w:rPr>
          <w:color w:val="auto"/>
          <w:lang w:val="en-AU"/>
        </w:rPr>
        <w:t xml:space="preserve">momentum </w:t>
      </w:r>
      <w:r w:rsidR="00E72E9D" w:rsidRPr="00E72E9D">
        <w:rPr>
          <w:color w:val="auto"/>
          <w:lang w:val="en-AU"/>
        </w:rPr>
        <w:t xml:space="preserve">and remained on track. </w:t>
      </w:r>
      <w:r w:rsidRPr="00E72E9D">
        <w:rPr>
          <w:color w:val="auto"/>
          <w:lang w:val="en-AU"/>
        </w:rPr>
        <w:t>T</w:t>
      </w:r>
      <w:r w:rsidR="00E72E9D" w:rsidRPr="00E72E9D">
        <w:rPr>
          <w:color w:val="auto"/>
          <w:lang w:val="en-AU"/>
        </w:rPr>
        <w:t>wo projects worth US</w:t>
      </w:r>
      <w:r w:rsidR="00DF7AB4">
        <w:rPr>
          <w:color w:val="auto"/>
          <w:lang w:val="en-AU"/>
        </w:rPr>
        <w:t>D</w:t>
      </w:r>
      <w:r w:rsidR="0043498E">
        <w:rPr>
          <w:color w:val="auto"/>
          <w:lang w:val="en-AU"/>
        </w:rPr>
        <w:t>631 </w:t>
      </w:r>
      <w:r w:rsidRPr="00E72E9D">
        <w:rPr>
          <w:color w:val="auto"/>
          <w:lang w:val="en-AU"/>
        </w:rPr>
        <w:t xml:space="preserve">million were awarded following open and competitive bidding processes, bringing the total </w:t>
      </w:r>
      <w:r w:rsidR="00E72E9D">
        <w:rPr>
          <w:color w:val="auto"/>
          <w:lang w:val="en-AU"/>
        </w:rPr>
        <w:t xml:space="preserve">number of </w:t>
      </w:r>
      <w:r w:rsidRPr="00E72E9D">
        <w:rPr>
          <w:color w:val="auto"/>
          <w:lang w:val="en-AU"/>
        </w:rPr>
        <w:t>awarded projects to 12 by 30 June 2016</w:t>
      </w:r>
      <w:r w:rsidR="007279B7">
        <w:rPr>
          <w:color w:val="auto"/>
          <w:lang w:val="en-AU"/>
        </w:rPr>
        <w:t xml:space="preserve">, with another 14 undergoing procurement in the reporting period. This fully achieves </w:t>
      </w:r>
      <w:r w:rsidR="00E72E9D">
        <w:rPr>
          <w:color w:val="auto"/>
          <w:lang w:val="en-AU"/>
        </w:rPr>
        <w:t xml:space="preserve">the </w:t>
      </w:r>
      <w:r w:rsidR="00E46B83">
        <w:rPr>
          <w:color w:val="auto"/>
          <w:lang w:val="en-AU"/>
        </w:rPr>
        <w:t>performance benchmark</w:t>
      </w:r>
      <w:r w:rsidR="007279B7">
        <w:rPr>
          <w:color w:val="auto"/>
          <w:lang w:val="en-AU"/>
        </w:rPr>
        <w:t xml:space="preserve"> for 2015-16</w:t>
      </w:r>
      <w:r w:rsidR="00E72E9D" w:rsidRPr="0043498E">
        <w:rPr>
          <w:color w:val="auto"/>
          <w:lang w:val="en-AU"/>
        </w:rPr>
        <w:t xml:space="preserve">. </w:t>
      </w:r>
      <w:r w:rsidR="0043498E" w:rsidRPr="0043498E">
        <w:rPr>
          <w:color w:val="auto"/>
          <w:lang w:val="en-AU"/>
        </w:rPr>
        <w:t xml:space="preserve">This achievement demonstrates the effectiveness of </w:t>
      </w:r>
      <w:r w:rsidR="00A3740A">
        <w:rPr>
          <w:color w:val="auto"/>
          <w:lang w:val="en-AU"/>
        </w:rPr>
        <w:t>Australia’s</w:t>
      </w:r>
      <w:r w:rsidR="0043498E" w:rsidRPr="0043498E">
        <w:rPr>
          <w:color w:val="auto"/>
          <w:lang w:val="en-AU"/>
        </w:rPr>
        <w:t xml:space="preserve"> </w:t>
      </w:r>
      <w:r w:rsidR="00AF1679">
        <w:rPr>
          <w:color w:val="auto"/>
          <w:lang w:val="en-AU"/>
        </w:rPr>
        <w:t xml:space="preserve">technical </w:t>
      </w:r>
      <w:r w:rsidR="0043498E" w:rsidRPr="0043498E">
        <w:rPr>
          <w:color w:val="auto"/>
          <w:lang w:val="en-AU"/>
        </w:rPr>
        <w:t>assistance in setting up the policy framework and institutional capacity to get PPP projects to the market</w:t>
      </w:r>
      <w:r w:rsidR="00AF1679">
        <w:rPr>
          <w:color w:val="auto"/>
          <w:lang w:val="en-AU"/>
        </w:rPr>
        <w:t>, and of the transaction advisers funded by Australia helping the government to package technically sound and commercially viable projects</w:t>
      </w:r>
      <w:r w:rsidR="0043498E" w:rsidRPr="0043498E">
        <w:rPr>
          <w:color w:val="auto"/>
          <w:lang w:val="en-AU"/>
        </w:rPr>
        <w:t xml:space="preserve">. </w:t>
      </w:r>
    </w:p>
    <w:p w14:paraId="4D4CB21C" w14:textId="763D1DAB" w:rsidR="00BE33A7" w:rsidRPr="00BE33A7" w:rsidRDefault="00BE33A7" w:rsidP="00BE33A7">
      <w:pPr>
        <w:rPr>
          <w:i/>
          <w:color w:val="auto"/>
          <w:lang w:val="en-AU"/>
        </w:rPr>
      </w:pPr>
      <w:r w:rsidRPr="00BE33A7">
        <w:rPr>
          <w:color w:val="auto"/>
          <w:lang w:val="en-AU"/>
        </w:rPr>
        <w:t>Social protection is a key mechanism through which the Philippine Government reduces poverty and is a core component of the countr</w:t>
      </w:r>
      <w:r>
        <w:rPr>
          <w:color w:val="auto"/>
          <w:lang w:val="en-AU"/>
        </w:rPr>
        <w:t>y’s strategy for inclusive growth</w:t>
      </w:r>
      <w:r w:rsidRPr="00BE33A7">
        <w:rPr>
          <w:color w:val="auto"/>
          <w:lang w:val="en-AU"/>
        </w:rPr>
        <w:t xml:space="preserve">. The Philippine Department of Social Welfare and Development (DSWD) is leading the implementation of the </w:t>
      </w:r>
      <w:r w:rsidRPr="000E6E92">
        <w:rPr>
          <w:b/>
          <w:color w:val="auto"/>
          <w:lang w:val="en-AU"/>
        </w:rPr>
        <w:t>Philippine Government’s social protection reform agenda</w:t>
      </w:r>
      <w:r w:rsidRPr="00BE33A7">
        <w:rPr>
          <w:color w:val="auto"/>
          <w:lang w:val="en-AU"/>
        </w:rPr>
        <w:t xml:space="preserve"> through </w:t>
      </w:r>
      <w:r>
        <w:rPr>
          <w:color w:val="auto"/>
          <w:lang w:val="en-AU"/>
        </w:rPr>
        <w:t xml:space="preserve">three </w:t>
      </w:r>
      <w:r w:rsidRPr="00BE33A7">
        <w:rPr>
          <w:color w:val="auto"/>
          <w:lang w:val="en-AU"/>
        </w:rPr>
        <w:t xml:space="preserve">flagship programs: </w:t>
      </w:r>
      <w:r w:rsidRPr="00EC069E">
        <w:rPr>
          <w:b/>
          <w:color w:val="auto"/>
          <w:lang w:val="en-AU"/>
        </w:rPr>
        <w:t>the Conditional Cash Transfer (CCT), the National Community Driven Development Program (NCDDP) and the Sustainable Livelihood Program (SLP).</w:t>
      </w:r>
      <w:r w:rsidRPr="00BE33A7">
        <w:rPr>
          <w:color w:val="auto"/>
          <w:lang w:val="en-AU"/>
        </w:rPr>
        <w:t xml:space="preserve"> Beneficiaries use the </w:t>
      </w:r>
      <w:r w:rsidRPr="00BE33A7">
        <w:rPr>
          <w:color w:val="auto"/>
          <w:lang w:val="en-AU"/>
        </w:rPr>
        <w:lastRenderedPageBreak/>
        <w:t>cash grants for a range of purposes</w:t>
      </w:r>
      <w:r w:rsidR="00234C55">
        <w:rPr>
          <w:color w:val="auto"/>
          <w:lang w:val="en-AU"/>
        </w:rPr>
        <w:t>,</w:t>
      </w:r>
      <w:r w:rsidRPr="00BE33A7">
        <w:rPr>
          <w:color w:val="auto"/>
          <w:lang w:val="en-AU"/>
        </w:rPr>
        <w:t xml:space="preserve"> includ</w:t>
      </w:r>
      <w:r w:rsidR="00234C55">
        <w:rPr>
          <w:color w:val="auto"/>
          <w:lang w:val="en-AU"/>
        </w:rPr>
        <w:t>ing</w:t>
      </w:r>
      <w:r w:rsidRPr="00BE33A7">
        <w:rPr>
          <w:color w:val="auto"/>
          <w:lang w:val="en-AU"/>
        </w:rPr>
        <w:t xml:space="preserve"> buying necessities such as food and medicine and accumulating capital to start a small household business. These investments, in turn, spur economic act</w:t>
      </w:r>
      <w:r w:rsidR="008724C7">
        <w:rPr>
          <w:color w:val="auto"/>
          <w:lang w:val="en-AU"/>
        </w:rPr>
        <w:t>ivities in recipient communities</w:t>
      </w:r>
      <w:r w:rsidRPr="00BE33A7">
        <w:rPr>
          <w:color w:val="auto"/>
          <w:lang w:val="en-AU"/>
        </w:rPr>
        <w:t xml:space="preserve">. Through our technical support to this program, and in direct partnership with DSWD and the World Bank, Australia is assisting DSWD to improve these programs </w:t>
      </w:r>
      <w:r w:rsidR="008724C7">
        <w:rPr>
          <w:color w:val="auto"/>
          <w:lang w:val="en-AU"/>
        </w:rPr>
        <w:t>by</w:t>
      </w:r>
      <w:r w:rsidRPr="00BE33A7">
        <w:rPr>
          <w:color w:val="auto"/>
          <w:lang w:val="en-AU"/>
        </w:rPr>
        <w:t xml:space="preserve"> develop</w:t>
      </w:r>
      <w:r w:rsidR="008724C7">
        <w:rPr>
          <w:color w:val="auto"/>
          <w:lang w:val="en-AU"/>
        </w:rPr>
        <w:t>ing</w:t>
      </w:r>
      <w:r w:rsidRPr="00BE33A7">
        <w:rPr>
          <w:color w:val="auto"/>
          <w:lang w:val="en-AU"/>
        </w:rPr>
        <w:t xml:space="preserve"> and strengthen</w:t>
      </w:r>
      <w:r w:rsidR="008724C7">
        <w:rPr>
          <w:color w:val="auto"/>
          <w:lang w:val="en-AU"/>
        </w:rPr>
        <w:t>ing</w:t>
      </w:r>
      <w:r w:rsidRPr="00BE33A7">
        <w:rPr>
          <w:color w:val="auto"/>
          <w:lang w:val="en-AU"/>
        </w:rPr>
        <w:t xml:space="preserve"> operational systems such as poverty targeting, payments, compliance and grievance monitoring</w:t>
      </w:r>
      <w:r w:rsidR="008724C7">
        <w:rPr>
          <w:color w:val="auto"/>
          <w:lang w:val="en-AU"/>
        </w:rPr>
        <w:t>. We support the Philippine Government to expand</w:t>
      </w:r>
      <w:r w:rsidRPr="00BE33A7">
        <w:rPr>
          <w:color w:val="auto"/>
          <w:lang w:val="en-AU"/>
        </w:rPr>
        <w:t xml:space="preserve"> coverage of these programs to vulnerable groups</w:t>
      </w:r>
      <w:r w:rsidR="008724C7">
        <w:rPr>
          <w:color w:val="auto"/>
          <w:lang w:val="en-AU"/>
        </w:rPr>
        <w:t>,</w:t>
      </w:r>
      <w:r w:rsidRPr="00BE33A7">
        <w:rPr>
          <w:color w:val="auto"/>
          <w:lang w:val="en-AU"/>
        </w:rPr>
        <w:t xml:space="preserve"> and</w:t>
      </w:r>
      <w:r w:rsidR="008724C7">
        <w:rPr>
          <w:color w:val="auto"/>
          <w:lang w:val="en-AU"/>
        </w:rPr>
        <w:t xml:space="preserve"> to</w:t>
      </w:r>
      <w:r w:rsidRPr="00BE33A7">
        <w:rPr>
          <w:color w:val="auto"/>
          <w:lang w:val="en-AU"/>
        </w:rPr>
        <w:t xml:space="preserve"> better facilitat</w:t>
      </w:r>
      <w:r w:rsidR="008724C7">
        <w:rPr>
          <w:color w:val="auto"/>
          <w:lang w:val="en-AU"/>
        </w:rPr>
        <w:t>e</w:t>
      </w:r>
      <w:r w:rsidRPr="00BE33A7">
        <w:rPr>
          <w:color w:val="auto"/>
          <w:lang w:val="en-AU"/>
        </w:rPr>
        <w:t xml:space="preserve"> employment and livelihood outcomes for beneficiaries. </w:t>
      </w:r>
    </w:p>
    <w:p w14:paraId="1259B065" w14:textId="6B63EA36" w:rsidR="00BE33A7" w:rsidRDefault="00BE33A7" w:rsidP="00BE33A7">
      <w:pPr>
        <w:pStyle w:val="ListParagraph"/>
        <w:numPr>
          <w:ilvl w:val="0"/>
          <w:numId w:val="34"/>
        </w:numPr>
        <w:ind w:left="567"/>
        <w:rPr>
          <w:color w:val="auto"/>
          <w:lang w:val="en-US"/>
        </w:rPr>
      </w:pPr>
      <w:r w:rsidRPr="00BE33A7">
        <w:rPr>
          <w:color w:val="auto"/>
          <w:lang w:val="en-AU"/>
        </w:rPr>
        <w:t xml:space="preserve">In 2015-16, Australia’s </w:t>
      </w:r>
      <w:r w:rsidR="00234C55">
        <w:rPr>
          <w:color w:val="auto"/>
          <w:lang w:val="en-AU"/>
        </w:rPr>
        <w:t>technical assistance</w:t>
      </w:r>
      <w:r w:rsidRPr="00BE33A7">
        <w:rPr>
          <w:color w:val="auto"/>
          <w:lang w:val="en-AU"/>
        </w:rPr>
        <w:t xml:space="preserve"> contributed to the continued enhancement of poverty targeting and CCT operational systems. </w:t>
      </w:r>
      <w:r w:rsidR="00F04FFE">
        <w:rPr>
          <w:color w:val="auto"/>
          <w:lang w:val="en-AU"/>
        </w:rPr>
        <w:t>The Philippine Government reported in 2016 that</w:t>
      </w:r>
      <w:r w:rsidRPr="00BE33A7">
        <w:rPr>
          <w:color w:val="auto"/>
          <w:lang w:val="en-AU"/>
        </w:rPr>
        <w:t xml:space="preserve"> the</w:t>
      </w:r>
      <w:r w:rsidRPr="00BE33A7">
        <w:rPr>
          <w:color w:val="auto"/>
          <w:lang w:val="en-US"/>
        </w:rPr>
        <w:t xml:space="preserve"> program has lifted 1.5 million households out of poverty</w:t>
      </w:r>
      <w:r w:rsidR="00F04FFE">
        <w:rPr>
          <w:color w:val="auto"/>
          <w:lang w:val="en-US"/>
        </w:rPr>
        <w:t xml:space="preserve"> since 2012</w:t>
      </w:r>
      <w:r w:rsidRPr="00BE33A7">
        <w:rPr>
          <w:color w:val="auto"/>
          <w:lang w:val="en-US"/>
        </w:rPr>
        <w:t xml:space="preserve">. The construction of classrooms and day-care centres through DSWD is set to surpass its target of 468 to complete 603 units. </w:t>
      </w:r>
    </w:p>
    <w:p w14:paraId="1C259807" w14:textId="5779A705" w:rsidR="00822F41" w:rsidRPr="00BE33A7" w:rsidRDefault="00C208AC" w:rsidP="00BE33A7">
      <w:pPr>
        <w:pStyle w:val="ListParagraph"/>
        <w:numPr>
          <w:ilvl w:val="0"/>
          <w:numId w:val="34"/>
        </w:numPr>
        <w:ind w:left="567"/>
        <w:rPr>
          <w:color w:val="auto"/>
          <w:lang w:val="en-US"/>
        </w:rPr>
      </w:pPr>
      <w:r>
        <w:rPr>
          <w:color w:val="auto"/>
          <w:lang w:val="en-AU"/>
        </w:rPr>
        <w:t xml:space="preserve">Australia </w:t>
      </w:r>
      <w:r w:rsidR="00822F41" w:rsidRPr="00C208AC">
        <w:rPr>
          <w:color w:val="auto"/>
          <w:lang w:val="en-AU"/>
        </w:rPr>
        <w:t xml:space="preserve">worked with DSWD </w:t>
      </w:r>
      <w:r w:rsidR="00822F41">
        <w:rPr>
          <w:color w:val="auto"/>
          <w:lang w:val="en-AU"/>
        </w:rPr>
        <w:t xml:space="preserve">to make the CCT program better targeted towards vulnerable groups: indigenous peoples and disabled peoples organisations are </w:t>
      </w:r>
      <w:r w:rsidR="00234C55">
        <w:rPr>
          <w:color w:val="auto"/>
          <w:lang w:val="en-AU"/>
        </w:rPr>
        <w:t xml:space="preserve">now </w:t>
      </w:r>
      <w:r w:rsidR="00822F41">
        <w:rPr>
          <w:color w:val="auto"/>
          <w:lang w:val="en-AU"/>
        </w:rPr>
        <w:t>regularly consulted in DSWD's CCT and Sustainable Livelihood Program, and in the construction of classrooms</w:t>
      </w:r>
    </w:p>
    <w:p w14:paraId="44F6C3B5" w14:textId="119BF86E" w:rsidR="004D1828" w:rsidRDefault="00285DEA" w:rsidP="007F392D">
      <w:pPr>
        <w:rPr>
          <w:color w:val="auto"/>
        </w:rPr>
      </w:pPr>
      <w:r w:rsidRPr="003B3434">
        <w:rPr>
          <w:color w:val="auto"/>
          <w:lang w:val="en-AU"/>
        </w:rPr>
        <w:t>The Philippine Government pushed for major government programs to undertake rigorous evaluations to ensure they are delivering economic benefit</w:t>
      </w:r>
      <w:r w:rsidR="00C07336">
        <w:rPr>
          <w:color w:val="auto"/>
          <w:lang w:val="en-AU"/>
        </w:rPr>
        <w:t>s</w:t>
      </w:r>
      <w:r w:rsidRPr="003B3434">
        <w:rPr>
          <w:color w:val="auto"/>
          <w:lang w:val="en-AU"/>
        </w:rPr>
        <w:t xml:space="preserve"> to the poor. </w:t>
      </w:r>
      <w:r w:rsidR="00234C55" w:rsidRPr="003B3434">
        <w:rPr>
          <w:color w:val="auto"/>
          <w:lang w:val="en-AU"/>
        </w:rPr>
        <w:t xml:space="preserve">Australia funded the </w:t>
      </w:r>
      <w:r w:rsidR="00234C55" w:rsidRPr="000E6E92">
        <w:rPr>
          <w:b/>
          <w:color w:val="auto"/>
          <w:lang w:val="en-AU"/>
        </w:rPr>
        <w:t>Philippines Research Initiative</w:t>
      </w:r>
      <w:r w:rsidR="00234C55" w:rsidRPr="003B3434">
        <w:rPr>
          <w:color w:val="auto"/>
          <w:lang w:val="en-AU"/>
        </w:rPr>
        <w:t xml:space="preserve"> </w:t>
      </w:r>
      <w:r w:rsidR="00234C55">
        <w:rPr>
          <w:color w:val="auto"/>
          <w:lang w:val="en-AU"/>
        </w:rPr>
        <w:t>a</w:t>
      </w:r>
      <w:r w:rsidRPr="003B3434">
        <w:rPr>
          <w:color w:val="auto"/>
          <w:lang w:val="en-AU"/>
        </w:rPr>
        <w:t xml:space="preserve">t the request of </w:t>
      </w:r>
      <w:r w:rsidR="001066EF" w:rsidRPr="003B3434">
        <w:rPr>
          <w:color w:val="auto"/>
          <w:lang w:val="en-AU"/>
        </w:rPr>
        <w:t xml:space="preserve">the </w:t>
      </w:r>
      <w:r w:rsidRPr="003B3434">
        <w:rPr>
          <w:color w:val="auto"/>
          <w:lang w:val="en-AU"/>
        </w:rPr>
        <w:t>Philippine Government</w:t>
      </w:r>
      <w:r w:rsidR="001066EF" w:rsidRPr="003B3434">
        <w:rPr>
          <w:color w:val="auto"/>
          <w:lang w:val="en-AU"/>
        </w:rPr>
        <w:t>. The aims of the initiative are</w:t>
      </w:r>
      <w:r w:rsidRPr="003B3434">
        <w:rPr>
          <w:color w:val="auto"/>
          <w:lang w:val="en-AU"/>
        </w:rPr>
        <w:t xml:space="preserve"> </w:t>
      </w:r>
      <w:r w:rsidR="00C75A76" w:rsidRPr="003B3434">
        <w:rPr>
          <w:color w:val="auto"/>
        </w:rPr>
        <w:t xml:space="preserve">to sustain and deepen efforts </w:t>
      </w:r>
      <w:r w:rsidR="00234C55">
        <w:rPr>
          <w:color w:val="auto"/>
        </w:rPr>
        <w:t>to improve</w:t>
      </w:r>
      <w:r w:rsidR="00C75A76" w:rsidRPr="003B3434">
        <w:rPr>
          <w:color w:val="auto"/>
        </w:rPr>
        <w:t xml:space="preserve"> the effectiveness </w:t>
      </w:r>
      <w:r w:rsidR="00F04FFE">
        <w:rPr>
          <w:color w:val="auto"/>
        </w:rPr>
        <w:t xml:space="preserve">of how the Philippines spends its own money </w:t>
      </w:r>
      <w:r w:rsidR="00C75A76" w:rsidRPr="003B3434">
        <w:rPr>
          <w:color w:val="auto"/>
        </w:rPr>
        <w:t xml:space="preserve">through: </w:t>
      </w:r>
      <w:r w:rsidR="00234C55">
        <w:rPr>
          <w:color w:val="auto"/>
        </w:rPr>
        <w:t>generation of</w:t>
      </w:r>
      <w:r w:rsidR="00C75A76" w:rsidRPr="003B3434">
        <w:rPr>
          <w:color w:val="auto"/>
        </w:rPr>
        <w:t xml:space="preserve"> high-quality evidence on key development issues in the country; support</w:t>
      </w:r>
      <w:r w:rsidR="00234C55">
        <w:rPr>
          <w:color w:val="auto"/>
        </w:rPr>
        <w:t xml:space="preserve"> for</w:t>
      </w:r>
      <w:r w:rsidR="00C75A76" w:rsidRPr="003B3434">
        <w:rPr>
          <w:color w:val="auto"/>
        </w:rPr>
        <w:t xml:space="preserve"> impact evaluation</w:t>
      </w:r>
      <w:r w:rsidR="00234C55">
        <w:rPr>
          <w:color w:val="auto"/>
        </w:rPr>
        <w:t>s</w:t>
      </w:r>
      <w:r w:rsidR="00C75A76" w:rsidRPr="003B3434">
        <w:rPr>
          <w:color w:val="auto"/>
        </w:rPr>
        <w:t xml:space="preserve"> of selected priority development investments; </w:t>
      </w:r>
      <w:r w:rsidR="00234C55">
        <w:rPr>
          <w:color w:val="auto"/>
        </w:rPr>
        <w:t xml:space="preserve">and </w:t>
      </w:r>
      <w:r w:rsidR="00C75A76" w:rsidRPr="003B3434">
        <w:rPr>
          <w:color w:val="auto"/>
        </w:rPr>
        <w:t xml:space="preserve">building local capacity to undertake, </w:t>
      </w:r>
      <w:r w:rsidR="00234C55">
        <w:rPr>
          <w:color w:val="auto"/>
        </w:rPr>
        <w:t xml:space="preserve">communicate, </w:t>
      </w:r>
      <w:r w:rsidR="00C75A76" w:rsidRPr="003B3434">
        <w:rPr>
          <w:color w:val="auto"/>
        </w:rPr>
        <w:t>advocate for, and use research for developme</w:t>
      </w:r>
      <w:r w:rsidR="00113136">
        <w:rPr>
          <w:color w:val="auto"/>
        </w:rPr>
        <w:t xml:space="preserve">nt. </w:t>
      </w:r>
      <w:r w:rsidR="007E24DB" w:rsidRPr="003B3434">
        <w:rPr>
          <w:color w:val="auto"/>
        </w:rPr>
        <w:t>The initiative</w:t>
      </w:r>
      <w:r w:rsidR="001066EF" w:rsidRPr="003B3434">
        <w:rPr>
          <w:color w:val="auto"/>
        </w:rPr>
        <w:t xml:space="preserve"> has achieved </w:t>
      </w:r>
      <w:r w:rsidR="004D1828">
        <w:rPr>
          <w:color w:val="auto"/>
        </w:rPr>
        <w:t xml:space="preserve">some </w:t>
      </w:r>
      <w:r w:rsidR="001066EF" w:rsidRPr="003B3434">
        <w:rPr>
          <w:color w:val="auto"/>
        </w:rPr>
        <w:t>good quality intermediate outcomes</w:t>
      </w:r>
      <w:r w:rsidR="00234C55">
        <w:rPr>
          <w:color w:val="auto"/>
        </w:rPr>
        <w:t>,</w:t>
      </w:r>
      <w:r w:rsidR="001066EF" w:rsidRPr="003B3434">
        <w:rPr>
          <w:color w:val="auto"/>
        </w:rPr>
        <w:t xml:space="preserve"> demonstrat</w:t>
      </w:r>
      <w:r w:rsidR="00234C55">
        <w:rPr>
          <w:color w:val="auto"/>
        </w:rPr>
        <w:t>ing</w:t>
      </w:r>
      <w:r w:rsidR="001066EF" w:rsidRPr="003B3434">
        <w:rPr>
          <w:color w:val="auto"/>
        </w:rPr>
        <w:t xml:space="preserve"> the investment is on track</w:t>
      </w:r>
      <w:r w:rsidR="00113136">
        <w:rPr>
          <w:color w:val="auto"/>
        </w:rPr>
        <w:t xml:space="preserve">. </w:t>
      </w:r>
    </w:p>
    <w:p w14:paraId="49BEBEFC" w14:textId="2CC08813" w:rsidR="003B3434" w:rsidRPr="003B3434" w:rsidRDefault="004D1828" w:rsidP="004D1828">
      <w:pPr>
        <w:pStyle w:val="ListParagraph"/>
        <w:numPr>
          <w:ilvl w:val="0"/>
          <w:numId w:val="29"/>
        </w:numPr>
        <w:ind w:left="567"/>
        <w:rPr>
          <w:color w:val="auto"/>
        </w:rPr>
      </w:pPr>
      <w:r>
        <w:rPr>
          <w:color w:val="auto"/>
        </w:rPr>
        <w:t>In 2015-16 the program has had active involvement and strong support of the relevant Ministers in the roll out of studies</w:t>
      </w:r>
      <w:r w:rsidR="00DD7513">
        <w:rPr>
          <w:color w:val="auto"/>
        </w:rPr>
        <w:t>. I</w:t>
      </w:r>
      <w:r>
        <w:rPr>
          <w:color w:val="auto"/>
        </w:rPr>
        <w:t xml:space="preserve">t </w:t>
      </w:r>
      <w:r w:rsidR="00A0588E">
        <w:rPr>
          <w:color w:val="auto"/>
        </w:rPr>
        <w:t>served as a catalyst for</w:t>
      </w:r>
      <w:r>
        <w:rPr>
          <w:color w:val="auto"/>
        </w:rPr>
        <w:t xml:space="preserve"> the planning agency to create a national evaluation framework </w:t>
      </w:r>
      <w:r w:rsidR="00DD7513">
        <w:rPr>
          <w:color w:val="auto"/>
        </w:rPr>
        <w:t>and</w:t>
      </w:r>
      <w:r>
        <w:rPr>
          <w:color w:val="auto"/>
        </w:rPr>
        <w:t xml:space="preserve"> secured budget fund</w:t>
      </w:r>
      <w:r w:rsidR="00DD7513">
        <w:rPr>
          <w:color w:val="auto"/>
        </w:rPr>
        <w:t>ing for</w:t>
      </w:r>
      <w:r>
        <w:rPr>
          <w:color w:val="auto"/>
        </w:rPr>
        <w:t xml:space="preserve"> more impact evaluations for non-partner Departments. This directly supports the Philippine Government’s agenda for major government programs to undertake rigorous evaluations to ensure they are delivering economic benefits to the poor.</w:t>
      </w:r>
    </w:p>
    <w:p w14:paraId="35B1A748" w14:textId="02D230A1" w:rsidR="006D01EB" w:rsidRPr="00401AAE" w:rsidRDefault="006D01EB" w:rsidP="006D01EB">
      <w:pPr>
        <w:rPr>
          <w:color w:val="auto"/>
          <w:lang w:val="en-AU"/>
        </w:rPr>
      </w:pPr>
      <w:r w:rsidRPr="0010048E">
        <w:rPr>
          <w:color w:val="auto"/>
          <w:lang w:val="en-AU"/>
        </w:rPr>
        <w:t xml:space="preserve">In recognition of Australia’s </w:t>
      </w:r>
      <w:r w:rsidR="004D1828" w:rsidRPr="0010048E">
        <w:rPr>
          <w:color w:val="auto"/>
          <w:lang w:val="en-AU"/>
        </w:rPr>
        <w:t xml:space="preserve">best practice </w:t>
      </w:r>
      <w:r w:rsidRPr="0010048E">
        <w:rPr>
          <w:color w:val="auto"/>
          <w:lang w:val="en-AU"/>
        </w:rPr>
        <w:t xml:space="preserve">preparedness to deploy its in-country prepositioned relief supplies, Australia was the only bilateral partner requested by the Philippine Government to support its </w:t>
      </w:r>
      <w:r w:rsidRPr="00EC069E">
        <w:rPr>
          <w:b/>
          <w:color w:val="auto"/>
          <w:lang w:val="en-AU"/>
        </w:rPr>
        <w:t>humanitarian response</w:t>
      </w:r>
      <w:r w:rsidRPr="0010048E">
        <w:rPr>
          <w:color w:val="auto"/>
          <w:lang w:val="en-AU"/>
        </w:rPr>
        <w:t xml:space="preserve"> after Typhoon</w:t>
      </w:r>
      <w:r w:rsidR="0001595B" w:rsidRPr="0010048E">
        <w:rPr>
          <w:color w:val="auto"/>
          <w:lang w:val="en-AU"/>
        </w:rPr>
        <w:t>s</w:t>
      </w:r>
      <w:r w:rsidRPr="0010048E">
        <w:rPr>
          <w:color w:val="auto"/>
          <w:lang w:val="en-AU"/>
        </w:rPr>
        <w:t xml:space="preserve"> Melor </w:t>
      </w:r>
      <w:r w:rsidR="003B3434" w:rsidRPr="0010048E">
        <w:rPr>
          <w:color w:val="auto"/>
          <w:lang w:val="en-AU"/>
        </w:rPr>
        <w:t>(</w:t>
      </w:r>
      <w:r w:rsidRPr="0010048E">
        <w:rPr>
          <w:color w:val="auto"/>
          <w:lang w:val="en-AU"/>
        </w:rPr>
        <w:t>Nona</w:t>
      </w:r>
      <w:r w:rsidR="003B3434" w:rsidRPr="0010048E">
        <w:rPr>
          <w:color w:val="auto"/>
          <w:lang w:val="en-AU"/>
        </w:rPr>
        <w:t>)</w:t>
      </w:r>
      <w:r w:rsidR="00401AAE" w:rsidRPr="0010048E">
        <w:rPr>
          <w:color w:val="auto"/>
          <w:lang w:val="en-AU"/>
        </w:rPr>
        <w:t xml:space="preserve"> </w:t>
      </w:r>
      <w:r w:rsidR="0001595B" w:rsidRPr="0010048E">
        <w:rPr>
          <w:color w:val="auto"/>
          <w:lang w:val="en-AU"/>
        </w:rPr>
        <w:t xml:space="preserve">and Koppu (Lando) </w:t>
      </w:r>
      <w:r w:rsidR="00401AAE" w:rsidRPr="0010048E">
        <w:rPr>
          <w:color w:val="auto"/>
          <w:lang w:val="en-AU"/>
        </w:rPr>
        <w:t xml:space="preserve">in </w:t>
      </w:r>
      <w:r w:rsidR="0001595B" w:rsidRPr="0010048E">
        <w:rPr>
          <w:color w:val="auto"/>
          <w:lang w:val="en-AU"/>
        </w:rPr>
        <w:t>the last quarter of 2015</w:t>
      </w:r>
      <w:r w:rsidRPr="0010048E">
        <w:rPr>
          <w:color w:val="auto"/>
          <w:lang w:val="en-AU"/>
        </w:rPr>
        <w:t>. Australia also helped the Philippine Government to promote economic resilience in Metropolitan Manila by producing the first Earthquake Map Atlas</w:t>
      </w:r>
      <w:r w:rsidR="00234C55">
        <w:rPr>
          <w:color w:val="auto"/>
          <w:lang w:val="en-AU"/>
        </w:rPr>
        <w:t>. The Atlas</w:t>
      </w:r>
      <w:r w:rsidRPr="0010048E">
        <w:rPr>
          <w:color w:val="auto"/>
          <w:lang w:val="en-AU"/>
        </w:rPr>
        <w:t xml:space="preserve"> now guides infrastructure investments and emergency plans </w:t>
      </w:r>
      <w:r w:rsidR="00401AAE" w:rsidRPr="0010048E">
        <w:rPr>
          <w:color w:val="auto"/>
          <w:lang w:val="en-AU"/>
        </w:rPr>
        <w:t>for the</w:t>
      </w:r>
      <w:r w:rsidRPr="0010048E">
        <w:rPr>
          <w:color w:val="auto"/>
          <w:lang w:val="en-AU"/>
        </w:rPr>
        <w:t xml:space="preserve"> public and private sectors. By organising </w:t>
      </w:r>
      <w:r w:rsidR="00234C55">
        <w:rPr>
          <w:color w:val="auto"/>
          <w:lang w:val="en-AU"/>
        </w:rPr>
        <w:t xml:space="preserve">and training </w:t>
      </w:r>
      <w:r w:rsidRPr="0010048E">
        <w:rPr>
          <w:color w:val="auto"/>
          <w:lang w:val="en-AU"/>
        </w:rPr>
        <w:t xml:space="preserve">emergency responders, setting up </w:t>
      </w:r>
      <w:r w:rsidR="00401AAE" w:rsidRPr="0010048E">
        <w:rPr>
          <w:color w:val="auto"/>
          <w:lang w:val="en-AU"/>
        </w:rPr>
        <w:t xml:space="preserve">an </w:t>
      </w:r>
      <w:r w:rsidRPr="0010048E">
        <w:rPr>
          <w:color w:val="auto"/>
          <w:lang w:val="en-AU"/>
        </w:rPr>
        <w:t>early warning system, and preparing emergency and evacuation plans, Australia helped informal settler communities in Metro Manila better prepare for disasters</w:t>
      </w:r>
      <w:r w:rsidR="00401AAE" w:rsidRPr="0010048E">
        <w:rPr>
          <w:color w:val="auto"/>
          <w:lang w:val="en-AU"/>
        </w:rPr>
        <w:t>. The success of these interventions was evidenced with reduced average casualty numbers</w:t>
      </w:r>
      <w:r w:rsidRPr="0010048E">
        <w:rPr>
          <w:color w:val="auto"/>
          <w:lang w:val="en-AU"/>
        </w:rPr>
        <w:t xml:space="preserve"> in recent disasters.</w:t>
      </w:r>
      <w:r w:rsidR="002C2146" w:rsidRPr="0010048E">
        <w:t xml:space="preserve"> </w:t>
      </w:r>
      <w:r w:rsidR="002C2146" w:rsidRPr="0010048E">
        <w:rPr>
          <w:color w:val="auto"/>
        </w:rPr>
        <w:t>In 2015-16, the initiative has delivered the following key results:</w:t>
      </w:r>
      <w:r w:rsidR="00771D54">
        <w:rPr>
          <w:color w:val="auto"/>
        </w:rPr>
        <w:t xml:space="preserve"> </w:t>
      </w:r>
    </w:p>
    <w:p w14:paraId="60186EEB" w14:textId="77777777" w:rsidR="003C51A3" w:rsidRPr="00E31DB0" w:rsidRDefault="003C51A3" w:rsidP="00E31DB0">
      <w:pPr>
        <w:pStyle w:val="ListParagraph"/>
        <w:numPr>
          <w:ilvl w:val="0"/>
          <w:numId w:val="29"/>
        </w:numPr>
        <w:ind w:left="567"/>
        <w:rPr>
          <w:color w:val="auto"/>
          <w:lang w:val="en-US"/>
        </w:rPr>
      </w:pPr>
      <w:r w:rsidRPr="00E31DB0">
        <w:rPr>
          <w:color w:val="auto"/>
          <w:lang w:val="en-US"/>
        </w:rPr>
        <w:t xml:space="preserve">Climate adaptation efforts of the Philippines through </w:t>
      </w:r>
      <w:r w:rsidR="00401AAE" w:rsidRPr="00E31DB0">
        <w:rPr>
          <w:color w:val="auto"/>
          <w:lang w:val="en-US"/>
        </w:rPr>
        <w:t xml:space="preserve">the Australian Government-supported </w:t>
      </w:r>
      <w:r w:rsidRPr="00EC069E">
        <w:rPr>
          <w:b/>
          <w:color w:val="auto"/>
          <w:lang w:val="en-US"/>
        </w:rPr>
        <w:t xml:space="preserve">Project Climate Twin Phoenix/RAPID Program </w:t>
      </w:r>
      <w:r w:rsidRPr="00E31DB0">
        <w:rPr>
          <w:color w:val="auto"/>
          <w:lang w:val="en-US"/>
        </w:rPr>
        <w:t xml:space="preserve">was featured by </w:t>
      </w:r>
      <w:r w:rsidR="00401AAE" w:rsidRPr="00E31DB0">
        <w:rPr>
          <w:color w:val="auto"/>
          <w:lang w:val="en-US"/>
        </w:rPr>
        <w:t>the UN Office for Disaster Risk Reduction</w:t>
      </w:r>
      <w:r w:rsidRPr="00E31DB0">
        <w:rPr>
          <w:color w:val="auto"/>
          <w:lang w:val="en-US"/>
        </w:rPr>
        <w:t xml:space="preserve"> as global best practice on risk and vulnerability assessment. </w:t>
      </w:r>
    </w:p>
    <w:p w14:paraId="24640F28" w14:textId="34B5F1C2" w:rsidR="00075FCA" w:rsidRPr="00401AAE" w:rsidRDefault="003C51A3" w:rsidP="00E31DB0">
      <w:pPr>
        <w:pStyle w:val="ListParagraph"/>
        <w:numPr>
          <w:ilvl w:val="0"/>
          <w:numId w:val="29"/>
        </w:numPr>
        <w:ind w:left="567"/>
        <w:rPr>
          <w:color w:val="auto"/>
          <w:lang w:val="en-AU"/>
        </w:rPr>
      </w:pPr>
      <w:r w:rsidRPr="00E31DB0">
        <w:rPr>
          <w:color w:val="auto"/>
          <w:lang w:val="en-US"/>
        </w:rPr>
        <w:t>Emergency relief assistance (food, tarpaulins, family kits, hygiene/dignity kits, sexual and reproductive</w:t>
      </w:r>
      <w:r w:rsidRPr="00401AAE">
        <w:rPr>
          <w:color w:val="auto"/>
          <w:lang w:val="en-AU"/>
        </w:rPr>
        <w:t xml:space="preserve"> health kits) benefitted </w:t>
      </w:r>
      <w:r w:rsidR="00401AAE" w:rsidRPr="00401AAE">
        <w:rPr>
          <w:color w:val="auto"/>
          <w:lang w:val="en-AU"/>
        </w:rPr>
        <w:t>around</w:t>
      </w:r>
      <w:r w:rsidRPr="00401AAE">
        <w:rPr>
          <w:color w:val="auto"/>
          <w:lang w:val="en-AU"/>
        </w:rPr>
        <w:t xml:space="preserve"> 34,000 people </w:t>
      </w:r>
      <w:r w:rsidR="00234C55">
        <w:rPr>
          <w:color w:val="auto"/>
          <w:lang w:val="en-AU"/>
        </w:rPr>
        <w:t>(</w:t>
      </w:r>
      <w:r w:rsidRPr="00401AAE">
        <w:rPr>
          <w:color w:val="auto"/>
          <w:lang w:val="en-AU"/>
        </w:rPr>
        <w:t>9,700 women</w:t>
      </w:r>
      <w:r w:rsidR="00234C55">
        <w:rPr>
          <w:color w:val="auto"/>
          <w:lang w:val="en-AU"/>
        </w:rPr>
        <w:t>)</w:t>
      </w:r>
      <w:r w:rsidRPr="00401AAE">
        <w:rPr>
          <w:color w:val="auto"/>
          <w:lang w:val="en-AU"/>
        </w:rPr>
        <w:t xml:space="preserve"> affected by typhoons.</w:t>
      </w:r>
    </w:p>
    <w:p w14:paraId="2DA62695" w14:textId="20A468B5" w:rsidR="006B3E4E" w:rsidRDefault="00F24BAB" w:rsidP="00B20C3A">
      <w:pPr>
        <w:rPr>
          <w:color w:val="auto"/>
          <w:lang w:val="en-AU"/>
        </w:rPr>
      </w:pPr>
      <w:r w:rsidRPr="00401AAE">
        <w:rPr>
          <w:color w:val="auto"/>
          <w:lang w:val="en-AU"/>
        </w:rPr>
        <w:t xml:space="preserve">In 2015-16, we completed </w:t>
      </w:r>
      <w:r w:rsidR="00401AAE">
        <w:rPr>
          <w:color w:val="auto"/>
          <w:lang w:val="en-AU"/>
        </w:rPr>
        <w:t>our</w:t>
      </w:r>
      <w:r w:rsidRPr="00401AAE">
        <w:rPr>
          <w:color w:val="auto"/>
          <w:lang w:val="en-AU"/>
        </w:rPr>
        <w:t xml:space="preserve"> health program</w:t>
      </w:r>
      <w:r w:rsidR="00401AAE">
        <w:rPr>
          <w:color w:val="auto"/>
          <w:lang w:val="en-AU"/>
        </w:rPr>
        <w:t>:</w:t>
      </w:r>
      <w:r w:rsidR="00401AAE" w:rsidRPr="000E6E92">
        <w:rPr>
          <w:b/>
          <w:color w:val="auto"/>
          <w:lang w:val="en-AU"/>
        </w:rPr>
        <w:t xml:space="preserve"> </w:t>
      </w:r>
      <w:r w:rsidR="000E6E92" w:rsidRPr="000E6E92">
        <w:rPr>
          <w:b/>
          <w:color w:val="auto"/>
          <w:lang w:val="en-AU"/>
        </w:rPr>
        <w:t>S</w:t>
      </w:r>
      <w:r w:rsidR="00401AAE" w:rsidRPr="000E6E92">
        <w:rPr>
          <w:b/>
          <w:color w:val="auto"/>
          <w:lang w:val="en-AU"/>
        </w:rPr>
        <w:t xml:space="preserve">upport for </w:t>
      </w:r>
      <w:r w:rsidRPr="000E6E92">
        <w:rPr>
          <w:b/>
          <w:color w:val="auto"/>
          <w:lang w:val="en-AU"/>
        </w:rPr>
        <w:t>UN Maternal and Neonatal Mortality Reduction</w:t>
      </w:r>
      <w:r w:rsidRPr="00401AAE">
        <w:rPr>
          <w:color w:val="auto"/>
          <w:lang w:val="en-AU"/>
        </w:rPr>
        <w:t xml:space="preserve">.  </w:t>
      </w:r>
      <w:r w:rsidR="006B3E4E" w:rsidRPr="006B3E4E">
        <w:rPr>
          <w:color w:val="auto"/>
          <w:lang w:val="en-AU"/>
        </w:rPr>
        <w:t>Since 2010</w:t>
      </w:r>
      <w:r w:rsidRPr="006B3E4E">
        <w:rPr>
          <w:color w:val="auto"/>
          <w:lang w:val="en-AU"/>
        </w:rPr>
        <w:t xml:space="preserve">, Australia has helped </w:t>
      </w:r>
      <w:r w:rsidR="00E02FA9" w:rsidRPr="006B3E4E">
        <w:rPr>
          <w:color w:val="auto"/>
          <w:lang w:val="en-AU"/>
        </w:rPr>
        <w:t xml:space="preserve">to </w:t>
      </w:r>
      <w:r w:rsidRPr="006B3E4E">
        <w:rPr>
          <w:color w:val="auto"/>
          <w:lang w:val="en-AU"/>
        </w:rPr>
        <w:t>build the capacity of the Philippines Department of Health to develop systems</w:t>
      </w:r>
      <w:r w:rsidR="006B3E4E" w:rsidRPr="006B3E4E">
        <w:rPr>
          <w:color w:val="auto"/>
          <w:lang w:val="en-AU"/>
        </w:rPr>
        <w:t xml:space="preserve"> for maternal and neonatal health care</w:t>
      </w:r>
      <w:r w:rsidR="00E02FA9" w:rsidRPr="006B3E4E">
        <w:rPr>
          <w:color w:val="auto"/>
          <w:lang w:val="en-AU"/>
        </w:rPr>
        <w:t xml:space="preserve">. Our </w:t>
      </w:r>
      <w:r w:rsidRPr="006B3E4E">
        <w:rPr>
          <w:color w:val="auto"/>
          <w:lang w:val="en-AU"/>
        </w:rPr>
        <w:t xml:space="preserve">support </w:t>
      </w:r>
      <w:r w:rsidR="00E02FA9" w:rsidRPr="006B3E4E">
        <w:rPr>
          <w:color w:val="auto"/>
          <w:lang w:val="en-AU"/>
        </w:rPr>
        <w:t xml:space="preserve">contributed to </w:t>
      </w:r>
      <w:r w:rsidRPr="006B3E4E">
        <w:rPr>
          <w:color w:val="auto"/>
          <w:lang w:val="en-AU"/>
        </w:rPr>
        <w:t xml:space="preserve">the passage </w:t>
      </w:r>
      <w:r w:rsidR="002A61E5" w:rsidRPr="006B3E4E">
        <w:rPr>
          <w:color w:val="auto"/>
          <w:lang w:val="en-AU"/>
        </w:rPr>
        <w:t xml:space="preserve">and implementation </w:t>
      </w:r>
      <w:r w:rsidRPr="006B3E4E">
        <w:rPr>
          <w:color w:val="auto"/>
          <w:lang w:val="en-AU"/>
        </w:rPr>
        <w:t xml:space="preserve">of </w:t>
      </w:r>
      <w:r w:rsidR="00E02FA9" w:rsidRPr="006B3E4E">
        <w:rPr>
          <w:color w:val="auto"/>
          <w:lang w:val="en-AU"/>
        </w:rPr>
        <w:t>instrumental policies, in particular the Reproductive Health law</w:t>
      </w:r>
      <w:r w:rsidR="00CC089F">
        <w:rPr>
          <w:color w:val="auto"/>
          <w:lang w:val="en-AU"/>
        </w:rPr>
        <w:t xml:space="preserve"> and Department of Health Policy for midwives to reduce morbidity and mortality. </w:t>
      </w:r>
      <w:r w:rsidR="00AD2645">
        <w:rPr>
          <w:color w:val="auto"/>
          <w:lang w:val="en-AU"/>
        </w:rPr>
        <w:t xml:space="preserve">Australia’s support to Essential Intra-Partum and Newborn Care (EINC) was the most successful activity of the program. EINC was adopted by the WHO Regional Office in 2012, and implemented in Lao, Cambodia and Thailand. It provided support to health care facilities in the Philippines to become capable to deliver basic emergency obstetric and newborn care through the provision </w:t>
      </w:r>
      <w:r w:rsidR="00AD2645">
        <w:rPr>
          <w:color w:val="auto"/>
          <w:lang w:val="en-AU"/>
        </w:rPr>
        <w:lastRenderedPageBreak/>
        <w:t xml:space="preserve">of essential drugs, equipment, manuals and education. It was even scaled up by the Philippines into facilities not covered by our program, including private hospitals. </w:t>
      </w:r>
    </w:p>
    <w:p w14:paraId="5A22ECAE" w14:textId="1249FC8D" w:rsidR="00F24BAB" w:rsidRDefault="00F24BAB" w:rsidP="00E31DB0">
      <w:pPr>
        <w:pStyle w:val="ListParagraph"/>
        <w:numPr>
          <w:ilvl w:val="0"/>
          <w:numId w:val="29"/>
        </w:numPr>
        <w:ind w:left="567"/>
        <w:rPr>
          <w:color w:val="auto"/>
          <w:lang w:val="en-AU"/>
        </w:rPr>
      </w:pPr>
      <w:r w:rsidRPr="00AD2645">
        <w:rPr>
          <w:color w:val="auto"/>
          <w:lang w:val="en-AU"/>
        </w:rPr>
        <w:t xml:space="preserve">In </w:t>
      </w:r>
      <w:r w:rsidR="0010048E">
        <w:rPr>
          <w:color w:val="auto"/>
          <w:lang w:val="en-AU"/>
        </w:rPr>
        <w:t xml:space="preserve">our partner areas in </w:t>
      </w:r>
      <w:r w:rsidRPr="00AD2645">
        <w:rPr>
          <w:color w:val="auto"/>
          <w:lang w:val="en-AU"/>
        </w:rPr>
        <w:t>2015</w:t>
      </w:r>
      <w:r w:rsidR="0010048E">
        <w:rPr>
          <w:color w:val="auto"/>
          <w:lang w:val="en-AU"/>
        </w:rPr>
        <w:t xml:space="preserve">, </w:t>
      </w:r>
      <w:r w:rsidR="00AD2645" w:rsidRPr="00AD2645">
        <w:rPr>
          <w:color w:val="auto"/>
          <w:lang w:val="en-AU"/>
        </w:rPr>
        <w:t>results</w:t>
      </w:r>
      <w:r w:rsidRPr="00AD2645">
        <w:rPr>
          <w:color w:val="auto"/>
          <w:lang w:val="en-AU"/>
        </w:rPr>
        <w:t xml:space="preserve"> for indicators on access and utili</w:t>
      </w:r>
      <w:r w:rsidR="00AD2645" w:rsidRPr="00AD2645">
        <w:rPr>
          <w:color w:val="auto"/>
          <w:lang w:val="en-AU"/>
        </w:rPr>
        <w:t>s</w:t>
      </w:r>
      <w:r w:rsidRPr="00AD2645">
        <w:rPr>
          <w:color w:val="auto"/>
          <w:lang w:val="en-AU"/>
        </w:rPr>
        <w:t xml:space="preserve">ation of Intrapartum and Postpartum services </w:t>
      </w:r>
      <w:r w:rsidRPr="00E31DB0">
        <w:rPr>
          <w:color w:val="auto"/>
          <w:lang w:val="en-US"/>
        </w:rPr>
        <w:t>cont</w:t>
      </w:r>
      <w:r w:rsidR="00B20C3A" w:rsidRPr="00E31DB0">
        <w:rPr>
          <w:color w:val="auto"/>
          <w:lang w:val="en-US"/>
        </w:rPr>
        <w:t>inued</w:t>
      </w:r>
      <w:r w:rsidR="00B20C3A" w:rsidRPr="00AD2645">
        <w:rPr>
          <w:color w:val="auto"/>
          <w:lang w:val="en-AU"/>
        </w:rPr>
        <w:t xml:space="preserve"> to improve significantly. </w:t>
      </w:r>
      <w:r w:rsidRPr="00AD2645">
        <w:rPr>
          <w:color w:val="auto"/>
          <w:lang w:val="en-AU"/>
        </w:rPr>
        <w:t>Facility-based deliveries increased fr</w:t>
      </w:r>
      <w:r w:rsidR="00AD2645" w:rsidRPr="00AD2645">
        <w:rPr>
          <w:color w:val="auto"/>
          <w:lang w:val="en-AU"/>
        </w:rPr>
        <w:t>om 86% in 2014 to 89% in 2015; l</w:t>
      </w:r>
      <w:r w:rsidRPr="00AD2645">
        <w:rPr>
          <w:color w:val="auto"/>
          <w:lang w:val="en-AU"/>
        </w:rPr>
        <w:t xml:space="preserve">ive births attended by skilled birth attendants increased from 83.5% in 2014 to 88.9% in 2015; </w:t>
      </w:r>
      <w:r w:rsidR="00234C55">
        <w:rPr>
          <w:color w:val="auto"/>
          <w:lang w:val="en-AU"/>
        </w:rPr>
        <w:t>p</w:t>
      </w:r>
      <w:r w:rsidRPr="00AD2645">
        <w:rPr>
          <w:color w:val="auto"/>
          <w:lang w:val="en-AU"/>
        </w:rPr>
        <w:t xml:space="preserve">ost-partum women who initiated breastfeeding within one hour after giving birth increased from 86.5% in 2014 to 91.5% in 2015; </w:t>
      </w:r>
      <w:r w:rsidR="00234C55">
        <w:rPr>
          <w:color w:val="auto"/>
          <w:lang w:val="en-AU"/>
        </w:rPr>
        <w:t>and c</w:t>
      </w:r>
      <w:r w:rsidRPr="00AD2645">
        <w:rPr>
          <w:color w:val="auto"/>
          <w:lang w:val="en-AU"/>
        </w:rPr>
        <w:t>ontraceptive prevalence rate increased from 75.8% in 2014 to 77.7% in 2015.</w:t>
      </w:r>
    </w:p>
    <w:p w14:paraId="653E18E5" w14:textId="53B738EB" w:rsidR="00C21E91" w:rsidRPr="000F0056" w:rsidRDefault="00C21E91" w:rsidP="00C21E91">
      <w:pPr>
        <w:rPr>
          <w:color w:val="auto"/>
        </w:rPr>
      </w:pPr>
      <w:r w:rsidRPr="000F0056">
        <w:rPr>
          <w:color w:val="auto"/>
        </w:rPr>
        <w:t>In response to the Australian Government’s heightened priority on gender</w:t>
      </w:r>
      <w:r w:rsidR="00234C55">
        <w:rPr>
          <w:color w:val="auto"/>
        </w:rPr>
        <w:t xml:space="preserve"> outcomes in the aid program</w:t>
      </w:r>
      <w:r w:rsidRPr="000F0056">
        <w:rPr>
          <w:color w:val="auto"/>
        </w:rPr>
        <w:t xml:space="preserve">, through our partnership under the </w:t>
      </w:r>
      <w:r w:rsidRPr="000E6E92">
        <w:rPr>
          <w:b/>
          <w:color w:val="auto"/>
        </w:rPr>
        <w:t>Australia-World Bank Philippines Development Trust Fund</w:t>
      </w:r>
      <w:r w:rsidRPr="000F0056">
        <w:rPr>
          <w:color w:val="auto"/>
        </w:rPr>
        <w:t>, the World Bank has undertaken to better understand the needs of female Moro Islamic Liberation Front ex-combatants under our peace and security investment by increasing their sample sizes in research an undertaking additional focus group discussions.</w:t>
      </w:r>
      <w:r w:rsidRPr="000F0056">
        <w:rPr>
          <w:i/>
          <w:color w:val="auto"/>
        </w:rPr>
        <w:t xml:space="preserve"> </w:t>
      </w:r>
      <w:r w:rsidR="000F0056" w:rsidRPr="000F0056">
        <w:rPr>
          <w:color w:val="auto"/>
        </w:rPr>
        <w:t>Through our</w:t>
      </w:r>
      <w:r w:rsidRPr="000F0056">
        <w:rPr>
          <w:color w:val="auto"/>
        </w:rPr>
        <w:t xml:space="preserve"> work </w:t>
      </w:r>
      <w:r w:rsidR="000F0056" w:rsidRPr="000F0056">
        <w:rPr>
          <w:color w:val="auto"/>
        </w:rPr>
        <w:t>i</w:t>
      </w:r>
      <w:r w:rsidRPr="000F0056">
        <w:rPr>
          <w:color w:val="auto"/>
        </w:rPr>
        <w:t xml:space="preserve">n community driven development activities and ‘bottom up budgeting’, </w:t>
      </w:r>
      <w:r w:rsidR="001F6629" w:rsidRPr="000F0056">
        <w:rPr>
          <w:color w:val="auto"/>
        </w:rPr>
        <w:t>women’s groups participated in identifying and managing priority poverty reduction projects funded by the Philippine Government</w:t>
      </w:r>
      <w:r w:rsidR="000F0056" w:rsidRPr="000F0056">
        <w:rPr>
          <w:color w:val="auto"/>
        </w:rPr>
        <w:t>. This process promotes women’s empowerment through pa</w:t>
      </w:r>
      <w:r w:rsidR="00D13E20" w:rsidRPr="000F0056">
        <w:rPr>
          <w:color w:val="auto"/>
        </w:rPr>
        <w:t xml:space="preserve">rticipatory </w:t>
      </w:r>
      <w:r w:rsidR="001F6629" w:rsidRPr="000F0056">
        <w:rPr>
          <w:color w:val="auto"/>
        </w:rPr>
        <w:t xml:space="preserve">decision-making </w:t>
      </w:r>
      <w:r w:rsidR="000F0056">
        <w:rPr>
          <w:color w:val="auto"/>
        </w:rPr>
        <w:t>within their communities</w:t>
      </w:r>
      <w:r w:rsidR="001F6629" w:rsidRPr="000F0056">
        <w:rPr>
          <w:color w:val="auto"/>
        </w:rPr>
        <w:t>.</w:t>
      </w:r>
      <w:r w:rsidR="001F6629" w:rsidRPr="000F0056">
        <w:rPr>
          <w:i/>
          <w:color w:val="auto"/>
        </w:rPr>
        <w:t xml:space="preserve"> </w:t>
      </w:r>
      <w:r w:rsidR="008724C7">
        <w:rPr>
          <w:i/>
          <w:color w:val="auto"/>
        </w:rPr>
        <w:t xml:space="preserve"> </w:t>
      </w:r>
    </w:p>
    <w:p w14:paraId="1A4DFE15" w14:textId="77777777" w:rsidR="00713F20" w:rsidRPr="00991967" w:rsidRDefault="00713F20" w:rsidP="002A51CA">
      <w:pPr>
        <w:rPr>
          <w:b/>
          <w:color w:val="auto"/>
        </w:rPr>
      </w:pPr>
      <w:r w:rsidRPr="00991967">
        <w:rPr>
          <w:b/>
          <w:color w:val="auto"/>
        </w:rPr>
        <w:t>Objective 2: Building stronger institutions for transparent and accountable governance</w:t>
      </w:r>
    </w:p>
    <w:p w14:paraId="3D192CE4" w14:textId="77777777" w:rsidR="00713F20" w:rsidRPr="00ED21E9" w:rsidRDefault="00E06A01" w:rsidP="00ED21E9">
      <w:pPr>
        <w:spacing w:before="0" w:after="0"/>
        <w:rPr>
          <w:b/>
          <w:color w:val="auto"/>
        </w:rPr>
      </w:pPr>
      <w:r w:rsidRPr="004D1828">
        <w:rPr>
          <w:b/>
          <w:color w:val="auto"/>
        </w:rPr>
        <w:t>Rating:</w:t>
      </w:r>
      <w:r w:rsidRPr="00ED21E9">
        <w:rPr>
          <w:b/>
          <w:color w:val="auto"/>
        </w:rPr>
        <w:t xml:space="preserve"> </w:t>
      </w:r>
      <w:r w:rsidR="005E5FF7" w:rsidRPr="00ED21E9">
        <w:rPr>
          <w:color w:val="auto"/>
        </w:rPr>
        <w:t>Green</w:t>
      </w:r>
    </w:p>
    <w:p w14:paraId="02950088" w14:textId="598BBAC4" w:rsidR="005F1604" w:rsidRDefault="00E06A01" w:rsidP="00961F5A">
      <w:pPr>
        <w:rPr>
          <w:color w:val="auto"/>
        </w:rPr>
      </w:pPr>
      <w:r w:rsidRPr="00F87507">
        <w:rPr>
          <w:color w:val="auto"/>
        </w:rPr>
        <w:t>This objective is rated green</w:t>
      </w:r>
      <w:r w:rsidR="00234C55">
        <w:rPr>
          <w:color w:val="auto"/>
        </w:rPr>
        <w:t>, and we have</w:t>
      </w:r>
      <w:r w:rsidR="000E784A" w:rsidRPr="00F87507">
        <w:rPr>
          <w:color w:val="auto"/>
        </w:rPr>
        <w:t xml:space="preserve"> achieved </w:t>
      </w:r>
      <w:r w:rsidR="000E784A" w:rsidRPr="00574FDA">
        <w:rPr>
          <w:color w:val="auto"/>
        </w:rPr>
        <w:t>all the</w:t>
      </w:r>
      <w:r w:rsidR="000E784A" w:rsidRPr="00F87507">
        <w:rPr>
          <w:color w:val="auto"/>
        </w:rPr>
        <w:t xml:space="preserve"> performance benchmarks set for</w:t>
      </w:r>
      <w:r w:rsidR="00234C55">
        <w:rPr>
          <w:color w:val="auto"/>
        </w:rPr>
        <w:t xml:space="preserve"> 2015-16. </w:t>
      </w:r>
      <w:r w:rsidR="000E784A" w:rsidRPr="004E35F0">
        <w:rPr>
          <w:color w:val="auto"/>
        </w:rPr>
        <w:t xml:space="preserve">Good governance is </w:t>
      </w:r>
      <w:r w:rsidR="00262080" w:rsidRPr="004E35F0">
        <w:rPr>
          <w:color w:val="auto"/>
        </w:rPr>
        <w:t>essential</w:t>
      </w:r>
      <w:r w:rsidR="000E784A" w:rsidRPr="004E35F0">
        <w:rPr>
          <w:color w:val="auto"/>
        </w:rPr>
        <w:t xml:space="preserve"> to effective, efficient</w:t>
      </w:r>
      <w:r w:rsidR="00F87507">
        <w:rPr>
          <w:color w:val="auto"/>
        </w:rPr>
        <w:t xml:space="preserve"> and competent public service. </w:t>
      </w:r>
      <w:r w:rsidR="00262080" w:rsidRPr="004E35F0">
        <w:rPr>
          <w:color w:val="auto"/>
        </w:rPr>
        <w:t xml:space="preserve">Through the </w:t>
      </w:r>
      <w:r w:rsidR="00262080" w:rsidRPr="000E6E92">
        <w:rPr>
          <w:b/>
          <w:color w:val="auto"/>
        </w:rPr>
        <w:t>Human Resource Organisational Development Facility</w:t>
      </w:r>
      <w:r w:rsidR="00961F5A" w:rsidRPr="000E6E92">
        <w:rPr>
          <w:b/>
          <w:color w:val="auto"/>
        </w:rPr>
        <w:t xml:space="preserve"> (HRODF)</w:t>
      </w:r>
      <w:r w:rsidR="00262080" w:rsidRPr="000E6E92">
        <w:rPr>
          <w:color w:val="auto"/>
        </w:rPr>
        <w:t>,</w:t>
      </w:r>
      <w:r w:rsidR="00262080" w:rsidRPr="004E35F0">
        <w:rPr>
          <w:color w:val="auto"/>
        </w:rPr>
        <w:t xml:space="preserve"> Australia is providing support to </w:t>
      </w:r>
      <w:r w:rsidR="00961F5A" w:rsidRPr="004E35F0">
        <w:rPr>
          <w:color w:val="auto"/>
        </w:rPr>
        <w:t xml:space="preserve">public sector partner organisations to address their human resource and organisational development needs. </w:t>
      </w:r>
      <w:r w:rsidR="005C7BA6">
        <w:rPr>
          <w:color w:val="auto"/>
        </w:rPr>
        <w:t xml:space="preserve">Core partner agencies </w:t>
      </w:r>
      <w:r w:rsidR="005F1604">
        <w:rPr>
          <w:color w:val="auto"/>
        </w:rPr>
        <w:t>(</w:t>
      </w:r>
      <w:r w:rsidR="000F0056">
        <w:rPr>
          <w:color w:val="auto"/>
        </w:rPr>
        <w:t xml:space="preserve">the </w:t>
      </w:r>
      <w:r w:rsidR="005F1604">
        <w:rPr>
          <w:color w:val="auto"/>
        </w:rPr>
        <w:t>Civil Service Commission, Department of Interior and Local Government, Department of Social Welfare and Development)</w:t>
      </w:r>
      <w:r w:rsidR="005C7BA6">
        <w:rPr>
          <w:color w:val="auto"/>
        </w:rPr>
        <w:t xml:space="preserve"> have shown demonstrated improvements in organisational development</w:t>
      </w:r>
      <w:r w:rsidR="005F1604">
        <w:rPr>
          <w:color w:val="auto"/>
        </w:rPr>
        <w:t>.</w:t>
      </w:r>
      <w:r w:rsidR="005C7BA6">
        <w:rPr>
          <w:color w:val="auto"/>
        </w:rPr>
        <w:t xml:space="preserve"> </w:t>
      </w:r>
    </w:p>
    <w:p w14:paraId="09DC08B0" w14:textId="58A9048E" w:rsidR="00DA0DD4" w:rsidRDefault="00961F5A" w:rsidP="00961F5A">
      <w:pPr>
        <w:rPr>
          <w:lang w:val="en-AU"/>
        </w:rPr>
      </w:pPr>
      <w:r w:rsidRPr="004E35F0">
        <w:rPr>
          <w:color w:val="auto"/>
        </w:rPr>
        <w:t>HRODF is the only donor-funded program to support the Philippine Government’s public service reform agenda</w:t>
      </w:r>
      <w:r w:rsidR="004E35F0" w:rsidRPr="004E35F0">
        <w:rPr>
          <w:color w:val="auto"/>
        </w:rPr>
        <w:t xml:space="preserve"> and in 2015-16 it </w:t>
      </w:r>
      <w:r w:rsidRPr="004E35F0">
        <w:rPr>
          <w:color w:val="auto"/>
          <w:lang w:val="en-AU"/>
        </w:rPr>
        <w:t xml:space="preserve">made major strides in ensuring that key government agencies have transparent, accountable and responsive human resource frameworks. </w:t>
      </w:r>
      <w:r w:rsidR="00300D9B" w:rsidRPr="004E35F0">
        <w:rPr>
          <w:color w:val="auto"/>
          <w:lang w:val="en-AU"/>
        </w:rPr>
        <w:t>Feedback</w:t>
      </w:r>
      <w:r w:rsidR="004E35F0" w:rsidRPr="004E35F0">
        <w:rPr>
          <w:color w:val="auto"/>
          <w:lang w:val="en-AU"/>
        </w:rPr>
        <w:t xml:space="preserve"> from </w:t>
      </w:r>
      <w:r w:rsidR="00424EC1">
        <w:rPr>
          <w:color w:val="auto"/>
          <w:lang w:val="en-AU"/>
        </w:rPr>
        <w:t xml:space="preserve">leaders in Philippine Government </w:t>
      </w:r>
      <w:r w:rsidR="004E35F0" w:rsidRPr="004E35F0">
        <w:rPr>
          <w:color w:val="auto"/>
          <w:lang w:val="en-AU"/>
        </w:rPr>
        <w:t>partner</w:t>
      </w:r>
      <w:r w:rsidR="00424EC1">
        <w:rPr>
          <w:color w:val="auto"/>
          <w:lang w:val="en-AU"/>
        </w:rPr>
        <w:t xml:space="preserve"> agencies</w:t>
      </w:r>
      <w:r w:rsidR="00300D9B" w:rsidRPr="004E35F0">
        <w:rPr>
          <w:color w:val="auto"/>
          <w:lang w:val="en-AU"/>
        </w:rPr>
        <w:t xml:space="preserve"> indicate</w:t>
      </w:r>
      <w:r w:rsidR="004E35F0" w:rsidRPr="004E35F0">
        <w:rPr>
          <w:color w:val="auto"/>
          <w:lang w:val="en-AU"/>
        </w:rPr>
        <w:t>s</w:t>
      </w:r>
      <w:r w:rsidR="00300D9B" w:rsidRPr="004E35F0">
        <w:rPr>
          <w:color w:val="auto"/>
          <w:lang w:val="en-AU"/>
        </w:rPr>
        <w:t xml:space="preserve"> that </w:t>
      </w:r>
      <w:r w:rsidRPr="004E35F0">
        <w:rPr>
          <w:color w:val="auto"/>
          <w:lang w:val="en-AU"/>
        </w:rPr>
        <w:t>adopting these frameworks ha</w:t>
      </w:r>
      <w:r w:rsidR="00424EC1">
        <w:rPr>
          <w:color w:val="auto"/>
          <w:lang w:val="en-AU"/>
        </w:rPr>
        <w:t>s</w:t>
      </w:r>
      <w:r w:rsidRPr="004E35F0">
        <w:rPr>
          <w:color w:val="auto"/>
          <w:lang w:val="en-AU"/>
        </w:rPr>
        <w:t xml:space="preserve"> promoted merit</w:t>
      </w:r>
      <w:r w:rsidR="004E35F0" w:rsidRPr="004E35F0">
        <w:rPr>
          <w:color w:val="auto"/>
          <w:lang w:val="en-AU"/>
        </w:rPr>
        <w:t>-</w:t>
      </w:r>
      <w:r w:rsidRPr="004E35F0">
        <w:rPr>
          <w:color w:val="auto"/>
          <w:lang w:val="en-AU"/>
        </w:rPr>
        <w:t>based hiring, better work</w:t>
      </w:r>
      <w:r w:rsidR="004E35F0" w:rsidRPr="004E35F0">
        <w:rPr>
          <w:color w:val="auto"/>
          <w:lang w:val="en-AU"/>
        </w:rPr>
        <w:t xml:space="preserve">force planning and an improved </w:t>
      </w:r>
      <w:r w:rsidRPr="004E35F0">
        <w:rPr>
          <w:color w:val="auto"/>
          <w:lang w:val="en-AU"/>
        </w:rPr>
        <w:t>ability t</w:t>
      </w:r>
      <w:r w:rsidR="00300D9B" w:rsidRPr="004E35F0">
        <w:rPr>
          <w:color w:val="auto"/>
          <w:lang w:val="en-AU"/>
        </w:rPr>
        <w:t xml:space="preserve">o find the right skills to </w:t>
      </w:r>
      <w:r w:rsidR="004E35F0" w:rsidRPr="004E35F0">
        <w:rPr>
          <w:color w:val="auto"/>
          <w:lang w:val="en-AU"/>
        </w:rPr>
        <w:t>match</w:t>
      </w:r>
      <w:r w:rsidR="00300D9B" w:rsidRPr="004E35F0">
        <w:rPr>
          <w:color w:val="auto"/>
          <w:lang w:val="en-AU"/>
        </w:rPr>
        <w:t xml:space="preserve"> </w:t>
      </w:r>
      <w:r w:rsidR="00424EC1">
        <w:rPr>
          <w:color w:val="auto"/>
          <w:lang w:val="en-AU"/>
        </w:rPr>
        <w:t xml:space="preserve">civil service </w:t>
      </w:r>
      <w:r w:rsidRPr="004E35F0">
        <w:rPr>
          <w:color w:val="auto"/>
          <w:lang w:val="en-AU"/>
        </w:rPr>
        <w:t xml:space="preserve">jobs. </w:t>
      </w:r>
      <w:r w:rsidR="004E35F0" w:rsidRPr="004E35F0">
        <w:rPr>
          <w:color w:val="auto"/>
          <w:lang w:val="en-AU"/>
        </w:rPr>
        <w:t>Wide</w:t>
      </w:r>
      <w:r w:rsidRPr="004E35F0">
        <w:rPr>
          <w:color w:val="auto"/>
          <w:lang w:val="en-AU"/>
        </w:rPr>
        <w:t>spread adoption of these frameworks demonstrates the significant value the Philippines government see</w:t>
      </w:r>
      <w:r w:rsidR="004E35F0" w:rsidRPr="004E35F0">
        <w:rPr>
          <w:color w:val="auto"/>
          <w:lang w:val="en-AU"/>
        </w:rPr>
        <w:t>s</w:t>
      </w:r>
      <w:r w:rsidRPr="004E35F0">
        <w:rPr>
          <w:color w:val="auto"/>
          <w:lang w:val="en-AU"/>
        </w:rPr>
        <w:t xml:space="preserve"> in our interventions</w:t>
      </w:r>
      <w:r w:rsidR="004E2DB2">
        <w:rPr>
          <w:color w:val="auto"/>
          <w:lang w:val="en-AU"/>
        </w:rPr>
        <w:t>, and is a foundational part of long-term and locally-driven reform</w:t>
      </w:r>
      <w:r w:rsidRPr="004E35F0">
        <w:rPr>
          <w:color w:val="auto"/>
          <w:lang w:val="en-AU"/>
        </w:rPr>
        <w:t xml:space="preserve">. </w:t>
      </w:r>
      <w:r w:rsidR="00DA0DD4" w:rsidRPr="004E35F0">
        <w:rPr>
          <w:color w:val="auto"/>
          <w:lang w:val="en-AU"/>
        </w:rPr>
        <w:t xml:space="preserve">The following major results have been </w:t>
      </w:r>
      <w:r w:rsidR="00DA0DD4" w:rsidRPr="006E7690">
        <w:rPr>
          <w:color w:val="auto"/>
          <w:lang w:val="en-AU"/>
        </w:rPr>
        <w:t>achieved</w:t>
      </w:r>
      <w:r w:rsidR="000F0056">
        <w:rPr>
          <w:color w:val="auto"/>
          <w:lang w:val="en-AU"/>
        </w:rPr>
        <w:t xml:space="preserve"> in 2015-16:</w:t>
      </w:r>
    </w:p>
    <w:p w14:paraId="594603F4" w14:textId="409D992B" w:rsidR="005C7BA6" w:rsidRDefault="005C7BA6" w:rsidP="00E31DB0">
      <w:pPr>
        <w:pStyle w:val="ListParagraph"/>
        <w:numPr>
          <w:ilvl w:val="0"/>
          <w:numId w:val="29"/>
        </w:numPr>
        <w:ind w:left="567"/>
        <w:rPr>
          <w:color w:val="auto"/>
          <w:lang w:val="en-US"/>
        </w:rPr>
      </w:pPr>
      <w:r>
        <w:rPr>
          <w:color w:val="auto"/>
          <w:lang w:val="en-US"/>
        </w:rPr>
        <w:t xml:space="preserve">The Civil Service Commission, which oversees civil service reform, now has a fully developed </w:t>
      </w:r>
      <w:r w:rsidR="00226F46">
        <w:rPr>
          <w:color w:val="auto"/>
          <w:lang w:val="en-US"/>
        </w:rPr>
        <w:t>human resource management framework</w:t>
      </w:r>
      <w:r>
        <w:rPr>
          <w:color w:val="auto"/>
          <w:lang w:val="en-US"/>
        </w:rPr>
        <w:t xml:space="preserve"> for the entire bureaucracy. They have re-established credibility for the agency and their authority to lend support to government departments</w:t>
      </w:r>
      <w:r w:rsidR="002346BF">
        <w:rPr>
          <w:color w:val="auto"/>
          <w:lang w:val="en-US"/>
        </w:rPr>
        <w:t>.</w:t>
      </w:r>
      <w:r>
        <w:rPr>
          <w:color w:val="auto"/>
          <w:lang w:val="en-US"/>
        </w:rPr>
        <w:t xml:space="preserve"> </w:t>
      </w:r>
    </w:p>
    <w:p w14:paraId="59D55CA2" w14:textId="4C944E94" w:rsidR="00DA0DD4" w:rsidRPr="00E31DB0" w:rsidRDefault="000F0056" w:rsidP="00E31DB0">
      <w:pPr>
        <w:pStyle w:val="ListParagraph"/>
        <w:numPr>
          <w:ilvl w:val="0"/>
          <w:numId w:val="29"/>
        </w:numPr>
        <w:ind w:left="567"/>
        <w:rPr>
          <w:color w:val="auto"/>
          <w:lang w:val="en-US"/>
        </w:rPr>
      </w:pPr>
      <w:r>
        <w:rPr>
          <w:color w:val="auto"/>
          <w:lang w:val="en-AU"/>
        </w:rPr>
        <w:t>Australia f</w:t>
      </w:r>
      <w:r w:rsidR="00DA0DD4" w:rsidRPr="00424EC1">
        <w:rPr>
          <w:color w:val="auto"/>
          <w:lang w:val="en-AU"/>
        </w:rPr>
        <w:t xml:space="preserve">acilitated three partnerships between Philippine and Australian academic institutions </w:t>
      </w:r>
      <w:r w:rsidR="00961F5A" w:rsidRPr="00424EC1">
        <w:rPr>
          <w:color w:val="auto"/>
          <w:lang w:val="en-AU"/>
        </w:rPr>
        <w:t xml:space="preserve">for research </w:t>
      </w:r>
      <w:r w:rsidR="00961F5A" w:rsidRPr="00E31DB0">
        <w:rPr>
          <w:color w:val="auto"/>
          <w:lang w:val="en-US"/>
        </w:rPr>
        <w:t>collaboration, faculty and student exchanges</w:t>
      </w:r>
      <w:r w:rsidR="00DA0DD4" w:rsidRPr="00E31DB0">
        <w:rPr>
          <w:color w:val="auto"/>
          <w:lang w:val="en-US"/>
        </w:rPr>
        <w:t>,</w:t>
      </w:r>
      <w:r w:rsidR="00961F5A" w:rsidRPr="00E31DB0">
        <w:rPr>
          <w:color w:val="auto"/>
          <w:lang w:val="en-US"/>
        </w:rPr>
        <w:t xml:space="preserve"> and deliver</w:t>
      </w:r>
      <w:r w:rsidR="00DA0DD4" w:rsidRPr="00E31DB0">
        <w:rPr>
          <w:color w:val="auto"/>
          <w:lang w:val="en-US"/>
        </w:rPr>
        <w:t>y of</w:t>
      </w:r>
      <w:r w:rsidR="00961F5A" w:rsidRPr="00E31DB0">
        <w:rPr>
          <w:color w:val="auto"/>
          <w:lang w:val="en-US"/>
        </w:rPr>
        <w:t xml:space="preserve"> joint degrees</w:t>
      </w:r>
      <w:r w:rsidR="00424EC1" w:rsidRPr="00E31DB0">
        <w:rPr>
          <w:color w:val="auto"/>
          <w:lang w:val="en-US"/>
        </w:rPr>
        <w:t xml:space="preserve">. </w:t>
      </w:r>
      <w:r w:rsidR="00DA0DD4" w:rsidRPr="00E31DB0">
        <w:rPr>
          <w:color w:val="auto"/>
          <w:lang w:val="en-US"/>
        </w:rPr>
        <w:t xml:space="preserve">The partnerships </w:t>
      </w:r>
      <w:r w:rsidR="00961F5A" w:rsidRPr="00E31DB0">
        <w:rPr>
          <w:color w:val="auto"/>
          <w:lang w:val="en-US"/>
        </w:rPr>
        <w:t>strengthen the quality of programs offered by Ph</w:t>
      </w:r>
      <w:r w:rsidR="00DA0DD4" w:rsidRPr="00E31DB0">
        <w:rPr>
          <w:color w:val="auto"/>
          <w:lang w:val="en-US"/>
        </w:rPr>
        <w:t>ilippines u</w:t>
      </w:r>
      <w:r w:rsidR="00961F5A" w:rsidRPr="00E31DB0">
        <w:rPr>
          <w:color w:val="auto"/>
          <w:lang w:val="en-US"/>
        </w:rPr>
        <w:t>niversit</w:t>
      </w:r>
      <w:r w:rsidR="00DA0DD4" w:rsidRPr="00E31DB0">
        <w:rPr>
          <w:color w:val="auto"/>
          <w:lang w:val="en-US"/>
        </w:rPr>
        <w:t>ies and</w:t>
      </w:r>
      <w:r w:rsidR="00961F5A" w:rsidRPr="00E31DB0">
        <w:rPr>
          <w:color w:val="auto"/>
          <w:lang w:val="en-US"/>
        </w:rPr>
        <w:t xml:space="preserve"> increase</w:t>
      </w:r>
      <w:r w:rsidR="00857D64" w:rsidRPr="00E31DB0">
        <w:rPr>
          <w:color w:val="auto"/>
          <w:lang w:val="en-US"/>
        </w:rPr>
        <w:t>d</w:t>
      </w:r>
      <w:r w:rsidR="00961F5A" w:rsidRPr="00E31DB0">
        <w:rPr>
          <w:color w:val="auto"/>
          <w:lang w:val="en-US"/>
        </w:rPr>
        <w:t xml:space="preserve"> the visibility of Australian institutions</w:t>
      </w:r>
      <w:r w:rsidR="00424EC1" w:rsidRPr="00E31DB0">
        <w:rPr>
          <w:color w:val="auto"/>
          <w:lang w:val="en-US"/>
        </w:rPr>
        <w:t>,</w:t>
      </w:r>
      <w:r w:rsidR="00961F5A" w:rsidRPr="00E31DB0">
        <w:rPr>
          <w:color w:val="auto"/>
          <w:lang w:val="en-US"/>
        </w:rPr>
        <w:t xml:space="preserve"> reaffirm</w:t>
      </w:r>
      <w:r w:rsidR="00DA0DD4" w:rsidRPr="00E31DB0">
        <w:rPr>
          <w:color w:val="auto"/>
          <w:lang w:val="en-US"/>
        </w:rPr>
        <w:t>ing</w:t>
      </w:r>
      <w:r w:rsidR="00961F5A" w:rsidRPr="00E31DB0">
        <w:rPr>
          <w:color w:val="auto"/>
          <w:lang w:val="en-US"/>
        </w:rPr>
        <w:t xml:space="preserve"> our status as a world leader in higher education</w:t>
      </w:r>
      <w:r w:rsidR="002346BF">
        <w:rPr>
          <w:color w:val="auto"/>
          <w:lang w:val="en-US"/>
        </w:rPr>
        <w:t>.</w:t>
      </w:r>
    </w:p>
    <w:p w14:paraId="694FABDC" w14:textId="3FDE5077" w:rsidR="00961F5A" w:rsidRPr="00F87507" w:rsidRDefault="00424EC1" w:rsidP="00E31DB0">
      <w:pPr>
        <w:pStyle w:val="ListParagraph"/>
        <w:numPr>
          <w:ilvl w:val="0"/>
          <w:numId w:val="29"/>
        </w:numPr>
        <w:ind w:left="567"/>
        <w:rPr>
          <w:color w:val="auto"/>
          <w:lang w:val="en-AU"/>
        </w:rPr>
      </w:pPr>
      <w:r w:rsidRPr="00E31DB0">
        <w:rPr>
          <w:color w:val="auto"/>
          <w:lang w:val="en-US"/>
        </w:rPr>
        <w:t>In</w:t>
      </w:r>
      <w:r w:rsidRPr="00AA3657">
        <w:rPr>
          <w:color w:val="auto"/>
          <w:lang w:val="en-US"/>
        </w:rPr>
        <w:t xml:space="preserve"> 2015</w:t>
      </w:r>
      <w:r w:rsidR="00DD7513">
        <w:rPr>
          <w:color w:val="auto"/>
          <w:lang w:val="en-US"/>
        </w:rPr>
        <w:t>,</w:t>
      </w:r>
      <w:r w:rsidRPr="00AA3657">
        <w:rPr>
          <w:color w:val="auto"/>
          <w:lang w:val="en-US"/>
        </w:rPr>
        <w:t xml:space="preserve"> </w:t>
      </w:r>
      <w:r w:rsidR="00961F5A" w:rsidRPr="00AA3657">
        <w:rPr>
          <w:color w:val="auto"/>
          <w:lang w:val="en-US"/>
        </w:rPr>
        <w:t xml:space="preserve">120 scholarships </w:t>
      </w:r>
      <w:r w:rsidR="00DA0DD4" w:rsidRPr="00AA3657">
        <w:rPr>
          <w:color w:val="auto"/>
          <w:lang w:val="en-US"/>
        </w:rPr>
        <w:t xml:space="preserve">were awarded to Filipinos </w:t>
      </w:r>
      <w:r w:rsidR="00961F5A" w:rsidRPr="00AA3657">
        <w:rPr>
          <w:color w:val="auto"/>
          <w:lang w:val="en-US"/>
        </w:rPr>
        <w:t>to study in Australia</w:t>
      </w:r>
      <w:r w:rsidR="00F70792">
        <w:rPr>
          <w:color w:val="auto"/>
          <w:lang w:val="en-US"/>
        </w:rPr>
        <w:t xml:space="preserve"> including 79 women</w:t>
      </w:r>
      <w:r w:rsidR="00961F5A" w:rsidRPr="00F87507">
        <w:rPr>
          <w:color w:val="auto"/>
          <w:lang w:val="en-AU"/>
        </w:rPr>
        <w:t xml:space="preserve">. 52 people from Mindanao were provided in-country scholarships in the Philippines. Participants included </w:t>
      </w:r>
      <w:r w:rsidR="005C7BA6">
        <w:rPr>
          <w:color w:val="auto"/>
          <w:lang w:val="en-AU"/>
        </w:rPr>
        <w:t xml:space="preserve">30 women. </w:t>
      </w:r>
    </w:p>
    <w:p w14:paraId="3D3AE1DF" w14:textId="770E096F" w:rsidR="00822CE8" w:rsidRDefault="0051432E" w:rsidP="00730AF7">
      <w:pPr>
        <w:rPr>
          <w:color w:val="auto"/>
        </w:rPr>
      </w:pPr>
      <w:r w:rsidRPr="0051432E">
        <w:rPr>
          <w:color w:val="auto"/>
        </w:rPr>
        <w:t xml:space="preserve">Supporting Public Financial Management (PFM) reform remains a priority for our aid investment in the Philippines because development of a sound PFM system is an important element in a stable government and provides the foundation for continue economic growth. The </w:t>
      </w:r>
      <w:r w:rsidRPr="000E6E92">
        <w:rPr>
          <w:b/>
          <w:color w:val="auto"/>
        </w:rPr>
        <w:t>Public Financial Management Program (PFMP) Phase 2</w:t>
      </w:r>
      <w:r w:rsidRPr="0051432E">
        <w:rPr>
          <w:color w:val="auto"/>
        </w:rPr>
        <w:t xml:space="preserve"> is supporting the Philippine Government to implement its governance reform agenda improve the efficiency, accountability and transparency of public fund use in the Philippin</w:t>
      </w:r>
      <w:r w:rsidRPr="00822F41">
        <w:rPr>
          <w:color w:val="auto"/>
        </w:rPr>
        <w:t xml:space="preserve">es. </w:t>
      </w:r>
      <w:r w:rsidR="0010048E">
        <w:rPr>
          <w:color w:val="auto"/>
        </w:rPr>
        <w:t>I</w:t>
      </w:r>
      <w:r w:rsidRPr="00822F41">
        <w:rPr>
          <w:color w:val="auto"/>
        </w:rPr>
        <w:t xml:space="preserve">mplementation of cash management reforms designed by PFMP helped the Government deliver savings of around AUD22million in 2015. PFMP assisted with the adoption of a revised budget preparation process that focuses </w:t>
      </w:r>
      <w:r w:rsidRPr="00822F41">
        <w:rPr>
          <w:color w:val="auto"/>
        </w:rPr>
        <w:lastRenderedPageBreak/>
        <w:t xml:space="preserve">better on spending priorities, and the implementation of a Budget Cycle Analytics system, which integrates data from </w:t>
      </w:r>
      <w:r w:rsidR="00822F41">
        <w:rPr>
          <w:color w:val="auto"/>
        </w:rPr>
        <w:t>the Department</w:t>
      </w:r>
      <w:r w:rsidR="0010048E">
        <w:rPr>
          <w:color w:val="auto"/>
        </w:rPr>
        <w:t xml:space="preserve"> of Budget and Management’</w:t>
      </w:r>
      <w:r w:rsidR="00822F41">
        <w:rPr>
          <w:color w:val="auto"/>
        </w:rPr>
        <w:t>s</w:t>
      </w:r>
      <w:r w:rsidRPr="00822F41">
        <w:rPr>
          <w:color w:val="auto"/>
        </w:rPr>
        <w:t xml:space="preserve"> various systems to provide more useful information for decision-making. Overall, </w:t>
      </w:r>
      <w:r w:rsidR="00822CE8">
        <w:rPr>
          <w:color w:val="auto"/>
        </w:rPr>
        <w:t xml:space="preserve">the </w:t>
      </w:r>
      <w:r w:rsidRPr="00822F41">
        <w:rPr>
          <w:color w:val="auto"/>
        </w:rPr>
        <w:t xml:space="preserve">Philippines’ improved </w:t>
      </w:r>
      <w:r w:rsidR="00F04FFE">
        <w:rPr>
          <w:color w:val="auto"/>
        </w:rPr>
        <w:t>Public Expenditure and Financial Accountability assessment (</w:t>
      </w:r>
      <w:r w:rsidRPr="00822F41">
        <w:rPr>
          <w:color w:val="auto"/>
        </w:rPr>
        <w:t>PEFA</w:t>
      </w:r>
      <w:r w:rsidR="00F04FFE">
        <w:rPr>
          <w:color w:val="auto"/>
        </w:rPr>
        <w:t>)</w:t>
      </w:r>
      <w:r w:rsidRPr="00822F41">
        <w:rPr>
          <w:color w:val="auto"/>
        </w:rPr>
        <w:t xml:space="preserve"> scores for 2016 – in particular in relation to </w:t>
      </w:r>
      <w:r w:rsidR="00F04FFE">
        <w:rPr>
          <w:color w:val="auto"/>
        </w:rPr>
        <w:t>management of its</w:t>
      </w:r>
      <w:r w:rsidRPr="00822F41">
        <w:rPr>
          <w:color w:val="auto"/>
        </w:rPr>
        <w:t xml:space="preserve"> budget – </w:t>
      </w:r>
      <w:r w:rsidR="00F04FFE">
        <w:rPr>
          <w:color w:val="auto"/>
        </w:rPr>
        <w:t>directly reflects</w:t>
      </w:r>
      <w:r w:rsidRPr="00822F41">
        <w:rPr>
          <w:color w:val="auto"/>
        </w:rPr>
        <w:t xml:space="preserve"> the </w:t>
      </w:r>
      <w:r w:rsidR="00822CE8">
        <w:rPr>
          <w:color w:val="auto"/>
        </w:rPr>
        <w:t>success of this activity.</w:t>
      </w:r>
    </w:p>
    <w:p w14:paraId="36AB45E1" w14:textId="16F7F93D" w:rsidR="00730AF7" w:rsidRPr="000E6E92" w:rsidRDefault="002D0916" w:rsidP="00730AF7">
      <w:pPr>
        <w:rPr>
          <w:color w:val="auto"/>
          <w:lang w:val="en-AU"/>
        </w:rPr>
      </w:pPr>
      <w:r>
        <w:rPr>
          <w:color w:val="auto"/>
        </w:rPr>
        <w:t xml:space="preserve">The </w:t>
      </w:r>
      <w:r w:rsidR="00092C40" w:rsidRPr="000E6E92">
        <w:rPr>
          <w:b/>
          <w:color w:val="auto"/>
        </w:rPr>
        <w:t xml:space="preserve">Coalitions for Change </w:t>
      </w:r>
      <w:r w:rsidRPr="000E6E92">
        <w:rPr>
          <w:b/>
          <w:color w:val="auto"/>
        </w:rPr>
        <w:t>program</w:t>
      </w:r>
      <w:r>
        <w:rPr>
          <w:color w:val="auto"/>
        </w:rPr>
        <w:t xml:space="preserve"> </w:t>
      </w:r>
      <w:r w:rsidR="00E613A0" w:rsidRPr="00E613A0">
        <w:rPr>
          <w:color w:val="auto"/>
        </w:rPr>
        <w:t>is designed to form coalitions among civil society, the private sector and government to create platforms for dialogue to influence public policy that is crucial to achieving the development and economic goals of the Australian and Philippine Governments.</w:t>
      </w:r>
      <w:r w:rsidR="00E613A0">
        <w:rPr>
          <w:color w:val="auto"/>
        </w:rPr>
        <w:t xml:space="preserve"> </w:t>
      </w:r>
      <w:r w:rsidR="008739BE">
        <w:rPr>
          <w:color w:val="auto"/>
        </w:rPr>
        <w:t xml:space="preserve">The </w:t>
      </w:r>
      <w:r w:rsidR="00730AF7" w:rsidRPr="00AA3657">
        <w:rPr>
          <w:color w:val="auto"/>
        </w:rPr>
        <w:t xml:space="preserve">most significant achievement </w:t>
      </w:r>
      <w:r w:rsidR="008739BE">
        <w:rPr>
          <w:color w:val="auto"/>
        </w:rPr>
        <w:t xml:space="preserve">of the program </w:t>
      </w:r>
      <w:r w:rsidR="00730AF7" w:rsidRPr="00AA3657">
        <w:rPr>
          <w:color w:val="auto"/>
        </w:rPr>
        <w:t xml:space="preserve">during this period </w:t>
      </w:r>
      <w:r w:rsidR="00730AF7">
        <w:rPr>
          <w:color w:val="auto"/>
        </w:rPr>
        <w:t xml:space="preserve">was </w:t>
      </w:r>
      <w:r w:rsidR="00857D64" w:rsidRPr="002D0916">
        <w:rPr>
          <w:color w:val="auto"/>
          <w:lang w:val="en-AU"/>
        </w:rPr>
        <w:t xml:space="preserve">the passage of </w:t>
      </w:r>
      <w:r w:rsidR="00FB60B3" w:rsidRPr="002D0916">
        <w:rPr>
          <w:color w:val="auto"/>
          <w:lang w:val="en-AU"/>
        </w:rPr>
        <w:t>the Electoral Service Reform Act in April 2016</w:t>
      </w:r>
      <w:r w:rsidR="00857D64" w:rsidRPr="002D0916">
        <w:rPr>
          <w:color w:val="auto"/>
          <w:lang w:val="en-AU"/>
        </w:rPr>
        <w:t>, which</w:t>
      </w:r>
      <w:r w:rsidR="00FB60B3" w:rsidRPr="002D0916">
        <w:rPr>
          <w:color w:val="auto"/>
          <w:lang w:val="en-AU"/>
        </w:rPr>
        <w:t xml:space="preserve"> has made election service voluntary for teachers potentially reducing the </w:t>
      </w:r>
      <w:r w:rsidR="00FB60B3" w:rsidRPr="000E6E92">
        <w:rPr>
          <w:color w:val="auto"/>
          <w:lang w:val="en-AU"/>
        </w:rPr>
        <w:t>degree of politicisation in public education</w:t>
      </w:r>
      <w:r w:rsidRPr="000E6E92">
        <w:rPr>
          <w:color w:val="auto"/>
          <w:lang w:val="en-AU"/>
        </w:rPr>
        <w:t xml:space="preserve"> – a significant result for education quality</w:t>
      </w:r>
      <w:r w:rsidR="00FB60B3" w:rsidRPr="000E6E92">
        <w:rPr>
          <w:color w:val="auto"/>
          <w:lang w:val="en-AU"/>
        </w:rPr>
        <w:t xml:space="preserve">. </w:t>
      </w:r>
      <w:r w:rsidR="000F0056" w:rsidRPr="000E6E92">
        <w:rPr>
          <w:color w:val="auto"/>
          <w:lang w:val="en-AU"/>
        </w:rPr>
        <w:t xml:space="preserve">Coalitions for Change has also: </w:t>
      </w:r>
    </w:p>
    <w:p w14:paraId="63A4A978" w14:textId="1EE73751" w:rsidR="00730AF7" w:rsidRPr="00FA1789" w:rsidRDefault="00730AF7" w:rsidP="00AA3657">
      <w:pPr>
        <w:pStyle w:val="ListParagraph"/>
        <w:numPr>
          <w:ilvl w:val="0"/>
          <w:numId w:val="29"/>
        </w:numPr>
        <w:ind w:left="567"/>
        <w:rPr>
          <w:color w:val="auto"/>
          <w:lang w:val="en-US"/>
        </w:rPr>
      </w:pPr>
      <w:r w:rsidRPr="000E6E92">
        <w:rPr>
          <w:color w:val="auto"/>
          <w:lang w:val="en-US"/>
        </w:rPr>
        <w:t>Nearly doubled the total additional funding that local governments and private sector companies provided to support local senior high schools (SHS), from AUD46 million in 20</w:t>
      </w:r>
      <w:r w:rsidR="00AA3657" w:rsidRPr="000E6E92">
        <w:rPr>
          <w:color w:val="auto"/>
          <w:lang w:val="en-US"/>
        </w:rPr>
        <w:t>14 to AUD85.</w:t>
      </w:r>
      <w:r w:rsidR="00AA3657">
        <w:rPr>
          <w:color w:val="auto"/>
          <w:lang w:val="en-US"/>
        </w:rPr>
        <w:t xml:space="preserve">7 million in 2015. </w:t>
      </w:r>
      <w:r w:rsidRPr="00FA1789">
        <w:rPr>
          <w:color w:val="auto"/>
          <w:lang w:val="en-US"/>
        </w:rPr>
        <w:t>Ten additional local g</w:t>
      </w:r>
      <w:r w:rsidR="002346BF">
        <w:rPr>
          <w:color w:val="auto"/>
          <w:lang w:val="en-US"/>
        </w:rPr>
        <w:t>overnments joined the coalition and</w:t>
      </w:r>
      <w:r w:rsidRPr="00FA1789">
        <w:rPr>
          <w:color w:val="auto"/>
          <w:lang w:val="en-US"/>
        </w:rPr>
        <w:t xml:space="preserve"> committed to working with the private sector </w:t>
      </w:r>
      <w:r w:rsidR="002346BF">
        <w:rPr>
          <w:color w:val="auto"/>
          <w:lang w:val="en-US"/>
        </w:rPr>
        <w:t>to</w:t>
      </w:r>
      <w:r w:rsidRPr="00FA1789">
        <w:rPr>
          <w:color w:val="auto"/>
          <w:lang w:val="en-US"/>
        </w:rPr>
        <w:t xml:space="preserve"> improv</w:t>
      </w:r>
      <w:r w:rsidR="002346BF">
        <w:rPr>
          <w:color w:val="auto"/>
          <w:lang w:val="en-US"/>
        </w:rPr>
        <w:t>e</w:t>
      </w:r>
      <w:r w:rsidRPr="00FA1789">
        <w:rPr>
          <w:color w:val="auto"/>
          <w:lang w:val="en-US"/>
        </w:rPr>
        <w:t xml:space="preserve"> the quality of SHS and advanc</w:t>
      </w:r>
      <w:r w:rsidR="002346BF">
        <w:rPr>
          <w:color w:val="auto"/>
          <w:lang w:val="en-US"/>
        </w:rPr>
        <w:t>e</w:t>
      </w:r>
      <w:r w:rsidRPr="00FA1789">
        <w:rPr>
          <w:color w:val="auto"/>
          <w:lang w:val="en-US"/>
        </w:rPr>
        <w:t xml:space="preserve"> the K-12 education reform agenda</w:t>
      </w:r>
      <w:r w:rsidR="002346BF">
        <w:rPr>
          <w:color w:val="auto"/>
          <w:lang w:val="en-US"/>
        </w:rPr>
        <w:t>.</w:t>
      </w:r>
    </w:p>
    <w:p w14:paraId="3F065901" w14:textId="7B5025C3" w:rsidR="00730AF7" w:rsidRPr="00FA1789" w:rsidRDefault="00730AF7" w:rsidP="00AA3657">
      <w:pPr>
        <w:pStyle w:val="ListParagraph"/>
        <w:numPr>
          <w:ilvl w:val="0"/>
          <w:numId w:val="29"/>
        </w:numPr>
        <w:ind w:left="567"/>
        <w:rPr>
          <w:color w:val="auto"/>
          <w:lang w:val="en-US"/>
        </w:rPr>
      </w:pPr>
      <w:r w:rsidRPr="00FA1789">
        <w:rPr>
          <w:color w:val="auto"/>
          <w:lang w:val="en-US"/>
        </w:rPr>
        <w:t xml:space="preserve">Leveraged an additional AUD144 million funding for road networks from 2015 to 2016, </w:t>
      </w:r>
      <w:r w:rsidR="002346BF">
        <w:rPr>
          <w:color w:val="auto"/>
          <w:lang w:val="en-US"/>
        </w:rPr>
        <w:t>through</w:t>
      </w:r>
      <w:r w:rsidRPr="00FA1789">
        <w:rPr>
          <w:color w:val="auto"/>
          <w:lang w:val="en-US"/>
        </w:rPr>
        <w:t xml:space="preserve"> continu</w:t>
      </w:r>
      <w:r w:rsidR="002346BF">
        <w:rPr>
          <w:color w:val="auto"/>
          <w:lang w:val="en-US"/>
        </w:rPr>
        <w:t>ed</w:t>
      </w:r>
      <w:r w:rsidRPr="00FA1789">
        <w:rPr>
          <w:color w:val="auto"/>
          <w:lang w:val="en-US"/>
        </w:rPr>
        <w:t xml:space="preserve"> work with the local Chambers of Commerce and national and provincial agencies to reduce fragmentation in infrastructure planning and budgeting</w:t>
      </w:r>
      <w:r w:rsidR="002346BF">
        <w:rPr>
          <w:color w:val="auto"/>
          <w:lang w:val="en-US"/>
        </w:rPr>
        <w:t>.</w:t>
      </w:r>
      <w:r w:rsidR="00D719AB">
        <w:rPr>
          <w:color w:val="auto"/>
          <w:lang w:val="en-US"/>
        </w:rPr>
        <w:t xml:space="preserve"> </w:t>
      </w:r>
      <w:r w:rsidRPr="00FA1789">
        <w:rPr>
          <w:color w:val="auto"/>
          <w:lang w:val="en-US"/>
        </w:rPr>
        <w:t xml:space="preserve">  </w:t>
      </w:r>
    </w:p>
    <w:p w14:paraId="7191513A" w14:textId="2D385BF4" w:rsidR="00730AF7" w:rsidRPr="00FA1789" w:rsidRDefault="002346BF" w:rsidP="00AA3657">
      <w:pPr>
        <w:pStyle w:val="ListParagraph"/>
        <w:numPr>
          <w:ilvl w:val="0"/>
          <w:numId w:val="29"/>
        </w:numPr>
        <w:ind w:left="567"/>
        <w:rPr>
          <w:color w:val="auto"/>
          <w:lang w:val="en-US"/>
        </w:rPr>
      </w:pPr>
      <w:r>
        <w:rPr>
          <w:color w:val="auto"/>
          <w:lang w:val="en-US"/>
        </w:rPr>
        <w:t>Influenced a 150 percent</w:t>
      </w:r>
      <w:r w:rsidR="00730AF7" w:rsidRPr="00FA1789">
        <w:rPr>
          <w:color w:val="auto"/>
          <w:lang w:val="en-US"/>
        </w:rPr>
        <w:t xml:space="preserve"> increase in the number (from 2,000 to 5,000) of polling places accessible to persons with disabilities during the May 2016 elections through the Fully Abled Nation coalition</w:t>
      </w:r>
      <w:r>
        <w:rPr>
          <w:color w:val="auto"/>
          <w:lang w:val="en-US"/>
        </w:rPr>
        <w:t>.</w:t>
      </w:r>
    </w:p>
    <w:p w14:paraId="6EE6246A" w14:textId="4F0FE577" w:rsidR="00730AF7" w:rsidRPr="00FA1789" w:rsidRDefault="00730AF7" w:rsidP="00AA3657">
      <w:pPr>
        <w:pStyle w:val="ListParagraph"/>
        <w:numPr>
          <w:ilvl w:val="0"/>
          <w:numId w:val="29"/>
        </w:numPr>
        <w:ind w:left="567"/>
        <w:rPr>
          <w:color w:val="auto"/>
          <w:lang w:val="en-US"/>
        </w:rPr>
      </w:pPr>
      <w:r w:rsidRPr="00FA1789">
        <w:rPr>
          <w:color w:val="auto"/>
          <w:lang w:val="en-US"/>
        </w:rPr>
        <w:t>Helped the Department of Education deal with land acquisition, a major constraint to building more classrooms.</w:t>
      </w:r>
      <w:r w:rsidR="00AA3657">
        <w:rPr>
          <w:color w:val="auto"/>
          <w:lang w:val="en-US"/>
        </w:rPr>
        <w:t xml:space="preserve"> </w:t>
      </w:r>
      <w:r w:rsidRPr="00FA1789">
        <w:rPr>
          <w:color w:val="auto"/>
          <w:lang w:val="en-US"/>
        </w:rPr>
        <w:t xml:space="preserve">As a result of a new policy the number of titles awarded soared from a </w:t>
      </w:r>
      <w:r w:rsidR="00AA3657">
        <w:rPr>
          <w:color w:val="auto"/>
          <w:lang w:val="en-US"/>
        </w:rPr>
        <w:t xml:space="preserve">four </w:t>
      </w:r>
      <w:r w:rsidRPr="00FA1789">
        <w:rPr>
          <w:color w:val="auto"/>
          <w:lang w:val="en-US"/>
        </w:rPr>
        <w:t xml:space="preserve">in 2014 to 2,053 in 2015.  </w:t>
      </w:r>
    </w:p>
    <w:p w14:paraId="4CD38CCD" w14:textId="22C9A756" w:rsidR="00187C95" w:rsidRPr="006F2AA1" w:rsidRDefault="002346BF" w:rsidP="00187C95">
      <w:pPr>
        <w:rPr>
          <w:color w:val="auto"/>
        </w:rPr>
      </w:pPr>
      <w:r>
        <w:rPr>
          <w:color w:val="auto"/>
        </w:rPr>
        <w:t>Not</w:t>
      </w:r>
      <w:r w:rsidR="00187C95" w:rsidRPr="006F2AA1">
        <w:rPr>
          <w:color w:val="auto"/>
        </w:rPr>
        <w:t xml:space="preserve"> all reforms taken by </w:t>
      </w:r>
      <w:r>
        <w:rPr>
          <w:color w:val="auto"/>
        </w:rPr>
        <w:t>the Coalitions for Change program</w:t>
      </w:r>
      <w:r w:rsidR="00187C95" w:rsidRPr="006F2AA1">
        <w:rPr>
          <w:color w:val="auto"/>
        </w:rPr>
        <w:t xml:space="preserve"> during this period were successful. For example, </w:t>
      </w:r>
      <w:r>
        <w:rPr>
          <w:color w:val="auto"/>
        </w:rPr>
        <w:t>the program</w:t>
      </w:r>
      <w:r w:rsidR="00187C95" w:rsidRPr="006F2AA1">
        <w:rPr>
          <w:color w:val="auto"/>
        </w:rPr>
        <w:t xml:space="preserve"> is still unable to </w:t>
      </w:r>
      <w:r>
        <w:rPr>
          <w:color w:val="auto"/>
        </w:rPr>
        <w:t xml:space="preserve">help to </w:t>
      </w:r>
      <w:r w:rsidR="00187C95" w:rsidRPr="006F2AA1">
        <w:rPr>
          <w:color w:val="auto"/>
        </w:rPr>
        <w:t xml:space="preserve">pass the bill that could have improved the regulatory environment for public-private partnerships. It was also not able to push for needed amendments to the Disaster Risk Reduction law. </w:t>
      </w:r>
      <w:r>
        <w:rPr>
          <w:color w:val="auto"/>
        </w:rPr>
        <w:t>Many</w:t>
      </w:r>
      <w:r w:rsidR="00187C95" w:rsidRPr="006F2AA1">
        <w:rPr>
          <w:color w:val="auto"/>
        </w:rPr>
        <w:t xml:space="preserve"> of these failures can be attributed to </w:t>
      </w:r>
      <w:r>
        <w:rPr>
          <w:color w:val="auto"/>
        </w:rPr>
        <w:t xml:space="preserve">challenges around </w:t>
      </w:r>
      <w:r w:rsidR="00187C95" w:rsidRPr="006F2AA1">
        <w:rPr>
          <w:color w:val="auto"/>
        </w:rPr>
        <w:t>poor technical solutions or an unfeasible political climate, which provides us with valuable lessons learned.</w:t>
      </w:r>
    </w:p>
    <w:p w14:paraId="00BF7D5C" w14:textId="552D2712" w:rsidR="00730AF7" w:rsidRPr="00187C95" w:rsidRDefault="00730AF7" w:rsidP="00730AF7">
      <w:pPr>
        <w:rPr>
          <w:b/>
          <w:color w:val="auto"/>
        </w:rPr>
      </w:pPr>
      <w:r w:rsidRPr="006F2AA1">
        <w:rPr>
          <w:color w:val="auto"/>
        </w:rPr>
        <w:t xml:space="preserve">Our work </w:t>
      </w:r>
      <w:r w:rsidR="00AA3657" w:rsidRPr="006F2AA1">
        <w:rPr>
          <w:color w:val="auto"/>
        </w:rPr>
        <w:t>in our</w:t>
      </w:r>
      <w:r w:rsidRPr="006F2AA1">
        <w:rPr>
          <w:color w:val="auto"/>
        </w:rPr>
        <w:t xml:space="preserve"> partnership </w:t>
      </w:r>
      <w:r w:rsidRPr="00FA1789">
        <w:rPr>
          <w:color w:val="auto"/>
        </w:rPr>
        <w:t xml:space="preserve">with The Asia Foundation </w:t>
      </w:r>
      <w:r w:rsidR="00AA3657">
        <w:rPr>
          <w:color w:val="auto"/>
        </w:rPr>
        <w:t xml:space="preserve">(TAF) </w:t>
      </w:r>
      <w:r w:rsidRPr="00FA1789">
        <w:rPr>
          <w:color w:val="auto"/>
        </w:rPr>
        <w:t>has progressed significantly</w:t>
      </w:r>
      <w:r w:rsidR="004873DC">
        <w:rPr>
          <w:color w:val="auto"/>
        </w:rPr>
        <w:t>.</w:t>
      </w:r>
      <w:r w:rsidRPr="00FA1789">
        <w:rPr>
          <w:color w:val="auto"/>
        </w:rPr>
        <w:t xml:space="preserve"> </w:t>
      </w:r>
      <w:r w:rsidR="004873DC">
        <w:rPr>
          <w:color w:val="auto"/>
        </w:rPr>
        <w:t>A</w:t>
      </w:r>
      <w:r w:rsidRPr="00FA1789">
        <w:rPr>
          <w:color w:val="auto"/>
        </w:rPr>
        <w:t xml:space="preserve"> gender specialist was engaged to assist reform teams for the </w:t>
      </w:r>
      <w:r w:rsidR="00AA3657">
        <w:rPr>
          <w:color w:val="auto"/>
        </w:rPr>
        <w:t>Coalitions for Change</w:t>
      </w:r>
      <w:r w:rsidRPr="00FA1789">
        <w:rPr>
          <w:color w:val="auto"/>
        </w:rPr>
        <w:t xml:space="preserve"> program and the Philippines-Australia Community Assistance Program-Direct Aid Program teams. TAF has also reviewed and updated its contracting documents and reporting templates to include gender responsive commitments. </w:t>
      </w:r>
    </w:p>
    <w:p w14:paraId="4AB85054" w14:textId="4040B163" w:rsidR="00AD331C" w:rsidRDefault="00730AF7" w:rsidP="002A51CA">
      <w:pPr>
        <w:rPr>
          <w:color w:val="auto"/>
          <w:lang w:val="en-US"/>
        </w:rPr>
      </w:pPr>
      <w:r w:rsidRPr="00FA1789">
        <w:rPr>
          <w:color w:val="auto"/>
          <w:lang w:val="en-US"/>
        </w:rPr>
        <w:t xml:space="preserve">Australia launched </w:t>
      </w:r>
      <w:r w:rsidR="00AD331C" w:rsidRPr="00FA1789">
        <w:rPr>
          <w:color w:val="auto"/>
          <w:lang w:val="en-US"/>
        </w:rPr>
        <w:t>an</w:t>
      </w:r>
      <w:r w:rsidRPr="00FA1789">
        <w:rPr>
          <w:color w:val="auto"/>
          <w:lang w:val="en-US"/>
        </w:rPr>
        <w:t xml:space="preserve"> </w:t>
      </w:r>
      <w:r w:rsidR="00AD331C">
        <w:rPr>
          <w:color w:val="auto"/>
          <w:lang w:val="en-US"/>
        </w:rPr>
        <w:t xml:space="preserve">AUD2 million </w:t>
      </w:r>
      <w:r w:rsidRPr="000E6E92">
        <w:rPr>
          <w:b/>
          <w:color w:val="auto"/>
          <w:lang w:val="en-US"/>
        </w:rPr>
        <w:t>Child Protection Program</w:t>
      </w:r>
      <w:r w:rsidRPr="00FA1789">
        <w:rPr>
          <w:color w:val="auto"/>
          <w:lang w:val="en-US"/>
        </w:rPr>
        <w:t xml:space="preserve"> in November 2015 to protect Filipino children from online sexual abuse and exploitation. In support of this activity, partnerships were formed among Australian businesses, the Australian Federal Police, UNICEF, and </w:t>
      </w:r>
      <w:r w:rsidR="00AD331C">
        <w:rPr>
          <w:color w:val="auto"/>
          <w:lang w:val="en-US"/>
        </w:rPr>
        <w:t>TAF</w:t>
      </w:r>
      <w:r w:rsidRPr="00FA1789">
        <w:rPr>
          <w:color w:val="auto"/>
          <w:lang w:val="en-US"/>
        </w:rPr>
        <w:t xml:space="preserve">.  </w:t>
      </w:r>
    </w:p>
    <w:p w14:paraId="67DF5BB4" w14:textId="1BEE8723" w:rsidR="00713F20" w:rsidRPr="002A3222" w:rsidRDefault="00713F20" w:rsidP="002A51CA">
      <w:pPr>
        <w:rPr>
          <w:b/>
          <w:color w:val="auto"/>
        </w:rPr>
      </w:pPr>
      <w:r w:rsidRPr="002A3222">
        <w:rPr>
          <w:b/>
          <w:color w:val="auto"/>
        </w:rPr>
        <w:t>Objective 3: Improving conditions for peace and stability</w:t>
      </w:r>
    </w:p>
    <w:p w14:paraId="7ECDE9F2" w14:textId="77777777" w:rsidR="00AA0190" w:rsidRPr="00D61F18" w:rsidRDefault="00AA0190" w:rsidP="00AA0190">
      <w:pPr>
        <w:rPr>
          <w:color w:val="FFFFFF" w:themeColor="background1"/>
          <w:lang w:val="en-AU"/>
        </w:rPr>
      </w:pPr>
      <w:r w:rsidRPr="00ED21E9">
        <w:rPr>
          <w:b/>
          <w:color w:val="auto"/>
          <w:lang w:val="en-AU"/>
        </w:rPr>
        <w:t>Rating:</w:t>
      </w:r>
      <w:r w:rsidRPr="002A3222">
        <w:rPr>
          <w:color w:val="auto"/>
          <w:lang w:val="en-AU"/>
        </w:rPr>
        <w:t xml:space="preserve"> </w:t>
      </w:r>
      <w:r w:rsidR="005E5FF7">
        <w:rPr>
          <w:color w:val="auto"/>
          <w:lang w:val="en-AU"/>
        </w:rPr>
        <w:t>Green</w:t>
      </w:r>
    </w:p>
    <w:p w14:paraId="34DA5703" w14:textId="7B0AC4BE" w:rsidR="00AA0190" w:rsidRPr="000E709F" w:rsidRDefault="00AA0190" w:rsidP="00AA0190">
      <w:pPr>
        <w:rPr>
          <w:color w:val="auto"/>
          <w:lang w:val="en-AU"/>
        </w:rPr>
      </w:pPr>
      <w:r w:rsidRPr="000E709F">
        <w:rPr>
          <w:color w:val="auto"/>
          <w:lang w:val="en-AU"/>
        </w:rPr>
        <w:t xml:space="preserve">Australia’s support under the </w:t>
      </w:r>
      <w:r w:rsidRPr="000E6E92">
        <w:rPr>
          <w:b/>
          <w:color w:val="auto"/>
          <w:lang w:val="en-AU"/>
        </w:rPr>
        <w:t>Building Autonomous and Stable Institutions and Communities in the Bangsamoro (BASIC Bangsamoro) program</w:t>
      </w:r>
      <w:r w:rsidRPr="000E709F">
        <w:rPr>
          <w:color w:val="auto"/>
          <w:lang w:val="en-AU"/>
        </w:rPr>
        <w:t xml:space="preserve"> helped improve institutional capacity to implement the peace agreement, ensure the peace agreement is more credible, and strengthen local mechanisms for mitigating conflict. While the debate over the draft legislation, the Bangsamoro Basic Law, did not result in a final agreement, it helped establish the key issues and barriers to progress for both sides and thus forms the basis for ongoing dialogue between the MILF and the new administration and congress.</w:t>
      </w:r>
      <w:r w:rsidR="000E709F">
        <w:rPr>
          <w:color w:val="auto"/>
          <w:lang w:val="en-AU"/>
        </w:rPr>
        <w:t xml:space="preserve"> </w:t>
      </w:r>
      <w:r w:rsidR="000E709F" w:rsidRPr="000E709F">
        <w:rPr>
          <w:color w:val="auto"/>
          <w:lang w:val="en-AU"/>
        </w:rPr>
        <w:t>I</w:t>
      </w:r>
      <w:r w:rsidRPr="000E709F">
        <w:rPr>
          <w:color w:val="auto"/>
          <w:lang w:val="en-AU"/>
        </w:rPr>
        <w:t>n 2015-16</w:t>
      </w:r>
      <w:r w:rsidR="000E709F" w:rsidRPr="000E709F">
        <w:rPr>
          <w:color w:val="auto"/>
          <w:lang w:val="en-AU"/>
        </w:rPr>
        <w:t xml:space="preserve"> Australia</w:t>
      </w:r>
      <w:r w:rsidRPr="000E709F">
        <w:rPr>
          <w:color w:val="auto"/>
          <w:lang w:val="en-AU"/>
        </w:rPr>
        <w:t xml:space="preserve"> provided support for representatives from Mindanao’s private sector, linking them with local government units in Muslim Mindanao to build confidence in the peace process despite the difficulties in passing the law. The program also linked local partners and networks with national security agencies on issues of community security and strengthening local conflict resolution mechanisms. </w:t>
      </w:r>
    </w:p>
    <w:p w14:paraId="3748E382" w14:textId="16909946" w:rsidR="00AA0190" w:rsidRPr="00AD74AF" w:rsidRDefault="00AD74AF" w:rsidP="00AA0190">
      <w:pPr>
        <w:rPr>
          <w:color w:val="auto"/>
          <w:lang w:val="en-AU"/>
        </w:rPr>
      </w:pPr>
      <w:r w:rsidRPr="00AD74AF">
        <w:rPr>
          <w:color w:val="auto"/>
          <w:lang w:val="en-AU"/>
        </w:rPr>
        <w:lastRenderedPageBreak/>
        <w:t>The w</w:t>
      </w:r>
      <w:r w:rsidR="00AA0190" w:rsidRPr="00AD74AF">
        <w:rPr>
          <w:color w:val="auto"/>
          <w:lang w:val="en-AU"/>
        </w:rPr>
        <w:t xml:space="preserve">omen, </w:t>
      </w:r>
      <w:r w:rsidRPr="00AD74AF">
        <w:rPr>
          <w:color w:val="auto"/>
          <w:lang w:val="en-AU"/>
        </w:rPr>
        <w:t>p</w:t>
      </w:r>
      <w:r w:rsidR="00AA0190" w:rsidRPr="00AD74AF">
        <w:rPr>
          <w:color w:val="auto"/>
          <w:lang w:val="en-AU"/>
        </w:rPr>
        <w:t xml:space="preserve">eace and </w:t>
      </w:r>
      <w:r w:rsidRPr="00AD74AF">
        <w:rPr>
          <w:color w:val="auto"/>
          <w:lang w:val="en-AU"/>
        </w:rPr>
        <w:t>s</w:t>
      </w:r>
      <w:r w:rsidR="00AA0190" w:rsidRPr="00AD74AF">
        <w:rPr>
          <w:color w:val="auto"/>
          <w:lang w:val="en-AU"/>
        </w:rPr>
        <w:t xml:space="preserve">ecurity </w:t>
      </w:r>
      <w:r w:rsidRPr="00AD74AF">
        <w:rPr>
          <w:color w:val="auto"/>
          <w:lang w:val="en-AU"/>
        </w:rPr>
        <w:t>a</w:t>
      </w:r>
      <w:r w:rsidR="00AA0190" w:rsidRPr="00AD74AF">
        <w:rPr>
          <w:color w:val="auto"/>
          <w:lang w:val="en-AU"/>
        </w:rPr>
        <w:t xml:space="preserve">genda is a priority </w:t>
      </w:r>
      <w:r w:rsidRPr="00AD74AF">
        <w:rPr>
          <w:color w:val="auto"/>
          <w:lang w:val="en-AU"/>
        </w:rPr>
        <w:t>of</w:t>
      </w:r>
      <w:r w:rsidR="00AA0190" w:rsidRPr="00AD74AF">
        <w:rPr>
          <w:color w:val="auto"/>
          <w:lang w:val="en-AU"/>
        </w:rPr>
        <w:t xml:space="preserve"> Australia’s work in Mindanao. Our program provides support to address issues affecting women and men during and after conflict, including helping women participate in peace processes, ensuring their needs for protection are met and incorporating gender perspectives in program delivery. Australia has provided capacity building for women at the community level and connected them with other </w:t>
      </w:r>
      <w:r w:rsidRPr="00AD74AF">
        <w:rPr>
          <w:color w:val="auto"/>
          <w:lang w:val="en-AU"/>
        </w:rPr>
        <w:t>women’s</w:t>
      </w:r>
      <w:r w:rsidR="00AA0190" w:rsidRPr="00AD74AF">
        <w:rPr>
          <w:color w:val="auto"/>
          <w:lang w:val="en-AU"/>
        </w:rPr>
        <w:t xml:space="preserve"> groups to build advocacy and information sharing networks. Women leaders who received training have increased capacity, knowledge and skills for political participation in the Bangsamoro political entity, with many running for public office in the May </w:t>
      </w:r>
      <w:r w:rsidRPr="00AD74AF">
        <w:rPr>
          <w:color w:val="auto"/>
          <w:lang w:val="en-AU"/>
        </w:rPr>
        <w:t xml:space="preserve">2016 </w:t>
      </w:r>
      <w:r w:rsidR="00AA0190" w:rsidRPr="00AD74AF">
        <w:rPr>
          <w:color w:val="auto"/>
          <w:lang w:val="en-AU"/>
        </w:rPr>
        <w:t xml:space="preserve">elections. </w:t>
      </w:r>
      <w:r w:rsidR="00B56A0A">
        <w:rPr>
          <w:color w:val="auto"/>
          <w:lang w:val="en-AU"/>
        </w:rPr>
        <w:t xml:space="preserve"> </w:t>
      </w:r>
    </w:p>
    <w:p w14:paraId="024CCEC4" w14:textId="308779D7" w:rsidR="00AA0190" w:rsidRPr="00AD74AF" w:rsidRDefault="00AA0190" w:rsidP="00AA0190">
      <w:pPr>
        <w:rPr>
          <w:color w:val="auto"/>
          <w:lang w:val="en-AU"/>
        </w:rPr>
      </w:pPr>
      <w:r w:rsidRPr="00AD74AF">
        <w:rPr>
          <w:color w:val="auto"/>
          <w:lang w:val="en-AU"/>
        </w:rPr>
        <w:t xml:space="preserve">Australia’s funding for the </w:t>
      </w:r>
      <w:r w:rsidRPr="000E6E92">
        <w:rPr>
          <w:b/>
          <w:color w:val="auto"/>
          <w:lang w:val="en-AU"/>
        </w:rPr>
        <w:t>World Bank-administered multi-donor Mindanao Trust Fund</w:t>
      </w:r>
      <w:r w:rsidRPr="00AD74AF">
        <w:rPr>
          <w:color w:val="auto"/>
          <w:lang w:val="en-AU"/>
        </w:rPr>
        <w:t xml:space="preserve"> has provided essential services, such as water supply systems, and support for livelihoods </w:t>
      </w:r>
      <w:r w:rsidR="00E339EA">
        <w:rPr>
          <w:color w:val="auto"/>
          <w:lang w:val="en-AU"/>
        </w:rPr>
        <w:t>in</w:t>
      </w:r>
      <w:r w:rsidRPr="00AD74AF">
        <w:rPr>
          <w:color w:val="auto"/>
          <w:lang w:val="en-AU"/>
        </w:rPr>
        <w:t xml:space="preserve"> conflict-affected communities, including in </w:t>
      </w:r>
      <w:r w:rsidR="00655B77">
        <w:rPr>
          <w:color w:val="auto"/>
          <w:lang w:val="en-AU"/>
        </w:rPr>
        <w:t xml:space="preserve">internally displaced persons </w:t>
      </w:r>
      <w:r w:rsidRPr="00AD74AF">
        <w:rPr>
          <w:color w:val="auto"/>
          <w:lang w:val="en-AU"/>
        </w:rPr>
        <w:t>camps. This support, developed in consultation with communities and delivered by trusted counterparts, has helped demonstrate the practical benefits of remaining engaged in the peace process. It has also engaged the agencies of the future Bangsamoro in service delivery functions and developed their capacity to responsibly govern the new political entity once it is established. Our funding through the UNDP and World Bank has supported the delivery of critical elements of the peace agreement. This included support for the production of the Transitional Justice and Reconciliation Commission report and the conduct of community dialogues in 11 MILF camps and communities.</w:t>
      </w:r>
    </w:p>
    <w:p w14:paraId="57A4F531" w14:textId="5859E813" w:rsidR="004B5151" w:rsidRPr="002A3222" w:rsidRDefault="004B5151" w:rsidP="004B5151">
      <w:pPr>
        <w:rPr>
          <w:color w:val="auto"/>
          <w:lang w:val="en-AU"/>
        </w:rPr>
      </w:pPr>
      <w:r w:rsidRPr="002A3222">
        <w:rPr>
          <w:color w:val="auto"/>
          <w:lang w:val="en-AU"/>
        </w:rPr>
        <w:t xml:space="preserve">The </w:t>
      </w:r>
      <w:r w:rsidRPr="00A114F8">
        <w:rPr>
          <w:b/>
          <w:color w:val="auto"/>
          <w:lang w:val="en-AU"/>
        </w:rPr>
        <w:t>Basic Education Assistance in Muslim Mindanao (BEAM-ARMM) program</w:t>
      </w:r>
      <w:r w:rsidRPr="002A3222">
        <w:rPr>
          <w:color w:val="auto"/>
          <w:lang w:val="en-AU"/>
        </w:rPr>
        <w:t xml:space="preserve"> </w:t>
      </w:r>
      <w:r w:rsidR="00AD74AF" w:rsidRPr="002A3222">
        <w:rPr>
          <w:color w:val="auto"/>
          <w:lang w:val="en-AU"/>
        </w:rPr>
        <w:t>is making good progress</w:t>
      </w:r>
      <w:r w:rsidRPr="002A3222">
        <w:rPr>
          <w:color w:val="auto"/>
          <w:lang w:val="en-AU"/>
        </w:rPr>
        <w:t xml:space="preserve"> </w:t>
      </w:r>
      <w:r w:rsidR="00AD74AF" w:rsidRPr="002A3222">
        <w:rPr>
          <w:color w:val="auto"/>
          <w:lang w:val="en-AU"/>
        </w:rPr>
        <w:t xml:space="preserve">in improving access to education for targeted beneficiaries, </w:t>
      </w:r>
      <w:r w:rsidRPr="002A3222">
        <w:rPr>
          <w:color w:val="auto"/>
          <w:lang w:val="en-AU"/>
        </w:rPr>
        <w:t>teacher training</w:t>
      </w:r>
      <w:r w:rsidR="00AD74AF" w:rsidRPr="002A3222">
        <w:rPr>
          <w:color w:val="auto"/>
          <w:lang w:val="en-AU"/>
        </w:rPr>
        <w:t>,</w:t>
      </w:r>
      <w:r w:rsidRPr="002A3222">
        <w:rPr>
          <w:color w:val="auto"/>
          <w:lang w:val="en-AU"/>
        </w:rPr>
        <w:t xml:space="preserve"> and data systems improvement. The program also contributed to the creation of a climate for peace: this year saw a marked improvement in collaboration through BEAM-ARMM between parties to the peace process. This cooperation between stakeholders through joint meetings and policy discussion sets a good tone for the final year of BEAM-ARMM as we move towards implementation of the successor program which will rest on even stronger collaboration in the education policy space. In 2015-16, the program</w:t>
      </w:r>
      <w:r w:rsidR="00E339EA">
        <w:rPr>
          <w:color w:val="auto"/>
          <w:lang w:val="en-AU"/>
        </w:rPr>
        <w:t>:</w:t>
      </w:r>
      <w:r w:rsidRPr="002A3222">
        <w:rPr>
          <w:color w:val="auto"/>
          <w:lang w:val="en-AU"/>
        </w:rPr>
        <w:t xml:space="preserve"> </w:t>
      </w:r>
    </w:p>
    <w:p w14:paraId="55D8DE3C" w14:textId="05C097DD" w:rsidR="004B5151" w:rsidRPr="006F2AA1" w:rsidRDefault="004B5151" w:rsidP="00E31DB0">
      <w:pPr>
        <w:pStyle w:val="ListParagraph"/>
        <w:numPr>
          <w:ilvl w:val="0"/>
          <w:numId w:val="29"/>
        </w:numPr>
        <w:ind w:left="567"/>
        <w:rPr>
          <w:color w:val="auto"/>
          <w:lang w:val="en-US"/>
        </w:rPr>
      </w:pPr>
      <w:r w:rsidRPr="006F2AA1">
        <w:rPr>
          <w:color w:val="auto"/>
          <w:lang w:val="en-AU"/>
        </w:rPr>
        <w:t>enabled 76,000 children</w:t>
      </w:r>
      <w:r w:rsidR="00AD74AF" w:rsidRPr="006F2AA1">
        <w:rPr>
          <w:color w:val="auto"/>
          <w:lang w:val="en-AU"/>
        </w:rPr>
        <w:t xml:space="preserve"> who previously had no access to education </w:t>
      </w:r>
      <w:r w:rsidR="00E339EA">
        <w:rPr>
          <w:color w:val="auto"/>
          <w:lang w:val="en-AU"/>
        </w:rPr>
        <w:t>to be in school</w:t>
      </w:r>
      <w:r w:rsidR="00AD74AF" w:rsidRPr="006F2AA1">
        <w:rPr>
          <w:color w:val="auto"/>
          <w:lang w:val="en-US"/>
        </w:rPr>
        <w:t>. This includes more than</w:t>
      </w:r>
      <w:r w:rsidR="00EF6558" w:rsidRPr="006F2AA1">
        <w:rPr>
          <w:color w:val="auto"/>
          <w:lang w:val="en-US"/>
        </w:rPr>
        <w:t xml:space="preserve"> 2,500 indigenous children in </w:t>
      </w:r>
      <w:r w:rsidR="00E339EA">
        <w:rPr>
          <w:color w:val="auto"/>
          <w:lang w:val="en-US"/>
        </w:rPr>
        <w:t>ARMM. We also</w:t>
      </w:r>
      <w:r w:rsidR="006F2AA1" w:rsidRPr="006F2AA1">
        <w:rPr>
          <w:color w:val="auto"/>
          <w:lang w:val="en-US"/>
        </w:rPr>
        <w:t xml:space="preserve"> </w:t>
      </w:r>
      <w:r w:rsidRPr="006F2AA1">
        <w:rPr>
          <w:color w:val="auto"/>
          <w:lang w:val="en-US"/>
        </w:rPr>
        <w:t>provided training to 2,420 teachers</w:t>
      </w:r>
      <w:r w:rsidR="00E339EA">
        <w:rPr>
          <w:color w:val="auto"/>
          <w:lang w:val="en-US"/>
        </w:rPr>
        <w:t>.</w:t>
      </w:r>
      <w:r w:rsidRPr="006F2AA1">
        <w:rPr>
          <w:color w:val="auto"/>
          <w:lang w:val="en-US"/>
        </w:rPr>
        <w:t xml:space="preserve"> </w:t>
      </w:r>
    </w:p>
    <w:p w14:paraId="7BD2813B" w14:textId="6BB66D96" w:rsidR="004B5151" w:rsidRPr="00A0588E" w:rsidRDefault="00A0588E" w:rsidP="00E31DB0">
      <w:pPr>
        <w:pStyle w:val="ListParagraph"/>
        <w:numPr>
          <w:ilvl w:val="0"/>
          <w:numId w:val="29"/>
        </w:numPr>
        <w:ind w:left="567"/>
        <w:rPr>
          <w:color w:val="auto"/>
          <w:lang w:val="en-AU"/>
        </w:rPr>
      </w:pPr>
      <w:r>
        <w:rPr>
          <w:color w:val="auto"/>
          <w:lang w:val="en-US"/>
        </w:rPr>
        <w:t>ensured through the vocational education and training component that women filled 25 percent of places in traditionally male-dominated courses including agricultural crop production, masonry,</w:t>
      </w:r>
      <w:r w:rsidR="00E339EA">
        <w:rPr>
          <w:color w:val="auto"/>
          <w:lang w:val="en-US"/>
        </w:rPr>
        <w:t xml:space="preserve"> security services and plumbing.</w:t>
      </w:r>
    </w:p>
    <w:p w14:paraId="205DB675" w14:textId="2D783D9E" w:rsidR="00A0588E" w:rsidRPr="002A3222" w:rsidRDefault="00A0588E" w:rsidP="00E31DB0">
      <w:pPr>
        <w:pStyle w:val="ListParagraph"/>
        <w:numPr>
          <w:ilvl w:val="0"/>
          <w:numId w:val="29"/>
        </w:numPr>
        <w:ind w:left="567"/>
        <w:rPr>
          <w:color w:val="auto"/>
          <w:lang w:val="en-AU"/>
        </w:rPr>
      </w:pPr>
      <w:r>
        <w:rPr>
          <w:color w:val="auto"/>
          <w:lang w:val="en-US"/>
        </w:rPr>
        <w:t>trained 1,466 women teachers and community leaders (out of 2,134 participants)</w:t>
      </w:r>
      <w:r w:rsidR="00553217">
        <w:rPr>
          <w:color w:val="auto"/>
          <w:lang w:val="en-US"/>
        </w:rPr>
        <w:t xml:space="preserve"> through the basic education component</w:t>
      </w:r>
      <w:r>
        <w:rPr>
          <w:color w:val="auto"/>
          <w:lang w:val="en-US"/>
        </w:rPr>
        <w:t xml:space="preserve"> on how to supervise classroom construction in their communities. Anecdotal evidence from our partners in ARMM suggests that </w:t>
      </w:r>
      <w:r w:rsidR="00553217">
        <w:rPr>
          <w:color w:val="auto"/>
          <w:lang w:val="en-US"/>
        </w:rPr>
        <w:t>this</w:t>
      </w:r>
      <w:r>
        <w:rPr>
          <w:color w:val="auto"/>
          <w:lang w:val="en-US"/>
        </w:rPr>
        <w:t xml:space="preserve"> has led to greater levels of active civic engagement by these women.</w:t>
      </w:r>
    </w:p>
    <w:p w14:paraId="55B4A1AE" w14:textId="6FECFCD0" w:rsidR="002A51CA" w:rsidRPr="002A3222" w:rsidRDefault="00BA6783" w:rsidP="002A51CA">
      <w:pPr>
        <w:spacing w:after="120" w:line="280" w:lineRule="exact"/>
        <w:rPr>
          <w:color w:val="auto"/>
          <w:lang w:val="en-AU"/>
        </w:rPr>
      </w:pPr>
      <w:r w:rsidRPr="002A3222">
        <w:rPr>
          <w:color w:val="auto"/>
          <w:lang w:val="en-AU"/>
        </w:rPr>
        <w:t>Th</w:t>
      </w:r>
      <w:r w:rsidR="002A3222">
        <w:rPr>
          <w:color w:val="auto"/>
          <w:lang w:val="en-AU"/>
        </w:rPr>
        <w:t>ese</w:t>
      </w:r>
      <w:r w:rsidRPr="002A3222">
        <w:rPr>
          <w:color w:val="auto"/>
          <w:lang w:val="en-AU"/>
        </w:rPr>
        <w:t xml:space="preserve"> programs are designed to respond to changes in the local context, both in Muslim Mindanao and at the national level. As the new Philippines administration is established, </w:t>
      </w:r>
      <w:r w:rsidR="00E339EA">
        <w:rPr>
          <w:color w:val="auto"/>
          <w:lang w:val="en-AU"/>
        </w:rPr>
        <w:t>our programs</w:t>
      </w:r>
      <w:r w:rsidRPr="002A3222">
        <w:rPr>
          <w:color w:val="auto"/>
          <w:lang w:val="en-AU"/>
        </w:rPr>
        <w:t xml:space="preserve"> will be able to adapt to address emerging priorities and policies and help ensure that the trajectory towards a durable peace is maintained.</w:t>
      </w:r>
    </w:p>
    <w:p w14:paraId="0DAB63C2" w14:textId="77777777" w:rsidR="002A51CA" w:rsidRPr="00960001" w:rsidRDefault="002A51CA" w:rsidP="004C4211">
      <w:pPr>
        <w:pStyle w:val="ListBullet"/>
        <w:tabs>
          <w:tab w:val="clear" w:pos="284"/>
        </w:tabs>
        <w:spacing w:before="280" w:after="160"/>
        <w:rPr>
          <w:rFonts w:asciiTheme="majorHAnsi" w:eastAsiaTheme="majorEastAsia" w:hAnsiTheme="majorHAnsi" w:cstheme="majorBidi"/>
          <w:caps/>
          <w:sz w:val="38"/>
          <w:szCs w:val="26"/>
          <w:lang w:val="en-GB" w:eastAsia="en-US"/>
        </w:rPr>
      </w:pPr>
      <w:r w:rsidRPr="00960001">
        <w:rPr>
          <w:rFonts w:asciiTheme="majorHAnsi" w:eastAsiaTheme="majorEastAsia" w:hAnsiTheme="majorHAnsi" w:cstheme="majorBidi"/>
          <w:caps/>
          <w:sz w:val="38"/>
          <w:szCs w:val="26"/>
          <w:lang w:val="en-GB" w:eastAsia="en-US"/>
        </w:rPr>
        <w:t>Performance Benchmarks</w:t>
      </w:r>
      <w:r w:rsidRPr="00960001">
        <w:rPr>
          <w:rFonts w:asciiTheme="majorHAnsi" w:eastAsiaTheme="majorEastAsia" w:hAnsiTheme="majorHAnsi" w:cstheme="majorBidi"/>
          <w:caps/>
          <w:sz w:val="38"/>
          <w:szCs w:val="26"/>
          <w:lang w:val="en-GB" w:eastAsia="en-US"/>
        </w:rPr>
        <w:tab/>
      </w:r>
    </w:p>
    <w:p w14:paraId="504EAB44" w14:textId="7F957DD8" w:rsidR="002A51CA" w:rsidRDefault="00CC34D1" w:rsidP="002A51CA">
      <w:pPr>
        <w:spacing w:after="120" w:line="280" w:lineRule="exact"/>
        <w:rPr>
          <w:color w:val="auto"/>
        </w:rPr>
      </w:pPr>
      <w:r w:rsidRPr="00AB41FC">
        <w:rPr>
          <w:color w:val="auto"/>
        </w:rPr>
        <w:t xml:space="preserve">In 2015-16 the Philippines Program has fully achieved </w:t>
      </w:r>
      <w:r w:rsidR="005E1DFB">
        <w:rPr>
          <w:color w:val="auto"/>
        </w:rPr>
        <w:t>six</w:t>
      </w:r>
      <w:r w:rsidR="00FC44FC">
        <w:rPr>
          <w:color w:val="auto"/>
        </w:rPr>
        <w:t xml:space="preserve"> </w:t>
      </w:r>
      <w:r w:rsidR="00AB41FC" w:rsidRPr="00AB41FC">
        <w:rPr>
          <w:color w:val="auto"/>
        </w:rPr>
        <w:t>of the</w:t>
      </w:r>
      <w:r w:rsidR="0006583A" w:rsidRPr="00AB41FC">
        <w:rPr>
          <w:color w:val="auto"/>
        </w:rPr>
        <w:t xml:space="preserve"> nine</w:t>
      </w:r>
      <w:r w:rsidRPr="00AB41FC">
        <w:rPr>
          <w:color w:val="auto"/>
        </w:rPr>
        <w:t xml:space="preserve"> performance benchmarks outlined in the </w:t>
      </w:r>
      <w:r w:rsidR="00AB41FC" w:rsidRPr="00AB41FC">
        <w:rPr>
          <w:color w:val="auto"/>
        </w:rPr>
        <w:t xml:space="preserve">current </w:t>
      </w:r>
      <w:r w:rsidRPr="00AB41FC">
        <w:rPr>
          <w:color w:val="auto"/>
        </w:rPr>
        <w:t>Philippines A</w:t>
      </w:r>
      <w:r w:rsidR="00AB41FC" w:rsidRPr="00AB41FC">
        <w:rPr>
          <w:color w:val="auto"/>
        </w:rPr>
        <w:t>id Investment Plan</w:t>
      </w:r>
      <w:r w:rsidRPr="00AB41FC">
        <w:rPr>
          <w:color w:val="auto"/>
        </w:rPr>
        <w:t>. Annex B outlines the progress towards the p</w:t>
      </w:r>
      <w:r w:rsidR="000E1678">
        <w:rPr>
          <w:color w:val="auto"/>
        </w:rPr>
        <w:t>erformance benchmarks</w:t>
      </w:r>
      <w:r w:rsidR="006F2AA1">
        <w:rPr>
          <w:color w:val="auto"/>
        </w:rPr>
        <w:t xml:space="preserve">. </w:t>
      </w:r>
      <w:r w:rsidR="004C16F1" w:rsidRPr="0021146D">
        <w:rPr>
          <w:color w:val="auto"/>
        </w:rPr>
        <w:t xml:space="preserve">As outlined under </w:t>
      </w:r>
      <w:r w:rsidR="00AB41FC" w:rsidRPr="0021146D">
        <w:rPr>
          <w:color w:val="auto"/>
        </w:rPr>
        <w:t>Objective 1,</w:t>
      </w:r>
      <w:r w:rsidR="004C16F1" w:rsidRPr="0021146D">
        <w:rPr>
          <w:color w:val="auto"/>
        </w:rPr>
        <w:t xml:space="preserve"> </w:t>
      </w:r>
      <w:r w:rsidR="00AB41FC" w:rsidRPr="0021146D">
        <w:rPr>
          <w:color w:val="auto"/>
        </w:rPr>
        <w:t>two economic growth performance benchmarks were partially achieved. T</w:t>
      </w:r>
      <w:r w:rsidR="008B080B" w:rsidRPr="0021146D">
        <w:rPr>
          <w:color w:val="auto"/>
        </w:rPr>
        <w:t xml:space="preserve">he design of the </w:t>
      </w:r>
      <w:r w:rsidR="007D1E7C" w:rsidRPr="0021146D">
        <w:rPr>
          <w:color w:val="auto"/>
        </w:rPr>
        <w:t>Trade and</w:t>
      </w:r>
      <w:r w:rsidR="008B080B" w:rsidRPr="0021146D">
        <w:rPr>
          <w:color w:val="auto"/>
        </w:rPr>
        <w:t xml:space="preserve"> </w:t>
      </w:r>
      <w:r w:rsidR="00AB41FC" w:rsidRPr="0021146D">
        <w:rPr>
          <w:color w:val="auto"/>
        </w:rPr>
        <w:t xml:space="preserve">Inclusive Economic </w:t>
      </w:r>
      <w:r w:rsidR="007D1E7C" w:rsidRPr="0021146D">
        <w:rPr>
          <w:color w:val="auto"/>
        </w:rPr>
        <w:t xml:space="preserve">Growth </w:t>
      </w:r>
      <w:r w:rsidR="00AB41FC" w:rsidRPr="0021146D">
        <w:rPr>
          <w:color w:val="auto"/>
        </w:rPr>
        <w:t>Facility</w:t>
      </w:r>
      <w:r w:rsidR="00222F9B" w:rsidRPr="0021146D">
        <w:rPr>
          <w:color w:val="auto"/>
        </w:rPr>
        <w:t xml:space="preserve"> </w:t>
      </w:r>
      <w:r w:rsidR="007D1E7C" w:rsidRPr="0021146D">
        <w:rPr>
          <w:color w:val="auto"/>
        </w:rPr>
        <w:t>required more time</w:t>
      </w:r>
      <w:r w:rsidR="00222F9B" w:rsidRPr="0021146D">
        <w:rPr>
          <w:color w:val="auto"/>
        </w:rPr>
        <w:t xml:space="preserve"> </w:t>
      </w:r>
      <w:r w:rsidR="007D1E7C" w:rsidRPr="0021146D">
        <w:rPr>
          <w:color w:val="auto"/>
        </w:rPr>
        <w:t xml:space="preserve">as Post expanded from the Aid-for-Trade Facility design to </w:t>
      </w:r>
      <w:r w:rsidR="007D1E7C" w:rsidRPr="0021146D">
        <w:rPr>
          <w:color w:val="auto"/>
          <w:lang w:val="en-AU"/>
        </w:rPr>
        <w:t>include assistance related to economic reform, inclusive growth and organisational development assistance. This will allow Australia to provide better and more integrated solutions to address the economic problems faced by the Philippines. The concept for a new Trade and Inclusive Economic Growth Facility was agreed by DFAT’s Aid Investment Committee in June 2016 and the facility will commence operations in mid-2017</w:t>
      </w:r>
      <w:r w:rsidR="007D1E7C" w:rsidRPr="0021146D">
        <w:rPr>
          <w:i/>
          <w:color w:val="auto"/>
          <w:lang w:val="en-AU"/>
        </w:rPr>
        <w:t>.</w:t>
      </w:r>
      <w:r w:rsidR="00222F9B" w:rsidRPr="0021146D">
        <w:rPr>
          <w:color w:val="auto"/>
          <w:lang w:val="en-AU"/>
        </w:rPr>
        <w:t xml:space="preserve"> </w:t>
      </w:r>
      <w:r w:rsidR="00222F9B" w:rsidRPr="00AB41FC">
        <w:rPr>
          <w:color w:val="auto"/>
        </w:rPr>
        <w:t xml:space="preserve">The design of the </w:t>
      </w:r>
      <w:r w:rsidR="00AB41FC" w:rsidRPr="00AB41FC">
        <w:rPr>
          <w:color w:val="auto"/>
        </w:rPr>
        <w:t xml:space="preserve">Infrastructure and Connectivity </w:t>
      </w:r>
      <w:r w:rsidR="00AB41FC" w:rsidRPr="00AB41FC">
        <w:rPr>
          <w:color w:val="auto"/>
        </w:rPr>
        <w:lastRenderedPageBreak/>
        <w:t>Program</w:t>
      </w:r>
      <w:r w:rsidR="00222F9B" w:rsidRPr="00AB41FC">
        <w:rPr>
          <w:color w:val="auto"/>
        </w:rPr>
        <w:t xml:space="preserve"> was delayed due to difficulty in identifying a suitable design team and </w:t>
      </w:r>
      <w:r w:rsidR="00AB41FC" w:rsidRPr="00AB41FC">
        <w:rPr>
          <w:color w:val="auto"/>
        </w:rPr>
        <w:t xml:space="preserve">the additional </w:t>
      </w:r>
      <w:r w:rsidR="00222F9B" w:rsidRPr="00AB41FC">
        <w:rPr>
          <w:color w:val="auto"/>
        </w:rPr>
        <w:t xml:space="preserve">time required to adjust the design to meet </w:t>
      </w:r>
      <w:r w:rsidR="00AB41FC" w:rsidRPr="00AB41FC">
        <w:rPr>
          <w:color w:val="auto"/>
        </w:rPr>
        <w:t xml:space="preserve">the </w:t>
      </w:r>
      <w:r w:rsidR="00222F9B" w:rsidRPr="00AB41FC">
        <w:rPr>
          <w:color w:val="auto"/>
        </w:rPr>
        <w:t xml:space="preserve">new </w:t>
      </w:r>
      <w:r w:rsidR="00D719AB">
        <w:rPr>
          <w:color w:val="auto"/>
        </w:rPr>
        <w:t xml:space="preserve">Philippine Government’s </w:t>
      </w:r>
      <w:r w:rsidR="00222F9B" w:rsidRPr="00AB41FC">
        <w:rPr>
          <w:color w:val="auto"/>
        </w:rPr>
        <w:t xml:space="preserve">objectives. </w:t>
      </w:r>
    </w:p>
    <w:p w14:paraId="750D24D2" w14:textId="77777777" w:rsidR="00AB41FC" w:rsidRDefault="00AB41FC" w:rsidP="002A51CA">
      <w:pPr>
        <w:spacing w:after="120" w:line="280" w:lineRule="exact"/>
        <w:rPr>
          <w:color w:val="auto"/>
        </w:rPr>
      </w:pPr>
      <w:r>
        <w:rPr>
          <w:color w:val="auto"/>
        </w:rPr>
        <w:t>The third partially achieved benchmark under Objective 1 relates to the Unified Management System of the Philippine Department of Education. The system design has been drafted, but still awaits approval from the Philippine Government</w:t>
      </w:r>
      <w:r w:rsidR="00035DED">
        <w:rPr>
          <w:color w:val="auto"/>
        </w:rPr>
        <w:t>.</w:t>
      </w:r>
      <w:r>
        <w:rPr>
          <w:color w:val="auto"/>
        </w:rPr>
        <w:t xml:space="preserve"> A standalone system has been implemented, pending integration of this system.</w:t>
      </w:r>
    </w:p>
    <w:p w14:paraId="144A8A52" w14:textId="503FFE3B" w:rsidR="002A51CA" w:rsidRPr="00960001" w:rsidRDefault="002A51CA" w:rsidP="004C4211">
      <w:pPr>
        <w:pStyle w:val="ListBullet"/>
        <w:tabs>
          <w:tab w:val="clear" w:pos="284"/>
        </w:tabs>
        <w:spacing w:before="280" w:after="160"/>
        <w:rPr>
          <w:rFonts w:asciiTheme="majorHAnsi" w:eastAsiaTheme="majorEastAsia" w:hAnsiTheme="majorHAnsi" w:cstheme="majorBidi"/>
          <w:caps/>
          <w:sz w:val="38"/>
          <w:szCs w:val="26"/>
          <w:lang w:val="en-GB" w:eastAsia="en-US"/>
        </w:rPr>
      </w:pPr>
      <w:r w:rsidRPr="00960001">
        <w:rPr>
          <w:rFonts w:asciiTheme="majorHAnsi" w:eastAsiaTheme="majorEastAsia" w:hAnsiTheme="majorHAnsi" w:cstheme="majorBidi"/>
          <w:caps/>
          <w:sz w:val="38"/>
          <w:szCs w:val="26"/>
          <w:lang w:val="en-GB" w:eastAsia="en-US"/>
        </w:rPr>
        <w:t>Mutual obligations</w:t>
      </w:r>
    </w:p>
    <w:p w14:paraId="0AA93359" w14:textId="77D55546" w:rsidR="002A51CA" w:rsidRDefault="007279B7" w:rsidP="00BE6C6D">
      <w:pPr>
        <w:rPr>
          <w:rFonts w:eastAsia="Times New Roman"/>
          <w:color w:val="auto"/>
        </w:rPr>
      </w:pPr>
      <w:r w:rsidRPr="007279B7">
        <w:rPr>
          <w:rFonts w:eastAsia="Times New Roman"/>
          <w:color w:val="auto"/>
        </w:rPr>
        <w:t xml:space="preserve">The Philippine Development Plan 2011-2016 is the Philippine Government’s framework for inclusive growth and the anchor for the bilateral development agreement between the Philippines </w:t>
      </w:r>
      <w:r w:rsidR="00E208CF">
        <w:rPr>
          <w:rFonts w:eastAsia="Times New Roman"/>
          <w:color w:val="auto"/>
        </w:rPr>
        <w:t>and Australia</w:t>
      </w:r>
      <w:r w:rsidR="00C24771">
        <w:rPr>
          <w:rFonts w:eastAsia="Times New Roman"/>
          <w:color w:val="auto"/>
        </w:rPr>
        <w:t xml:space="preserve">. In 2012 the Philippines and Australia signed a </w:t>
      </w:r>
      <w:r w:rsidR="00E208CF" w:rsidRPr="00C24771">
        <w:rPr>
          <w:rFonts w:eastAsia="Times New Roman"/>
          <w:color w:val="auto"/>
        </w:rPr>
        <w:t>Statement of Commitment</w:t>
      </w:r>
      <w:r w:rsidR="00C24771" w:rsidRPr="00C24771">
        <w:rPr>
          <w:rFonts w:eastAsia="Times New Roman"/>
          <w:color w:val="auto"/>
        </w:rPr>
        <w:t xml:space="preserve"> for the Australia-Philippines Development Cooperation Strategy 2012-2017</w:t>
      </w:r>
      <w:r w:rsidR="00E208CF" w:rsidRPr="00C24771">
        <w:rPr>
          <w:rFonts w:eastAsia="Times New Roman"/>
          <w:color w:val="auto"/>
        </w:rPr>
        <w:t>.</w:t>
      </w:r>
      <w:r w:rsidR="00E208CF">
        <w:rPr>
          <w:rFonts w:eastAsia="Times New Roman"/>
          <w:color w:val="auto"/>
        </w:rPr>
        <w:t xml:space="preserve"> The Philippine Government </w:t>
      </w:r>
      <w:r w:rsidR="00A03D28">
        <w:rPr>
          <w:rFonts w:eastAsia="Times New Roman"/>
          <w:color w:val="auto"/>
        </w:rPr>
        <w:t>has made good</w:t>
      </w:r>
      <w:r w:rsidR="00E208CF">
        <w:rPr>
          <w:rFonts w:eastAsia="Times New Roman"/>
          <w:color w:val="auto"/>
        </w:rPr>
        <w:t xml:space="preserve"> progress under these commitments</w:t>
      </w:r>
      <w:r w:rsidR="004B677F">
        <w:rPr>
          <w:rFonts w:eastAsia="Times New Roman"/>
          <w:color w:val="auto"/>
        </w:rPr>
        <w:t xml:space="preserve">, and future APPRs will report against updated mutual obligations as relevant to the </w:t>
      </w:r>
      <w:r w:rsidR="00D719AB">
        <w:rPr>
          <w:rFonts w:eastAsia="Times New Roman"/>
          <w:color w:val="auto"/>
        </w:rPr>
        <w:t>new Philippine Government</w:t>
      </w:r>
      <w:r w:rsidR="004B677F">
        <w:rPr>
          <w:rFonts w:eastAsia="Times New Roman"/>
          <w:color w:val="auto"/>
        </w:rPr>
        <w:t xml:space="preserve"> administration</w:t>
      </w:r>
      <w:r w:rsidR="00E208CF">
        <w:rPr>
          <w:rFonts w:eastAsia="Times New Roman"/>
          <w:color w:val="auto"/>
        </w:rPr>
        <w:t>:</w:t>
      </w:r>
      <w:r w:rsidR="00C24771" w:rsidRPr="00C24771">
        <w:rPr>
          <w:rFonts w:ascii="Source Sans Pro" w:hAnsi="Source Sans Pro" w:cs="Helvetica"/>
          <w:color w:val="333333"/>
          <w:sz w:val="21"/>
          <w:szCs w:val="21"/>
        </w:rPr>
        <w:t xml:space="preserve"> </w:t>
      </w:r>
    </w:p>
    <w:tbl>
      <w:tblPr>
        <w:tblStyle w:val="TableGrid"/>
        <w:tblW w:w="9498" w:type="dxa"/>
        <w:tblInd w:w="108" w:type="dxa"/>
        <w:tblLook w:val="04A0" w:firstRow="1" w:lastRow="0" w:firstColumn="1" w:lastColumn="0" w:noHBand="0" w:noVBand="1"/>
      </w:tblPr>
      <w:tblGrid>
        <w:gridCol w:w="3261"/>
        <w:gridCol w:w="6237"/>
      </w:tblGrid>
      <w:tr w:rsidR="00574FDA" w:rsidRPr="003132F7" w14:paraId="14D7EE46" w14:textId="77777777" w:rsidTr="00E24489">
        <w:tc>
          <w:tcPr>
            <w:tcW w:w="3261" w:type="dxa"/>
            <w:vAlign w:val="center"/>
          </w:tcPr>
          <w:p w14:paraId="1823A2B8" w14:textId="77777777" w:rsidR="00574FDA" w:rsidRPr="003132F7" w:rsidRDefault="00574FDA" w:rsidP="00D27E7E">
            <w:pPr>
              <w:rPr>
                <w:rFonts w:eastAsia="Times New Roman"/>
                <w:b/>
                <w:color w:val="auto"/>
                <w:sz w:val="20"/>
                <w:lang w:val="en-AU"/>
              </w:rPr>
            </w:pPr>
            <w:r w:rsidRPr="003132F7">
              <w:rPr>
                <w:rFonts w:eastAsia="Times New Roman"/>
                <w:b/>
                <w:color w:val="auto"/>
                <w:sz w:val="20"/>
                <w:lang w:val="en-AU"/>
              </w:rPr>
              <w:t>Philippine Government commitments</w:t>
            </w:r>
          </w:p>
        </w:tc>
        <w:tc>
          <w:tcPr>
            <w:tcW w:w="6237" w:type="dxa"/>
          </w:tcPr>
          <w:p w14:paraId="2A2627F7" w14:textId="77777777" w:rsidR="00574FDA" w:rsidRPr="003132F7" w:rsidRDefault="00574FDA" w:rsidP="00713F20">
            <w:pPr>
              <w:rPr>
                <w:rFonts w:eastAsia="Times New Roman"/>
                <w:b/>
                <w:color w:val="auto"/>
                <w:sz w:val="20"/>
                <w:lang w:val="en-AU"/>
              </w:rPr>
            </w:pPr>
            <w:r w:rsidRPr="003132F7">
              <w:rPr>
                <w:rFonts w:eastAsia="Times New Roman"/>
                <w:b/>
                <w:color w:val="auto"/>
                <w:sz w:val="20"/>
                <w:lang w:val="en-AU"/>
              </w:rPr>
              <w:t>Progress</w:t>
            </w:r>
          </w:p>
        </w:tc>
      </w:tr>
      <w:tr w:rsidR="00574FDA" w:rsidRPr="00D27E7E" w14:paraId="67CB7F47" w14:textId="77777777" w:rsidTr="00E24489">
        <w:tc>
          <w:tcPr>
            <w:tcW w:w="3261" w:type="dxa"/>
            <w:vAlign w:val="center"/>
          </w:tcPr>
          <w:p w14:paraId="3ADCA81B" w14:textId="77777777" w:rsidR="00574FDA" w:rsidRPr="00D719AB" w:rsidRDefault="00574FDA" w:rsidP="00D27E7E">
            <w:pPr>
              <w:rPr>
                <w:rFonts w:eastAsia="Times New Roman"/>
                <w:iCs/>
                <w:color w:val="auto"/>
                <w:sz w:val="18"/>
                <w:lang w:val="en-AU"/>
              </w:rPr>
            </w:pPr>
            <w:r w:rsidRPr="00D719AB">
              <w:rPr>
                <w:rFonts w:eastAsia="Times New Roman"/>
                <w:iCs/>
                <w:color w:val="auto"/>
                <w:sz w:val="18"/>
                <w:lang w:val="en-AU"/>
              </w:rPr>
              <w:t>Increase public expenditures, through the General Appropriations Act, in basic education and support to local government units through performance-based mechanisms</w:t>
            </w:r>
          </w:p>
        </w:tc>
        <w:tc>
          <w:tcPr>
            <w:tcW w:w="6237" w:type="dxa"/>
          </w:tcPr>
          <w:p w14:paraId="3E29E1E2" w14:textId="03910379" w:rsidR="00E05D5A" w:rsidRPr="00D719AB" w:rsidRDefault="00E05D5A" w:rsidP="00E210F5">
            <w:pPr>
              <w:ind w:right="-108"/>
              <w:rPr>
                <w:rFonts w:eastAsia="Times New Roman"/>
                <w:iCs/>
                <w:color w:val="auto"/>
                <w:sz w:val="18"/>
                <w:lang w:val="en-AU"/>
              </w:rPr>
            </w:pPr>
            <w:r w:rsidRPr="00D719AB">
              <w:rPr>
                <w:rFonts w:eastAsia="Times New Roman"/>
                <w:iCs/>
                <w:color w:val="auto"/>
                <w:sz w:val="18"/>
                <w:lang w:val="en-AU"/>
              </w:rPr>
              <w:t>The Philippine Government has increased the education budget year on year: 2011 </w:t>
            </w:r>
            <w:r w:rsidRPr="00D719AB">
              <w:rPr>
                <w:rFonts w:eastAsia="Times New Roman"/>
                <w:iCs/>
                <w:color w:val="auto"/>
                <w:sz w:val="18"/>
                <w:lang w:val="en-AU"/>
              </w:rPr>
              <w:noBreakHyphen/>
              <w:t xml:space="preserve"> PHP207.5 billion, 2012 - PHP238.4 billion, 2013 </w:t>
            </w:r>
            <w:r w:rsidRPr="00D719AB">
              <w:rPr>
                <w:rFonts w:eastAsia="Times New Roman"/>
                <w:iCs/>
                <w:color w:val="auto"/>
                <w:sz w:val="18"/>
                <w:lang w:val="en-AU"/>
              </w:rPr>
              <w:noBreakHyphen/>
              <w:t xml:space="preserve"> PHP292.2 billion, 2014 - PHP307.9 billion, and 2015 </w:t>
            </w:r>
            <w:r w:rsidRPr="00D719AB">
              <w:rPr>
                <w:rFonts w:eastAsia="Times New Roman"/>
                <w:iCs/>
                <w:color w:val="auto"/>
                <w:sz w:val="18"/>
                <w:lang w:val="en-AU"/>
              </w:rPr>
              <w:noBreakHyphen/>
              <w:t xml:space="preserve"> PHP377.7 billion. In 2016 PHP435.9 billion has been allocated – making the Department of Education’s budget the largest of all government departments and agencies.</w:t>
            </w:r>
            <w:r w:rsidR="00960001">
              <w:rPr>
                <w:rFonts w:eastAsia="Times New Roman"/>
                <w:iCs/>
                <w:color w:val="auto"/>
                <w:sz w:val="18"/>
                <w:lang w:val="en-AU"/>
              </w:rPr>
              <w:t xml:space="preserve"> </w:t>
            </w:r>
            <w:r w:rsidRPr="00D719AB">
              <w:rPr>
                <w:rFonts w:eastAsia="Times New Roman"/>
                <w:iCs/>
                <w:color w:val="auto"/>
                <w:sz w:val="18"/>
                <w:lang w:val="en-AU"/>
              </w:rPr>
              <w:t>The Department of the Interior and Local Governm</w:t>
            </w:r>
            <w:r w:rsidR="00E210F5">
              <w:rPr>
                <w:rFonts w:eastAsia="Times New Roman"/>
                <w:iCs/>
                <w:color w:val="auto"/>
                <w:sz w:val="18"/>
                <w:lang w:val="en-AU"/>
              </w:rPr>
              <w:t xml:space="preserve">ent </w:t>
            </w:r>
            <w:r w:rsidRPr="00D719AB">
              <w:rPr>
                <w:rFonts w:eastAsia="Times New Roman"/>
                <w:iCs/>
                <w:color w:val="auto"/>
                <w:sz w:val="18"/>
                <w:lang w:val="en-AU"/>
              </w:rPr>
              <w:t>implemented the Performance Challenge Fund, a merit-based program that incentivizes transparency, accountability and good local governance. LGUs awarded the</w:t>
            </w:r>
            <w:r w:rsidR="00E210F5">
              <w:rPr>
                <w:rFonts w:eastAsia="Times New Roman"/>
                <w:iCs/>
                <w:color w:val="auto"/>
                <w:sz w:val="18"/>
                <w:lang w:val="en-AU"/>
              </w:rPr>
              <w:t xml:space="preserve"> Seal of Good Local Governance </w:t>
            </w:r>
            <w:r w:rsidRPr="00D719AB">
              <w:rPr>
                <w:rFonts w:eastAsia="Times New Roman"/>
                <w:iCs/>
                <w:color w:val="auto"/>
                <w:sz w:val="18"/>
                <w:lang w:val="en-AU"/>
              </w:rPr>
              <w:t xml:space="preserve">receive cash grants. In CY2015, 254 LGUs were awarded a total of PHP 982 million from the PCF. </w:t>
            </w:r>
          </w:p>
        </w:tc>
      </w:tr>
      <w:tr w:rsidR="00574FDA" w:rsidRPr="00D27E7E" w14:paraId="4649084A" w14:textId="77777777" w:rsidTr="00E24489">
        <w:tc>
          <w:tcPr>
            <w:tcW w:w="3261" w:type="dxa"/>
            <w:vAlign w:val="center"/>
          </w:tcPr>
          <w:p w14:paraId="04DEC161" w14:textId="77777777" w:rsidR="00574FDA" w:rsidRPr="00D719AB" w:rsidRDefault="00574FDA" w:rsidP="00D27E7E">
            <w:pPr>
              <w:rPr>
                <w:rFonts w:eastAsia="Times New Roman"/>
                <w:iCs/>
                <w:color w:val="auto"/>
                <w:sz w:val="18"/>
                <w:lang w:val="en-AU"/>
              </w:rPr>
            </w:pPr>
            <w:r w:rsidRPr="00D719AB">
              <w:rPr>
                <w:rFonts w:eastAsia="Times New Roman"/>
                <w:iCs/>
                <w:color w:val="auto"/>
                <w:sz w:val="18"/>
                <w:lang w:val="en-AU"/>
              </w:rPr>
              <w:t>Accelerate implementation of the basic education reform agenda</w:t>
            </w:r>
          </w:p>
        </w:tc>
        <w:tc>
          <w:tcPr>
            <w:tcW w:w="6237" w:type="dxa"/>
          </w:tcPr>
          <w:p w14:paraId="70AD6001" w14:textId="718F9EAD" w:rsidR="00574FDA" w:rsidRPr="00D719AB" w:rsidRDefault="00FB20BB" w:rsidP="00FB20BB">
            <w:pPr>
              <w:rPr>
                <w:rFonts w:eastAsia="Times New Roman"/>
                <w:iCs/>
                <w:color w:val="auto"/>
                <w:sz w:val="18"/>
                <w:lang w:val="en-AU"/>
              </w:rPr>
            </w:pPr>
            <w:r w:rsidRPr="00D719AB">
              <w:rPr>
                <w:rFonts w:eastAsia="Times New Roman"/>
                <w:iCs/>
                <w:color w:val="auto"/>
                <w:sz w:val="18"/>
                <w:lang w:val="en-AU"/>
              </w:rPr>
              <w:t>The K-12 program was approved in 2012 through the Enhanced Basic Education Act. The new K-12 curriculum has been completed and is being implemented in 11 grade levels (Kinder-Grade 5 and Grades 7-11).</w:t>
            </w:r>
          </w:p>
        </w:tc>
      </w:tr>
      <w:tr w:rsidR="00574FDA" w:rsidRPr="00D27E7E" w14:paraId="20A6AD07" w14:textId="77777777" w:rsidTr="00E24489">
        <w:tc>
          <w:tcPr>
            <w:tcW w:w="3261" w:type="dxa"/>
            <w:vAlign w:val="center"/>
          </w:tcPr>
          <w:p w14:paraId="7ACFD785" w14:textId="20D530CE" w:rsidR="00574FDA" w:rsidRPr="00D719AB" w:rsidRDefault="00574FDA" w:rsidP="00D27E7E">
            <w:pPr>
              <w:rPr>
                <w:rFonts w:eastAsia="Times New Roman"/>
                <w:iCs/>
                <w:color w:val="auto"/>
                <w:sz w:val="18"/>
                <w:lang w:val="en-AU"/>
              </w:rPr>
            </w:pPr>
            <w:r w:rsidRPr="00D719AB">
              <w:rPr>
                <w:rFonts w:eastAsia="Times New Roman"/>
                <w:iCs/>
                <w:color w:val="auto"/>
                <w:sz w:val="18"/>
                <w:lang w:val="en-AU"/>
              </w:rPr>
              <w:t>Continue investing in human resource management and development for all levels of government bureaucracy to improve service delivery and public sector accountability</w:t>
            </w:r>
            <w:r w:rsidR="00FB20BB" w:rsidRPr="00D719AB">
              <w:rPr>
                <w:rFonts w:eastAsia="Times New Roman"/>
                <w:iCs/>
                <w:color w:val="auto"/>
                <w:sz w:val="18"/>
                <w:lang w:val="en-AU"/>
              </w:rPr>
              <w:t>, including enhancing capacities of local government units to ensure greater transparency, efficiency, effectiveness and accessibility in the delivery of devolved services to constituents</w:t>
            </w:r>
          </w:p>
        </w:tc>
        <w:tc>
          <w:tcPr>
            <w:tcW w:w="6237" w:type="dxa"/>
          </w:tcPr>
          <w:p w14:paraId="128C04F4" w14:textId="44E2F280" w:rsidR="00574FDA" w:rsidRPr="00D719AB" w:rsidRDefault="00FB20BB" w:rsidP="00E330E9">
            <w:pPr>
              <w:rPr>
                <w:rFonts w:eastAsia="Times New Roman"/>
                <w:iCs/>
                <w:color w:val="auto"/>
                <w:sz w:val="18"/>
                <w:lang w:val="en-AU"/>
              </w:rPr>
            </w:pPr>
            <w:r w:rsidRPr="00D719AB">
              <w:rPr>
                <w:rFonts w:eastAsia="Times New Roman"/>
                <w:iCs/>
                <w:color w:val="auto"/>
                <w:sz w:val="18"/>
                <w:lang w:val="en-AU"/>
              </w:rPr>
              <w:t xml:space="preserve">The Civil Service Commission (CSC) is implementing the ISO 9001:2008 (2016-18) Certified Program to Institutionalise Meritocracy and Excellence in Human Resource Management. The CSC has also been certified by </w:t>
            </w:r>
            <w:r w:rsidRPr="00D719AB">
              <w:rPr>
                <w:rFonts w:eastAsia="Times New Roman"/>
                <w:i/>
                <w:iCs/>
                <w:color w:val="auto"/>
                <w:sz w:val="18"/>
                <w:lang w:val="en-AU"/>
              </w:rPr>
              <w:t>Investors In People</w:t>
            </w:r>
            <w:r w:rsidRPr="00D719AB">
              <w:rPr>
                <w:rFonts w:eastAsia="Times New Roman"/>
                <w:iCs/>
                <w:color w:val="auto"/>
                <w:sz w:val="18"/>
                <w:lang w:val="en-AU"/>
              </w:rPr>
              <w:t>, an international quality standard accrediting agency for excellence in people management.</w:t>
            </w:r>
            <w:r w:rsidR="00E210F5">
              <w:rPr>
                <w:rFonts w:eastAsia="Times New Roman"/>
                <w:iCs/>
                <w:color w:val="auto"/>
                <w:sz w:val="18"/>
                <w:lang w:val="en-AU"/>
              </w:rPr>
              <w:t xml:space="preserve"> </w:t>
            </w:r>
            <w:r w:rsidRPr="00D719AB">
              <w:rPr>
                <w:rFonts w:eastAsia="Times New Roman"/>
                <w:iCs/>
                <w:color w:val="auto"/>
                <w:sz w:val="18"/>
                <w:lang w:val="en-AU"/>
              </w:rPr>
              <w:t>The Commission on Audit issued a circular to all local government units (LGUs) on the Accounting and Reporting Guidelines on Local Road Asset Management System. This provides a more transparent and accountable system of recording roads as assets that will guide provinces, cities and municipalities in local road network investment programming and budgeting.</w:t>
            </w:r>
          </w:p>
        </w:tc>
      </w:tr>
      <w:tr w:rsidR="00574FDA" w:rsidRPr="00D27E7E" w14:paraId="79E1E62C" w14:textId="77777777" w:rsidTr="00E24489">
        <w:tc>
          <w:tcPr>
            <w:tcW w:w="3261" w:type="dxa"/>
            <w:vAlign w:val="center"/>
          </w:tcPr>
          <w:p w14:paraId="3548BBB6" w14:textId="77777777" w:rsidR="00574FDA" w:rsidRPr="00D719AB" w:rsidRDefault="00574FDA" w:rsidP="00D27E7E">
            <w:pPr>
              <w:rPr>
                <w:rFonts w:eastAsia="Times New Roman"/>
                <w:iCs/>
                <w:color w:val="auto"/>
                <w:sz w:val="18"/>
                <w:lang w:val="en-AU"/>
              </w:rPr>
            </w:pPr>
            <w:r w:rsidRPr="00D719AB">
              <w:rPr>
                <w:rFonts w:eastAsia="Times New Roman"/>
                <w:iCs/>
                <w:color w:val="auto"/>
                <w:sz w:val="18"/>
                <w:lang w:val="en-AU"/>
              </w:rPr>
              <w:t>Ensure sufficient resources for the implementation of the national slum upgrading strategy, and the PFM reform roadmap</w:t>
            </w:r>
          </w:p>
        </w:tc>
        <w:tc>
          <w:tcPr>
            <w:tcW w:w="6237" w:type="dxa"/>
          </w:tcPr>
          <w:p w14:paraId="42560A9C" w14:textId="67186D97" w:rsidR="00FB20BB" w:rsidRPr="00D719AB" w:rsidRDefault="00FB20BB" w:rsidP="00E330E9">
            <w:pPr>
              <w:rPr>
                <w:rFonts w:eastAsia="Times New Roman"/>
                <w:iCs/>
                <w:color w:val="auto"/>
                <w:sz w:val="18"/>
                <w:lang w:val="en-AU"/>
              </w:rPr>
            </w:pPr>
            <w:r w:rsidRPr="00D719AB">
              <w:rPr>
                <w:rFonts w:eastAsia="Times New Roman"/>
                <w:iCs/>
                <w:color w:val="auto"/>
                <w:sz w:val="18"/>
                <w:lang w:val="en-AU"/>
              </w:rPr>
              <w:t>By</w:t>
            </w:r>
            <w:r w:rsidR="00204659" w:rsidRPr="00D719AB">
              <w:rPr>
                <w:rFonts w:eastAsia="Times New Roman"/>
                <w:iCs/>
                <w:color w:val="auto"/>
                <w:sz w:val="18"/>
                <w:lang w:val="en-AU"/>
              </w:rPr>
              <w:t xml:space="preserve"> 2015, 46</w:t>
            </w:r>
            <w:r w:rsidRPr="00D719AB">
              <w:rPr>
                <w:rFonts w:eastAsia="Times New Roman"/>
                <w:iCs/>
                <w:color w:val="auto"/>
                <w:sz w:val="18"/>
                <w:lang w:val="en-AU"/>
              </w:rPr>
              <w:t>,</w:t>
            </w:r>
            <w:r w:rsidR="00204659" w:rsidRPr="00D719AB">
              <w:rPr>
                <w:rFonts w:eastAsia="Times New Roman"/>
                <w:iCs/>
                <w:color w:val="auto"/>
                <w:sz w:val="18"/>
                <w:lang w:val="en-AU"/>
              </w:rPr>
              <w:t xml:space="preserve">077 units (of which 25,049 units in-city are occupied) </w:t>
            </w:r>
            <w:r w:rsidRPr="00D719AB">
              <w:rPr>
                <w:rFonts w:eastAsia="Times New Roman"/>
                <w:iCs/>
                <w:color w:val="auto"/>
                <w:sz w:val="18"/>
                <w:lang w:val="en-AU"/>
              </w:rPr>
              <w:t>were</w:t>
            </w:r>
            <w:r w:rsidR="00204659" w:rsidRPr="00D719AB">
              <w:rPr>
                <w:rFonts w:eastAsia="Times New Roman"/>
                <w:iCs/>
                <w:color w:val="auto"/>
                <w:sz w:val="18"/>
                <w:lang w:val="en-AU"/>
              </w:rPr>
              <w:t xml:space="preserve"> completed. The implementation of the shelter program was affected by the change in DILG leadership. GPH </w:t>
            </w:r>
            <w:r w:rsidRPr="00D719AB">
              <w:rPr>
                <w:rFonts w:eastAsia="Times New Roman"/>
                <w:iCs/>
                <w:color w:val="auto"/>
                <w:sz w:val="18"/>
                <w:lang w:val="en-AU"/>
              </w:rPr>
              <w:t>has committed</w:t>
            </w:r>
            <w:r w:rsidR="00204659" w:rsidRPr="00D719AB">
              <w:rPr>
                <w:rFonts w:eastAsia="Times New Roman"/>
                <w:iCs/>
                <w:color w:val="auto"/>
                <w:sz w:val="18"/>
                <w:lang w:val="en-AU"/>
              </w:rPr>
              <w:t xml:space="preserve"> a total of 11 long-term flood control projects in Metro Manila from 2016</w:t>
            </w:r>
            <w:r w:rsidRPr="00D719AB">
              <w:rPr>
                <w:rFonts w:eastAsia="Times New Roman"/>
                <w:iCs/>
                <w:color w:val="auto"/>
                <w:sz w:val="18"/>
                <w:lang w:val="en-AU"/>
              </w:rPr>
              <w:t>-2026 valued at AUD</w:t>
            </w:r>
            <w:r w:rsidR="00204659" w:rsidRPr="00D719AB">
              <w:rPr>
                <w:rFonts w:eastAsia="Times New Roman"/>
                <w:iCs/>
                <w:color w:val="auto"/>
                <w:sz w:val="18"/>
                <w:lang w:val="en-AU"/>
              </w:rPr>
              <w:t>10 billion under GPH and ODA fund</w:t>
            </w:r>
            <w:r w:rsidR="004B677F" w:rsidRPr="00D719AB">
              <w:rPr>
                <w:rFonts w:eastAsia="Times New Roman"/>
                <w:iCs/>
                <w:color w:val="auto"/>
                <w:sz w:val="18"/>
                <w:lang w:val="en-AU"/>
              </w:rPr>
              <w:t>ing. To date, GPH has spent AUD</w:t>
            </w:r>
            <w:r w:rsidR="00204659" w:rsidRPr="00D719AB">
              <w:rPr>
                <w:rFonts w:eastAsia="Times New Roman"/>
                <w:iCs/>
                <w:color w:val="auto"/>
                <w:sz w:val="18"/>
                <w:lang w:val="en-AU"/>
              </w:rPr>
              <w:t>886 million for implementing (at various stages) the 11 flood control projects.</w:t>
            </w:r>
            <w:r w:rsidR="00E330E9">
              <w:rPr>
                <w:rFonts w:eastAsia="Times New Roman"/>
                <w:iCs/>
                <w:color w:val="auto"/>
                <w:sz w:val="18"/>
                <w:lang w:val="en-AU"/>
              </w:rPr>
              <w:t xml:space="preserve"> </w:t>
            </w:r>
            <w:r w:rsidRPr="00D719AB">
              <w:rPr>
                <w:rFonts w:eastAsia="Times New Roman"/>
                <w:iCs/>
                <w:color w:val="auto"/>
                <w:sz w:val="18"/>
                <w:lang w:val="en-AU"/>
              </w:rPr>
              <w:t>GPH has committed PHP500m to the implementation of the Budget and Treasury Management System under the PFM Reform Roadmap. The Philippine Department of Budget and Management has entered into a contract to deliver this system.</w:t>
            </w:r>
          </w:p>
        </w:tc>
      </w:tr>
      <w:tr w:rsidR="00574FDA" w:rsidRPr="00D27E7E" w14:paraId="394D2C30" w14:textId="77777777" w:rsidTr="00E24489">
        <w:tc>
          <w:tcPr>
            <w:tcW w:w="3261" w:type="dxa"/>
            <w:vAlign w:val="center"/>
          </w:tcPr>
          <w:p w14:paraId="6A482E94" w14:textId="77777777" w:rsidR="00574FDA" w:rsidRPr="00D719AB" w:rsidRDefault="00574FDA" w:rsidP="00D27E7E">
            <w:pPr>
              <w:rPr>
                <w:rFonts w:eastAsia="Times New Roman"/>
                <w:iCs/>
                <w:color w:val="auto"/>
                <w:sz w:val="18"/>
                <w:lang w:val="en-AU"/>
              </w:rPr>
            </w:pPr>
            <w:r w:rsidRPr="00D719AB">
              <w:rPr>
                <w:rFonts w:eastAsia="Times New Roman"/>
                <w:iCs/>
                <w:color w:val="auto"/>
                <w:sz w:val="18"/>
                <w:lang w:val="en-AU"/>
              </w:rPr>
              <w:t>Curb corruption to ensure that resources are effectively and efficiently used for the delivery of public goods and services</w:t>
            </w:r>
          </w:p>
        </w:tc>
        <w:tc>
          <w:tcPr>
            <w:tcW w:w="6237" w:type="dxa"/>
          </w:tcPr>
          <w:p w14:paraId="6E2FC2B3" w14:textId="1ADF4DD4" w:rsidR="00574FDA" w:rsidRPr="00D719AB" w:rsidRDefault="004B677F" w:rsidP="00960001">
            <w:pPr>
              <w:rPr>
                <w:rFonts w:eastAsia="Times New Roman"/>
                <w:iCs/>
                <w:color w:val="auto"/>
                <w:sz w:val="18"/>
                <w:lang w:val="en-AU"/>
              </w:rPr>
            </w:pPr>
            <w:r w:rsidRPr="00D719AB">
              <w:rPr>
                <w:rFonts w:eastAsia="Times New Roman"/>
                <w:iCs/>
                <w:color w:val="auto"/>
                <w:sz w:val="18"/>
                <w:lang w:val="en-AU"/>
              </w:rPr>
              <w:t xml:space="preserve">President Duterte signed an Executive Order on Freedom of Information </w:t>
            </w:r>
            <w:r w:rsidR="00960001">
              <w:rPr>
                <w:rFonts w:eastAsia="Times New Roman"/>
                <w:iCs/>
                <w:color w:val="auto"/>
                <w:sz w:val="18"/>
                <w:lang w:val="en-AU"/>
              </w:rPr>
              <w:t xml:space="preserve">(FOI EO) </w:t>
            </w:r>
            <w:r w:rsidRPr="00D719AB">
              <w:rPr>
                <w:rFonts w:eastAsia="Times New Roman"/>
                <w:iCs/>
                <w:color w:val="auto"/>
                <w:sz w:val="18"/>
                <w:lang w:val="en-AU"/>
              </w:rPr>
              <w:t>reflecting his administration's commitment to the anti-corruption agenda; ongoing reforms such as the Unified Account Code Structure and the implementation of the Budget and Treasury Management System will help to improve the transparency of financial information.</w:t>
            </w:r>
            <w:r w:rsidR="00960001">
              <w:rPr>
                <w:rFonts w:eastAsia="Times New Roman"/>
                <w:iCs/>
                <w:color w:val="auto"/>
                <w:sz w:val="18"/>
                <w:lang w:val="en-AU"/>
              </w:rPr>
              <w:t xml:space="preserve"> </w:t>
            </w:r>
            <w:r w:rsidRPr="00D719AB">
              <w:rPr>
                <w:rFonts w:eastAsia="Times New Roman"/>
                <w:iCs/>
                <w:color w:val="auto"/>
                <w:sz w:val="18"/>
                <w:lang w:val="en-AU"/>
              </w:rPr>
              <w:t xml:space="preserve">As a member of the Open Government Partnerships, GPH fiscal transparency commitments have become best practice and information is now readily available to the public. The Government launched web portals such as </w:t>
            </w:r>
            <w:r w:rsidRPr="00D719AB">
              <w:rPr>
                <w:rFonts w:eastAsia="Times New Roman"/>
                <w:iCs/>
                <w:color w:val="auto"/>
                <w:sz w:val="18"/>
                <w:lang w:val="en-AU"/>
              </w:rPr>
              <w:lastRenderedPageBreak/>
              <w:t>openbub.gov.ph and openroads.gov.ph to allow the public to track and monitor projects online.</w:t>
            </w:r>
          </w:p>
        </w:tc>
      </w:tr>
      <w:tr w:rsidR="00574FDA" w:rsidRPr="00D27E7E" w14:paraId="72BD801C" w14:textId="77777777" w:rsidTr="00E24489">
        <w:tc>
          <w:tcPr>
            <w:tcW w:w="3261" w:type="dxa"/>
            <w:vAlign w:val="center"/>
          </w:tcPr>
          <w:p w14:paraId="60A4FB49" w14:textId="533F9263" w:rsidR="00574FDA" w:rsidRPr="00D719AB" w:rsidRDefault="00574FDA" w:rsidP="00F076D9">
            <w:pPr>
              <w:rPr>
                <w:rFonts w:eastAsia="Times New Roman"/>
                <w:iCs/>
                <w:color w:val="auto"/>
                <w:sz w:val="18"/>
                <w:lang w:val="en-AU"/>
              </w:rPr>
            </w:pPr>
            <w:r w:rsidRPr="00D719AB">
              <w:rPr>
                <w:rFonts w:eastAsia="Times New Roman"/>
                <w:iCs/>
                <w:color w:val="auto"/>
                <w:sz w:val="18"/>
                <w:lang w:val="en-AU"/>
              </w:rPr>
              <w:lastRenderedPageBreak/>
              <w:t>Strengthen mechanisms to further boost citizen’s access to information and boost the quality of their participation in local governance</w:t>
            </w:r>
          </w:p>
        </w:tc>
        <w:tc>
          <w:tcPr>
            <w:tcW w:w="6237" w:type="dxa"/>
          </w:tcPr>
          <w:p w14:paraId="34491528" w14:textId="4EC1C3CA" w:rsidR="00574FDA" w:rsidRPr="00B57401" w:rsidRDefault="00AA080D" w:rsidP="00AA080D">
            <w:pPr>
              <w:rPr>
                <w:rFonts w:eastAsia="Times New Roman"/>
                <w:iCs/>
                <w:color w:val="auto"/>
                <w:sz w:val="18"/>
                <w:lang w:val="en-AU"/>
              </w:rPr>
            </w:pPr>
            <w:r>
              <w:rPr>
                <w:rFonts w:eastAsia="Times New Roman"/>
                <w:iCs/>
                <w:color w:val="auto"/>
                <w:sz w:val="18"/>
                <w:lang w:val="en-AU"/>
              </w:rPr>
              <w:t xml:space="preserve">The FOI EO </w:t>
            </w:r>
            <w:r w:rsidR="00F70792">
              <w:rPr>
                <w:rFonts w:eastAsia="Times New Roman"/>
                <w:iCs/>
                <w:color w:val="auto"/>
                <w:sz w:val="18"/>
                <w:lang w:val="en-AU"/>
              </w:rPr>
              <w:t xml:space="preserve">also </w:t>
            </w:r>
            <w:r>
              <w:rPr>
                <w:rFonts w:eastAsia="Times New Roman"/>
                <w:iCs/>
                <w:color w:val="auto"/>
                <w:sz w:val="18"/>
                <w:lang w:val="en-AU"/>
              </w:rPr>
              <w:t>assists t</w:t>
            </w:r>
            <w:r w:rsidR="004B677F" w:rsidRPr="00D719AB">
              <w:rPr>
                <w:rFonts w:eastAsia="Times New Roman"/>
                <w:iCs/>
                <w:color w:val="auto"/>
                <w:sz w:val="18"/>
                <w:lang w:val="en-AU"/>
              </w:rPr>
              <w:t>o increase citizens’ participation in development planning processes, the Government continued to implement the Bottom-up Budgeting (BUB) program, and increased its funding from PHP 20.9 billion in CY2015 to PHP 24.7 billion in CY2016. Through the BUB process, discretionary selection and budget allocation of projects in the communities were reduced and empowered more CSOs to participate through active monitoring of</w:t>
            </w:r>
            <w:r w:rsidR="00B57401">
              <w:rPr>
                <w:rFonts w:eastAsia="Times New Roman"/>
                <w:iCs/>
                <w:color w:val="auto"/>
                <w:sz w:val="18"/>
                <w:lang w:val="en-AU"/>
              </w:rPr>
              <w:t xml:space="preserve"> projects.</w:t>
            </w:r>
          </w:p>
        </w:tc>
      </w:tr>
      <w:tr w:rsidR="00574FDA" w:rsidRPr="00D27E7E" w14:paraId="40D404C8" w14:textId="77777777" w:rsidTr="00E24489">
        <w:tc>
          <w:tcPr>
            <w:tcW w:w="3261" w:type="dxa"/>
            <w:vAlign w:val="center"/>
          </w:tcPr>
          <w:p w14:paraId="6AE8B78B" w14:textId="77777777" w:rsidR="00574FDA" w:rsidRPr="00D719AB" w:rsidRDefault="00574FDA" w:rsidP="00D27E7E">
            <w:pPr>
              <w:rPr>
                <w:rFonts w:eastAsia="Times New Roman"/>
                <w:iCs/>
                <w:color w:val="auto"/>
                <w:sz w:val="18"/>
                <w:lang w:val="en-AU"/>
              </w:rPr>
            </w:pPr>
            <w:r w:rsidRPr="00D719AB">
              <w:rPr>
                <w:rFonts w:eastAsia="Times New Roman"/>
                <w:iCs/>
                <w:color w:val="auto"/>
                <w:sz w:val="18"/>
                <w:lang w:val="en-AU"/>
              </w:rPr>
              <w:t>Work towards building safer and disaster-resilient communities</w:t>
            </w:r>
          </w:p>
        </w:tc>
        <w:tc>
          <w:tcPr>
            <w:tcW w:w="6237" w:type="dxa"/>
          </w:tcPr>
          <w:p w14:paraId="7CD6359F" w14:textId="198BD3A6" w:rsidR="00872E79" w:rsidRPr="00D719AB" w:rsidRDefault="00872E79" w:rsidP="00E330E9">
            <w:pPr>
              <w:rPr>
                <w:rFonts w:eastAsia="Times New Roman"/>
                <w:iCs/>
                <w:color w:val="auto"/>
                <w:sz w:val="18"/>
                <w:lang w:val="en-AU"/>
              </w:rPr>
            </w:pPr>
            <w:r w:rsidRPr="00D719AB">
              <w:rPr>
                <w:rFonts w:eastAsia="Times New Roman"/>
                <w:iCs/>
                <w:color w:val="auto"/>
                <w:sz w:val="18"/>
                <w:lang w:val="en-AU"/>
              </w:rPr>
              <w:t xml:space="preserve">The Government of the Philippines has committed to the AUD5 billion reconstruction </w:t>
            </w:r>
            <w:r w:rsidR="00E330E9">
              <w:rPr>
                <w:rFonts w:eastAsia="Times New Roman"/>
                <w:iCs/>
                <w:color w:val="auto"/>
                <w:sz w:val="18"/>
                <w:lang w:val="en-AU"/>
              </w:rPr>
              <w:t xml:space="preserve">budget </w:t>
            </w:r>
            <w:r w:rsidRPr="00D719AB">
              <w:rPr>
                <w:rFonts w:eastAsia="Times New Roman"/>
                <w:iCs/>
                <w:color w:val="auto"/>
                <w:sz w:val="18"/>
                <w:lang w:val="en-AU"/>
              </w:rPr>
              <w:t xml:space="preserve">of Typhoon </w:t>
            </w:r>
            <w:r w:rsidR="00E330E9">
              <w:rPr>
                <w:rFonts w:eastAsia="Times New Roman"/>
                <w:iCs/>
                <w:color w:val="auto"/>
                <w:sz w:val="18"/>
                <w:lang w:val="en-AU"/>
              </w:rPr>
              <w:t>Haiyan</w:t>
            </w:r>
            <w:r w:rsidRPr="00D719AB">
              <w:rPr>
                <w:rFonts w:eastAsia="Times New Roman"/>
                <w:iCs/>
                <w:color w:val="auto"/>
                <w:sz w:val="18"/>
                <w:lang w:val="en-AU"/>
              </w:rPr>
              <w:t xml:space="preserve"> affected areas. An amendatory bill to the DRRM Act has been endorsed to the National Disaster Risk Reduction Management Council (NDRRMC) for approval. GPH is continuing to build infrastructure to help bolster economic activity in areas affected by Haiyan, with education and health services restored with better climate-resilient facilities. A total of AUD3.2 billion was released in 2015 with the remaining AUD1.8 billion to be disbursed </w:t>
            </w:r>
            <w:r w:rsidR="00E330E9">
              <w:rPr>
                <w:rFonts w:eastAsia="Times New Roman"/>
                <w:iCs/>
                <w:color w:val="auto"/>
                <w:sz w:val="18"/>
                <w:lang w:val="en-AU"/>
              </w:rPr>
              <w:t>in</w:t>
            </w:r>
            <w:r w:rsidRPr="00D719AB">
              <w:rPr>
                <w:rFonts w:eastAsia="Times New Roman"/>
                <w:iCs/>
                <w:color w:val="auto"/>
                <w:sz w:val="18"/>
                <w:lang w:val="en-AU"/>
              </w:rPr>
              <w:t xml:space="preserve"> 2016.</w:t>
            </w:r>
          </w:p>
        </w:tc>
      </w:tr>
      <w:tr w:rsidR="00574FDA" w:rsidRPr="00D27E7E" w14:paraId="4C2A5A84" w14:textId="77777777" w:rsidTr="00E24489">
        <w:tc>
          <w:tcPr>
            <w:tcW w:w="3261" w:type="dxa"/>
            <w:vAlign w:val="center"/>
          </w:tcPr>
          <w:p w14:paraId="20C8356A" w14:textId="77777777" w:rsidR="00574FDA" w:rsidRPr="00D719AB" w:rsidRDefault="00574FDA" w:rsidP="00D27E7E">
            <w:pPr>
              <w:rPr>
                <w:rFonts w:eastAsia="Times New Roman"/>
                <w:iCs/>
                <w:color w:val="auto"/>
                <w:sz w:val="18"/>
                <w:lang w:val="en-AU"/>
              </w:rPr>
            </w:pPr>
            <w:r w:rsidRPr="00D719AB">
              <w:rPr>
                <w:rFonts w:eastAsia="Times New Roman"/>
                <w:iCs/>
                <w:color w:val="auto"/>
                <w:sz w:val="18"/>
                <w:lang w:val="en-AU"/>
              </w:rPr>
              <w:t>Exert all efforts to win peace and ensure national security through negotiated political settlements of all armed conflict and implementation of complementary development tracks to address the causes of conflict</w:t>
            </w:r>
          </w:p>
        </w:tc>
        <w:tc>
          <w:tcPr>
            <w:tcW w:w="6237" w:type="dxa"/>
          </w:tcPr>
          <w:p w14:paraId="3BB5E54C" w14:textId="27A11C9F" w:rsidR="00574FDA" w:rsidRPr="00D719AB" w:rsidRDefault="00872E79" w:rsidP="00872E79">
            <w:pPr>
              <w:rPr>
                <w:rFonts w:eastAsia="Times New Roman"/>
                <w:iCs/>
                <w:color w:val="auto"/>
                <w:sz w:val="18"/>
                <w:lang w:val="en-AU"/>
              </w:rPr>
            </w:pPr>
            <w:r w:rsidRPr="00D719AB">
              <w:rPr>
                <w:rFonts w:eastAsia="Times New Roman"/>
                <w:iCs/>
                <w:color w:val="auto"/>
                <w:sz w:val="18"/>
                <w:lang w:val="en-AU"/>
              </w:rPr>
              <w:t>The peace process with the MILF remains a major priority for the government. The Philippine Government has released a comprehensive peace roadmap that provides for the inclusion of a wide range of stakeholders in Muslim Mindanao, a focus on development in conflict-affected communities and commits to addressing historical injustices. President Duterte highlighted in his 2016 State of the Nation Address (SONA) that peace and justice in Mindanao is one of his top priorities.</w:t>
            </w:r>
          </w:p>
        </w:tc>
      </w:tr>
    </w:tbl>
    <w:p w14:paraId="0FDF65DA" w14:textId="77777777" w:rsidR="00934C34" w:rsidRPr="00960001" w:rsidRDefault="00934C34" w:rsidP="004C4211">
      <w:pPr>
        <w:pStyle w:val="ListBullet"/>
        <w:tabs>
          <w:tab w:val="clear" w:pos="284"/>
        </w:tabs>
        <w:spacing w:before="280" w:after="160"/>
        <w:rPr>
          <w:rFonts w:asciiTheme="majorHAnsi" w:eastAsiaTheme="majorEastAsia" w:hAnsiTheme="majorHAnsi" w:cstheme="majorBidi"/>
          <w:caps/>
          <w:sz w:val="38"/>
          <w:szCs w:val="26"/>
          <w:lang w:val="en-GB" w:eastAsia="en-US"/>
        </w:rPr>
      </w:pPr>
      <w:r w:rsidRPr="00960001">
        <w:rPr>
          <w:rFonts w:asciiTheme="majorHAnsi" w:eastAsiaTheme="majorEastAsia" w:hAnsiTheme="majorHAnsi" w:cstheme="majorBidi"/>
          <w:caps/>
          <w:sz w:val="38"/>
          <w:szCs w:val="26"/>
          <w:lang w:val="en-GB" w:eastAsia="en-US"/>
        </w:rPr>
        <w:t xml:space="preserve">Program Quality and Partner Performance </w:t>
      </w:r>
    </w:p>
    <w:p w14:paraId="08532541" w14:textId="2CC71E37" w:rsidR="00934C34" w:rsidRPr="00155131" w:rsidRDefault="00934C34" w:rsidP="00934C34">
      <w:pPr>
        <w:rPr>
          <w:color w:val="auto"/>
        </w:rPr>
      </w:pPr>
      <w:r w:rsidRPr="00CE4FDA">
        <w:rPr>
          <w:color w:val="auto"/>
        </w:rPr>
        <w:t>In September 2015, the Philippines Program launched a new Aid Investment Plan for 2015-16 to 2017</w:t>
      </w:r>
      <w:r w:rsidR="00CE4FDA" w:rsidRPr="00CE4FDA">
        <w:rPr>
          <w:color w:val="auto"/>
        </w:rPr>
        <w:t>-</w:t>
      </w:r>
      <w:r w:rsidRPr="00CE4FDA">
        <w:rPr>
          <w:color w:val="auto"/>
        </w:rPr>
        <w:t>18. During the reporting period, all our investments were rated either good or adequate against the aid quality checks effect</w:t>
      </w:r>
      <w:r w:rsidR="00D719AB">
        <w:rPr>
          <w:color w:val="auto"/>
        </w:rPr>
        <w:t xml:space="preserve">iveness and </w:t>
      </w:r>
      <w:r w:rsidR="00D719AB" w:rsidRPr="00155131">
        <w:rPr>
          <w:color w:val="auto"/>
        </w:rPr>
        <w:t>efficiency criteria</w:t>
      </w:r>
      <w:r w:rsidRPr="00155131">
        <w:rPr>
          <w:color w:val="auto"/>
        </w:rPr>
        <w:t xml:space="preserve">. </w:t>
      </w:r>
      <w:r w:rsidR="00155131" w:rsidRPr="00155131">
        <w:rPr>
          <w:color w:val="auto"/>
        </w:rPr>
        <w:t>The election in the Philippines and expected changes to our programs meant that the Performance Assessment Framework was out of date and the program relied more heavily on the Aid Investment Plan and performance benchmarks to guide our progress monitoring. </w:t>
      </w:r>
    </w:p>
    <w:p w14:paraId="78C8E5E8" w14:textId="2D5C3133" w:rsidR="00934C34" w:rsidRDefault="00BF4C71" w:rsidP="00934C34">
      <w:pPr>
        <w:rPr>
          <w:color w:val="auto"/>
        </w:rPr>
      </w:pPr>
      <w:r w:rsidRPr="0021146D">
        <w:rPr>
          <w:color w:val="auto"/>
        </w:rPr>
        <w:t xml:space="preserve">Over the reporting period further progress was made to consolidate the program. The </w:t>
      </w:r>
      <w:r w:rsidR="001D290A" w:rsidRPr="0021146D">
        <w:rPr>
          <w:color w:val="auto"/>
        </w:rPr>
        <w:t xml:space="preserve">ongoing </w:t>
      </w:r>
      <w:r w:rsidRPr="0021146D">
        <w:rPr>
          <w:color w:val="auto"/>
        </w:rPr>
        <w:t>design of the new</w:t>
      </w:r>
      <w:r w:rsidR="007D1E7C" w:rsidRPr="0021146D">
        <w:rPr>
          <w:color w:val="auto"/>
        </w:rPr>
        <w:t xml:space="preserve"> Trade and Inclusive Economic Growth</w:t>
      </w:r>
      <w:r w:rsidRPr="0021146D">
        <w:rPr>
          <w:color w:val="auto"/>
        </w:rPr>
        <w:t xml:space="preserve"> </w:t>
      </w:r>
      <w:r w:rsidR="001D290A" w:rsidRPr="0021146D">
        <w:rPr>
          <w:color w:val="auto"/>
        </w:rPr>
        <w:t>Facility is consolidating several streams of wor</w:t>
      </w:r>
      <w:r w:rsidR="00E330E9">
        <w:rPr>
          <w:color w:val="auto"/>
        </w:rPr>
        <w:t>k</w:t>
      </w:r>
      <w:r w:rsidR="001D290A" w:rsidRPr="0021146D">
        <w:rPr>
          <w:color w:val="auto"/>
        </w:rPr>
        <w:t>, which will increase efficiency in program implementation and reduce the overall number of investments DFAT will manage.</w:t>
      </w:r>
      <w:r w:rsidR="001D290A">
        <w:rPr>
          <w:color w:val="auto"/>
        </w:rPr>
        <w:t xml:space="preserve"> It also gives us an opportunity to trial innovative</w:t>
      </w:r>
      <w:r w:rsidR="00934C34" w:rsidRPr="00CE4FDA">
        <w:rPr>
          <w:color w:val="auto"/>
        </w:rPr>
        <w:t xml:space="preserve"> program delivery </w:t>
      </w:r>
      <w:r w:rsidR="001D290A">
        <w:rPr>
          <w:color w:val="auto"/>
        </w:rPr>
        <w:t xml:space="preserve">methods </w:t>
      </w:r>
      <w:r w:rsidR="00934C34" w:rsidRPr="00CE4FDA">
        <w:rPr>
          <w:color w:val="auto"/>
        </w:rPr>
        <w:t>with</w:t>
      </w:r>
      <w:r w:rsidR="001D290A">
        <w:rPr>
          <w:color w:val="auto"/>
        </w:rPr>
        <w:t xml:space="preserve"> a mix of delivery modalities. Our health investment ended in 2015-16, further ensuring we have a reduced number of investments to manage going forward.</w:t>
      </w:r>
    </w:p>
    <w:p w14:paraId="4E28F76E" w14:textId="09BD37C8" w:rsidR="001D290A" w:rsidRPr="00CE4FDA" w:rsidRDefault="00E330E9" w:rsidP="00934C34">
      <w:pPr>
        <w:rPr>
          <w:color w:val="auto"/>
        </w:rPr>
      </w:pPr>
      <w:r>
        <w:rPr>
          <w:color w:val="auto"/>
        </w:rPr>
        <w:t>S</w:t>
      </w:r>
      <w:r w:rsidR="001D290A">
        <w:rPr>
          <w:color w:val="auto"/>
        </w:rPr>
        <w:t>everal contract extensions were completed in the reporting period. Thi</w:t>
      </w:r>
      <w:r>
        <w:rPr>
          <w:color w:val="auto"/>
        </w:rPr>
        <w:t xml:space="preserve">s was a result of delays in program design and the time </w:t>
      </w:r>
      <w:r w:rsidR="00655B77">
        <w:rPr>
          <w:color w:val="auto"/>
        </w:rPr>
        <w:t>required</w:t>
      </w:r>
      <w:r w:rsidR="001D290A">
        <w:rPr>
          <w:color w:val="auto"/>
        </w:rPr>
        <w:t xml:space="preserve"> to bridge the period </w:t>
      </w:r>
      <w:r w:rsidR="009870D5">
        <w:rPr>
          <w:color w:val="auto"/>
        </w:rPr>
        <w:t xml:space="preserve">of election campaigning and transition </w:t>
      </w:r>
      <w:r w:rsidR="001D290A">
        <w:rPr>
          <w:color w:val="auto"/>
        </w:rPr>
        <w:t xml:space="preserve">between Philippine Government administrations. We </w:t>
      </w:r>
      <w:r w:rsidR="00655B77">
        <w:rPr>
          <w:color w:val="auto"/>
        </w:rPr>
        <w:t xml:space="preserve">now </w:t>
      </w:r>
      <w:r w:rsidR="001D290A">
        <w:rPr>
          <w:color w:val="auto"/>
        </w:rPr>
        <w:t xml:space="preserve">have to allow time for the new administration to bed down </w:t>
      </w:r>
      <w:r w:rsidR="00D719AB">
        <w:rPr>
          <w:color w:val="auto"/>
        </w:rPr>
        <w:t>detailed priorities</w:t>
      </w:r>
      <w:r w:rsidR="001D290A">
        <w:rPr>
          <w:color w:val="auto"/>
        </w:rPr>
        <w:t xml:space="preserve"> before we can finalise the forward work program – this is appropriate and a critical priority for the aid program in 2016-17.</w:t>
      </w:r>
      <w:r w:rsidR="008528D3">
        <w:rPr>
          <w:color w:val="auto"/>
        </w:rPr>
        <w:t xml:space="preserve"> </w:t>
      </w:r>
    </w:p>
    <w:p w14:paraId="37E77843" w14:textId="77777777" w:rsidR="00934C34" w:rsidRPr="00ED21E9" w:rsidRDefault="00934C34" w:rsidP="004C4211">
      <w:pPr>
        <w:pStyle w:val="ListBullet"/>
        <w:tabs>
          <w:tab w:val="clear" w:pos="284"/>
        </w:tabs>
        <w:spacing w:before="280" w:after="160"/>
        <w:rPr>
          <w:rFonts w:asciiTheme="majorHAnsi" w:eastAsiaTheme="majorEastAsia" w:hAnsiTheme="majorHAnsi" w:cstheme="majorBidi"/>
          <w:caps/>
          <w:sz w:val="38"/>
          <w:szCs w:val="26"/>
          <w:lang w:val="en-GB" w:eastAsia="en-US"/>
        </w:rPr>
      </w:pPr>
      <w:r w:rsidRPr="00ED21E9">
        <w:rPr>
          <w:rFonts w:asciiTheme="majorHAnsi" w:eastAsiaTheme="majorEastAsia" w:hAnsiTheme="majorHAnsi" w:cstheme="majorBidi"/>
          <w:caps/>
          <w:sz w:val="38"/>
          <w:szCs w:val="26"/>
          <w:lang w:val="en-GB" w:eastAsia="en-US"/>
        </w:rPr>
        <w:t>Gender</w:t>
      </w:r>
      <w:r w:rsidR="003638E6" w:rsidRPr="00ED21E9">
        <w:rPr>
          <w:rFonts w:asciiTheme="majorHAnsi" w:eastAsiaTheme="majorEastAsia" w:hAnsiTheme="majorHAnsi" w:cstheme="majorBidi"/>
          <w:caps/>
          <w:sz w:val="38"/>
          <w:szCs w:val="26"/>
          <w:lang w:val="en-GB" w:eastAsia="en-US"/>
        </w:rPr>
        <w:t xml:space="preserve"> </w:t>
      </w:r>
    </w:p>
    <w:p w14:paraId="27ABCCBB" w14:textId="0F468990" w:rsidR="007A6F0E" w:rsidRPr="0021146D" w:rsidRDefault="00934C34" w:rsidP="00934C34">
      <w:pPr>
        <w:rPr>
          <w:color w:val="auto"/>
        </w:rPr>
      </w:pPr>
      <w:r w:rsidRPr="00A03D28">
        <w:rPr>
          <w:color w:val="auto"/>
        </w:rPr>
        <w:t>In 2015-16, over 90 per cent of our investment</w:t>
      </w:r>
      <w:r w:rsidR="00E208CF" w:rsidRPr="00A03D28">
        <w:rPr>
          <w:color w:val="auto"/>
        </w:rPr>
        <w:t>s</w:t>
      </w:r>
      <w:r w:rsidRPr="00A03D28">
        <w:rPr>
          <w:color w:val="auto"/>
        </w:rPr>
        <w:t xml:space="preserve"> were rated </w:t>
      </w:r>
      <w:r w:rsidR="00E208CF" w:rsidRPr="00A03D28">
        <w:rPr>
          <w:color w:val="auto"/>
        </w:rPr>
        <w:t>as performing satisfactorily</w:t>
      </w:r>
      <w:r w:rsidRPr="00A03D28">
        <w:rPr>
          <w:color w:val="auto"/>
        </w:rPr>
        <w:t xml:space="preserve"> on gender, a great improvement </w:t>
      </w:r>
      <w:r w:rsidR="00296D4C" w:rsidRPr="00A03D28">
        <w:rPr>
          <w:color w:val="auto"/>
        </w:rPr>
        <w:t>on</w:t>
      </w:r>
      <w:r w:rsidRPr="00A03D28">
        <w:rPr>
          <w:color w:val="auto"/>
        </w:rPr>
        <w:t xml:space="preserve"> </w:t>
      </w:r>
      <w:r w:rsidR="00296D4C" w:rsidRPr="00A03D28">
        <w:rPr>
          <w:color w:val="auto"/>
        </w:rPr>
        <w:t>72</w:t>
      </w:r>
      <w:r w:rsidRPr="00A03D28">
        <w:rPr>
          <w:color w:val="auto"/>
        </w:rPr>
        <w:t xml:space="preserve"> per cent in 2014-15.</w:t>
      </w:r>
      <w:r w:rsidRPr="00A03D28">
        <w:rPr>
          <w:i/>
          <w:color w:val="auto"/>
        </w:rPr>
        <w:t xml:space="preserve"> </w:t>
      </w:r>
      <w:r w:rsidR="005E5D4D" w:rsidRPr="00A03D28">
        <w:rPr>
          <w:color w:val="auto"/>
        </w:rPr>
        <w:t>Our investments have improved awareness of the importance of gender equality amongst our partners, especially in programs that did not originally intend for improved gender outcomes to be a focus of the program.</w:t>
      </w:r>
      <w:r w:rsidR="00D719AB">
        <w:rPr>
          <w:color w:val="auto"/>
        </w:rPr>
        <w:t xml:space="preserve"> </w:t>
      </w:r>
      <w:r w:rsidR="004747FA" w:rsidRPr="0021146D">
        <w:rPr>
          <w:color w:val="auto"/>
        </w:rPr>
        <w:t>Management tools were harnessed to better track</w:t>
      </w:r>
      <w:r w:rsidR="00296D4C" w:rsidRPr="0021146D">
        <w:rPr>
          <w:color w:val="auto"/>
        </w:rPr>
        <w:t xml:space="preserve"> progress on gender outcomes </w:t>
      </w:r>
      <w:r w:rsidR="007A6F0E" w:rsidRPr="0021146D">
        <w:rPr>
          <w:color w:val="auto"/>
        </w:rPr>
        <w:t xml:space="preserve">in </w:t>
      </w:r>
      <w:r w:rsidR="004747FA" w:rsidRPr="0021146D">
        <w:rPr>
          <w:color w:val="auto"/>
        </w:rPr>
        <w:t>underperforming programs</w:t>
      </w:r>
      <w:r w:rsidR="007A6F0E" w:rsidRPr="0021146D">
        <w:rPr>
          <w:color w:val="auto"/>
        </w:rPr>
        <w:t xml:space="preserve"> </w:t>
      </w:r>
      <w:r w:rsidR="004747FA" w:rsidRPr="0021146D">
        <w:rPr>
          <w:color w:val="auto"/>
        </w:rPr>
        <w:t xml:space="preserve">over the reporting period. This issue </w:t>
      </w:r>
      <w:r w:rsidR="00296D4C" w:rsidRPr="0021146D">
        <w:rPr>
          <w:color w:val="auto"/>
        </w:rPr>
        <w:t xml:space="preserve">was elevated to </w:t>
      </w:r>
      <w:r w:rsidR="003638E6" w:rsidRPr="0021146D">
        <w:rPr>
          <w:color w:val="auto"/>
        </w:rPr>
        <w:t>be part of the month</w:t>
      </w:r>
      <w:r w:rsidR="004747FA" w:rsidRPr="0021146D">
        <w:rPr>
          <w:color w:val="auto"/>
        </w:rPr>
        <w:t xml:space="preserve">ly Aid Management Team meetings, </w:t>
      </w:r>
      <w:r w:rsidR="003638E6" w:rsidRPr="0021146D">
        <w:rPr>
          <w:color w:val="auto"/>
        </w:rPr>
        <w:t>provid</w:t>
      </w:r>
      <w:r w:rsidR="004747FA" w:rsidRPr="0021146D">
        <w:rPr>
          <w:color w:val="auto"/>
        </w:rPr>
        <w:t>ing</w:t>
      </w:r>
      <w:r w:rsidR="003638E6" w:rsidRPr="0021146D">
        <w:rPr>
          <w:color w:val="auto"/>
        </w:rPr>
        <w:t xml:space="preserve"> a forum where good practice and program achievements could be shared across sectors, progress throughout the year could be closely monitored, and any programs that were not performing satisfactorily on gender could be flagged early.</w:t>
      </w:r>
    </w:p>
    <w:p w14:paraId="04D9EBBE" w14:textId="32844FA6" w:rsidR="004747FA" w:rsidRPr="0021146D" w:rsidRDefault="004747FA" w:rsidP="004747FA">
      <w:pPr>
        <w:rPr>
          <w:color w:val="auto"/>
        </w:rPr>
      </w:pPr>
      <w:r w:rsidRPr="0021146D">
        <w:rPr>
          <w:color w:val="auto"/>
        </w:rPr>
        <w:lastRenderedPageBreak/>
        <w:t xml:space="preserve">The next step for the Philippines Program will be to advance from heightened awareness of gender in our programs to working to deepen </w:t>
      </w:r>
      <w:r w:rsidR="009870D5">
        <w:rPr>
          <w:color w:val="auto"/>
        </w:rPr>
        <w:t xml:space="preserve">development </w:t>
      </w:r>
      <w:r w:rsidRPr="0021146D">
        <w:rPr>
          <w:color w:val="auto"/>
        </w:rPr>
        <w:t>outcomes</w:t>
      </w:r>
      <w:r w:rsidR="0021146D" w:rsidRPr="0021146D">
        <w:rPr>
          <w:color w:val="auto"/>
        </w:rPr>
        <w:t xml:space="preserve"> for women</w:t>
      </w:r>
      <w:r w:rsidRPr="0021146D">
        <w:rPr>
          <w:color w:val="auto"/>
        </w:rPr>
        <w:t xml:space="preserve">. </w:t>
      </w:r>
      <w:r w:rsidR="00655B77" w:rsidRPr="0021146D">
        <w:rPr>
          <w:color w:val="auto"/>
        </w:rPr>
        <w:t>We will</w:t>
      </w:r>
      <w:r w:rsidRPr="0021146D">
        <w:rPr>
          <w:color w:val="auto"/>
        </w:rPr>
        <w:t xml:space="preserve"> </w:t>
      </w:r>
      <w:r w:rsidR="00574FDA" w:rsidRPr="0021146D">
        <w:rPr>
          <w:color w:val="auto"/>
        </w:rPr>
        <w:t xml:space="preserve">continue work to </w:t>
      </w:r>
      <w:r w:rsidRPr="0021146D">
        <w:rPr>
          <w:color w:val="auto"/>
        </w:rPr>
        <w:t xml:space="preserve">do this in our programs that have gender equality as a primary objective, and will look to where short term gains </w:t>
      </w:r>
      <w:r w:rsidR="00655B77" w:rsidRPr="0021146D">
        <w:rPr>
          <w:color w:val="auto"/>
        </w:rPr>
        <w:t xml:space="preserve">can be achieved </w:t>
      </w:r>
      <w:r w:rsidRPr="0021146D">
        <w:rPr>
          <w:color w:val="auto"/>
        </w:rPr>
        <w:t xml:space="preserve">in </w:t>
      </w:r>
      <w:r w:rsidR="0021146D">
        <w:rPr>
          <w:color w:val="auto"/>
        </w:rPr>
        <w:t>investments</w:t>
      </w:r>
      <w:r w:rsidRPr="0021146D">
        <w:rPr>
          <w:color w:val="auto"/>
        </w:rPr>
        <w:t xml:space="preserve"> that have not had gender equality designated as a program objective. This is especially relevant for our economic governance portfolio. </w:t>
      </w:r>
    </w:p>
    <w:p w14:paraId="37358847" w14:textId="77777777" w:rsidR="00B50841" w:rsidRPr="0021146D" w:rsidRDefault="00B50841" w:rsidP="00B50841">
      <w:pPr>
        <w:rPr>
          <w:color w:val="auto"/>
        </w:rPr>
      </w:pPr>
      <w:r w:rsidRPr="0021146D">
        <w:rPr>
          <w:color w:val="auto"/>
        </w:rPr>
        <w:t xml:space="preserve">Given the Philippines Program has seen quite a lot of design work over the reporting period, it is a </w:t>
      </w:r>
      <w:r w:rsidR="00655B77" w:rsidRPr="0021146D">
        <w:rPr>
          <w:color w:val="auto"/>
        </w:rPr>
        <w:t>positive</w:t>
      </w:r>
      <w:r w:rsidRPr="0021146D">
        <w:rPr>
          <w:color w:val="auto"/>
        </w:rPr>
        <w:t xml:space="preserve"> result that programs are better positioned to address gender equality in the coming year. This is </w:t>
      </w:r>
      <w:r w:rsidR="00053CC7" w:rsidRPr="0021146D">
        <w:rPr>
          <w:color w:val="auto"/>
        </w:rPr>
        <w:t>possible because of</w:t>
      </w:r>
      <w:r w:rsidRPr="0021146D">
        <w:rPr>
          <w:color w:val="auto"/>
        </w:rPr>
        <w:t xml:space="preserve"> efforts to ensure new designs respond to gender equality gaps and identify opportunities to further promote quality and women’s empowerment</w:t>
      </w:r>
      <w:r w:rsidR="00053CC7" w:rsidRPr="0021146D">
        <w:rPr>
          <w:color w:val="auto"/>
        </w:rPr>
        <w:t>, and this approach will continue for new designs going forward</w:t>
      </w:r>
      <w:r w:rsidRPr="0021146D">
        <w:rPr>
          <w:color w:val="auto"/>
        </w:rPr>
        <w:t xml:space="preserve">.  </w:t>
      </w:r>
    </w:p>
    <w:p w14:paraId="1BB9E4BC" w14:textId="18F06AF9" w:rsidR="00A0271C" w:rsidRPr="0021146D" w:rsidRDefault="00A0271C" w:rsidP="00E31DB0">
      <w:pPr>
        <w:pStyle w:val="ListParagraph"/>
        <w:numPr>
          <w:ilvl w:val="0"/>
          <w:numId w:val="29"/>
        </w:numPr>
        <w:ind w:left="567"/>
        <w:rPr>
          <w:color w:val="auto"/>
          <w:lang w:val="en-US"/>
        </w:rPr>
      </w:pPr>
      <w:r w:rsidRPr="0021146D">
        <w:rPr>
          <w:color w:val="auto"/>
        </w:rPr>
        <w:t xml:space="preserve">The Investing in Women Initiative (IWI) has made progress in Manila in the past year. Program mobilisation preparations were completed, and the start of the IWI will provide </w:t>
      </w:r>
      <w:r w:rsidRPr="0021146D">
        <w:rPr>
          <w:color w:val="auto"/>
          <w:lang w:val="en-US"/>
        </w:rPr>
        <w:t>important opportunities for our economic growth investments to learn from and leverage off a range of activities to raise attention to the importance of gender equality in this sector. IWI will need to influence and connect with our economic growth sector partners to bring coalition building to bear on creating greater institutional support for meaningful outcomes.</w:t>
      </w:r>
    </w:p>
    <w:p w14:paraId="4588CB13" w14:textId="77777777" w:rsidR="003402D0" w:rsidRDefault="003402D0" w:rsidP="00E31DB0">
      <w:pPr>
        <w:pStyle w:val="ListParagraph"/>
        <w:numPr>
          <w:ilvl w:val="0"/>
          <w:numId w:val="29"/>
        </w:numPr>
        <w:ind w:left="567"/>
        <w:rPr>
          <w:color w:val="auto"/>
        </w:rPr>
      </w:pPr>
      <w:r w:rsidRPr="0021146D">
        <w:rPr>
          <w:color w:val="auto"/>
          <w:lang w:val="en-US"/>
        </w:rPr>
        <w:t>In the Philippines Research Initiative</w:t>
      </w:r>
      <w:r w:rsidR="00B50841" w:rsidRPr="0021146D">
        <w:rPr>
          <w:color w:val="auto"/>
          <w:lang w:val="en-US"/>
        </w:rPr>
        <w:t>,</w:t>
      </w:r>
      <w:r w:rsidRPr="0021146D">
        <w:rPr>
          <w:color w:val="auto"/>
          <w:lang w:val="en-US"/>
        </w:rPr>
        <w:t xml:space="preserve"> one of our partners (3IE) has taken on a new core responsibility</w:t>
      </w:r>
      <w:r w:rsidRPr="0021146D">
        <w:rPr>
          <w:color w:val="auto"/>
        </w:rPr>
        <w:t xml:space="preserve"> of guiding researchers in the formulation of gender sensitive research questions. This is critical to ensuring gender is properly considered in the design of impact evaluation studies and that gender outcomes are captured and reported.</w:t>
      </w:r>
    </w:p>
    <w:p w14:paraId="2BE37C62" w14:textId="77777777" w:rsidR="00934C34" w:rsidRPr="00E210F5" w:rsidRDefault="00934C34" w:rsidP="004C4211">
      <w:pPr>
        <w:pStyle w:val="ListBullet"/>
        <w:tabs>
          <w:tab w:val="clear" w:pos="284"/>
        </w:tabs>
        <w:spacing w:before="280" w:after="160"/>
        <w:rPr>
          <w:rFonts w:asciiTheme="majorHAnsi" w:eastAsiaTheme="majorEastAsia" w:hAnsiTheme="majorHAnsi" w:cstheme="majorBidi"/>
          <w:caps/>
          <w:sz w:val="38"/>
          <w:szCs w:val="26"/>
          <w:lang w:val="en-GB" w:eastAsia="en-US"/>
        </w:rPr>
      </w:pPr>
      <w:r w:rsidRPr="00E210F5">
        <w:rPr>
          <w:rFonts w:asciiTheme="majorHAnsi" w:eastAsiaTheme="majorEastAsia" w:hAnsiTheme="majorHAnsi" w:cstheme="majorBidi"/>
          <w:caps/>
          <w:sz w:val="38"/>
          <w:szCs w:val="26"/>
          <w:lang w:val="en-GB" w:eastAsia="en-US"/>
        </w:rPr>
        <w:t>Analysis of Aid Quality Checks (AQCs)</w:t>
      </w:r>
    </w:p>
    <w:p w14:paraId="51278555" w14:textId="7CB08A9B" w:rsidR="00C10928" w:rsidRPr="00EC3E0B" w:rsidRDefault="00934C34" w:rsidP="00934C34">
      <w:pPr>
        <w:rPr>
          <w:color w:val="auto"/>
        </w:rPr>
      </w:pPr>
      <w:r w:rsidRPr="00C10928">
        <w:rPr>
          <w:color w:val="auto"/>
        </w:rPr>
        <w:t xml:space="preserve">In this reporting period, the Philippines program has completed 11 AQCs and </w:t>
      </w:r>
      <w:r w:rsidR="009870D5">
        <w:rPr>
          <w:color w:val="auto"/>
        </w:rPr>
        <w:t>two</w:t>
      </w:r>
      <w:r w:rsidRPr="00C10928">
        <w:rPr>
          <w:color w:val="auto"/>
        </w:rPr>
        <w:t xml:space="preserve"> F</w:t>
      </w:r>
      <w:r w:rsidR="00616BE0">
        <w:rPr>
          <w:color w:val="auto"/>
        </w:rPr>
        <w:t xml:space="preserve">inal </w:t>
      </w:r>
      <w:r w:rsidRPr="00C10928">
        <w:rPr>
          <w:color w:val="auto"/>
        </w:rPr>
        <w:t xml:space="preserve">AQCs. A summary of the AQCs and FAQCs including ratings for each investment is at Annex D. The overall performance of our investments in 2015-16 was </w:t>
      </w:r>
      <w:r w:rsidR="00C10928" w:rsidRPr="00C10928">
        <w:rPr>
          <w:color w:val="auto"/>
        </w:rPr>
        <w:t>good,</w:t>
      </w:r>
      <w:r w:rsidRPr="00C10928">
        <w:rPr>
          <w:color w:val="auto"/>
        </w:rPr>
        <w:t xml:space="preserve"> with no investment rated below satisfactory under effectiveness and </w:t>
      </w:r>
      <w:r w:rsidRPr="00EC3E0B">
        <w:rPr>
          <w:color w:val="auto"/>
        </w:rPr>
        <w:t xml:space="preserve">efficient of the AQC criteria. Ratings against the seven criteria </w:t>
      </w:r>
      <w:r w:rsidR="00C10928" w:rsidRPr="00EC3E0B">
        <w:rPr>
          <w:color w:val="auto"/>
        </w:rPr>
        <w:t>f</w:t>
      </w:r>
      <w:r w:rsidRPr="00EC3E0B">
        <w:rPr>
          <w:color w:val="auto"/>
        </w:rPr>
        <w:t xml:space="preserve">or the 13 investments were all above satisfactory </w:t>
      </w:r>
      <w:r w:rsidR="00C10928" w:rsidRPr="00EC3E0B">
        <w:rPr>
          <w:color w:val="auto"/>
        </w:rPr>
        <w:t xml:space="preserve">with the </w:t>
      </w:r>
      <w:r w:rsidRPr="00EC3E0B">
        <w:rPr>
          <w:color w:val="auto"/>
        </w:rPr>
        <w:t>except</w:t>
      </w:r>
      <w:r w:rsidR="00C10928" w:rsidRPr="00EC3E0B">
        <w:rPr>
          <w:color w:val="auto"/>
        </w:rPr>
        <w:t xml:space="preserve">ion of two investments against the </w:t>
      </w:r>
      <w:r w:rsidRPr="00EC3E0B">
        <w:rPr>
          <w:color w:val="auto"/>
        </w:rPr>
        <w:t xml:space="preserve">monitoring and </w:t>
      </w:r>
      <w:r w:rsidR="00C10928" w:rsidRPr="00EC3E0B">
        <w:rPr>
          <w:color w:val="auto"/>
        </w:rPr>
        <w:t>evaluation.</w:t>
      </w:r>
    </w:p>
    <w:p w14:paraId="7432DD86" w14:textId="283AF662" w:rsidR="00934C34" w:rsidRPr="00EC3E0B" w:rsidRDefault="00EC3E0B" w:rsidP="00934C34">
      <w:pPr>
        <w:rPr>
          <w:color w:val="auto"/>
        </w:rPr>
      </w:pPr>
      <w:r w:rsidRPr="00EC3E0B">
        <w:rPr>
          <w:color w:val="auto"/>
        </w:rPr>
        <w:t xml:space="preserve">The </w:t>
      </w:r>
      <w:r w:rsidR="00934C34" w:rsidRPr="00EC3E0B">
        <w:rPr>
          <w:color w:val="auto"/>
        </w:rPr>
        <w:t xml:space="preserve">Philippines Research Initiative </w:t>
      </w:r>
      <w:r w:rsidRPr="00EC3E0B">
        <w:rPr>
          <w:color w:val="auto"/>
        </w:rPr>
        <w:t xml:space="preserve">(INJ168) </w:t>
      </w:r>
      <w:r w:rsidR="00934C34" w:rsidRPr="00EC3E0B">
        <w:rPr>
          <w:color w:val="auto"/>
        </w:rPr>
        <w:t xml:space="preserve">was rated “Requiring Improvement” in </w:t>
      </w:r>
      <w:r w:rsidRPr="00EC3E0B">
        <w:rPr>
          <w:color w:val="auto"/>
        </w:rPr>
        <w:t xml:space="preserve">the </w:t>
      </w:r>
      <w:r w:rsidR="00934C34" w:rsidRPr="00EC3E0B">
        <w:rPr>
          <w:color w:val="auto"/>
        </w:rPr>
        <w:t xml:space="preserve">2014-15 reporting period. In 2015-16, the value of the investment was reduced and the initiative management arrangement was restructured to improve efficiency. </w:t>
      </w:r>
      <w:r w:rsidR="00831268">
        <w:rPr>
          <w:color w:val="auto"/>
        </w:rPr>
        <w:t>DFAT Manila</w:t>
      </w:r>
      <w:r w:rsidR="00934C34" w:rsidRPr="00EC3E0B">
        <w:rPr>
          <w:color w:val="auto"/>
        </w:rPr>
        <w:t xml:space="preserve"> has engaged closely </w:t>
      </w:r>
      <w:r w:rsidR="00F076D9">
        <w:rPr>
          <w:color w:val="auto"/>
        </w:rPr>
        <w:t>with our</w:t>
      </w:r>
      <w:r w:rsidR="00934C34" w:rsidRPr="00EC3E0B">
        <w:rPr>
          <w:color w:val="auto"/>
        </w:rPr>
        <w:t xml:space="preserve"> counterpart</w:t>
      </w:r>
      <w:r w:rsidRPr="00EC3E0B">
        <w:rPr>
          <w:color w:val="auto"/>
        </w:rPr>
        <w:t>s</w:t>
      </w:r>
      <w:r w:rsidR="00934C34" w:rsidRPr="00EC3E0B">
        <w:rPr>
          <w:color w:val="auto"/>
        </w:rPr>
        <w:t xml:space="preserve"> and the contractor to ensure implementation of the impact evaluation studies are on track. We continued to support </w:t>
      </w:r>
      <w:r w:rsidRPr="00EC3E0B">
        <w:rPr>
          <w:color w:val="auto"/>
        </w:rPr>
        <w:t xml:space="preserve">our </w:t>
      </w:r>
      <w:r w:rsidR="00934C34" w:rsidRPr="00EC3E0B">
        <w:rPr>
          <w:color w:val="auto"/>
        </w:rPr>
        <w:t>counterpart</w:t>
      </w:r>
      <w:r w:rsidRPr="00EC3E0B">
        <w:rPr>
          <w:color w:val="auto"/>
        </w:rPr>
        <w:t>s</w:t>
      </w:r>
      <w:r w:rsidR="00934C34" w:rsidRPr="00EC3E0B">
        <w:rPr>
          <w:color w:val="auto"/>
        </w:rPr>
        <w:t xml:space="preserve"> in advocacy for </w:t>
      </w:r>
      <w:r w:rsidRPr="00EC3E0B">
        <w:rPr>
          <w:color w:val="auto"/>
        </w:rPr>
        <w:t>e</w:t>
      </w:r>
      <w:r w:rsidR="00934C34" w:rsidRPr="00EC3E0B">
        <w:rPr>
          <w:color w:val="auto"/>
        </w:rPr>
        <w:t xml:space="preserve">ffective </w:t>
      </w:r>
      <w:r w:rsidRPr="00EC3E0B">
        <w:rPr>
          <w:color w:val="auto"/>
        </w:rPr>
        <w:t>p</w:t>
      </w:r>
      <w:r w:rsidR="00934C34" w:rsidRPr="00EC3E0B">
        <w:rPr>
          <w:color w:val="auto"/>
        </w:rPr>
        <w:t xml:space="preserve">olicy </w:t>
      </w:r>
      <w:r w:rsidRPr="00EC3E0B">
        <w:rPr>
          <w:color w:val="auto"/>
        </w:rPr>
        <w:t>m</w:t>
      </w:r>
      <w:r w:rsidR="00934C34" w:rsidRPr="00EC3E0B">
        <w:rPr>
          <w:color w:val="auto"/>
        </w:rPr>
        <w:t xml:space="preserve">aking through evidence-based research. The performance of this initiative has improved </w:t>
      </w:r>
      <w:r w:rsidRPr="00EC3E0B">
        <w:rPr>
          <w:color w:val="auto"/>
        </w:rPr>
        <w:t xml:space="preserve">over the reporting period, </w:t>
      </w:r>
      <w:r w:rsidR="00934C34" w:rsidRPr="00EC3E0B">
        <w:rPr>
          <w:color w:val="auto"/>
        </w:rPr>
        <w:t>with all elements of the AQC criteria rate</w:t>
      </w:r>
      <w:r w:rsidRPr="00EC3E0B">
        <w:rPr>
          <w:color w:val="auto"/>
        </w:rPr>
        <w:t>d satisfactory, except against m</w:t>
      </w:r>
      <w:r w:rsidR="00934C34" w:rsidRPr="00EC3E0B">
        <w:rPr>
          <w:color w:val="auto"/>
        </w:rPr>
        <w:t xml:space="preserve">onitoring and </w:t>
      </w:r>
      <w:r w:rsidRPr="00EC3E0B">
        <w:rPr>
          <w:color w:val="auto"/>
        </w:rPr>
        <w:t>evaluation</w:t>
      </w:r>
      <w:r w:rsidR="004E41F1">
        <w:rPr>
          <w:color w:val="auto"/>
        </w:rPr>
        <w:t>.</w:t>
      </w:r>
      <w:r w:rsidR="00934C34" w:rsidRPr="00EC3E0B">
        <w:rPr>
          <w:color w:val="auto"/>
        </w:rPr>
        <w:t xml:space="preserve"> While the initiative has </w:t>
      </w:r>
      <w:r w:rsidRPr="00EC3E0B">
        <w:rPr>
          <w:color w:val="auto"/>
        </w:rPr>
        <w:t>monitoring and evaluation</w:t>
      </w:r>
      <w:r w:rsidR="00934C34" w:rsidRPr="00EC3E0B">
        <w:rPr>
          <w:color w:val="auto"/>
        </w:rPr>
        <w:t xml:space="preserve"> plans at each individual study level, there is a need to </w:t>
      </w:r>
      <w:r w:rsidRPr="00EC3E0B">
        <w:rPr>
          <w:color w:val="auto"/>
        </w:rPr>
        <w:t xml:space="preserve">develop an </w:t>
      </w:r>
      <w:r w:rsidR="00D719AB">
        <w:rPr>
          <w:color w:val="auto"/>
        </w:rPr>
        <w:t>overarching</w:t>
      </w:r>
      <w:r w:rsidR="00934C34" w:rsidRPr="00EC3E0B">
        <w:rPr>
          <w:color w:val="auto"/>
        </w:rPr>
        <w:t xml:space="preserve"> </w:t>
      </w:r>
      <w:r w:rsidRPr="00EC3E0B">
        <w:rPr>
          <w:color w:val="auto"/>
        </w:rPr>
        <w:t>monitoring and evaluation</w:t>
      </w:r>
      <w:r w:rsidR="00934C34" w:rsidRPr="00EC3E0B">
        <w:rPr>
          <w:color w:val="auto"/>
        </w:rPr>
        <w:t xml:space="preserve"> framework to report on how the ou</w:t>
      </w:r>
      <w:r w:rsidRPr="00EC3E0B">
        <w:rPr>
          <w:color w:val="auto"/>
        </w:rPr>
        <w:t>tcome of each impact evaluation/</w:t>
      </w:r>
      <w:r w:rsidR="00934C34" w:rsidRPr="00EC3E0B">
        <w:rPr>
          <w:color w:val="auto"/>
        </w:rPr>
        <w:t xml:space="preserve">study contributes to the higher level goals of this investment. </w:t>
      </w:r>
      <w:r w:rsidRPr="00EC3E0B">
        <w:rPr>
          <w:color w:val="auto"/>
        </w:rPr>
        <w:t>This will be a focus for 2016-17.</w:t>
      </w:r>
    </w:p>
    <w:p w14:paraId="5E69611A" w14:textId="311F2A97" w:rsidR="00934C34" w:rsidRPr="004E41F1" w:rsidRDefault="00EC3E0B" w:rsidP="00934C34">
      <w:pPr>
        <w:rPr>
          <w:color w:val="auto"/>
          <w:highlight w:val="cyan"/>
        </w:rPr>
      </w:pPr>
      <w:r w:rsidRPr="004E41F1">
        <w:rPr>
          <w:color w:val="auto"/>
        </w:rPr>
        <w:t>The AQC monitoring and evaluation</w:t>
      </w:r>
      <w:r w:rsidR="00934C34" w:rsidRPr="004E41F1">
        <w:rPr>
          <w:color w:val="auto"/>
        </w:rPr>
        <w:t xml:space="preserve"> criterion for </w:t>
      </w:r>
      <w:r w:rsidRPr="004E41F1">
        <w:rPr>
          <w:color w:val="auto"/>
        </w:rPr>
        <w:t xml:space="preserve">the </w:t>
      </w:r>
      <w:r w:rsidR="00934C34" w:rsidRPr="004E41F1">
        <w:rPr>
          <w:color w:val="auto"/>
        </w:rPr>
        <w:t xml:space="preserve">Australia-World Bank Philippines Development Trust Fund </w:t>
      </w:r>
      <w:r w:rsidRPr="004E41F1">
        <w:rPr>
          <w:color w:val="auto"/>
        </w:rPr>
        <w:t xml:space="preserve">(INI632) </w:t>
      </w:r>
      <w:r w:rsidR="00934C34" w:rsidRPr="004E41F1">
        <w:rPr>
          <w:color w:val="auto"/>
        </w:rPr>
        <w:t xml:space="preserve">was also rated less than satisfactory. </w:t>
      </w:r>
      <w:r w:rsidRPr="004E41F1">
        <w:rPr>
          <w:color w:val="auto"/>
        </w:rPr>
        <w:t>The monitoring and evaluation management response from last year has been partially completed</w:t>
      </w:r>
      <w:r w:rsidR="00F80FDB" w:rsidRPr="004E41F1">
        <w:rPr>
          <w:color w:val="auto"/>
        </w:rPr>
        <w:t xml:space="preserve">: </w:t>
      </w:r>
      <w:r w:rsidRPr="004E41F1">
        <w:rPr>
          <w:color w:val="auto"/>
        </w:rPr>
        <w:t xml:space="preserve">a draft monitoring </w:t>
      </w:r>
      <w:r w:rsidR="000214EB" w:rsidRPr="004E41F1">
        <w:rPr>
          <w:color w:val="auto"/>
        </w:rPr>
        <w:t>and evaluation framework was submitted to DFAT from the World Bank</w:t>
      </w:r>
      <w:r w:rsidR="00831268">
        <w:rPr>
          <w:color w:val="auto"/>
        </w:rPr>
        <w:t xml:space="preserve"> but is not yet agreed</w:t>
      </w:r>
      <w:r w:rsidR="000214EB" w:rsidRPr="004E41F1">
        <w:rPr>
          <w:color w:val="auto"/>
        </w:rPr>
        <w:t>. The World Bank’s own monitoring and evaluation framework</w:t>
      </w:r>
      <w:r w:rsidR="00F80FDB" w:rsidRPr="004E41F1">
        <w:rPr>
          <w:color w:val="auto"/>
        </w:rPr>
        <w:t>s</w:t>
      </w:r>
      <w:r w:rsidR="000214EB" w:rsidRPr="004E41F1">
        <w:rPr>
          <w:color w:val="auto"/>
        </w:rPr>
        <w:t xml:space="preserve"> are focused at the activity level </w:t>
      </w:r>
      <w:r w:rsidR="00F80FDB" w:rsidRPr="004E41F1">
        <w:rPr>
          <w:color w:val="auto"/>
        </w:rPr>
        <w:t>for grant monitoring so it is often not possible to agree on a comprehensive overarching monitoring and evaluation framework for trust funds</w:t>
      </w:r>
      <w:r w:rsidR="00F80FDB" w:rsidRPr="004E41F1">
        <w:rPr>
          <w:i/>
          <w:color w:val="auto"/>
        </w:rPr>
        <w:t>.</w:t>
      </w:r>
      <w:r w:rsidR="00082167" w:rsidRPr="004E41F1">
        <w:rPr>
          <w:i/>
          <w:color w:val="auto"/>
        </w:rPr>
        <w:t xml:space="preserve"> </w:t>
      </w:r>
      <w:r w:rsidR="00082167" w:rsidRPr="004E41F1">
        <w:rPr>
          <w:color w:val="auto"/>
        </w:rPr>
        <w:t>DFAT will continue to work with the World Bank to better capture monitoring and evaluation information – including gender outcomes – and will ensure that the empowerment of women and girls is considered at the project concept stage so it can be better monitored throughout the life of activities</w:t>
      </w:r>
      <w:r w:rsidR="00FA2300" w:rsidRPr="004E41F1">
        <w:rPr>
          <w:color w:val="auto"/>
        </w:rPr>
        <w:t>.</w:t>
      </w:r>
      <w:r w:rsidR="00082167" w:rsidRPr="004E41F1">
        <w:rPr>
          <w:color w:val="auto"/>
        </w:rPr>
        <w:t xml:space="preserve"> </w:t>
      </w:r>
      <w:r w:rsidR="00934C34" w:rsidRPr="004E41F1">
        <w:rPr>
          <w:color w:val="auto"/>
        </w:rPr>
        <w:t>DFAT ha</w:t>
      </w:r>
      <w:r w:rsidR="00082167" w:rsidRPr="004E41F1">
        <w:rPr>
          <w:color w:val="auto"/>
        </w:rPr>
        <w:t>s also had</w:t>
      </w:r>
      <w:r w:rsidR="00934C34" w:rsidRPr="004E41F1">
        <w:rPr>
          <w:color w:val="auto"/>
        </w:rPr>
        <w:t xml:space="preserve"> difficulties in tracking </w:t>
      </w:r>
      <w:r w:rsidR="00223362" w:rsidRPr="004E41F1">
        <w:rPr>
          <w:color w:val="auto"/>
        </w:rPr>
        <w:t xml:space="preserve">up-to-date and detailed </w:t>
      </w:r>
      <w:r w:rsidR="00934C34" w:rsidRPr="004E41F1">
        <w:rPr>
          <w:color w:val="auto"/>
        </w:rPr>
        <w:t xml:space="preserve">expenditure </w:t>
      </w:r>
      <w:r w:rsidR="00223362" w:rsidRPr="004E41F1">
        <w:rPr>
          <w:color w:val="auto"/>
        </w:rPr>
        <w:t>and progress reporting</w:t>
      </w:r>
      <w:r w:rsidR="00934C34" w:rsidRPr="004E41F1">
        <w:rPr>
          <w:color w:val="auto"/>
        </w:rPr>
        <w:t xml:space="preserve"> through </w:t>
      </w:r>
      <w:r w:rsidR="00223362" w:rsidRPr="004E41F1">
        <w:rPr>
          <w:color w:val="auto"/>
        </w:rPr>
        <w:t xml:space="preserve">existing </w:t>
      </w:r>
      <w:r w:rsidR="004E41F1" w:rsidRPr="004E41F1">
        <w:rPr>
          <w:color w:val="auto"/>
        </w:rPr>
        <w:t xml:space="preserve">World Bank reporting </w:t>
      </w:r>
      <w:r w:rsidR="00223362" w:rsidRPr="004E41F1">
        <w:rPr>
          <w:color w:val="auto"/>
        </w:rPr>
        <w:t>mechanisms</w:t>
      </w:r>
      <w:r w:rsidR="004E41F1" w:rsidRPr="004E41F1">
        <w:rPr>
          <w:color w:val="auto"/>
        </w:rPr>
        <w:t>,</w:t>
      </w:r>
      <w:r w:rsidR="00223362" w:rsidRPr="004E41F1">
        <w:rPr>
          <w:color w:val="auto"/>
        </w:rPr>
        <w:t xml:space="preserve"> but </w:t>
      </w:r>
      <w:r w:rsidR="004E41F1" w:rsidRPr="004E41F1">
        <w:rPr>
          <w:color w:val="auto"/>
        </w:rPr>
        <w:t xml:space="preserve">this </w:t>
      </w:r>
      <w:r w:rsidR="00223362" w:rsidRPr="004E41F1">
        <w:rPr>
          <w:color w:val="auto"/>
        </w:rPr>
        <w:t xml:space="preserve">is being rectified through close coordination and communication between </w:t>
      </w:r>
      <w:r w:rsidR="000873C6" w:rsidRPr="004E41F1">
        <w:rPr>
          <w:color w:val="auto"/>
        </w:rPr>
        <w:t>the DFAT and the Bank</w:t>
      </w:r>
      <w:r w:rsidR="004E41F1" w:rsidRPr="004E41F1">
        <w:rPr>
          <w:color w:val="auto"/>
        </w:rPr>
        <w:t xml:space="preserve"> teams</w:t>
      </w:r>
      <w:r w:rsidR="000873C6" w:rsidRPr="004E41F1">
        <w:rPr>
          <w:color w:val="auto"/>
        </w:rPr>
        <w:t>.</w:t>
      </w:r>
    </w:p>
    <w:p w14:paraId="3C56A65C" w14:textId="77777777" w:rsidR="00934C34" w:rsidRPr="00E210F5" w:rsidRDefault="00934C34" w:rsidP="004C4211">
      <w:pPr>
        <w:pStyle w:val="ListBullet"/>
        <w:tabs>
          <w:tab w:val="clear" w:pos="284"/>
        </w:tabs>
        <w:spacing w:before="280" w:after="160"/>
        <w:rPr>
          <w:rFonts w:asciiTheme="majorHAnsi" w:eastAsiaTheme="majorEastAsia" w:hAnsiTheme="majorHAnsi" w:cstheme="majorBidi"/>
          <w:caps/>
          <w:sz w:val="38"/>
          <w:szCs w:val="26"/>
          <w:lang w:val="en-GB" w:eastAsia="en-US"/>
        </w:rPr>
      </w:pPr>
      <w:r w:rsidRPr="00E210F5">
        <w:rPr>
          <w:rFonts w:asciiTheme="majorHAnsi" w:eastAsiaTheme="majorEastAsia" w:hAnsiTheme="majorHAnsi" w:cstheme="majorBidi"/>
          <w:caps/>
          <w:sz w:val="38"/>
          <w:szCs w:val="26"/>
          <w:lang w:val="en-GB" w:eastAsia="en-US"/>
        </w:rPr>
        <w:lastRenderedPageBreak/>
        <w:t>Performance of key delivery partners</w:t>
      </w:r>
    </w:p>
    <w:p w14:paraId="6338ED83" w14:textId="13B1BB6C" w:rsidR="00082167" w:rsidRDefault="00934C34" w:rsidP="00934C34">
      <w:pPr>
        <w:rPr>
          <w:color w:val="auto"/>
        </w:rPr>
      </w:pPr>
      <w:r w:rsidRPr="00082167">
        <w:rPr>
          <w:color w:val="auto"/>
        </w:rPr>
        <w:t xml:space="preserve">DFAT has continued regular dialogue </w:t>
      </w:r>
      <w:r w:rsidR="00D40C7A" w:rsidRPr="00082167">
        <w:rPr>
          <w:color w:val="auto"/>
        </w:rPr>
        <w:t xml:space="preserve">and </w:t>
      </w:r>
      <w:r w:rsidR="00AD4B31" w:rsidRPr="00082167">
        <w:rPr>
          <w:color w:val="auto"/>
        </w:rPr>
        <w:t xml:space="preserve">close </w:t>
      </w:r>
      <w:r w:rsidR="00D40C7A" w:rsidRPr="00082167">
        <w:rPr>
          <w:color w:val="auto"/>
        </w:rPr>
        <w:t xml:space="preserve">engagement </w:t>
      </w:r>
      <w:r w:rsidRPr="00082167">
        <w:rPr>
          <w:color w:val="auto"/>
        </w:rPr>
        <w:t>with the Philippine Government</w:t>
      </w:r>
      <w:r w:rsidR="00D40C7A" w:rsidRPr="00082167">
        <w:rPr>
          <w:color w:val="auto"/>
        </w:rPr>
        <w:t xml:space="preserve"> to ensure</w:t>
      </w:r>
      <w:r w:rsidR="00082167" w:rsidRPr="00082167">
        <w:rPr>
          <w:color w:val="auto"/>
        </w:rPr>
        <w:t xml:space="preserve"> alignment of</w:t>
      </w:r>
      <w:r w:rsidR="00D40C7A" w:rsidRPr="00082167">
        <w:rPr>
          <w:color w:val="auto"/>
        </w:rPr>
        <w:t xml:space="preserve"> our </w:t>
      </w:r>
      <w:r w:rsidR="00082167" w:rsidRPr="00082167">
        <w:rPr>
          <w:color w:val="auto"/>
        </w:rPr>
        <w:t>priorities</w:t>
      </w:r>
      <w:r w:rsidRPr="00082167">
        <w:rPr>
          <w:color w:val="auto"/>
        </w:rPr>
        <w:t xml:space="preserve">. </w:t>
      </w:r>
      <w:r w:rsidR="00082167">
        <w:rPr>
          <w:color w:val="auto"/>
        </w:rPr>
        <w:t>The Philippines Program also works with multilateral organisations, non-government organisations and managing contractors. All of our partners provide critical technical, analytical and managerial expertise.</w:t>
      </w:r>
    </w:p>
    <w:p w14:paraId="19FCAF7B" w14:textId="4677009D" w:rsidR="00934C34" w:rsidRPr="004E41F1" w:rsidRDefault="00AD4B31" w:rsidP="00934C34">
      <w:pPr>
        <w:rPr>
          <w:strike/>
          <w:color w:val="auto"/>
        </w:rPr>
      </w:pPr>
      <w:r w:rsidRPr="00082167">
        <w:rPr>
          <w:color w:val="auto"/>
        </w:rPr>
        <w:t>In 2015-16, 18 P</w:t>
      </w:r>
      <w:r w:rsidR="003F1B18" w:rsidRPr="00082167">
        <w:rPr>
          <w:color w:val="auto"/>
        </w:rPr>
        <w:t xml:space="preserve">artner </w:t>
      </w:r>
      <w:r w:rsidRPr="00082167">
        <w:rPr>
          <w:color w:val="auto"/>
        </w:rPr>
        <w:t>P</w:t>
      </w:r>
      <w:r w:rsidR="003F1B18" w:rsidRPr="00082167">
        <w:rPr>
          <w:color w:val="auto"/>
        </w:rPr>
        <w:t xml:space="preserve">erformance </w:t>
      </w:r>
      <w:r w:rsidRPr="00082167">
        <w:rPr>
          <w:color w:val="auto"/>
        </w:rPr>
        <w:t>As</w:t>
      </w:r>
      <w:r w:rsidR="003F1B18" w:rsidRPr="00082167">
        <w:rPr>
          <w:color w:val="auto"/>
        </w:rPr>
        <w:t>sessments were conducted</w:t>
      </w:r>
      <w:r w:rsidRPr="00082167">
        <w:rPr>
          <w:color w:val="auto"/>
        </w:rPr>
        <w:t xml:space="preserve"> for </w:t>
      </w:r>
      <w:r w:rsidR="003F1B18" w:rsidRPr="00082167">
        <w:rPr>
          <w:color w:val="auto"/>
        </w:rPr>
        <w:t xml:space="preserve">14 delivery partners. </w:t>
      </w:r>
      <w:r w:rsidR="00B628DB">
        <w:rPr>
          <w:color w:val="auto"/>
        </w:rPr>
        <w:t xml:space="preserve">Results indicate that our partners are providing effective program support and that DFAT is achieving value for money in these partnerships. </w:t>
      </w:r>
      <w:r w:rsidR="00B628DB" w:rsidRPr="004E41F1">
        <w:rPr>
          <w:color w:val="auto"/>
        </w:rPr>
        <w:t xml:space="preserve">Extensive work with the World Bank during the reporting period has yielded good results in clarification and consolidation of our relationships in a very complex trust fund. We now have a good foundation on which to move forward with the World Bank as we finalise discussions on how to improve monitoring and evaluation and how to better harness opportunities to empower women and girls in our activities. </w:t>
      </w:r>
    </w:p>
    <w:p w14:paraId="5E5F5BDA" w14:textId="77777777" w:rsidR="00C77958" w:rsidRDefault="00EB4C06" w:rsidP="00934C34">
      <w:pPr>
        <w:rPr>
          <w:color w:val="auto"/>
        </w:rPr>
      </w:pPr>
      <w:r w:rsidRPr="00EB4C06">
        <w:rPr>
          <w:color w:val="auto"/>
        </w:rPr>
        <w:t>O</w:t>
      </w:r>
      <w:r>
        <w:rPr>
          <w:color w:val="auto"/>
        </w:rPr>
        <w:t xml:space="preserve">nly one partner was </w:t>
      </w:r>
      <w:r w:rsidRPr="00EB4C06">
        <w:rPr>
          <w:color w:val="auto"/>
        </w:rPr>
        <w:t>assessed less than satisfactory</w:t>
      </w:r>
      <w:r>
        <w:rPr>
          <w:color w:val="auto"/>
        </w:rPr>
        <w:t xml:space="preserve">. This </w:t>
      </w:r>
      <w:r w:rsidR="00053CC7">
        <w:rPr>
          <w:color w:val="auto"/>
        </w:rPr>
        <w:t xml:space="preserve">was </w:t>
      </w:r>
      <w:r w:rsidR="00D719AB">
        <w:rPr>
          <w:color w:val="auto"/>
        </w:rPr>
        <w:t xml:space="preserve">in </w:t>
      </w:r>
      <w:r w:rsidR="00053CC7">
        <w:rPr>
          <w:color w:val="auto"/>
        </w:rPr>
        <w:t>a grant</w:t>
      </w:r>
      <w:r>
        <w:rPr>
          <w:color w:val="auto"/>
        </w:rPr>
        <w:t xml:space="preserve"> agreement</w:t>
      </w:r>
      <w:r w:rsidR="00053CC7">
        <w:rPr>
          <w:color w:val="auto"/>
        </w:rPr>
        <w:t xml:space="preserve"> administered by UNICEF:</w:t>
      </w:r>
      <w:r>
        <w:rPr>
          <w:color w:val="auto"/>
        </w:rPr>
        <w:t xml:space="preserve"> Education for Children in Ar</w:t>
      </w:r>
      <w:r w:rsidR="00053CC7">
        <w:rPr>
          <w:color w:val="auto"/>
        </w:rPr>
        <w:t>eas Affected by Armed Conflict, as part of the Basic Education Assistance for the Autonomous Regional of Muslim Mindanao program</w:t>
      </w:r>
      <w:r w:rsidRPr="00EB4C06">
        <w:rPr>
          <w:color w:val="auto"/>
        </w:rPr>
        <w:t xml:space="preserve">. The underperformance was mainly </w:t>
      </w:r>
      <w:r>
        <w:rPr>
          <w:color w:val="auto"/>
        </w:rPr>
        <w:t xml:space="preserve">due to the fact that UNICEF was not able to adequately support the </w:t>
      </w:r>
      <w:r w:rsidRPr="00EB4C06">
        <w:rPr>
          <w:color w:val="auto"/>
        </w:rPr>
        <w:t xml:space="preserve">partner government agency </w:t>
      </w:r>
      <w:r>
        <w:rPr>
          <w:color w:val="auto"/>
        </w:rPr>
        <w:t>to implement activities</w:t>
      </w:r>
      <w:r w:rsidRPr="00EB4C06">
        <w:rPr>
          <w:color w:val="auto"/>
        </w:rPr>
        <w:t xml:space="preserve">. </w:t>
      </w:r>
      <w:r w:rsidR="00F060C3">
        <w:rPr>
          <w:color w:val="auto"/>
        </w:rPr>
        <w:t>DFAT has sought increased direct involvement by UNICEF’s Field Office and has been consistently pushing UNICEF to develop and implement strong management strategies in the coming final year of the program.</w:t>
      </w:r>
      <w:r w:rsidR="004415CD">
        <w:rPr>
          <w:color w:val="auto"/>
        </w:rPr>
        <w:t xml:space="preserve"> </w:t>
      </w:r>
    </w:p>
    <w:p w14:paraId="1C179FC6" w14:textId="6160F8F0" w:rsidR="005B0631" w:rsidRDefault="00EB4C06" w:rsidP="00934C34">
      <w:pPr>
        <w:rPr>
          <w:color w:val="auto"/>
        </w:rPr>
      </w:pPr>
      <w:r>
        <w:rPr>
          <w:color w:val="auto"/>
        </w:rPr>
        <w:t>T</w:t>
      </w:r>
      <w:r w:rsidR="005B0631" w:rsidRPr="005B0631">
        <w:rPr>
          <w:color w:val="auto"/>
        </w:rPr>
        <w:t>he Asia Foundation</w:t>
      </w:r>
      <w:r w:rsidR="00F076D9">
        <w:rPr>
          <w:color w:val="auto"/>
        </w:rPr>
        <w:t xml:space="preserve">’s </w:t>
      </w:r>
      <w:r w:rsidR="005B0631" w:rsidRPr="005B0631">
        <w:rPr>
          <w:color w:val="auto"/>
        </w:rPr>
        <w:t>s</w:t>
      </w:r>
      <w:r w:rsidR="00F076D9">
        <w:rPr>
          <w:color w:val="auto"/>
        </w:rPr>
        <w:t>ignificant improvements in its</w:t>
      </w:r>
      <w:r w:rsidR="005B0631" w:rsidRPr="005B0631">
        <w:rPr>
          <w:color w:val="auto"/>
        </w:rPr>
        <w:t xml:space="preserve"> programming for gender equality</w:t>
      </w:r>
      <w:r w:rsidR="00F076D9">
        <w:rPr>
          <w:color w:val="auto"/>
        </w:rPr>
        <w:t xml:space="preserve"> should be acknowledged. Its</w:t>
      </w:r>
      <w:r w:rsidR="005B0631" w:rsidRPr="005B0631">
        <w:rPr>
          <w:color w:val="auto"/>
        </w:rPr>
        <w:t xml:space="preserve"> response to DFAT’s push for this has</w:t>
      </w:r>
      <w:r w:rsidR="005B0631">
        <w:rPr>
          <w:color w:val="auto"/>
        </w:rPr>
        <w:t xml:space="preserve"> been an important consideration for how we work politically through the Coalitions for Change program.</w:t>
      </w:r>
    </w:p>
    <w:p w14:paraId="51592AF2" w14:textId="77777777" w:rsidR="00F71C1B" w:rsidRDefault="00F71C1B" w:rsidP="00934C34">
      <w:pPr>
        <w:rPr>
          <w:color w:val="auto"/>
        </w:rPr>
      </w:pPr>
      <w:r>
        <w:rPr>
          <w:color w:val="auto"/>
        </w:rPr>
        <w:t>Overall, our relationships with our delivery partners are productive – partners are responsive to DFAT requests and when we have required program improvements we have been able to work together to achieve this.</w:t>
      </w:r>
      <w:r w:rsidR="005B0631">
        <w:rPr>
          <w:color w:val="auto"/>
        </w:rPr>
        <w:t xml:space="preserve"> This is especially relevant for the Philippines Program’s escalated response to increasing programming for gender equality.</w:t>
      </w:r>
      <w:r>
        <w:rPr>
          <w:color w:val="auto"/>
        </w:rPr>
        <w:t xml:space="preserve"> </w:t>
      </w:r>
      <w:r w:rsidR="002854EE">
        <w:rPr>
          <w:color w:val="auto"/>
        </w:rPr>
        <w:t>Challenges associated with changes in staffing, decreases in budgets and the lack of alignment between DFAT and partner organisation systems have been address constructively with positive program results.</w:t>
      </w:r>
    </w:p>
    <w:p w14:paraId="64D172B5" w14:textId="77777777" w:rsidR="002A51CA" w:rsidRPr="00E210F5" w:rsidRDefault="002A51CA" w:rsidP="004C4211">
      <w:pPr>
        <w:pStyle w:val="ListBullet"/>
        <w:tabs>
          <w:tab w:val="clear" w:pos="284"/>
        </w:tabs>
        <w:spacing w:before="280" w:after="160"/>
        <w:rPr>
          <w:rFonts w:asciiTheme="majorHAnsi" w:eastAsiaTheme="majorEastAsia" w:hAnsiTheme="majorHAnsi" w:cstheme="majorBidi"/>
          <w:caps/>
          <w:sz w:val="38"/>
          <w:szCs w:val="26"/>
          <w:lang w:val="en-GB" w:eastAsia="en-US"/>
        </w:rPr>
      </w:pPr>
      <w:r w:rsidRPr="00E210F5">
        <w:rPr>
          <w:rFonts w:asciiTheme="majorHAnsi" w:eastAsiaTheme="majorEastAsia" w:hAnsiTheme="majorHAnsi" w:cstheme="majorBidi"/>
          <w:caps/>
          <w:sz w:val="38"/>
          <w:szCs w:val="26"/>
          <w:lang w:val="en-GB" w:eastAsia="en-US"/>
        </w:rPr>
        <w:t>Risks</w:t>
      </w:r>
    </w:p>
    <w:p w14:paraId="522A8011" w14:textId="77777777" w:rsidR="002A51CA" w:rsidRPr="002854EE" w:rsidRDefault="002A51CA" w:rsidP="002A51CA">
      <w:pPr>
        <w:rPr>
          <w:b/>
          <w:color w:val="auto"/>
          <w:sz w:val="24"/>
        </w:rPr>
      </w:pPr>
      <w:r w:rsidRPr="002854EE">
        <w:rPr>
          <w:b/>
          <w:color w:val="auto"/>
          <w:sz w:val="24"/>
        </w:rPr>
        <w:t>Table 3 Management of Key Risks to Achieving Objectives</w:t>
      </w:r>
    </w:p>
    <w:tbl>
      <w:tblPr>
        <w:tblStyle w:val="APPR"/>
        <w:tblW w:w="5000" w:type="pct"/>
        <w:tblLook w:val="0600" w:firstRow="0" w:lastRow="0" w:firstColumn="0" w:lastColumn="0" w:noHBand="1" w:noVBand="1"/>
      </w:tblPr>
      <w:tblGrid>
        <w:gridCol w:w="2312"/>
        <w:gridCol w:w="2572"/>
        <w:gridCol w:w="2632"/>
        <w:gridCol w:w="2394"/>
      </w:tblGrid>
      <w:tr w:rsidR="002A51CA" w:rsidRPr="002854EE" w14:paraId="50D9192C" w14:textId="77777777" w:rsidTr="002A51CA">
        <w:tc>
          <w:tcPr>
            <w:tcW w:w="2270" w:type="dxa"/>
            <w:hideMark/>
          </w:tcPr>
          <w:p w14:paraId="437FDEBF" w14:textId="77777777" w:rsidR="002A51CA" w:rsidRPr="002854EE" w:rsidRDefault="002A51CA" w:rsidP="00BE6C6D">
            <w:pPr>
              <w:rPr>
                <w:rFonts w:asciiTheme="minorHAnsi" w:hAnsiTheme="minorHAnsi"/>
                <w:b/>
                <w:color w:val="auto"/>
              </w:rPr>
            </w:pPr>
            <w:r w:rsidRPr="002854EE">
              <w:rPr>
                <w:rFonts w:asciiTheme="minorHAnsi" w:hAnsiTheme="minorHAnsi"/>
                <w:b/>
                <w:color w:val="auto"/>
              </w:rPr>
              <w:t>Key risks</w:t>
            </w:r>
          </w:p>
        </w:tc>
        <w:tc>
          <w:tcPr>
            <w:tcW w:w="2544" w:type="dxa"/>
          </w:tcPr>
          <w:p w14:paraId="1B9125AC" w14:textId="77777777" w:rsidR="002A51CA" w:rsidRPr="002854EE" w:rsidRDefault="002A51CA" w:rsidP="00BE6C6D">
            <w:pPr>
              <w:rPr>
                <w:rFonts w:asciiTheme="minorHAnsi" w:hAnsiTheme="minorHAnsi"/>
                <w:b/>
                <w:color w:val="auto"/>
              </w:rPr>
            </w:pPr>
            <w:r w:rsidRPr="002854EE">
              <w:rPr>
                <w:rFonts w:asciiTheme="minorHAnsi" w:hAnsiTheme="minorHAnsi"/>
                <w:b/>
                <w:color w:val="auto"/>
              </w:rPr>
              <w:t>What actions were taken to manage the risks over the past year?</w:t>
            </w:r>
          </w:p>
        </w:tc>
        <w:tc>
          <w:tcPr>
            <w:tcW w:w="2604" w:type="dxa"/>
          </w:tcPr>
          <w:p w14:paraId="2A5EFA9F" w14:textId="77777777" w:rsidR="002A51CA" w:rsidRPr="002854EE" w:rsidRDefault="002A51CA" w:rsidP="00BE6C6D">
            <w:pPr>
              <w:rPr>
                <w:rFonts w:asciiTheme="minorHAnsi" w:hAnsiTheme="minorHAnsi"/>
                <w:b/>
                <w:color w:val="auto"/>
              </w:rPr>
            </w:pPr>
            <w:r w:rsidRPr="002854EE">
              <w:rPr>
                <w:rFonts w:asciiTheme="minorHAnsi" w:hAnsiTheme="minorHAnsi"/>
                <w:b/>
                <w:color w:val="auto"/>
              </w:rPr>
              <w:t>What further actions will be taken to manage the risks in the coming year?</w:t>
            </w:r>
          </w:p>
        </w:tc>
        <w:tc>
          <w:tcPr>
            <w:tcW w:w="2352" w:type="dxa"/>
          </w:tcPr>
          <w:p w14:paraId="18C17603" w14:textId="77777777" w:rsidR="002A51CA" w:rsidRPr="002854EE" w:rsidRDefault="002A51CA" w:rsidP="00BE6C6D">
            <w:pPr>
              <w:rPr>
                <w:rFonts w:asciiTheme="minorHAnsi" w:hAnsiTheme="minorHAnsi"/>
                <w:b/>
                <w:color w:val="auto"/>
              </w:rPr>
            </w:pPr>
            <w:r w:rsidRPr="002854EE">
              <w:rPr>
                <w:rFonts w:asciiTheme="minorHAnsi" w:hAnsiTheme="minorHAnsi"/>
                <w:b/>
                <w:color w:val="auto"/>
              </w:rPr>
              <w:t>For emerging/ongoing risks provide a Risk Rating (low, medium, high, very high)</w:t>
            </w:r>
          </w:p>
        </w:tc>
      </w:tr>
      <w:tr w:rsidR="002A51CA" w:rsidRPr="002854EE" w14:paraId="6F57D715" w14:textId="77777777" w:rsidTr="002A51CA">
        <w:tc>
          <w:tcPr>
            <w:tcW w:w="2270" w:type="dxa"/>
            <w:hideMark/>
          </w:tcPr>
          <w:p w14:paraId="1078C232" w14:textId="50E04F47" w:rsidR="002A51CA" w:rsidRPr="002854EE" w:rsidRDefault="00155131" w:rsidP="00E210F5">
            <w:pPr>
              <w:rPr>
                <w:rFonts w:asciiTheme="minorHAnsi" w:hAnsiTheme="minorHAnsi"/>
                <w:color w:val="auto"/>
              </w:rPr>
            </w:pPr>
            <w:r w:rsidRPr="00155131">
              <w:rPr>
                <w:rFonts w:asciiTheme="minorHAnsi" w:hAnsiTheme="minorHAnsi"/>
                <w:color w:val="auto"/>
              </w:rPr>
              <w:t>Complex operating environment, active conflict setting, and presence of unlawful groups sees program funds unintentiona</w:t>
            </w:r>
            <w:r w:rsidR="003E4F69">
              <w:rPr>
                <w:rFonts w:asciiTheme="minorHAnsi" w:hAnsiTheme="minorHAnsi"/>
                <w:color w:val="auto"/>
              </w:rPr>
              <w:t>lly directed towards entities/</w:t>
            </w:r>
            <w:r w:rsidRPr="00155131">
              <w:rPr>
                <w:rFonts w:asciiTheme="minorHAnsi" w:hAnsiTheme="minorHAnsi"/>
                <w:color w:val="auto"/>
              </w:rPr>
              <w:t xml:space="preserve">individuals with links to unlawful activity. </w:t>
            </w:r>
          </w:p>
        </w:tc>
        <w:tc>
          <w:tcPr>
            <w:tcW w:w="2544" w:type="dxa"/>
          </w:tcPr>
          <w:p w14:paraId="177D0E28" w14:textId="6E3DB89D" w:rsidR="002854EE" w:rsidRPr="002854EE" w:rsidRDefault="00155131" w:rsidP="00E210F5">
            <w:pPr>
              <w:rPr>
                <w:rFonts w:asciiTheme="minorHAnsi" w:hAnsiTheme="minorHAnsi"/>
                <w:color w:val="auto"/>
              </w:rPr>
            </w:pPr>
            <w:r w:rsidRPr="00155131">
              <w:rPr>
                <w:rFonts w:asciiTheme="minorHAnsi" w:hAnsiTheme="minorHAnsi"/>
                <w:color w:val="auto"/>
              </w:rPr>
              <w:t xml:space="preserve">Contractual obligations for Managing Contractors require compliance with Commonwealth Procurement Guidelines, including screening entities and individuals through publically </w:t>
            </w:r>
            <w:r w:rsidR="00E210F5">
              <w:rPr>
                <w:rFonts w:asciiTheme="minorHAnsi" w:hAnsiTheme="minorHAnsi"/>
                <w:color w:val="auto"/>
              </w:rPr>
              <w:t>a</w:t>
            </w:r>
            <w:r w:rsidRPr="00155131">
              <w:rPr>
                <w:rFonts w:asciiTheme="minorHAnsi" w:hAnsiTheme="minorHAnsi"/>
                <w:color w:val="auto"/>
              </w:rPr>
              <w:t>vailable databases.</w:t>
            </w:r>
          </w:p>
        </w:tc>
        <w:tc>
          <w:tcPr>
            <w:tcW w:w="2604" w:type="dxa"/>
          </w:tcPr>
          <w:p w14:paraId="3394D605" w14:textId="33E7A55E" w:rsidR="002854EE" w:rsidRPr="002854EE" w:rsidRDefault="00155131" w:rsidP="003E4F69">
            <w:pPr>
              <w:rPr>
                <w:rFonts w:asciiTheme="minorHAnsi" w:hAnsiTheme="minorHAnsi"/>
                <w:color w:val="auto"/>
              </w:rPr>
            </w:pPr>
            <w:r w:rsidRPr="00155131">
              <w:rPr>
                <w:rFonts w:asciiTheme="minorHAnsi" w:hAnsiTheme="minorHAnsi"/>
                <w:color w:val="auto"/>
              </w:rPr>
              <w:t xml:space="preserve">Manila post will implement additional screening measures on a quarterly basis. </w:t>
            </w:r>
          </w:p>
        </w:tc>
        <w:tc>
          <w:tcPr>
            <w:tcW w:w="2352" w:type="dxa"/>
          </w:tcPr>
          <w:p w14:paraId="6FE34E36" w14:textId="77777777" w:rsidR="008361DB" w:rsidRDefault="008361DB" w:rsidP="00BE6C6D">
            <w:pPr>
              <w:rPr>
                <w:rFonts w:asciiTheme="minorHAnsi" w:hAnsiTheme="minorHAnsi"/>
                <w:color w:val="auto"/>
              </w:rPr>
            </w:pPr>
            <w:r>
              <w:rPr>
                <w:rFonts w:asciiTheme="minorHAnsi" w:hAnsiTheme="minorHAnsi"/>
                <w:color w:val="auto"/>
              </w:rPr>
              <w:t xml:space="preserve">Medium </w:t>
            </w:r>
          </w:p>
          <w:p w14:paraId="7E3C69FF" w14:textId="77777777" w:rsidR="008361DB" w:rsidRDefault="008361DB" w:rsidP="00BE6C6D">
            <w:pPr>
              <w:rPr>
                <w:rFonts w:asciiTheme="minorHAnsi" w:hAnsiTheme="minorHAnsi"/>
                <w:color w:val="auto"/>
              </w:rPr>
            </w:pPr>
          </w:p>
          <w:p w14:paraId="6EBB498E" w14:textId="77777777" w:rsidR="008361DB" w:rsidRDefault="008361DB" w:rsidP="00BE6C6D">
            <w:pPr>
              <w:rPr>
                <w:rFonts w:asciiTheme="minorHAnsi" w:hAnsiTheme="minorHAnsi"/>
                <w:color w:val="auto"/>
              </w:rPr>
            </w:pPr>
          </w:p>
          <w:p w14:paraId="2201B869" w14:textId="77777777" w:rsidR="008361DB" w:rsidRDefault="008361DB" w:rsidP="00BE6C6D">
            <w:pPr>
              <w:rPr>
                <w:rFonts w:asciiTheme="minorHAnsi" w:hAnsiTheme="minorHAnsi"/>
                <w:color w:val="auto"/>
              </w:rPr>
            </w:pPr>
          </w:p>
          <w:p w14:paraId="370C564F" w14:textId="77777777" w:rsidR="002854EE" w:rsidRPr="002854EE" w:rsidRDefault="002854EE" w:rsidP="00BE6C6D">
            <w:pPr>
              <w:rPr>
                <w:rFonts w:asciiTheme="minorHAnsi" w:hAnsiTheme="minorHAnsi"/>
                <w:color w:val="auto"/>
              </w:rPr>
            </w:pPr>
          </w:p>
        </w:tc>
      </w:tr>
      <w:tr w:rsidR="008361DB" w:rsidRPr="002854EE" w14:paraId="2F01A540" w14:textId="77777777" w:rsidTr="00603108">
        <w:tc>
          <w:tcPr>
            <w:tcW w:w="2270" w:type="dxa"/>
            <w:hideMark/>
          </w:tcPr>
          <w:p w14:paraId="17E33E49" w14:textId="38B2AA88" w:rsidR="008361DB" w:rsidRPr="002854EE" w:rsidRDefault="008361DB" w:rsidP="00697D51">
            <w:pPr>
              <w:keepLines/>
              <w:spacing w:before="40" w:after="40" w:line="200" w:lineRule="atLeast"/>
              <w:rPr>
                <w:rFonts w:eastAsia="Times New Roman"/>
                <w:iCs/>
                <w:color w:val="auto"/>
                <w:szCs w:val="17"/>
                <w:lang w:eastAsia="en-US"/>
              </w:rPr>
            </w:pPr>
            <w:r w:rsidRPr="002854EE">
              <w:rPr>
                <w:rFonts w:asciiTheme="minorHAnsi" w:hAnsiTheme="minorHAnsi"/>
                <w:color w:val="auto"/>
              </w:rPr>
              <w:t xml:space="preserve">Procurement pipeline for the Philippines Program </w:t>
            </w:r>
            <w:r>
              <w:rPr>
                <w:rFonts w:asciiTheme="minorHAnsi" w:hAnsiTheme="minorHAnsi"/>
                <w:color w:val="auto"/>
              </w:rPr>
              <w:t xml:space="preserve">- at least </w:t>
            </w:r>
            <w:r w:rsidR="00697D51">
              <w:rPr>
                <w:rFonts w:asciiTheme="minorHAnsi" w:hAnsiTheme="minorHAnsi"/>
                <w:color w:val="auto"/>
              </w:rPr>
              <w:t>four</w:t>
            </w:r>
            <w:r>
              <w:rPr>
                <w:rFonts w:asciiTheme="minorHAnsi" w:hAnsiTheme="minorHAnsi"/>
                <w:color w:val="auto"/>
              </w:rPr>
              <w:t xml:space="preserve"> substantial procurements are expected in 2016-17</w:t>
            </w:r>
          </w:p>
        </w:tc>
        <w:tc>
          <w:tcPr>
            <w:tcW w:w="2544" w:type="dxa"/>
          </w:tcPr>
          <w:p w14:paraId="03D94187" w14:textId="77777777" w:rsidR="008361DB" w:rsidRPr="008361DB" w:rsidRDefault="008361DB" w:rsidP="00603108">
            <w:pPr>
              <w:keepLines/>
              <w:spacing w:before="40" w:after="40" w:line="200" w:lineRule="atLeast"/>
              <w:rPr>
                <w:rFonts w:eastAsia="Times New Roman"/>
                <w:iCs/>
                <w:color w:val="auto"/>
                <w:szCs w:val="17"/>
                <w:lang w:eastAsia="en-US"/>
              </w:rPr>
            </w:pPr>
            <w:r w:rsidRPr="008361DB">
              <w:rPr>
                <w:rFonts w:asciiTheme="minorHAnsi" w:hAnsiTheme="minorHAnsi"/>
                <w:color w:val="auto"/>
              </w:rPr>
              <w:t>Program extensions were put in place to mitigate the risk of programs losing momentum during the 2016 election and transition between Philippine Government administrations.</w:t>
            </w:r>
          </w:p>
        </w:tc>
        <w:tc>
          <w:tcPr>
            <w:tcW w:w="2604" w:type="dxa"/>
          </w:tcPr>
          <w:p w14:paraId="40B384B3" w14:textId="77777777" w:rsidR="008361DB" w:rsidRPr="002854EE" w:rsidRDefault="008361DB" w:rsidP="00603108">
            <w:pPr>
              <w:keepLines/>
              <w:spacing w:before="40" w:after="40" w:line="200" w:lineRule="atLeast"/>
              <w:rPr>
                <w:rFonts w:eastAsia="Times New Roman"/>
                <w:iCs/>
                <w:color w:val="auto"/>
                <w:szCs w:val="17"/>
                <w:lang w:eastAsia="en-US"/>
              </w:rPr>
            </w:pPr>
            <w:r w:rsidRPr="002854EE">
              <w:rPr>
                <w:rFonts w:asciiTheme="minorHAnsi" w:hAnsiTheme="minorHAnsi"/>
                <w:color w:val="auto"/>
              </w:rPr>
              <w:t>Program concepts and designs will be completed according to agreed timelines, and procurement will be staggered to allow the market adequate time to respond to all opportunities.</w:t>
            </w:r>
          </w:p>
        </w:tc>
        <w:tc>
          <w:tcPr>
            <w:tcW w:w="2352" w:type="dxa"/>
          </w:tcPr>
          <w:p w14:paraId="41F6AAC2" w14:textId="77777777" w:rsidR="008361DB" w:rsidRPr="002854EE" w:rsidRDefault="008361DB" w:rsidP="00603108">
            <w:pPr>
              <w:keepLines/>
              <w:spacing w:before="40" w:after="40" w:line="200" w:lineRule="atLeast"/>
              <w:rPr>
                <w:rFonts w:eastAsia="Times New Roman"/>
                <w:iCs/>
                <w:color w:val="auto"/>
                <w:szCs w:val="17"/>
                <w:lang w:eastAsia="en-US"/>
              </w:rPr>
            </w:pPr>
            <w:r w:rsidRPr="002854EE">
              <w:rPr>
                <w:rFonts w:asciiTheme="minorHAnsi" w:hAnsiTheme="minorHAnsi"/>
                <w:color w:val="auto"/>
              </w:rPr>
              <w:t>Medium</w:t>
            </w:r>
          </w:p>
        </w:tc>
      </w:tr>
      <w:tr w:rsidR="00080BA6" w:rsidRPr="002854EE" w14:paraId="64C05714" w14:textId="77777777" w:rsidTr="00603108">
        <w:tc>
          <w:tcPr>
            <w:tcW w:w="2270" w:type="dxa"/>
          </w:tcPr>
          <w:p w14:paraId="296C4AB3" w14:textId="77777777" w:rsidR="00080BA6" w:rsidRPr="004E41F1" w:rsidRDefault="00080BA6" w:rsidP="00603108">
            <w:pPr>
              <w:keepLines/>
              <w:spacing w:before="40" w:after="40" w:line="200" w:lineRule="atLeast"/>
              <w:rPr>
                <w:color w:val="auto"/>
              </w:rPr>
            </w:pPr>
            <w:r w:rsidRPr="000B55CA">
              <w:rPr>
                <w:rFonts w:asciiTheme="minorHAnsi" w:hAnsiTheme="minorHAnsi"/>
                <w:color w:val="auto"/>
              </w:rPr>
              <w:lastRenderedPageBreak/>
              <w:t>Consolidation of our program risks loss of direct relationships or does not lead to more effective or efficient program delivery</w:t>
            </w:r>
          </w:p>
        </w:tc>
        <w:tc>
          <w:tcPr>
            <w:tcW w:w="2544" w:type="dxa"/>
          </w:tcPr>
          <w:p w14:paraId="3A7A77A4" w14:textId="77777777" w:rsidR="00080BA6" w:rsidRPr="004E41F1" w:rsidRDefault="00080BA6" w:rsidP="00603108">
            <w:pPr>
              <w:keepLines/>
              <w:spacing w:before="40" w:after="40" w:line="200" w:lineRule="atLeast"/>
              <w:rPr>
                <w:color w:val="auto"/>
              </w:rPr>
            </w:pPr>
          </w:p>
        </w:tc>
        <w:tc>
          <w:tcPr>
            <w:tcW w:w="2604" w:type="dxa"/>
          </w:tcPr>
          <w:p w14:paraId="074C946A" w14:textId="3944FAD9" w:rsidR="00080BA6" w:rsidRPr="000B55CA" w:rsidRDefault="00080BA6" w:rsidP="00603108">
            <w:pPr>
              <w:keepLines/>
              <w:spacing w:before="40" w:after="40" w:line="200" w:lineRule="atLeast"/>
              <w:rPr>
                <w:rFonts w:asciiTheme="minorHAnsi" w:hAnsiTheme="minorHAnsi"/>
                <w:color w:val="auto"/>
              </w:rPr>
            </w:pPr>
            <w:r w:rsidRPr="000B55CA">
              <w:rPr>
                <w:rFonts w:asciiTheme="minorHAnsi" w:hAnsiTheme="minorHAnsi"/>
                <w:color w:val="auto"/>
              </w:rPr>
              <w:t>More DFAT staff time to be dedicated to relationship building; active partnerships maintained with contractors to ensure DFAT staff can manage strategically</w:t>
            </w:r>
            <w:r w:rsidR="00697D51">
              <w:rPr>
                <w:rFonts w:asciiTheme="minorHAnsi" w:hAnsiTheme="minorHAnsi"/>
                <w:color w:val="auto"/>
              </w:rPr>
              <w:t>.</w:t>
            </w:r>
            <w:r w:rsidRPr="000B55CA">
              <w:rPr>
                <w:rFonts w:asciiTheme="minorHAnsi" w:hAnsiTheme="minorHAnsi"/>
                <w:color w:val="auto"/>
              </w:rPr>
              <w:t xml:space="preserve"> </w:t>
            </w:r>
          </w:p>
        </w:tc>
        <w:tc>
          <w:tcPr>
            <w:tcW w:w="2352" w:type="dxa"/>
          </w:tcPr>
          <w:p w14:paraId="1FE66513" w14:textId="7A05D244" w:rsidR="00080BA6" w:rsidRPr="000B55CA" w:rsidRDefault="00080BA6" w:rsidP="00603108">
            <w:pPr>
              <w:keepLines/>
              <w:spacing w:before="40" w:after="40" w:line="200" w:lineRule="atLeast"/>
              <w:rPr>
                <w:rFonts w:asciiTheme="minorHAnsi" w:hAnsiTheme="minorHAnsi"/>
                <w:color w:val="auto"/>
              </w:rPr>
            </w:pPr>
            <w:r w:rsidRPr="000B55CA">
              <w:rPr>
                <w:rFonts w:asciiTheme="minorHAnsi" w:hAnsiTheme="minorHAnsi"/>
                <w:color w:val="auto"/>
              </w:rPr>
              <w:t>Medium</w:t>
            </w:r>
          </w:p>
        </w:tc>
      </w:tr>
      <w:tr w:rsidR="00F060C3" w:rsidRPr="002854EE" w14:paraId="724E25F9" w14:textId="77777777" w:rsidTr="002B64D3">
        <w:tc>
          <w:tcPr>
            <w:tcW w:w="2270" w:type="dxa"/>
          </w:tcPr>
          <w:p w14:paraId="324550DE" w14:textId="1FC25F58" w:rsidR="00F060C3" w:rsidRPr="004E41F1" w:rsidRDefault="00F060C3" w:rsidP="00697D51">
            <w:pPr>
              <w:keepLines/>
              <w:spacing w:before="40" w:after="40" w:line="200" w:lineRule="atLeast"/>
              <w:rPr>
                <w:rFonts w:eastAsia="Times New Roman"/>
                <w:iCs/>
                <w:color w:val="auto"/>
                <w:szCs w:val="17"/>
                <w:lang w:eastAsia="en-US"/>
              </w:rPr>
            </w:pPr>
            <w:r>
              <w:rPr>
                <w:rFonts w:asciiTheme="minorHAnsi" w:hAnsiTheme="minorHAnsi"/>
                <w:color w:val="auto"/>
              </w:rPr>
              <w:t>C</w:t>
            </w:r>
            <w:r w:rsidRPr="000B55CA">
              <w:rPr>
                <w:rFonts w:asciiTheme="minorHAnsi" w:hAnsiTheme="minorHAnsi"/>
                <w:color w:val="auto"/>
              </w:rPr>
              <w:t xml:space="preserve">hanges in key staff in counterpart agencies </w:t>
            </w:r>
            <w:r>
              <w:rPr>
                <w:rFonts w:asciiTheme="minorHAnsi" w:hAnsiTheme="minorHAnsi"/>
                <w:color w:val="auto"/>
              </w:rPr>
              <w:t xml:space="preserve">and delays associated with the new administration settling in </w:t>
            </w:r>
            <w:r w:rsidR="00697D51">
              <w:rPr>
                <w:rFonts w:asciiTheme="minorHAnsi" w:hAnsiTheme="minorHAnsi"/>
                <w:color w:val="auto"/>
              </w:rPr>
              <w:t>see</w:t>
            </w:r>
            <w:r w:rsidRPr="000B55CA">
              <w:rPr>
                <w:rFonts w:asciiTheme="minorHAnsi" w:hAnsiTheme="minorHAnsi"/>
                <w:color w:val="auto"/>
              </w:rPr>
              <w:t xml:space="preserve"> programs lose momentum while new relationships are built</w:t>
            </w:r>
            <w:r>
              <w:rPr>
                <w:rFonts w:asciiTheme="minorHAnsi" w:hAnsiTheme="minorHAnsi"/>
                <w:color w:val="auto"/>
              </w:rPr>
              <w:t>.</w:t>
            </w:r>
          </w:p>
        </w:tc>
        <w:tc>
          <w:tcPr>
            <w:tcW w:w="2544" w:type="dxa"/>
          </w:tcPr>
          <w:p w14:paraId="283C3229" w14:textId="77777777" w:rsidR="00F060C3" w:rsidRPr="004E41F1" w:rsidRDefault="00F060C3" w:rsidP="002B64D3">
            <w:pPr>
              <w:keepLines/>
              <w:spacing w:before="40" w:after="40" w:line="200" w:lineRule="atLeast"/>
              <w:rPr>
                <w:rFonts w:eastAsia="Times New Roman"/>
                <w:iCs/>
                <w:color w:val="auto"/>
                <w:szCs w:val="17"/>
                <w:lang w:eastAsia="en-US"/>
              </w:rPr>
            </w:pPr>
            <w:r w:rsidRPr="000B55CA">
              <w:rPr>
                <w:rFonts w:asciiTheme="minorHAnsi" w:hAnsiTheme="minorHAnsi"/>
                <w:color w:val="auto"/>
              </w:rPr>
              <w:t>Close communication with counterparts at the Secretary and working level was maintained in the lead up to the election.</w:t>
            </w:r>
          </w:p>
        </w:tc>
        <w:tc>
          <w:tcPr>
            <w:tcW w:w="2604" w:type="dxa"/>
          </w:tcPr>
          <w:p w14:paraId="285D1CBF" w14:textId="77777777" w:rsidR="00F060C3" w:rsidRPr="004E41F1" w:rsidRDefault="00F060C3" w:rsidP="002B64D3">
            <w:pPr>
              <w:keepLines/>
              <w:spacing w:before="40" w:after="40" w:line="200" w:lineRule="atLeast"/>
              <w:rPr>
                <w:rFonts w:eastAsia="Times New Roman"/>
                <w:iCs/>
                <w:color w:val="auto"/>
                <w:szCs w:val="17"/>
                <w:lang w:eastAsia="en-US"/>
              </w:rPr>
            </w:pPr>
            <w:r w:rsidRPr="00042E99">
              <w:rPr>
                <w:rFonts w:asciiTheme="minorHAnsi" w:hAnsiTheme="minorHAnsi"/>
                <w:color w:val="auto"/>
              </w:rPr>
              <w:t>Maintain working relationships throughout transition period</w:t>
            </w:r>
            <w:r>
              <w:rPr>
                <w:rFonts w:asciiTheme="minorHAnsi" w:hAnsiTheme="minorHAnsi"/>
                <w:color w:val="auto"/>
              </w:rPr>
              <w:t xml:space="preserve"> and be prepared to communicate clearly around Australia’s comparative advantage for support to the new government’s goals</w:t>
            </w:r>
            <w:r w:rsidRPr="00042E99">
              <w:rPr>
                <w:rFonts w:asciiTheme="minorHAnsi" w:hAnsiTheme="minorHAnsi"/>
                <w:color w:val="auto"/>
              </w:rPr>
              <w:t>; be flexible</w:t>
            </w:r>
            <w:r>
              <w:rPr>
                <w:rFonts w:asciiTheme="minorHAnsi" w:hAnsiTheme="minorHAnsi"/>
                <w:color w:val="auto"/>
              </w:rPr>
              <w:t xml:space="preserve"> in response to new requests for assistance.</w:t>
            </w:r>
          </w:p>
        </w:tc>
        <w:tc>
          <w:tcPr>
            <w:tcW w:w="2352" w:type="dxa"/>
          </w:tcPr>
          <w:p w14:paraId="17249AAA" w14:textId="77777777" w:rsidR="00F060C3" w:rsidRPr="00042E99" w:rsidRDefault="00F060C3" w:rsidP="002B64D3">
            <w:pPr>
              <w:keepLines/>
              <w:spacing w:before="40" w:after="40" w:line="200" w:lineRule="atLeast"/>
              <w:rPr>
                <w:rFonts w:eastAsia="Times New Roman"/>
                <w:iCs/>
                <w:color w:val="auto"/>
                <w:szCs w:val="17"/>
                <w:lang w:eastAsia="en-US"/>
              </w:rPr>
            </w:pPr>
            <w:r w:rsidRPr="00042E99">
              <w:rPr>
                <w:rFonts w:asciiTheme="minorHAnsi" w:hAnsiTheme="minorHAnsi"/>
                <w:color w:val="auto"/>
              </w:rPr>
              <w:t>Medium</w:t>
            </w:r>
          </w:p>
        </w:tc>
      </w:tr>
      <w:tr w:rsidR="008361DB" w:rsidRPr="002854EE" w14:paraId="71A91242" w14:textId="77777777" w:rsidTr="00080BA6">
        <w:tc>
          <w:tcPr>
            <w:tcW w:w="2270" w:type="dxa"/>
          </w:tcPr>
          <w:p w14:paraId="6D2D5ABE" w14:textId="12C9CF38" w:rsidR="008361DB" w:rsidRPr="004E41F1" w:rsidRDefault="00F060C3" w:rsidP="003132F7">
            <w:pPr>
              <w:keepLines/>
              <w:spacing w:before="40" w:after="40" w:line="200" w:lineRule="atLeast"/>
              <w:rPr>
                <w:rFonts w:eastAsia="Times New Roman"/>
                <w:iCs/>
                <w:color w:val="auto"/>
                <w:szCs w:val="17"/>
                <w:lang w:eastAsia="en-US"/>
              </w:rPr>
            </w:pPr>
            <w:r>
              <w:rPr>
                <w:rFonts w:asciiTheme="minorHAnsi" w:hAnsiTheme="minorHAnsi"/>
                <w:color w:val="auto"/>
              </w:rPr>
              <w:t>Natural disasters impact Post operations or program implementation.</w:t>
            </w:r>
          </w:p>
        </w:tc>
        <w:tc>
          <w:tcPr>
            <w:tcW w:w="2544" w:type="dxa"/>
          </w:tcPr>
          <w:p w14:paraId="7FFF2AB3" w14:textId="26334FE8" w:rsidR="008361DB" w:rsidRPr="004E41F1" w:rsidRDefault="00F060C3" w:rsidP="00603108">
            <w:pPr>
              <w:keepLines/>
              <w:spacing w:before="40" w:after="40" w:line="200" w:lineRule="atLeast"/>
              <w:rPr>
                <w:rFonts w:eastAsia="Times New Roman"/>
                <w:iCs/>
                <w:color w:val="auto"/>
                <w:szCs w:val="17"/>
                <w:lang w:eastAsia="en-US"/>
              </w:rPr>
            </w:pPr>
            <w:r>
              <w:rPr>
                <w:rFonts w:asciiTheme="minorHAnsi" w:hAnsiTheme="minorHAnsi"/>
                <w:color w:val="auto"/>
              </w:rPr>
              <w:t>Business continuity planning in place; programs operating in disaster risk areas (such as infrastructure) have risk mitigation measures in place.</w:t>
            </w:r>
          </w:p>
        </w:tc>
        <w:tc>
          <w:tcPr>
            <w:tcW w:w="2604" w:type="dxa"/>
          </w:tcPr>
          <w:p w14:paraId="7B1602A5" w14:textId="198D2F1B" w:rsidR="008361DB" w:rsidRPr="004E41F1" w:rsidRDefault="008361DB" w:rsidP="00603108">
            <w:pPr>
              <w:keepLines/>
              <w:spacing w:before="40" w:after="40" w:line="200" w:lineRule="atLeast"/>
              <w:rPr>
                <w:rFonts w:eastAsia="Times New Roman"/>
                <w:iCs/>
                <w:color w:val="auto"/>
                <w:szCs w:val="17"/>
                <w:lang w:eastAsia="en-US"/>
              </w:rPr>
            </w:pPr>
          </w:p>
        </w:tc>
        <w:tc>
          <w:tcPr>
            <w:tcW w:w="2352" w:type="dxa"/>
          </w:tcPr>
          <w:p w14:paraId="16706A42" w14:textId="7100CFC3" w:rsidR="008361DB" w:rsidRPr="00042E99" w:rsidRDefault="00042E99" w:rsidP="00603108">
            <w:pPr>
              <w:keepLines/>
              <w:spacing w:before="40" w:after="40" w:line="200" w:lineRule="atLeast"/>
              <w:rPr>
                <w:rFonts w:eastAsia="Times New Roman"/>
                <w:iCs/>
                <w:color w:val="auto"/>
                <w:szCs w:val="17"/>
                <w:lang w:eastAsia="en-US"/>
              </w:rPr>
            </w:pPr>
            <w:r w:rsidRPr="00042E99">
              <w:rPr>
                <w:rFonts w:asciiTheme="minorHAnsi" w:hAnsiTheme="minorHAnsi"/>
                <w:color w:val="auto"/>
              </w:rPr>
              <w:t>Medium</w:t>
            </w:r>
          </w:p>
        </w:tc>
      </w:tr>
    </w:tbl>
    <w:p w14:paraId="7E2E5539" w14:textId="77777777" w:rsidR="002A51CA" w:rsidRPr="00187C95" w:rsidRDefault="002A51CA" w:rsidP="004C4211">
      <w:pPr>
        <w:pStyle w:val="ListBullet"/>
        <w:tabs>
          <w:tab w:val="clear" w:pos="284"/>
        </w:tabs>
        <w:spacing w:before="280" w:after="160"/>
      </w:pPr>
      <w:r w:rsidRPr="00187C95">
        <w:rPr>
          <w:rFonts w:asciiTheme="majorHAnsi" w:eastAsiaTheme="majorEastAsia" w:hAnsiTheme="majorHAnsi" w:cstheme="majorBidi"/>
          <w:caps/>
          <w:sz w:val="38"/>
          <w:szCs w:val="26"/>
          <w:lang w:val="en-GB" w:eastAsia="en-US"/>
        </w:rPr>
        <w:t>Management Responses</w:t>
      </w:r>
      <w:r w:rsidRPr="00187C95">
        <w:tab/>
      </w:r>
      <w:r w:rsidRPr="00187C95">
        <w:tab/>
      </w:r>
    </w:p>
    <w:p w14:paraId="3C758F33" w14:textId="77777777" w:rsidR="008520BF" w:rsidRDefault="002A51CA" w:rsidP="008520BF">
      <w:pPr>
        <w:rPr>
          <w:color w:val="auto"/>
        </w:rPr>
      </w:pPr>
      <w:r w:rsidRPr="00AE2DA4">
        <w:rPr>
          <w:color w:val="auto"/>
        </w:rPr>
        <w:t xml:space="preserve">A summary of progress on management responses </w:t>
      </w:r>
      <w:r w:rsidR="00AE2DA4" w:rsidRPr="00AE2DA4">
        <w:rPr>
          <w:color w:val="auto"/>
        </w:rPr>
        <w:t xml:space="preserve">is </w:t>
      </w:r>
      <w:r w:rsidRPr="00AE2DA4">
        <w:rPr>
          <w:color w:val="auto"/>
        </w:rPr>
        <w:t xml:space="preserve">in the table in </w:t>
      </w:r>
      <w:r w:rsidRPr="000E1678">
        <w:rPr>
          <w:color w:val="auto"/>
        </w:rPr>
        <w:t>Annex A</w:t>
      </w:r>
      <w:r w:rsidRPr="00AE2DA4">
        <w:rPr>
          <w:b/>
          <w:color w:val="auto"/>
        </w:rPr>
        <w:t>.</w:t>
      </w:r>
      <w:r w:rsidR="00AE2DA4">
        <w:rPr>
          <w:b/>
          <w:color w:val="auto"/>
        </w:rPr>
        <w:t xml:space="preserve"> </w:t>
      </w:r>
      <w:r w:rsidR="00AE2DA4">
        <w:rPr>
          <w:color w:val="auto"/>
        </w:rPr>
        <w:t>In 201</w:t>
      </w:r>
      <w:r w:rsidR="00697D51">
        <w:rPr>
          <w:color w:val="auto"/>
        </w:rPr>
        <w:t>6</w:t>
      </w:r>
      <w:r w:rsidR="00AE2DA4">
        <w:rPr>
          <w:color w:val="auto"/>
        </w:rPr>
        <w:t>-1</w:t>
      </w:r>
      <w:r w:rsidR="00697D51">
        <w:rPr>
          <w:color w:val="auto"/>
        </w:rPr>
        <w:t>7</w:t>
      </w:r>
      <w:r w:rsidR="00AE2DA4">
        <w:rPr>
          <w:color w:val="auto"/>
        </w:rPr>
        <w:t xml:space="preserve"> a number of new priorities will guide our management response to this</w:t>
      </w:r>
      <w:r w:rsidR="00E10A7F">
        <w:rPr>
          <w:color w:val="auto"/>
        </w:rPr>
        <w:t xml:space="preserve"> APPR.</w:t>
      </w:r>
      <w:r w:rsidR="006F2AA1">
        <w:rPr>
          <w:color w:val="auto"/>
        </w:rPr>
        <w:t xml:space="preserve"> </w:t>
      </w:r>
      <w:r w:rsidR="00CF7B87">
        <w:rPr>
          <w:color w:val="auto"/>
        </w:rPr>
        <w:t xml:space="preserve">Once the </w:t>
      </w:r>
      <w:r w:rsidR="00D719AB">
        <w:rPr>
          <w:color w:val="auto"/>
        </w:rPr>
        <w:t>new</w:t>
      </w:r>
      <w:r w:rsidR="00CF7B87">
        <w:rPr>
          <w:color w:val="auto"/>
        </w:rPr>
        <w:t xml:space="preserve"> Philippine Government administration has settled in and priorities are confirmed, DFAT will </w:t>
      </w:r>
      <w:r w:rsidR="00126A9D">
        <w:rPr>
          <w:color w:val="auto"/>
        </w:rPr>
        <w:t>work with the government</w:t>
      </w:r>
      <w:r w:rsidR="00CF7B87">
        <w:rPr>
          <w:color w:val="auto"/>
        </w:rPr>
        <w:t xml:space="preserve"> to ensure our </w:t>
      </w:r>
      <w:r w:rsidR="00E10A7F">
        <w:rPr>
          <w:color w:val="auto"/>
        </w:rPr>
        <w:t>Aid Investment Plan</w:t>
      </w:r>
      <w:r w:rsidR="00CF7B87">
        <w:rPr>
          <w:color w:val="auto"/>
        </w:rPr>
        <w:t xml:space="preserve"> is well aligned with the </w:t>
      </w:r>
      <w:r w:rsidR="00126A9D">
        <w:rPr>
          <w:color w:val="auto"/>
        </w:rPr>
        <w:t xml:space="preserve">development </w:t>
      </w:r>
      <w:r w:rsidR="00CF7B87">
        <w:rPr>
          <w:color w:val="auto"/>
        </w:rPr>
        <w:t>goals</w:t>
      </w:r>
      <w:r w:rsidR="00126A9D">
        <w:rPr>
          <w:color w:val="auto"/>
        </w:rPr>
        <w:t xml:space="preserve"> of </w:t>
      </w:r>
      <w:r w:rsidR="00155131">
        <w:rPr>
          <w:color w:val="auto"/>
        </w:rPr>
        <w:t>the Philippine Government.</w:t>
      </w:r>
      <w:r w:rsidR="00CF7B87">
        <w:rPr>
          <w:color w:val="auto"/>
        </w:rPr>
        <w:t xml:space="preserve"> </w:t>
      </w:r>
      <w:r w:rsidR="00F04FFE">
        <w:rPr>
          <w:color w:val="auto"/>
        </w:rPr>
        <w:t xml:space="preserve">It is expected that the Philippines will have the next Filipino Development Plan for 2016-2022 in place by early 2017, and this will provide us with a clear strategy against which we can align our program. </w:t>
      </w:r>
      <w:r w:rsidR="008520BF">
        <w:rPr>
          <w:color w:val="auto"/>
        </w:rPr>
        <w:t xml:space="preserve">This will include updated mutual obligations from the Philippine Government, in the context of finalising the Plan of Action under the Comprehensive Partnership. </w:t>
      </w:r>
    </w:p>
    <w:p w14:paraId="0C9E7012" w14:textId="4A410BFC" w:rsidR="00F04FFE" w:rsidRDefault="00187C95" w:rsidP="00F04FFE">
      <w:pPr>
        <w:rPr>
          <w:color w:val="auto"/>
        </w:rPr>
      </w:pPr>
      <w:r w:rsidRPr="00187C95">
        <w:rPr>
          <w:color w:val="auto"/>
        </w:rPr>
        <w:t xml:space="preserve">Development of new performance benchmarks and any required adjustments for the </w:t>
      </w:r>
      <w:r w:rsidR="00F04FFE">
        <w:rPr>
          <w:color w:val="auto"/>
        </w:rPr>
        <w:t xml:space="preserve">longer term </w:t>
      </w:r>
      <w:r w:rsidRPr="00187C95">
        <w:rPr>
          <w:color w:val="auto"/>
        </w:rPr>
        <w:t>Aid Investment Plan will follow on from the new Filipino Development Plan. We will ensure these benchmark</w:t>
      </w:r>
      <w:r w:rsidR="00697D51">
        <w:rPr>
          <w:color w:val="auto"/>
        </w:rPr>
        <w:t>s</w:t>
      </w:r>
      <w:r w:rsidRPr="00187C95">
        <w:rPr>
          <w:color w:val="auto"/>
        </w:rPr>
        <w:t xml:space="preserve"> remain relevant to our program as it is reshaped. A new Performance Assessment Framework, including </w:t>
      </w:r>
      <w:r w:rsidR="00F04FFE">
        <w:rPr>
          <w:color w:val="auto"/>
        </w:rPr>
        <w:t xml:space="preserve">interim </w:t>
      </w:r>
      <w:r w:rsidRPr="00187C95">
        <w:rPr>
          <w:color w:val="auto"/>
        </w:rPr>
        <w:t>indicators for 201</w:t>
      </w:r>
      <w:r w:rsidR="006F2AA1">
        <w:rPr>
          <w:color w:val="auto"/>
        </w:rPr>
        <w:t>6</w:t>
      </w:r>
      <w:r w:rsidRPr="00187C95">
        <w:rPr>
          <w:color w:val="auto"/>
        </w:rPr>
        <w:t>-1</w:t>
      </w:r>
      <w:r w:rsidR="006F2AA1">
        <w:rPr>
          <w:color w:val="auto"/>
        </w:rPr>
        <w:t>7</w:t>
      </w:r>
      <w:r w:rsidRPr="00187C95">
        <w:rPr>
          <w:color w:val="auto"/>
        </w:rPr>
        <w:t xml:space="preserve">, will be developed to ensure we are measuring the most relevant program outcomes. </w:t>
      </w:r>
    </w:p>
    <w:p w14:paraId="4ACFEF8F" w14:textId="2A4B5347" w:rsidR="00187C95" w:rsidRPr="00187C95" w:rsidRDefault="00187C95" w:rsidP="00187C95">
      <w:pPr>
        <w:rPr>
          <w:color w:val="auto"/>
        </w:rPr>
      </w:pPr>
      <w:r w:rsidRPr="00187C95">
        <w:rPr>
          <w:color w:val="auto"/>
        </w:rPr>
        <w:t xml:space="preserve">To guide the direction of our aid investment in Mindanao, we will undertake a strategic review of our peace and stability initiatives to ensure that </w:t>
      </w:r>
      <w:r w:rsidR="00697D51">
        <w:rPr>
          <w:color w:val="auto"/>
        </w:rPr>
        <w:t>they</w:t>
      </w:r>
      <w:r w:rsidRPr="00187C95">
        <w:rPr>
          <w:color w:val="auto"/>
        </w:rPr>
        <w:t xml:space="preserve"> align with the priorities of the new Philippine administration. Our peace and stability investment</w:t>
      </w:r>
      <w:r w:rsidR="00697D51">
        <w:rPr>
          <w:color w:val="auto"/>
        </w:rPr>
        <w:t>s</w:t>
      </w:r>
      <w:r w:rsidRPr="00187C95">
        <w:rPr>
          <w:color w:val="auto"/>
        </w:rPr>
        <w:t xml:space="preserve"> will remain flexible, to allow the program to adapt to shifts in the </w:t>
      </w:r>
      <w:r w:rsidR="00697D51">
        <w:rPr>
          <w:color w:val="auto"/>
        </w:rPr>
        <w:t xml:space="preserve">operating </w:t>
      </w:r>
      <w:r w:rsidRPr="00187C95">
        <w:rPr>
          <w:color w:val="auto"/>
        </w:rPr>
        <w:t xml:space="preserve">environment. </w:t>
      </w:r>
    </w:p>
    <w:p w14:paraId="46280372" w14:textId="77777777" w:rsidR="00187C95" w:rsidRPr="00187C95" w:rsidRDefault="00187C95" w:rsidP="00187C95">
      <w:pPr>
        <w:rPr>
          <w:color w:val="auto"/>
        </w:rPr>
      </w:pPr>
      <w:r w:rsidRPr="00187C95">
        <w:rPr>
          <w:color w:val="auto"/>
        </w:rPr>
        <w:t xml:space="preserve">To improve our performance on gender, we will develop a gender and social inclusion action plan for the Philippines Program. This plan will consider opportunities to help empower women and other vulnerable communities in the Philippines, across all investments in the program including those related to economic growth.  </w:t>
      </w:r>
    </w:p>
    <w:p w14:paraId="2D3874FC" w14:textId="766659CE" w:rsidR="000E520B" w:rsidRDefault="000E520B" w:rsidP="002A51CA"/>
    <w:p w14:paraId="1B36947D" w14:textId="77777777" w:rsidR="00D15A00" w:rsidRDefault="00D15A00" w:rsidP="002A51CA">
      <w:pPr>
        <w:sectPr w:rsidR="00D15A00" w:rsidSect="0031491F">
          <w:endnotePr>
            <w:numFmt w:val="decimal"/>
          </w:endnotePr>
          <w:pgSz w:w="11906" w:h="16838" w:code="9"/>
          <w:pgMar w:top="1527" w:right="1134" w:bottom="851" w:left="1134" w:header="1418" w:footer="567" w:gutter="0"/>
          <w:pgBorders w:offsetFrom="page">
            <w:top w:val="single" w:sz="4" w:space="24" w:color="auto"/>
          </w:pgBorders>
          <w:cols w:space="397"/>
          <w:docGrid w:linePitch="360"/>
        </w:sectPr>
      </w:pPr>
    </w:p>
    <w:p w14:paraId="17EB3D01" w14:textId="77777777" w:rsidR="00400B0F" w:rsidRPr="005B0631" w:rsidRDefault="00400B0F" w:rsidP="00400B0F">
      <w:pPr>
        <w:pStyle w:val="Subtitle"/>
        <w:numPr>
          <w:ilvl w:val="0"/>
          <w:numId w:val="0"/>
        </w:numPr>
        <w:rPr>
          <w:color w:val="auto"/>
        </w:rPr>
      </w:pPr>
      <w:r w:rsidRPr="005B0631">
        <w:rPr>
          <w:color w:val="auto"/>
        </w:rPr>
        <w:lastRenderedPageBreak/>
        <w:t>Annex A - Progress in Addressing Management Responses</w:t>
      </w:r>
    </w:p>
    <w:p w14:paraId="36900EAE" w14:textId="77777777" w:rsidR="00400B0F" w:rsidRPr="005B0631" w:rsidRDefault="00400B0F" w:rsidP="008C2F58">
      <w:pPr>
        <w:rPr>
          <w:color w:val="auto"/>
        </w:rPr>
      </w:pPr>
    </w:p>
    <w:tbl>
      <w:tblPr>
        <w:tblStyle w:val="APPR"/>
        <w:tblpPr w:leftFromText="180" w:rightFromText="180" w:vertAnchor="text" w:tblpY="1"/>
        <w:tblW w:w="5000" w:type="pct"/>
        <w:tblLayout w:type="fixed"/>
        <w:tblLook w:val="0000" w:firstRow="0" w:lastRow="0" w:firstColumn="0" w:lastColumn="0" w:noHBand="0" w:noVBand="0"/>
      </w:tblPr>
      <w:tblGrid>
        <w:gridCol w:w="6515"/>
        <w:gridCol w:w="992"/>
        <w:gridCol w:w="6938"/>
      </w:tblGrid>
      <w:tr w:rsidR="00400B0F" w:rsidRPr="00C61187" w14:paraId="22B00D87" w14:textId="77777777" w:rsidTr="006F27B1">
        <w:trPr>
          <w:cnfStyle w:val="000000010000" w:firstRow="0" w:lastRow="0" w:firstColumn="0" w:lastColumn="0" w:oddVBand="0" w:evenVBand="0" w:oddHBand="0" w:evenHBand="1" w:firstRowFirstColumn="0" w:firstRowLastColumn="0" w:lastRowFirstColumn="0" w:lastRowLastColumn="0"/>
        </w:trPr>
        <w:tc>
          <w:tcPr>
            <w:tcW w:w="6473" w:type="dxa"/>
          </w:tcPr>
          <w:p w14:paraId="4F8FEF58" w14:textId="77777777" w:rsidR="00400B0F" w:rsidRPr="005B0631" w:rsidRDefault="00400B0F" w:rsidP="006F27B1">
            <w:pPr>
              <w:keepLines/>
              <w:spacing w:before="80" w:after="80" w:line="200" w:lineRule="atLeast"/>
              <w:rPr>
                <w:rFonts w:asciiTheme="minorHAnsi" w:eastAsia="Times New Roman" w:hAnsiTheme="minorHAnsi"/>
                <w:b/>
                <w:iCs/>
                <w:color w:val="auto"/>
                <w:szCs w:val="17"/>
                <w:lang w:eastAsia="en-US"/>
              </w:rPr>
            </w:pPr>
            <w:r w:rsidRPr="005B0631">
              <w:rPr>
                <w:rFonts w:asciiTheme="minorHAnsi" w:eastAsia="Times New Roman" w:hAnsiTheme="minorHAnsi"/>
                <w:b/>
                <w:iCs/>
                <w:color w:val="auto"/>
                <w:szCs w:val="17"/>
                <w:lang w:eastAsia="en-US"/>
              </w:rPr>
              <w:t>Management responses identified in 2014-15 APPR</w:t>
            </w:r>
            <w:r w:rsidRPr="005B0631">
              <w:rPr>
                <w:rFonts w:asciiTheme="minorHAnsi" w:eastAsia="Times New Roman" w:hAnsiTheme="minorHAnsi"/>
                <w:b/>
                <w:iCs/>
                <w:color w:val="auto"/>
                <w:szCs w:val="17"/>
                <w:lang w:eastAsia="en-US"/>
              </w:rPr>
              <w:tab/>
            </w:r>
          </w:p>
        </w:tc>
        <w:tc>
          <w:tcPr>
            <w:tcW w:w="964" w:type="dxa"/>
          </w:tcPr>
          <w:p w14:paraId="5FDDDD68" w14:textId="77777777" w:rsidR="00400B0F" w:rsidRPr="005B0631" w:rsidRDefault="00400B0F" w:rsidP="006F27B1">
            <w:pPr>
              <w:keepLines/>
              <w:spacing w:before="80" w:after="80" w:line="200" w:lineRule="atLeast"/>
              <w:rPr>
                <w:rFonts w:asciiTheme="minorHAnsi" w:eastAsia="Times New Roman" w:hAnsiTheme="minorHAnsi"/>
                <w:b/>
                <w:iCs/>
                <w:color w:val="auto"/>
                <w:szCs w:val="17"/>
                <w:lang w:eastAsia="en-US"/>
              </w:rPr>
            </w:pPr>
            <w:r w:rsidRPr="005B0631">
              <w:rPr>
                <w:rFonts w:asciiTheme="minorHAnsi" w:eastAsia="Times New Roman" w:hAnsiTheme="minorHAnsi"/>
                <w:b/>
                <w:iCs/>
                <w:color w:val="auto"/>
                <w:szCs w:val="17"/>
                <w:lang w:eastAsia="en-US"/>
              </w:rPr>
              <w:t>Rating</w:t>
            </w:r>
          </w:p>
        </w:tc>
        <w:tc>
          <w:tcPr>
            <w:tcW w:w="6896" w:type="dxa"/>
          </w:tcPr>
          <w:p w14:paraId="5D83C1D6" w14:textId="77777777" w:rsidR="00400B0F" w:rsidRPr="005B0631" w:rsidRDefault="003D6D9F" w:rsidP="009E7BB8">
            <w:pPr>
              <w:keepLines/>
              <w:spacing w:before="80" w:after="80" w:line="200" w:lineRule="atLeast"/>
              <w:jc w:val="center"/>
              <w:rPr>
                <w:rFonts w:asciiTheme="minorHAnsi" w:eastAsia="Times New Roman" w:hAnsiTheme="minorHAnsi"/>
                <w:b/>
                <w:iCs/>
                <w:color w:val="auto"/>
                <w:szCs w:val="17"/>
                <w:lang w:eastAsia="en-US"/>
              </w:rPr>
            </w:pPr>
            <w:r>
              <w:rPr>
                <w:rFonts w:asciiTheme="minorHAnsi" w:eastAsia="Times New Roman" w:hAnsiTheme="minorHAnsi"/>
                <w:b/>
                <w:iCs/>
                <w:color w:val="auto"/>
                <w:szCs w:val="17"/>
                <w:lang w:eastAsia="en-US"/>
              </w:rPr>
              <w:t xml:space="preserve">Progress made </w:t>
            </w:r>
            <w:r w:rsidR="00400B0F" w:rsidRPr="005B0631">
              <w:rPr>
                <w:rFonts w:asciiTheme="minorHAnsi" w:eastAsia="Times New Roman" w:hAnsiTheme="minorHAnsi"/>
                <w:b/>
                <w:iCs/>
                <w:color w:val="auto"/>
                <w:szCs w:val="17"/>
                <w:lang w:eastAsia="en-US"/>
              </w:rPr>
              <w:t>in 2015-16</w:t>
            </w:r>
          </w:p>
        </w:tc>
      </w:tr>
      <w:tr w:rsidR="00CA65C8" w:rsidRPr="00C61187" w14:paraId="5016C9B2" w14:textId="77777777" w:rsidTr="006F27B1">
        <w:trPr>
          <w:cnfStyle w:val="000000010000" w:firstRow="0" w:lastRow="0" w:firstColumn="0" w:lastColumn="0" w:oddVBand="0" w:evenVBand="0" w:oddHBand="0" w:evenHBand="1" w:firstRowFirstColumn="0" w:firstRowLastColumn="0" w:lastRowFirstColumn="0" w:lastRowLastColumn="0"/>
        </w:trPr>
        <w:tc>
          <w:tcPr>
            <w:tcW w:w="6473" w:type="dxa"/>
          </w:tcPr>
          <w:p w14:paraId="5703C544" w14:textId="77777777" w:rsidR="00CA65C8" w:rsidRPr="005B0631" w:rsidRDefault="00CA65C8" w:rsidP="00CA65C8">
            <w:pPr>
              <w:keepLines/>
              <w:spacing w:before="40" w:after="40" w:line="200" w:lineRule="atLeast"/>
              <w:rPr>
                <w:rFonts w:asciiTheme="minorHAnsi" w:eastAsia="Times New Roman" w:hAnsiTheme="minorHAnsi"/>
                <w:iCs/>
                <w:color w:val="auto"/>
                <w:szCs w:val="17"/>
                <w:lang w:eastAsia="en-US"/>
              </w:rPr>
            </w:pPr>
            <w:r w:rsidRPr="005B0631">
              <w:rPr>
                <w:rFonts w:asciiTheme="minorHAnsi" w:eastAsia="Times New Roman" w:hAnsiTheme="minorHAnsi"/>
                <w:iCs/>
                <w:color w:val="auto"/>
                <w:szCs w:val="17"/>
                <w:lang w:eastAsia="en-US"/>
              </w:rPr>
              <w:t>Improve performance on gender equality</w:t>
            </w:r>
          </w:p>
        </w:tc>
        <w:tc>
          <w:tcPr>
            <w:tcW w:w="964" w:type="dxa"/>
            <w:shd w:val="clear" w:color="auto" w:fill="72AF2F"/>
          </w:tcPr>
          <w:p w14:paraId="46B397A5" w14:textId="77777777" w:rsidR="00CA65C8" w:rsidRPr="00880004" w:rsidRDefault="00CA65C8" w:rsidP="00CA65C8">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Achieved</w:t>
            </w:r>
          </w:p>
        </w:tc>
        <w:tc>
          <w:tcPr>
            <w:tcW w:w="6896" w:type="dxa"/>
          </w:tcPr>
          <w:p w14:paraId="72CD7BE4" w14:textId="5C0B29AF" w:rsidR="00CA65C8" w:rsidRPr="00A73AE3" w:rsidRDefault="00CA65C8" w:rsidP="00A222F3">
            <w:pPr>
              <w:keepLines/>
              <w:spacing w:before="40" w:after="40" w:line="200" w:lineRule="atLeast"/>
              <w:rPr>
                <w:rFonts w:asciiTheme="minorHAnsi" w:hAnsiTheme="minorHAnsi"/>
                <w:color w:val="auto"/>
              </w:rPr>
            </w:pPr>
            <w:r w:rsidRPr="00A73AE3">
              <w:rPr>
                <w:rFonts w:asciiTheme="minorHAnsi" w:eastAsia="Times New Roman" w:hAnsiTheme="minorHAnsi"/>
                <w:iCs/>
                <w:color w:val="auto"/>
                <w:szCs w:val="17"/>
                <w:lang w:eastAsia="en-US"/>
              </w:rPr>
              <w:t xml:space="preserve">There have been </w:t>
            </w:r>
            <w:r w:rsidR="00FA2300" w:rsidRPr="00A73AE3">
              <w:rPr>
                <w:rFonts w:asciiTheme="minorHAnsi" w:eastAsia="Times New Roman" w:hAnsiTheme="minorHAnsi"/>
                <w:iCs/>
                <w:color w:val="auto"/>
                <w:szCs w:val="17"/>
                <w:lang w:eastAsia="en-US"/>
              </w:rPr>
              <w:t>marked</w:t>
            </w:r>
            <w:r w:rsidRPr="00A73AE3">
              <w:rPr>
                <w:rFonts w:asciiTheme="minorHAnsi" w:eastAsia="Times New Roman" w:hAnsiTheme="minorHAnsi"/>
                <w:iCs/>
                <w:color w:val="auto"/>
                <w:szCs w:val="17"/>
                <w:lang w:eastAsia="en-US"/>
              </w:rPr>
              <w:t xml:space="preserve"> improvements to our program in this area. All aspects of the 2014-15 management response in this area have been achieved. Further work in this area for 2016-17 has been outlined in the report</w:t>
            </w:r>
            <w:r w:rsidR="004967EA">
              <w:rPr>
                <w:rFonts w:asciiTheme="minorHAnsi" w:eastAsia="Times New Roman" w:hAnsiTheme="minorHAnsi"/>
                <w:iCs/>
                <w:color w:val="auto"/>
                <w:szCs w:val="17"/>
                <w:lang w:eastAsia="en-US"/>
              </w:rPr>
              <w:t xml:space="preserve"> above</w:t>
            </w:r>
            <w:r w:rsidRPr="00A73AE3">
              <w:rPr>
                <w:rFonts w:asciiTheme="minorHAnsi" w:eastAsia="Times New Roman" w:hAnsiTheme="minorHAnsi"/>
                <w:iCs/>
                <w:color w:val="auto"/>
                <w:szCs w:val="17"/>
                <w:lang w:eastAsia="en-US"/>
              </w:rPr>
              <w:t>.</w:t>
            </w:r>
          </w:p>
        </w:tc>
      </w:tr>
      <w:tr w:rsidR="00CA65C8" w:rsidRPr="00C61187" w14:paraId="180A70FF" w14:textId="77777777" w:rsidTr="006F27B1">
        <w:trPr>
          <w:cnfStyle w:val="000000010000" w:firstRow="0" w:lastRow="0" w:firstColumn="0" w:lastColumn="0" w:oddVBand="0" w:evenVBand="0" w:oddHBand="0" w:evenHBand="1" w:firstRowFirstColumn="0" w:firstRowLastColumn="0" w:lastRowFirstColumn="0" w:lastRowLastColumn="0"/>
        </w:trPr>
        <w:tc>
          <w:tcPr>
            <w:tcW w:w="6473" w:type="dxa"/>
          </w:tcPr>
          <w:p w14:paraId="154492D9" w14:textId="77777777" w:rsidR="00CA65C8" w:rsidRPr="005B0631" w:rsidRDefault="00CA65C8" w:rsidP="00CA65C8">
            <w:pPr>
              <w:keepLines/>
              <w:spacing w:before="40" w:after="40" w:line="200" w:lineRule="atLeast"/>
              <w:rPr>
                <w:rFonts w:asciiTheme="minorHAnsi" w:eastAsia="Times New Roman" w:hAnsiTheme="minorHAnsi"/>
                <w:iCs/>
                <w:color w:val="auto"/>
                <w:szCs w:val="17"/>
                <w:lang w:eastAsia="en-US"/>
              </w:rPr>
            </w:pPr>
            <w:r w:rsidRPr="005B0631">
              <w:rPr>
                <w:rFonts w:asciiTheme="minorHAnsi" w:eastAsia="Times New Roman" w:hAnsiTheme="minorHAnsi"/>
                <w:iCs/>
                <w:color w:val="auto"/>
                <w:szCs w:val="17"/>
                <w:lang w:eastAsia="en-US"/>
              </w:rPr>
              <w:t>Ensure aid investments remain relevant to the development priorities of the Philippines in view of the changing of administration.</w:t>
            </w:r>
          </w:p>
        </w:tc>
        <w:tc>
          <w:tcPr>
            <w:tcW w:w="964" w:type="dxa"/>
            <w:shd w:val="clear" w:color="auto" w:fill="72AF2F"/>
          </w:tcPr>
          <w:p w14:paraId="02C258DE" w14:textId="77777777" w:rsidR="00CA65C8" w:rsidRPr="00880004" w:rsidRDefault="00CA65C8" w:rsidP="00CA65C8">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Achieved</w:t>
            </w:r>
          </w:p>
        </w:tc>
        <w:tc>
          <w:tcPr>
            <w:tcW w:w="6896" w:type="dxa"/>
          </w:tcPr>
          <w:p w14:paraId="74D7DB71" w14:textId="517749FF" w:rsidR="00CA65C8" w:rsidRPr="00574FDA" w:rsidRDefault="00CA65C8" w:rsidP="001149F4">
            <w:pPr>
              <w:keepLines/>
              <w:spacing w:before="40" w:after="40" w:line="200" w:lineRule="atLeast"/>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 xml:space="preserve">DFAT’s investments have remained consistent with the development priorities articulated by both the outgoing and the incoming Philippine administrations. We have managed a number of program extensions to ensure continuity across the transition, and early signs from the </w:t>
            </w:r>
            <w:r w:rsidR="001149F4">
              <w:rPr>
                <w:rFonts w:asciiTheme="minorHAnsi" w:eastAsia="Times New Roman" w:hAnsiTheme="minorHAnsi"/>
                <w:iCs/>
                <w:color w:val="auto"/>
                <w:szCs w:val="17"/>
                <w:lang w:eastAsia="en-US"/>
              </w:rPr>
              <w:t>new Philippine</w:t>
            </w:r>
            <w:r>
              <w:rPr>
                <w:rFonts w:asciiTheme="minorHAnsi" w:eastAsia="Times New Roman" w:hAnsiTheme="minorHAnsi"/>
                <w:iCs/>
                <w:color w:val="auto"/>
                <w:szCs w:val="17"/>
                <w:lang w:eastAsia="en-US"/>
              </w:rPr>
              <w:t xml:space="preserve"> Government indicate our program is already well aligned with the next development mandate. We are ready to review our entire portfolio in late 2016</w:t>
            </w:r>
            <w:r w:rsidR="004967EA">
              <w:rPr>
                <w:rFonts w:asciiTheme="minorHAnsi" w:eastAsia="Times New Roman" w:hAnsiTheme="minorHAnsi"/>
                <w:iCs/>
                <w:color w:val="auto"/>
                <w:szCs w:val="17"/>
                <w:lang w:eastAsia="en-US"/>
              </w:rPr>
              <w:t>/early 2017</w:t>
            </w:r>
            <w:r>
              <w:rPr>
                <w:rFonts w:asciiTheme="minorHAnsi" w:eastAsia="Times New Roman" w:hAnsiTheme="minorHAnsi"/>
                <w:iCs/>
                <w:color w:val="auto"/>
                <w:szCs w:val="17"/>
                <w:lang w:eastAsia="en-US"/>
              </w:rPr>
              <w:t xml:space="preserve"> to ensure we are properly aligned once Philippine Government priorities are confirmed, and we expect some changes will need to be made in our programs working on peace and stability.</w:t>
            </w:r>
          </w:p>
        </w:tc>
      </w:tr>
      <w:tr w:rsidR="00CA65C8" w:rsidRPr="00C61187" w14:paraId="5CED1EE7" w14:textId="77777777" w:rsidTr="002B64D3">
        <w:trPr>
          <w:cnfStyle w:val="000000010000" w:firstRow="0" w:lastRow="0" w:firstColumn="0" w:lastColumn="0" w:oddVBand="0" w:evenVBand="0" w:oddHBand="0" w:evenHBand="1" w:firstRowFirstColumn="0" w:firstRowLastColumn="0" w:lastRowFirstColumn="0" w:lastRowLastColumn="0"/>
        </w:trPr>
        <w:tc>
          <w:tcPr>
            <w:tcW w:w="6473" w:type="dxa"/>
          </w:tcPr>
          <w:p w14:paraId="639DA340" w14:textId="77777777" w:rsidR="00CA65C8" w:rsidRPr="00880004" w:rsidRDefault="00CA65C8" w:rsidP="00CA65C8">
            <w:pPr>
              <w:keepLines/>
              <w:spacing w:before="40" w:after="40" w:line="200" w:lineRule="atLeast"/>
              <w:rPr>
                <w:rFonts w:asciiTheme="minorHAnsi" w:eastAsia="Times New Roman" w:hAnsiTheme="minorHAnsi"/>
                <w:iCs/>
                <w:szCs w:val="17"/>
                <w:lang w:eastAsia="en-US"/>
              </w:rPr>
            </w:pPr>
            <w:r w:rsidRPr="005B0631">
              <w:rPr>
                <w:rFonts w:asciiTheme="minorHAnsi" w:eastAsia="Times New Roman" w:hAnsiTheme="minorHAnsi"/>
                <w:iCs/>
                <w:color w:val="auto"/>
                <w:szCs w:val="17"/>
                <w:lang w:eastAsia="en-US"/>
              </w:rPr>
              <w:t>Improve investments relate to economic growth</w:t>
            </w:r>
          </w:p>
        </w:tc>
        <w:tc>
          <w:tcPr>
            <w:tcW w:w="964" w:type="dxa"/>
            <w:shd w:val="clear" w:color="auto" w:fill="E36C0A"/>
          </w:tcPr>
          <w:p w14:paraId="318CCC6E" w14:textId="45936FF6" w:rsidR="00CA65C8" w:rsidRPr="00080BA6" w:rsidRDefault="00CA65C8" w:rsidP="00080BA6">
            <w:pPr>
              <w:keepLines/>
              <w:spacing w:before="40" w:after="40" w:line="200" w:lineRule="atLeast"/>
              <w:jc w:val="center"/>
              <w:rPr>
                <w:rFonts w:asciiTheme="minorHAnsi" w:eastAsia="Times New Roman" w:hAnsiTheme="minorHAnsi"/>
                <w:b/>
                <w:color w:val="E36C0A"/>
                <w:sz w:val="16"/>
                <w:szCs w:val="14"/>
                <w:lang w:eastAsia="en-US"/>
              </w:rPr>
            </w:pPr>
            <w:r w:rsidRPr="00080BA6">
              <w:rPr>
                <w:rFonts w:asciiTheme="minorHAnsi" w:eastAsia="Times New Roman" w:hAnsiTheme="minorHAnsi"/>
                <w:iCs/>
                <w:color w:val="FFFFFF" w:themeColor="background1"/>
                <w:szCs w:val="17"/>
                <w:lang w:eastAsia="en-US"/>
              </w:rPr>
              <w:t xml:space="preserve">Partially </w:t>
            </w:r>
            <w:r w:rsidR="00080BA6" w:rsidRPr="00080BA6">
              <w:rPr>
                <w:rFonts w:asciiTheme="minorHAnsi" w:eastAsia="Times New Roman" w:hAnsiTheme="minorHAnsi"/>
                <w:iCs/>
                <w:color w:val="FFFFFF" w:themeColor="background1"/>
                <w:szCs w:val="17"/>
                <w:lang w:eastAsia="en-US"/>
              </w:rPr>
              <w:t>Achieved</w:t>
            </w:r>
          </w:p>
        </w:tc>
        <w:tc>
          <w:tcPr>
            <w:tcW w:w="6896" w:type="dxa"/>
          </w:tcPr>
          <w:p w14:paraId="018B6D4F" w14:textId="77777777" w:rsidR="00CA65C8" w:rsidRPr="00574FDA" w:rsidRDefault="00CA65C8" w:rsidP="00CA65C8">
            <w:pPr>
              <w:keepLines/>
              <w:spacing w:before="40" w:after="40" w:line="200" w:lineRule="atLeast"/>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The program has experienced delays in completing the designs for the new aid for trade and economic growth programs. Progress on these has been detailed in the report.</w:t>
            </w:r>
          </w:p>
        </w:tc>
      </w:tr>
    </w:tbl>
    <w:p w14:paraId="0FC76E65" w14:textId="77777777" w:rsidR="00400B0F" w:rsidRPr="00880004" w:rsidRDefault="00400B0F" w:rsidP="00400B0F">
      <w:pPr>
        <w:spacing w:before="20" w:after="20" w:line="180" w:lineRule="atLeast"/>
        <w:jc w:val="both"/>
        <w:rPr>
          <w:rFonts w:eastAsia="Times New Roman"/>
          <w:b/>
          <w:sz w:val="16"/>
          <w:szCs w:val="14"/>
        </w:rPr>
      </w:pPr>
      <w:r w:rsidRPr="00880004">
        <w:rPr>
          <w:rFonts w:eastAsia="Times New Roman"/>
          <w:b/>
          <w:sz w:val="16"/>
          <w:szCs w:val="14"/>
        </w:rPr>
        <w:t xml:space="preserve">Note: </w:t>
      </w:r>
    </w:p>
    <w:p w14:paraId="70E2DBE6" w14:textId="77777777"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w:t>
      </w:r>
      <w:r w:rsidRPr="00880004">
        <w:rPr>
          <w:rFonts w:eastAsia="Times New Roman"/>
          <w:b/>
          <w:sz w:val="16"/>
          <w:szCs w:val="14"/>
        </w:rPr>
        <w:t xml:space="preserve"> Achieved.  Significant progress has been made in addressing the issue </w:t>
      </w:r>
    </w:p>
    <w:p w14:paraId="4A1B0422" w14:textId="77777777"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sz w:val="16"/>
          <w:szCs w:val="14"/>
        </w:rPr>
        <w:t> </w:t>
      </w:r>
      <w:r w:rsidRPr="00880004">
        <w:rPr>
          <w:rFonts w:eastAsia="Times New Roman"/>
          <w:b/>
          <w:sz w:val="16"/>
          <w:szCs w:val="14"/>
        </w:rPr>
        <w:t xml:space="preserve"> Partly achieved.  Some progress has been made in addressing the issue, but the issue has not been resolved </w:t>
      </w:r>
    </w:p>
    <w:p w14:paraId="097A76AE" w14:textId="77777777"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w:t>
      </w:r>
      <w:r w:rsidRPr="00880004">
        <w:rPr>
          <w:rFonts w:eastAsia="Times New Roman"/>
          <w:b/>
          <w:sz w:val="16"/>
          <w:szCs w:val="14"/>
        </w:rPr>
        <w:t xml:space="preserve"> Not achieved. Progress in addressing the issue has been significantly below expectations</w:t>
      </w:r>
    </w:p>
    <w:p w14:paraId="3A279B06" w14:textId="77777777" w:rsidR="00400B0F" w:rsidRPr="00C61187" w:rsidRDefault="00400B0F" w:rsidP="00400B0F">
      <w:pPr>
        <w:spacing w:after="160" w:line="280" w:lineRule="exact"/>
        <w:rPr>
          <w:rFonts w:ascii="Franklin Gothic Book" w:eastAsia="Times New Roman" w:hAnsi="Franklin Gothic Book"/>
          <w:sz w:val="21"/>
        </w:rPr>
      </w:pPr>
    </w:p>
    <w:p w14:paraId="1C72F64B" w14:textId="77777777" w:rsidR="00400B0F" w:rsidRPr="00C61187" w:rsidRDefault="00400B0F" w:rsidP="00400B0F">
      <w:pPr>
        <w:spacing w:after="200" w:line="276" w:lineRule="auto"/>
        <w:rPr>
          <w:rFonts w:ascii="Franklin Gothic Book" w:hAnsi="Franklin Gothic Book"/>
          <w:sz w:val="21"/>
        </w:rPr>
      </w:pPr>
    </w:p>
    <w:p w14:paraId="015F6F2C" w14:textId="77777777" w:rsidR="00D15A00" w:rsidRDefault="00D15A00" w:rsidP="002A51CA"/>
    <w:p w14:paraId="453888E1" w14:textId="77777777" w:rsidR="00060268" w:rsidRDefault="00060268" w:rsidP="002A51CA"/>
    <w:p w14:paraId="24E80BCA" w14:textId="77777777" w:rsidR="00060268" w:rsidRDefault="00060268" w:rsidP="002A51CA"/>
    <w:p w14:paraId="75190079" w14:textId="77777777" w:rsidR="00060268" w:rsidRDefault="00060268" w:rsidP="002A51CA"/>
    <w:p w14:paraId="5B3415B8" w14:textId="77777777" w:rsidR="00060268" w:rsidRDefault="00060268" w:rsidP="002A51CA"/>
    <w:p w14:paraId="7832261B" w14:textId="77777777" w:rsidR="00060268" w:rsidRDefault="00060268" w:rsidP="002A51CA"/>
    <w:p w14:paraId="36ECDA16" w14:textId="77777777" w:rsidR="00060268" w:rsidRDefault="00060268" w:rsidP="002A51CA"/>
    <w:p w14:paraId="377756A2" w14:textId="77777777" w:rsidR="00060268" w:rsidRDefault="00060268" w:rsidP="002A51CA"/>
    <w:p w14:paraId="78435A1E" w14:textId="77777777" w:rsidR="00060268" w:rsidRDefault="00060268" w:rsidP="002A51CA"/>
    <w:p w14:paraId="4AE525DC" w14:textId="77777777" w:rsidR="00060268" w:rsidRDefault="00060268" w:rsidP="002A51CA"/>
    <w:p w14:paraId="53EA5797" w14:textId="77777777" w:rsidR="00400B0F" w:rsidRPr="00E10C3F" w:rsidRDefault="002A51CA" w:rsidP="00400B0F">
      <w:pPr>
        <w:pStyle w:val="Subtitle"/>
        <w:numPr>
          <w:ilvl w:val="0"/>
          <w:numId w:val="0"/>
        </w:numPr>
        <w:rPr>
          <w:color w:val="auto"/>
        </w:rPr>
      </w:pPr>
      <w:r w:rsidRPr="00E10C3F">
        <w:rPr>
          <w:rFonts w:ascii="Franklin Gothic Book" w:eastAsia="Times New Roman" w:hAnsi="Franklin Gothic Book"/>
          <w:color w:val="auto"/>
          <w:sz w:val="21"/>
        </w:rPr>
        <w:t xml:space="preserve"> </w:t>
      </w:r>
      <w:r w:rsidR="00400B0F" w:rsidRPr="00E10C3F">
        <w:rPr>
          <w:color w:val="auto"/>
        </w:rPr>
        <w:t>Annex B - Progress towards Performance Benchmarks in 2015-16</w:t>
      </w:r>
    </w:p>
    <w:tbl>
      <w:tblPr>
        <w:tblStyle w:val="DFATTable"/>
        <w:tblW w:w="5000" w:type="pct"/>
        <w:tblLook w:val="04A0" w:firstRow="1" w:lastRow="0" w:firstColumn="1" w:lastColumn="0" w:noHBand="0" w:noVBand="1"/>
      </w:tblPr>
      <w:tblGrid>
        <w:gridCol w:w="2244"/>
        <w:gridCol w:w="2245"/>
        <w:gridCol w:w="1353"/>
        <w:gridCol w:w="8547"/>
      </w:tblGrid>
      <w:tr w:rsidR="00E10C3F" w:rsidRPr="00E10C3F" w14:paraId="18D99F86" w14:textId="77777777" w:rsidTr="002B64D3">
        <w:trPr>
          <w:tblHeader/>
        </w:trPr>
        <w:tc>
          <w:tcPr>
            <w:tcW w:w="780" w:type="pct"/>
            <w:tcMar>
              <w:top w:w="57" w:type="dxa"/>
              <w:bottom w:w="57" w:type="dxa"/>
            </w:tcMar>
          </w:tcPr>
          <w:p w14:paraId="602F208F" w14:textId="77777777" w:rsidR="00400B0F" w:rsidRPr="00E10C3F" w:rsidRDefault="00400B0F" w:rsidP="006F27B1">
            <w:pPr>
              <w:keepLines/>
              <w:spacing w:before="80" w:after="80" w:line="200" w:lineRule="atLeast"/>
              <w:rPr>
                <w:rFonts w:asciiTheme="minorHAnsi" w:eastAsia="Times New Roman" w:hAnsiTheme="minorHAnsi"/>
                <w:b/>
                <w:iCs/>
                <w:color w:val="auto"/>
                <w:szCs w:val="17"/>
                <w:lang w:eastAsia="en-US"/>
              </w:rPr>
            </w:pPr>
            <w:r w:rsidRPr="00E10C3F">
              <w:rPr>
                <w:rFonts w:asciiTheme="minorHAnsi" w:eastAsia="Times New Roman" w:hAnsiTheme="minorHAnsi"/>
                <w:b/>
                <w:iCs/>
                <w:color w:val="auto"/>
                <w:szCs w:val="17"/>
                <w:lang w:eastAsia="en-US"/>
              </w:rPr>
              <w:t>Aid objective</w:t>
            </w:r>
          </w:p>
        </w:tc>
        <w:tc>
          <w:tcPr>
            <w:tcW w:w="780" w:type="pct"/>
          </w:tcPr>
          <w:p w14:paraId="0B00EC96" w14:textId="77777777" w:rsidR="00400B0F" w:rsidRPr="00E10C3F" w:rsidRDefault="00400B0F" w:rsidP="00025B82">
            <w:pPr>
              <w:keepLines/>
              <w:spacing w:before="80" w:after="80" w:line="200" w:lineRule="atLeast"/>
              <w:rPr>
                <w:rFonts w:asciiTheme="minorHAnsi" w:eastAsia="Times New Roman" w:hAnsiTheme="minorHAnsi"/>
                <w:b/>
                <w:iCs/>
                <w:color w:val="auto"/>
                <w:szCs w:val="17"/>
                <w:lang w:eastAsia="en-US"/>
              </w:rPr>
            </w:pPr>
            <w:r w:rsidRPr="00E10C3F">
              <w:rPr>
                <w:rFonts w:asciiTheme="minorHAnsi" w:eastAsia="Times New Roman" w:hAnsiTheme="minorHAnsi"/>
                <w:b/>
                <w:iCs/>
                <w:color w:val="auto"/>
                <w:szCs w:val="17"/>
                <w:lang w:eastAsia="en-US"/>
              </w:rPr>
              <w:t>201</w:t>
            </w:r>
            <w:r w:rsidR="00025B82">
              <w:rPr>
                <w:rFonts w:asciiTheme="minorHAnsi" w:eastAsia="Times New Roman" w:hAnsiTheme="minorHAnsi"/>
                <w:b/>
                <w:iCs/>
                <w:color w:val="auto"/>
                <w:szCs w:val="17"/>
                <w:lang w:eastAsia="en-US"/>
              </w:rPr>
              <w:t>5</w:t>
            </w:r>
            <w:r w:rsidRPr="00E10C3F">
              <w:rPr>
                <w:rFonts w:asciiTheme="minorHAnsi" w:eastAsia="Times New Roman" w:hAnsiTheme="minorHAnsi"/>
                <w:b/>
                <w:iCs/>
                <w:color w:val="auto"/>
                <w:szCs w:val="17"/>
                <w:lang w:eastAsia="en-US"/>
              </w:rPr>
              <w:t>-1</w:t>
            </w:r>
            <w:r w:rsidR="00025B82">
              <w:rPr>
                <w:rFonts w:asciiTheme="minorHAnsi" w:eastAsia="Times New Roman" w:hAnsiTheme="minorHAnsi"/>
                <w:b/>
                <w:iCs/>
                <w:color w:val="auto"/>
                <w:szCs w:val="17"/>
                <w:lang w:eastAsia="en-US"/>
              </w:rPr>
              <w:t>6</w:t>
            </w:r>
            <w:r w:rsidRPr="00E10C3F">
              <w:rPr>
                <w:rFonts w:asciiTheme="minorHAnsi" w:eastAsia="Times New Roman" w:hAnsiTheme="minorHAnsi"/>
                <w:b/>
                <w:iCs/>
                <w:color w:val="auto"/>
                <w:szCs w:val="17"/>
                <w:lang w:eastAsia="en-US"/>
              </w:rPr>
              <w:t xml:space="preserve"> benchmark </w:t>
            </w:r>
          </w:p>
        </w:tc>
        <w:tc>
          <w:tcPr>
            <w:tcW w:w="470" w:type="pct"/>
            <w:tcBorders>
              <w:bottom w:val="nil"/>
            </w:tcBorders>
          </w:tcPr>
          <w:p w14:paraId="3D80F9C7" w14:textId="77777777" w:rsidR="00400B0F" w:rsidRPr="00E10C3F" w:rsidRDefault="00400B0F" w:rsidP="009E7BB8">
            <w:pPr>
              <w:keepLines/>
              <w:spacing w:before="80" w:after="80" w:line="200" w:lineRule="atLeast"/>
              <w:jc w:val="center"/>
              <w:rPr>
                <w:rFonts w:asciiTheme="minorHAnsi" w:eastAsia="Times New Roman" w:hAnsiTheme="minorHAnsi"/>
                <w:b/>
                <w:iCs/>
                <w:color w:val="auto"/>
                <w:szCs w:val="17"/>
                <w:lang w:eastAsia="en-US"/>
              </w:rPr>
            </w:pPr>
            <w:r w:rsidRPr="00E10C3F">
              <w:rPr>
                <w:rFonts w:asciiTheme="minorHAnsi" w:eastAsia="Times New Roman" w:hAnsiTheme="minorHAnsi"/>
                <w:b/>
                <w:iCs/>
                <w:color w:val="auto"/>
                <w:szCs w:val="17"/>
                <w:lang w:eastAsia="en-US"/>
              </w:rPr>
              <w:t>Rating</w:t>
            </w:r>
          </w:p>
        </w:tc>
        <w:tc>
          <w:tcPr>
            <w:tcW w:w="2970" w:type="pct"/>
          </w:tcPr>
          <w:p w14:paraId="17FB257B" w14:textId="77777777" w:rsidR="00400B0F" w:rsidRPr="00E10C3F" w:rsidRDefault="00400B0F" w:rsidP="009E7BB8">
            <w:pPr>
              <w:keepLines/>
              <w:spacing w:before="80" w:after="80" w:line="200" w:lineRule="atLeast"/>
              <w:jc w:val="center"/>
              <w:rPr>
                <w:rFonts w:asciiTheme="minorHAnsi" w:eastAsia="Times New Roman" w:hAnsiTheme="minorHAnsi"/>
                <w:b/>
                <w:iCs/>
                <w:color w:val="auto"/>
                <w:szCs w:val="17"/>
                <w:lang w:eastAsia="en-US"/>
              </w:rPr>
            </w:pPr>
            <w:r w:rsidRPr="00E10C3F">
              <w:rPr>
                <w:rFonts w:asciiTheme="minorHAnsi" w:eastAsia="Times New Roman" w:hAnsiTheme="minorHAnsi"/>
                <w:b/>
                <w:iCs/>
                <w:color w:val="auto"/>
                <w:szCs w:val="17"/>
                <w:lang w:eastAsia="en-US"/>
              </w:rPr>
              <w:t>Progress in 2015-16</w:t>
            </w:r>
          </w:p>
        </w:tc>
      </w:tr>
      <w:tr w:rsidR="0031491F" w:rsidRPr="00C61187" w14:paraId="6754E854" w14:textId="77777777" w:rsidTr="002B64D3">
        <w:trPr>
          <w:trHeight w:val="1008"/>
        </w:trPr>
        <w:tc>
          <w:tcPr>
            <w:tcW w:w="780" w:type="pct"/>
            <w:vMerge w:val="restart"/>
            <w:tcMar>
              <w:top w:w="57" w:type="dxa"/>
              <w:bottom w:w="57" w:type="dxa"/>
            </w:tcMar>
          </w:tcPr>
          <w:p w14:paraId="6FC9A83A" w14:textId="77777777" w:rsidR="0031491F" w:rsidRPr="00E10C3F" w:rsidRDefault="0031491F" w:rsidP="001B6C97">
            <w:pPr>
              <w:keepLines/>
              <w:spacing w:before="40" w:after="40" w:line="200" w:lineRule="atLeast"/>
              <w:rPr>
                <w:rFonts w:asciiTheme="minorHAnsi" w:eastAsia="Times New Roman" w:hAnsiTheme="minorHAnsi"/>
                <w:b/>
                <w:i/>
                <w:iCs/>
                <w:color w:val="auto"/>
                <w:szCs w:val="17"/>
                <w:lang w:eastAsia="en-US"/>
              </w:rPr>
            </w:pPr>
            <w:r w:rsidRPr="00E10C3F">
              <w:rPr>
                <w:rFonts w:asciiTheme="minorHAnsi" w:eastAsia="Times New Roman" w:hAnsiTheme="minorHAnsi"/>
                <w:b/>
                <w:i/>
                <w:iCs/>
                <w:color w:val="auto"/>
                <w:szCs w:val="17"/>
                <w:lang w:eastAsia="en-US"/>
              </w:rPr>
              <w:t>Aid Objective 1</w:t>
            </w:r>
          </w:p>
          <w:p w14:paraId="26479D07" w14:textId="77777777" w:rsidR="0031491F" w:rsidRPr="00E10C3F" w:rsidRDefault="0031491F" w:rsidP="001B6C97">
            <w:pPr>
              <w:keepLines/>
              <w:spacing w:before="40" w:after="40" w:line="200" w:lineRule="atLeast"/>
              <w:rPr>
                <w:rFonts w:asciiTheme="minorHAnsi" w:eastAsia="Times New Roman" w:hAnsiTheme="minorHAnsi"/>
                <w:iCs/>
                <w:color w:val="auto"/>
                <w:szCs w:val="17"/>
                <w:lang w:eastAsia="en-US"/>
              </w:rPr>
            </w:pPr>
            <w:r w:rsidRPr="00E10C3F">
              <w:rPr>
                <w:rFonts w:asciiTheme="minorHAnsi" w:eastAsia="Times New Roman" w:hAnsiTheme="minorHAnsi"/>
                <w:iCs/>
                <w:color w:val="auto"/>
                <w:szCs w:val="17"/>
                <w:lang w:eastAsia="en-US"/>
              </w:rPr>
              <w:t>Improved regulatory environment for international business and increases in trade flows</w:t>
            </w:r>
          </w:p>
          <w:p w14:paraId="245FD502" w14:textId="77777777" w:rsidR="0031491F" w:rsidRPr="00E10C3F" w:rsidRDefault="0031491F" w:rsidP="001B6C97">
            <w:pPr>
              <w:keepLines/>
              <w:spacing w:before="40" w:after="40" w:line="200" w:lineRule="atLeast"/>
              <w:rPr>
                <w:rFonts w:asciiTheme="minorHAnsi" w:eastAsia="Times New Roman" w:hAnsiTheme="minorHAnsi"/>
                <w:iCs/>
                <w:color w:val="auto"/>
                <w:szCs w:val="17"/>
                <w:lang w:eastAsia="en-US"/>
              </w:rPr>
            </w:pPr>
          </w:p>
          <w:p w14:paraId="0B7B81CD" w14:textId="77777777" w:rsidR="0031491F" w:rsidRPr="00E10C3F" w:rsidRDefault="0031491F" w:rsidP="001B6C97">
            <w:pPr>
              <w:keepLines/>
              <w:spacing w:before="40" w:after="40" w:line="200" w:lineRule="atLeast"/>
              <w:rPr>
                <w:rFonts w:asciiTheme="minorHAnsi" w:eastAsia="Times New Roman" w:hAnsiTheme="minorHAnsi"/>
                <w:iCs/>
                <w:color w:val="auto"/>
                <w:szCs w:val="17"/>
                <w:lang w:eastAsia="en-US"/>
              </w:rPr>
            </w:pPr>
            <w:r w:rsidRPr="00E10C3F">
              <w:rPr>
                <w:rFonts w:asciiTheme="minorHAnsi" w:eastAsia="Times New Roman" w:hAnsiTheme="minorHAnsi"/>
                <w:iCs/>
                <w:color w:val="auto"/>
                <w:szCs w:val="17"/>
                <w:lang w:eastAsia="en-US"/>
              </w:rPr>
              <w:t>Improved Philippines Government infrastructure planning aligned with economic needs</w:t>
            </w:r>
          </w:p>
          <w:p w14:paraId="1C2F414F" w14:textId="77777777" w:rsidR="0031491F" w:rsidRPr="00E10C3F" w:rsidRDefault="0031491F" w:rsidP="001B6C97">
            <w:pPr>
              <w:keepLines/>
              <w:spacing w:before="40" w:after="40" w:line="200" w:lineRule="atLeast"/>
              <w:rPr>
                <w:rFonts w:asciiTheme="minorHAnsi" w:eastAsia="Times New Roman" w:hAnsiTheme="minorHAnsi"/>
                <w:iCs/>
                <w:color w:val="auto"/>
                <w:szCs w:val="17"/>
                <w:lang w:eastAsia="en-US"/>
              </w:rPr>
            </w:pPr>
          </w:p>
          <w:p w14:paraId="5BE93124" w14:textId="77777777" w:rsidR="0031491F" w:rsidRPr="00E10C3F" w:rsidRDefault="0031491F" w:rsidP="001B6C97">
            <w:pPr>
              <w:keepLines/>
              <w:spacing w:before="40" w:after="40" w:line="200" w:lineRule="atLeast"/>
              <w:rPr>
                <w:rFonts w:asciiTheme="minorHAnsi" w:eastAsia="Times New Roman" w:hAnsiTheme="minorHAnsi"/>
                <w:iCs/>
                <w:color w:val="auto"/>
                <w:szCs w:val="17"/>
                <w:lang w:eastAsia="en-US"/>
              </w:rPr>
            </w:pPr>
            <w:r w:rsidRPr="00E10C3F">
              <w:rPr>
                <w:rFonts w:asciiTheme="minorHAnsi" w:eastAsia="Times New Roman" w:hAnsiTheme="minorHAnsi"/>
                <w:iCs/>
                <w:color w:val="auto"/>
                <w:szCs w:val="17"/>
                <w:lang w:eastAsia="en-US"/>
              </w:rPr>
              <w:t>Department of Education is using Unified Management System for effective and efficient service delivery</w:t>
            </w:r>
          </w:p>
          <w:p w14:paraId="1C0F09D2" w14:textId="77777777" w:rsidR="0031491F" w:rsidRPr="00E10C3F" w:rsidRDefault="0031491F" w:rsidP="001B6C97">
            <w:pPr>
              <w:keepLines/>
              <w:spacing w:before="40" w:after="40" w:line="200" w:lineRule="atLeast"/>
              <w:rPr>
                <w:rFonts w:asciiTheme="minorHAnsi" w:eastAsia="Times New Roman" w:hAnsiTheme="minorHAnsi"/>
                <w:iCs/>
                <w:color w:val="auto"/>
                <w:szCs w:val="17"/>
                <w:lang w:eastAsia="en-US"/>
              </w:rPr>
            </w:pPr>
          </w:p>
          <w:p w14:paraId="07F88BAB" w14:textId="77777777" w:rsidR="0031491F" w:rsidRPr="00E10C3F" w:rsidRDefault="0031491F" w:rsidP="00E10C3F">
            <w:pPr>
              <w:keepLines/>
              <w:spacing w:before="40" w:after="40" w:line="200" w:lineRule="atLeast"/>
              <w:rPr>
                <w:rFonts w:asciiTheme="minorHAnsi" w:eastAsia="Times New Roman" w:hAnsiTheme="minorHAnsi"/>
                <w:iCs/>
                <w:color w:val="auto"/>
                <w:szCs w:val="17"/>
                <w:lang w:eastAsia="en-US"/>
              </w:rPr>
            </w:pPr>
            <w:r w:rsidRPr="00E10C3F">
              <w:rPr>
                <w:rFonts w:asciiTheme="minorHAnsi" w:eastAsia="Times New Roman" w:hAnsiTheme="minorHAnsi"/>
                <w:iCs/>
                <w:color w:val="auto"/>
                <w:szCs w:val="17"/>
                <w:lang w:eastAsia="en-US"/>
              </w:rPr>
              <w:t>Improve Philippines Government capacity to promote, develop and implement Public Partnerships (PPP) projects</w:t>
            </w:r>
          </w:p>
        </w:tc>
        <w:tc>
          <w:tcPr>
            <w:tcW w:w="780" w:type="pct"/>
            <w:vMerge w:val="restart"/>
          </w:tcPr>
          <w:p w14:paraId="6512D272" w14:textId="77777777" w:rsidR="005546C0" w:rsidRPr="00E10C3F" w:rsidRDefault="005546C0" w:rsidP="001B6C97">
            <w:pPr>
              <w:keepLines/>
              <w:spacing w:before="40" w:after="40" w:line="200" w:lineRule="atLeast"/>
              <w:rPr>
                <w:rFonts w:asciiTheme="minorHAnsi" w:eastAsia="Times New Roman" w:hAnsiTheme="minorHAnsi"/>
                <w:iCs/>
                <w:color w:val="auto"/>
                <w:szCs w:val="17"/>
                <w:lang w:eastAsia="en-US"/>
              </w:rPr>
            </w:pPr>
          </w:p>
          <w:p w14:paraId="1E204984" w14:textId="77777777" w:rsidR="0031491F" w:rsidRPr="00A20667" w:rsidRDefault="0031491F" w:rsidP="001B6C97">
            <w:pPr>
              <w:keepLines/>
              <w:spacing w:before="40" w:after="40" w:line="200" w:lineRule="atLeast"/>
              <w:rPr>
                <w:rFonts w:asciiTheme="minorHAnsi" w:eastAsia="Times New Roman" w:hAnsiTheme="minorHAnsi"/>
                <w:iCs/>
                <w:color w:val="auto"/>
                <w:szCs w:val="17"/>
                <w:lang w:eastAsia="en-US"/>
              </w:rPr>
            </w:pPr>
            <w:r w:rsidRPr="00A20667">
              <w:rPr>
                <w:rFonts w:asciiTheme="minorHAnsi" w:eastAsia="Times New Roman" w:hAnsiTheme="minorHAnsi"/>
                <w:iCs/>
                <w:color w:val="auto"/>
                <w:szCs w:val="17"/>
                <w:lang w:eastAsia="en-US"/>
              </w:rPr>
              <w:t>New aid-for-trade facility designed</w:t>
            </w:r>
          </w:p>
          <w:p w14:paraId="57B10838" w14:textId="77777777" w:rsidR="0031491F" w:rsidRPr="00E10C3F" w:rsidRDefault="0031491F" w:rsidP="001B6C97">
            <w:pPr>
              <w:keepLines/>
              <w:spacing w:before="40" w:after="40" w:line="200" w:lineRule="atLeast"/>
              <w:rPr>
                <w:rFonts w:asciiTheme="minorHAnsi" w:eastAsia="Times New Roman" w:hAnsiTheme="minorHAnsi"/>
                <w:iCs/>
                <w:color w:val="auto"/>
                <w:szCs w:val="17"/>
                <w:lang w:eastAsia="en-US"/>
              </w:rPr>
            </w:pPr>
          </w:p>
          <w:p w14:paraId="3D95402F" w14:textId="77777777" w:rsidR="0031491F" w:rsidRPr="00E10C3F" w:rsidRDefault="0031491F" w:rsidP="001B6C97">
            <w:pPr>
              <w:keepLines/>
              <w:spacing w:before="40" w:after="40" w:line="200" w:lineRule="atLeast"/>
              <w:rPr>
                <w:rFonts w:asciiTheme="minorHAnsi" w:eastAsia="Times New Roman" w:hAnsiTheme="minorHAnsi"/>
                <w:iCs/>
                <w:color w:val="auto"/>
                <w:szCs w:val="17"/>
                <w:lang w:eastAsia="en-US"/>
              </w:rPr>
            </w:pPr>
          </w:p>
          <w:p w14:paraId="21CC1DDF" w14:textId="77777777" w:rsidR="0031491F" w:rsidRPr="00E10C3F" w:rsidRDefault="0031491F" w:rsidP="001B6C97">
            <w:pPr>
              <w:keepLines/>
              <w:spacing w:before="40" w:after="40" w:line="200" w:lineRule="atLeast"/>
              <w:rPr>
                <w:rFonts w:asciiTheme="minorHAnsi" w:eastAsia="Times New Roman" w:hAnsiTheme="minorHAnsi"/>
                <w:iCs/>
                <w:color w:val="auto"/>
                <w:szCs w:val="17"/>
                <w:lang w:eastAsia="en-US"/>
              </w:rPr>
            </w:pPr>
          </w:p>
          <w:p w14:paraId="2EA2C2D6" w14:textId="77777777" w:rsidR="0031491F" w:rsidRPr="00E10C3F" w:rsidRDefault="0031491F" w:rsidP="001B6C97">
            <w:pPr>
              <w:keepLines/>
              <w:spacing w:before="40" w:after="40" w:line="200" w:lineRule="atLeast"/>
              <w:rPr>
                <w:rFonts w:asciiTheme="minorHAnsi" w:eastAsia="Times New Roman" w:hAnsiTheme="minorHAnsi"/>
                <w:iCs/>
                <w:color w:val="auto"/>
                <w:szCs w:val="17"/>
                <w:lang w:eastAsia="en-US"/>
              </w:rPr>
            </w:pPr>
            <w:r w:rsidRPr="00E10C3F">
              <w:rPr>
                <w:rFonts w:asciiTheme="minorHAnsi" w:eastAsia="Times New Roman" w:hAnsiTheme="minorHAnsi"/>
                <w:iCs/>
                <w:color w:val="auto"/>
                <w:szCs w:val="17"/>
                <w:lang w:eastAsia="en-US"/>
              </w:rPr>
              <w:t>New infrastructure and connectivity program designed</w:t>
            </w:r>
          </w:p>
          <w:p w14:paraId="351968E1" w14:textId="77777777" w:rsidR="0031491F" w:rsidRPr="00E10C3F" w:rsidRDefault="0031491F" w:rsidP="001B6C97">
            <w:pPr>
              <w:keepLines/>
              <w:spacing w:before="40" w:after="40" w:line="200" w:lineRule="atLeast"/>
              <w:rPr>
                <w:rFonts w:asciiTheme="minorHAnsi" w:eastAsia="Times New Roman" w:hAnsiTheme="minorHAnsi"/>
                <w:iCs/>
                <w:color w:val="auto"/>
                <w:szCs w:val="17"/>
                <w:lang w:eastAsia="en-US"/>
              </w:rPr>
            </w:pPr>
          </w:p>
          <w:p w14:paraId="2AD9511D" w14:textId="77777777" w:rsidR="0031491F" w:rsidRPr="00E10C3F" w:rsidRDefault="0031491F" w:rsidP="001B6C97">
            <w:pPr>
              <w:keepLines/>
              <w:spacing w:before="40" w:after="40" w:line="200" w:lineRule="atLeast"/>
              <w:rPr>
                <w:rFonts w:asciiTheme="minorHAnsi" w:eastAsia="Times New Roman" w:hAnsiTheme="minorHAnsi"/>
                <w:iCs/>
                <w:color w:val="auto"/>
                <w:szCs w:val="17"/>
                <w:lang w:eastAsia="en-US"/>
              </w:rPr>
            </w:pPr>
          </w:p>
          <w:p w14:paraId="6E09830C" w14:textId="77777777" w:rsidR="0031491F" w:rsidRPr="00E10C3F" w:rsidRDefault="0031491F" w:rsidP="001B6C97">
            <w:pPr>
              <w:keepLines/>
              <w:spacing w:before="40" w:after="40" w:line="200" w:lineRule="atLeast"/>
              <w:rPr>
                <w:rFonts w:asciiTheme="minorHAnsi" w:eastAsia="Times New Roman" w:hAnsiTheme="minorHAnsi"/>
                <w:iCs/>
                <w:color w:val="auto"/>
                <w:szCs w:val="17"/>
                <w:lang w:eastAsia="en-US"/>
              </w:rPr>
            </w:pPr>
            <w:r w:rsidRPr="00E10C3F">
              <w:rPr>
                <w:rFonts w:asciiTheme="minorHAnsi" w:eastAsia="Times New Roman" w:hAnsiTheme="minorHAnsi"/>
                <w:iCs/>
                <w:color w:val="auto"/>
                <w:szCs w:val="17"/>
                <w:lang w:eastAsia="en-US"/>
              </w:rPr>
              <w:t>Department of Education has completed design of the Unified Management System</w:t>
            </w:r>
          </w:p>
          <w:p w14:paraId="7DF5686E" w14:textId="77777777" w:rsidR="0031491F" w:rsidRPr="00E10C3F" w:rsidRDefault="0031491F" w:rsidP="001B6C97">
            <w:pPr>
              <w:keepLines/>
              <w:spacing w:before="40" w:after="40" w:line="200" w:lineRule="atLeast"/>
              <w:rPr>
                <w:rFonts w:asciiTheme="minorHAnsi" w:eastAsia="Times New Roman" w:hAnsiTheme="minorHAnsi"/>
                <w:iCs/>
                <w:color w:val="auto"/>
                <w:szCs w:val="17"/>
                <w:lang w:eastAsia="en-US"/>
              </w:rPr>
            </w:pPr>
          </w:p>
          <w:p w14:paraId="4AB43494" w14:textId="77777777" w:rsidR="0031491F" w:rsidRPr="00E10C3F" w:rsidRDefault="0031491F" w:rsidP="001B6C97">
            <w:pPr>
              <w:keepLines/>
              <w:spacing w:before="40" w:after="40" w:line="200" w:lineRule="atLeast"/>
              <w:rPr>
                <w:rFonts w:asciiTheme="minorHAnsi" w:eastAsia="Times New Roman" w:hAnsiTheme="minorHAnsi"/>
                <w:iCs/>
                <w:color w:val="auto"/>
                <w:szCs w:val="17"/>
                <w:lang w:eastAsia="en-US"/>
              </w:rPr>
            </w:pPr>
          </w:p>
          <w:p w14:paraId="7E51EBE7" w14:textId="77777777" w:rsidR="0031491F" w:rsidRPr="00E10C3F" w:rsidRDefault="0031491F" w:rsidP="001B6C97">
            <w:pPr>
              <w:keepLines/>
              <w:spacing w:before="40" w:after="40" w:line="200" w:lineRule="atLeast"/>
              <w:rPr>
                <w:rFonts w:asciiTheme="minorHAnsi" w:eastAsia="Times New Roman" w:hAnsiTheme="minorHAnsi"/>
                <w:iCs/>
                <w:color w:val="auto"/>
                <w:szCs w:val="17"/>
                <w:lang w:eastAsia="en-US"/>
              </w:rPr>
            </w:pPr>
            <w:r w:rsidRPr="00E10C3F">
              <w:rPr>
                <w:rFonts w:asciiTheme="minorHAnsi" w:eastAsia="Times New Roman" w:hAnsiTheme="minorHAnsi"/>
                <w:iCs/>
                <w:color w:val="auto"/>
                <w:szCs w:val="17"/>
                <w:lang w:eastAsia="en-US"/>
              </w:rPr>
              <w:t>14 PPP projects competitively tendered</w:t>
            </w:r>
          </w:p>
          <w:p w14:paraId="27D3EA77" w14:textId="77777777" w:rsidR="0031491F" w:rsidRPr="00E10C3F" w:rsidRDefault="0031491F" w:rsidP="001B6C97">
            <w:pPr>
              <w:keepLines/>
              <w:spacing w:before="40" w:after="40" w:line="200" w:lineRule="atLeast"/>
              <w:rPr>
                <w:rFonts w:asciiTheme="minorHAnsi" w:eastAsia="Times New Roman" w:hAnsiTheme="minorHAnsi"/>
                <w:iCs/>
                <w:color w:val="auto"/>
                <w:szCs w:val="17"/>
                <w:lang w:eastAsia="en-US"/>
              </w:rPr>
            </w:pPr>
          </w:p>
          <w:p w14:paraId="07D6A04A" w14:textId="77777777" w:rsidR="0031491F" w:rsidRPr="00E10C3F" w:rsidRDefault="0031491F" w:rsidP="006F27B1">
            <w:pPr>
              <w:keepLines/>
              <w:spacing w:before="40" w:after="40" w:line="200" w:lineRule="atLeast"/>
              <w:rPr>
                <w:rFonts w:asciiTheme="minorHAnsi" w:eastAsia="Times New Roman" w:hAnsiTheme="minorHAnsi"/>
                <w:iCs/>
                <w:color w:val="auto"/>
                <w:szCs w:val="17"/>
                <w:lang w:eastAsia="en-US"/>
              </w:rPr>
            </w:pPr>
          </w:p>
        </w:tc>
        <w:tc>
          <w:tcPr>
            <w:tcW w:w="470" w:type="pct"/>
            <w:tcBorders>
              <w:top w:val="nil"/>
              <w:bottom w:val="nil"/>
            </w:tcBorders>
            <w:shd w:val="clear" w:color="auto" w:fill="FF6600"/>
          </w:tcPr>
          <w:p w14:paraId="4FCFEE2E" w14:textId="77777777" w:rsidR="005546C0" w:rsidRDefault="005546C0" w:rsidP="006F27B1">
            <w:pPr>
              <w:keepLines/>
              <w:spacing w:before="40" w:after="40" w:line="200" w:lineRule="atLeast"/>
              <w:jc w:val="center"/>
              <w:rPr>
                <w:rFonts w:asciiTheme="minorHAnsi" w:eastAsia="Times New Roman" w:hAnsiTheme="minorHAnsi"/>
                <w:iCs/>
                <w:color w:val="FFFFFF" w:themeColor="background1"/>
                <w:szCs w:val="17"/>
                <w:lang w:eastAsia="en-US"/>
              </w:rPr>
            </w:pPr>
          </w:p>
          <w:p w14:paraId="76F1367F" w14:textId="77777777" w:rsidR="0031491F" w:rsidRPr="00880004" w:rsidRDefault="0031491F" w:rsidP="006F27B1">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Partially Achieved</w:t>
            </w:r>
          </w:p>
        </w:tc>
        <w:tc>
          <w:tcPr>
            <w:tcW w:w="2970" w:type="pct"/>
            <w:vMerge w:val="restart"/>
          </w:tcPr>
          <w:p w14:paraId="1EC49389" w14:textId="27640A56" w:rsidR="0031491F" w:rsidRPr="004967EA" w:rsidRDefault="004967EA" w:rsidP="005B10A9">
            <w:pPr>
              <w:keepLines/>
              <w:spacing w:before="40" w:after="40" w:line="200" w:lineRule="atLeast"/>
              <w:rPr>
                <w:rFonts w:asciiTheme="minorHAnsi" w:eastAsia="Times New Roman" w:hAnsiTheme="minorHAnsi"/>
                <w:iCs/>
                <w:color w:val="auto"/>
                <w:szCs w:val="17"/>
                <w:lang w:val="en-AU" w:eastAsia="en-US"/>
              </w:rPr>
            </w:pPr>
            <w:r w:rsidRPr="004967EA">
              <w:rPr>
                <w:rFonts w:asciiTheme="minorHAnsi" w:eastAsia="Times New Roman" w:hAnsiTheme="minorHAnsi"/>
                <w:iCs/>
                <w:color w:val="auto"/>
                <w:szCs w:val="17"/>
                <w:lang w:val="en-AU" w:eastAsia="en-US"/>
              </w:rPr>
              <w:t xml:space="preserve">The </w:t>
            </w:r>
            <w:r w:rsidR="00A06B71" w:rsidRPr="004967EA">
              <w:rPr>
                <w:rFonts w:asciiTheme="minorHAnsi" w:eastAsia="Times New Roman" w:hAnsiTheme="minorHAnsi"/>
                <w:iCs/>
                <w:color w:val="auto"/>
                <w:szCs w:val="17"/>
                <w:lang w:val="en-AU" w:eastAsia="en-US"/>
              </w:rPr>
              <w:t xml:space="preserve">Philippines Program has expanded the facility’s coverage to include assistance related to economic reform, inclusive growth and organisational development assistance. This will allow Australia to provide better and more integrated solutions to address the economic challenges faced by the Philippines. The concept for a new Trade and Inclusive Economic Growth Facility was agreed by DFAT’s Aid Investment Committee in June 2016 and the facility will commence operations in mid-2017. </w:t>
            </w:r>
          </w:p>
          <w:p w14:paraId="765CA9BC" w14:textId="77777777" w:rsidR="0031491F" w:rsidRPr="00CE1FB9" w:rsidRDefault="0031491F" w:rsidP="005B10A9">
            <w:pPr>
              <w:keepLines/>
              <w:spacing w:before="40" w:after="40" w:line="200" w:lineRule="atLeast"/>
              <w:rPr>
                <w:rFonts w:asciiTheme="minorHAnsi" w:eastAsia="Times New Roman" w:hAnsiTheme="minorHAnsi"/>
                <w:iCs/>
                <w:color w:val="auto"/>
                <w:szCs w:val="17"/>
                <w:lang w:val="en-AU" w:eastAsia="en-US"/>
              </w:rPr>
            </w:pPr>
          </w:p>
          <w:p w14:paraId="03DAD08F" w14:textId="77777777" w:rsidR="0031491F" w:rsidRPr="00CE1FB9" w:rsidRDefault="0031491F" w:rsidP="005B10A9">
            <w:pPr>
              <w:keepLines/>
              <w:spacing w:before="40" w:after="40" w:line="200" w:lineRule="atLeast"/>
              <w:rPr>
                <w:rFonts w:asciiTheme="minorHAnsi" w:eastAsia="Times New Roman" w:hAnsiTheme="minorHAnsi"/>
                <w:iCs/>
                <w:color w:val="auto"/>
                <w:szCs w:val="17"/>
                <w:lang w:val="en-AU" w:eastAsia="en-US"/>
              </w:rPr>
            </w:pPr>
            <w:r w:rsidRPr="00CE1FB9">
              <w:rPr>
                <w:rFonts w:asciiTheme="minorHAnsi" w:eastAsia="Times New Roman" w:hAnsiTheme="minorHAnsi"/>
                <w:iCs/>
                <w:color w:val="auto"/>
                <w:szCs w:val="17"/>
                <w:lang w:val="en-AU" w:eastAsia="en-US"/>
              </w:rPr>
              <w:t xml:space="preserve">The design for the new </w:t>
            </w:r>
            <w:r w:rsidR="005546C0" w:rsidRPr="00CE1FB9">
              <w:rPr>
                <w:rFonts w:asciiTheme="minorHAnsi" w:eastAsia="Times New Roman" w:hAnsiTheme="minorHAnsi"/>
                <w:iCs/>
                <w:color w:val="auto"/>
                <w:szCs w:val="17"/>
                <w:lang w:val="en-AU" w:eastAsia="en-US"/>
              </w:rPr>
              <w:t>p</w:t>
            </w:r>
            <w:r w:rsidRPr="00CE1FB9">
              <w:rPr>
                <w:rFonts w:asciiTheme="minorHAnsi" w:eastAsia="Times New Roman" w:hAnsiTheme="minorHAnsi"/>
                <w:iCs/>
                <w:color w:val="auto"/>
                <w:szCs w:val="17"/>
                <w:lang w:val="en-AU" w:eastAsia="en-US"/>
              </w:rPr>
              <w:t>rogra</w:t>
            </w:r>
            <w:r w:rsidR="005546C0" w:rsidRPr="00CE1FB9">
              <w:rPr>
                <w:rFonts w:asciiTheme="minorHAnsi" w:eastAsia="Times New Roman" w:hAnsiTheme="minorHAnsi"/>
                <w:iCs/>
                <w:color w:val="auto"/>
                <w:szCs w:val="17"/>
                <w:lang w:val="en-AU" w:eastAsia="en-US"/>
              </w:rPr>
              <w:t>m is underway</w:t>
            </w:r>
            <w:r w:rsidRPr="00CE1FB9">
              <w:rPr>
                <w:rFonts w:asciiTheme="minorHAnsi" w:eastAsia="Times New Roman" w:hAnsiTheme="minorHAnsi"/>
                <w:iCs/>
                <w:color w:val="auto"/>
                <w:szCs w:val="17"/>
                <w:lang w:val="en-AU" w:eastAsia="en-US"/>
              </w:rPr>
              <w:t xml:space="preserve">. The proposed design is being adjusted to meet </w:t>
            </w:r>
            <w:r w:rsidR="005546C0" w:rsidRPr="00CE1FB9">
              <w:rPr>
                <w:rFonts w:asciiTheme="minorHAnsi" w:eastAsia="Times New Roman" w:hAnsiTheme="minorHAnsi"/>
                <w:iCs/>
                <w:color w:val="auto"/>
                <w:szCs w:val="17"/>
                <w:lang w:val="en-AU" w:eastAsia="en-US"/>
              </w:rPr>
              <w:t xml:space="preserve">the </w:t>
            </w:r>
            <w:r w:rsidRPr="00CE1FB9">
              <w:rPr>
                <w:rFonts w:asciiTheme="minorHAnsi" w:eastAsia="Times New Roman" w:hAnsiTheme="minorHAnsi"/>
                <w:iCs/>
                <w:color w:val="auto"/>
                <w:szCs w:val="17"/>
                <w:lang w:val="en-AU" w:eastAsia="en-US"/>
              </w:rPr>
              <w:t>new administration’s objectives</w:t>
            </w:r>
            <w:r w:rsidR="005546C0" w:rsidRPr="00CE1FB9">
              <w:rPr>
                <w:rFonts w:asciiTheme="minorHAnsi" w:eastAsia="Times New Roman" w:hAnsiTheme="minorHAnsi"/>
                <w:iCs/>
                <w:color w:val="auto"/>
                <w:szCs w:val="17"/>
                <w:lang w:val="en-AU" w:eastAsia="en-US"/>
              </w:rPr>
              <w:t xml:space="preserve">, and </w:t>
            </w:r>
            <w:r w:rsidRPr="00CE1FB9">
              <w:rPr>
                <w:rFonts w:asciiTheme="minorHAnsi" w:eastAsia="Times New Roman" w:hAnsiTheme="minorHAnsi"/>
                <w:iCs/>
                <w:color w:val="auto"/>
                <w:szCs w:val="17"/>
                <w:lang w:val="en-AU" w:eastAsia="en-US"/>
              </w:rPr>
              <w:t>implementation is expected to commence in mid-2017</w:t>
            </w:r>
            <w:r w:rsidR="005546C0" w:rsidRPr="00CE1FB9">
              <w:rPr>
                <w:rFonts w:asciiTheme="minorHAnsi" w:eastAsia="Times New Roman" w:hAnsiTheme="minorHAnsi"/>
                <w:iCs/>
                <w:color w:val="auto"/>
                <w:szCs w:val="17"/>
                <w:lang w:val="en-AU" w:eastAsia="en-US"/>
              </w:rPr>
              <w:t>.</w:t>
            </w:r>
          </w:p>
          <w:p w14:paraId="7C7FB2D8" w14:textId="77777777" w:rsidR="0031491F" w:rsidRPr="00CE1FB9" w:rsidRDefault="0031491F" w:rsidP="005B10A9">
            <w:pPr>
              <w:keepLines/>
              <w:spacing w:before="40" w:after="40" w:line="200" w:lineRule="atLeast"/>
              <w:rPr>
                <w:rFonts w:asciiTheme="minorHAnsi" w:eastAsia="Times New Roman" w:hAnsiTheme="minorHAnsi"/>
                <w:iCs/>
                <w:color w:val="auto"/>
                <w:szCs w:val="17"/>
                <w:lang w:val="en-AU" w:eastAsia="en-US"/>
              </w:rPr>
            </w:pPr>
          </w:p>
          <w:p w14:paraId="49FD11D0" w14:textId="77777777" w:rsidR="0031491F" w:rsidRPr="00CE1FB9" w:rsidRDefault="0031491F" w:rsidP="005B10A9">
            <w:pPr>
              <w:keepLines/>
              <w:spacing w:before="40" w:after="40" w:line="200" w:lineRule="atLeast"/>
              <w:rPr>
                <w:rFonts w:asciiTheme="minorHAnsi" w:eastAsia="Times New Roman" w:hAnsiTheme="minorHAnsi"/>
                <w:iCs/>
                <w:color w:val="auto"/>
                <w:szCs w:val="17"/>
                <w:lang w:val="en-AU" w:eastAsia="en-US"/>
              </w:rPr>
            </w:pPr>
          </w:p>
          <w:p w14:paraId="0CA13075" w14:textId="77777777" w:rsidR="005546C0" w:rsidRPr="00CE1FB9" w:rsidRDefault="005546C0" w:rsidP="005B10A9">
            <w:pPr>
              <w:keepLines/>
              <w:spacing w:before="40" w:after="40" w:line="200" w:lineRule="atLeast"/>
              <w:rPr>
                <w:rFonts w:asciiTheme="minorHAnsi" w:eastAsia="Times New Roman" w:hAnsiTheme="minorHAnsi"/>
                <w:iCs/>
                <w:color w:val="auto"/>
                <w:szCs w:val="17"/>
                <w:lang w:val="en-AU" w:eastAsia="en-US"/>
              </w:rPr>
            </w:pPr>
          </w:p>
          <w:p w14:paraId="1ECCAE74" w14:textId="77777777" w:rsidR="0031491F" w:rsidRPr="00CE1FB9" w:rsidRDefault="005546C0" w:rsidP="005B10A9">
            <w:pPr>
              <w:keepLines/>
              <w:spacing w:before="40" w:after="40" w:line="200" w:lineRule="atLeast"/>
              <w:rPr>
                <w:rFonts w:asciiTheme="minorHAnsi" w:eastAsia="Times New Roman" w:hAnsiTheme="minorHAnsi"/>
                <w:iCs/>
                <w:color w:val="auto"/>
                <w:szCs w:val="17"/>
                <w:lang w:val="en-AU" w:eastAsia="en-US"/>
              </w:rPr>
            </w:pPr>
            <w:r w:rsidRPr="00CE1FB9">
              <w:rPr>
                <w:rFonts w:asciiTheme="minorHAnsi" w:eastAsia="Times New Roman" w:hAnsiTheme="minorHAnsi"/>
                <w:iCs/>
                <w:color w:val="auto"/>
                <w:szCs w:val="17"/>
                <w:lang w:val="en-AU" w:eastAsia="en-US"/>
              </w:rPr>
              <w:t>The system design has been drafted, but is awaiting approval from the Philippine Government. A standalone system has been implemented, pending integration of this system.</w:t>
            </w:r>
          </w:p>
          <w:p w14:paraId="2D4D6997" w14:textId="77777777" w:rsidR="0031491F" w:rsidRPr="00E10C3F" w:rsidRDefault="0031491F" w:rsidP="005B10A9">
            <w:pPr>
              <w:keepLines/>
              <w:spacing w:before="40" w:after="40" w:line="200" w:lineRule="atLeast"/>
              <w:rPr>
                <w:rFonts w:asciiTheme="minorHAnsi" w:eastAsia="Times New Roman" w:hAnsiTheme="minorHAnsi"/>
                <w:iCs/>
                <w:color w:val="auto"/>
                <w:szCs w:val="17"/>
                <w:lang w:val="en-AU" w:eastAsia="en-US"/>
              </w:rPr>
            </w:pPr>
          </w:p>
          <w:p w14:paraId="0DD88A58" w14:textId="77777777" w:rsidR="0031491F" w:rsidRPr="00CE1FB9" w:rsidRDefault="0031491F" w:rsidP="005B10A9">
            <w:pPr>
              <w:keepLines/>
              <w:spacing w:before="40" w:after="40" w:line="200" w:lineRule="atLeast"/>
              <w:rPr>
                <w:rFonts w:asciiTheme="minorHAnsi" w:eastAsia="Times New Roman" w:hAnsiTheme="minorHAnsi"/>
                <w:iCs/>
                <w:color w:val="auto"/>
                <w:szCs w:val="17"/>
                <w:lang w:val="en-AU" w:eastAsia="en-US"/>
              </w:rPr>
            </w:pPr>
          </w:p>
          <w:p w14:paraId="47400632" w14:textId="77777777" w:rsidR="005546C0" w:rsidRPr="00CE1FB9" w:rsidRDefault="005546C0" w:rsidP="005B10A9">
            <w:pPr>
              <w:keepLines/>
              <w:spacing w:before="40" w:after="40" w:line="200" w:lineRule="atLeast"/>
              <w:rPr>
                <w:rFonts w:asciiTheme="minorHAnsi" w:eastAsia="Times New Roman" w:hAnsiTheme="minorHAnsi"/>
                <w:iCs/>
                <w:color w:val="auto"/>
                <w:szCs w:val="17"/>
                <w:lang w:val="en-AU" w:eastAsia="en-US"/>
              </w:rPr>
            </w:pPr>
          </w:p>
          <w:p w14:paraId="7E3A76CA" w14:textId="77777777" w:rsidR="0031491F" w:rsidRPr="00CE1FB9" w:rsidRDefault="005546C0" w:rsidP="005B10A9">
            <w:pPr>
              <w:keepLines/>
              <w:spacing w:before="40" w:after="40" w:line="200" w:lineRule="atLeast"/>
              <w:rPr>
                <w:rFonts w:asciiTheme="minorHAnsi" w:eastAsia="Times New Roman" w:hAnsiTheme="minorHAnsi"/>
                <w:iCs/>
                <w:color w:val="auto"/>
                <w:szCs w:val="17"/>
                <w:lang w:val="en-AU" w:eastAsia="en-US"/>
              </w:rPr>
            </w:pPr>
            <w:r w:rsidRPr="00CE1FB9">
              <w:rPr>
                <w:rFonts w:asciiTheme="minorHAnsi" w:eastAsia="Times New Roman" w:hAnsiTheme="minorHAnsi"/>
                <w:iCs/>
                <w:color w:val="auto"/>
                <w:szCs w:val="17"/>
                <w:lang w:val="en-AU" w:eastAsia="en-US"/>
              </w:rPr>
              <w:t xml:space="preserve">This </w:t>
            </w:r>
            <w:r w:rsidR="00E10C3F" w:rsidRPr="00CE1FB9">
              <w:rPr>
                <w:rFonts w:asciiTheme="minorHAnsi" w:eastAsia="Times New Roman" w:hAnsiTheme="minorHAnsi"/>
                <w:iCs/>
                <w:color w:val="auto"/>
                <w:szCs w:val="17"/>
                <w:lang w:val="en-AU" w:eastAsia="en-US"/>
              </w:rPr>
              <w:t>benchmark has been exceeded</w:t>
            </w:r>
            <w:r w:rsidRPr="00CE1FB9">
              <w:rPr>
                <w:rFonts w:asciiTheme="minorHAnsi" w:eastAsia="Times New Roman" w:hAnsiTheme="minorHAnsi"/>
                <w:iCs/>
                <w:color w:val="auto"/>
                <w:szCs w:val="17"/>
                <w:lang w:val="en-AU" w:eastAsia="en-US"/>
              </w:rPr>
              <w:t xml:space="preserve">, with </w:t>
            </w:r>
            <w:r w:rsidR="00CE1FB9" w:rsidRPr="00CE1FB9">
              <w:rPr>
                <w:rFonts w:asciiTheme="minorHAnsi" w:eastAsia="Times New Roman" w:hAnsiTheme="minorHAnsi"/>
                <w:iCs/>
                <w:color w:val="auto"/>
                <w:szCs w:val="17"/>
                <w:lang w:val="en-AU" w:eastAsia="en-US"/>
              </w:rPr>
              <w:t xml:space="preserve">26 projects tendered and </w:t>
            </w:r>
            <w:r w:rsidRPr="00CE1FB9">
              <w:rPr>
                <w:rFonts w:asciiTheme="minorHAnsi" w:eastAsia="Times New Roman" w:hAnsiTheme="minorHAnsi"/>
                <w:iCs/>
                <w:color w:val="auto"/>
                <w:szCs w:val="17"/>
                <w:lang w:val="en-AU" w:eastAsia="en-US"/>
              </w:rPr>
              <w:t>12 projects awarded by July 2016</w:t>
            </w:r>
            <w:r w:rsidR="00CE1FB9" w:rsidRPr="00CE1FB9">
              <w:rPr>
                <w:rFonts w:asciiTheme="minorHAnsi" w:eastAsia="Times New Roman" w:hAnsiTheme="minorHAnsi"/>
                <w:iCs/>
                <w:color w:val="auto"/>
                <w:szCs w:val="17"/>
                <w:lang w:val="en-AU" w:eastAsia="en-US"/>
              </w:rPr>
              <w:t>.</w:t>
            </w:r>
          </w:p>
          <w:p w14:paraId="23EC204A" w14:textId="77777777" w:rsidR="0031491F" w:rsidRPr="00E10C3F" w:rsidRDefault="0031491F" w:rsidP="005B10A9">
            <w:pPr>
              <w:keepLines/>
              <w:spacing w:before="40" w:after="40" w:line="200" w:lineRule="atLeast"/>
              <w:rPr>
                <w:rFonts w:asciiTheme="minorHAnsi" w:eastAsia="Times New Roman" w:hAnsiTheme="minorHAnsi"/>
                <w:iCs/>
                <w:color w:val="auto"/>
                <w:szCs w:val="17"/>
                <w:lang w:val="en-AU" w:eastAsia="en-US"/>
              </w:rPr>
            </w:pPr>
          </w:p>
          <w:p w14:paraId="349F88EE" w14:textId="77777777" w:rsidR="0031491F" w:rsidRPr="00E10C3F" w:rsidRDefault="0031491F" w:rsidP="005B10A9">
            <w:pPr>
              <w:keepLines/>
              <w:spacing w:before="40" w:after="40" w:line="200" w:lineRule="atLeast"/>
              <w:rPr>
                <w:rFonts w:asciiTheme="minorHAnsi" w:eastAsia="Times New Roman" w:hAnsiTheme="minorHAnsi"/>
                <w:iCs/>
                <w:color w:val="auto"/>
                <w:szCs w:val="17"/>
                <w:lang w:eastAsia="en-US"/>
              </w:rPr>
            </w:pPr>
          </w:p>
        </w:tc>
      </w:tr>
      <w:tr w:rsidR="0031491F" w:rsidRPr="00C61187" w14:paraId="67D1E394" w14:textId="77777777" w:rsidTr="002B64D3">
        <w:trPr>
          <w:trHeight w:val="1008"/>
        </w:trPr>
        <w:tc>
          <w:tcPr>
            <w:tcW w:w="780" w:type="pct"/>
            <w:vMerge/>
            <w:tcMar>
              <w:top w:w="57" w:type="dxa"/>
              <w:bottom w:w="57" w:type="dxa"/>
            </w:tcMar>
          </w:tcPr>
          <w:p w14:paraId="3F61BE80" w14:textId="77777777" w:rsidR="0031491F" w:rsidRPr="00E10C3F" w:rsidRDefault="0031491F" w:rsidP="001B6C97">
            <w:pPr>
              <w:keepLines/>
              <w:spacing w:before="40" w:after="40" w:line="200" w:lineRule="atLeast"/>
              <w:rPr>
                <w:rFonts w:eastAsia="Times New Roman"/>
                <w:b/>
                <w:i/>
                <w:iCs/>
                <w:color w:val="auto"/>
                <w:szCs w:val="17"/>
              </w:rPr>
            </w:pPr>
          </w:p>
        </w:tc>
        <w:tc>
          <w:tcPr>
            <w:tcW w:w="780" w:type="pct"/>
            <w:vMerge/>
          </w:tcPr>
          <w:p w14:paraId="23D60221" w14:textId="77777777" w:rsidR="0031491F" w:rsidRPr="00E10C3F" w:rsidRDefault="0031491F" w:rsidP="001B6C97">
            <w:pPr>
              <w:keepLines/>
              <w:spacing w:before="40" w:after="40" w:line="200" w:lineRule="atLeast"/>
              <w:rPr>
                <w:rFonts w:eastAsia="Times New Roman"/>
                <w:iCs/>
                <w:color w:val="auto"/>
                <w:szCs w:val="17"/>
              </w:rPr>
            </w:pPr>
          </w:p>
        </w:tc>
        <w:tc>
          <w:tcPr>
            <w:tcW w:w="470" w:type="pct"/>
            <w:tcBorders>
              <w:top w:val="nil"/>
              <w:bottom w:val="nil"/>
            </w:tcBorders>
            <w:shd w:val="clear" w:color="auto" w:fill="FF6600"/>
          </w:tcPr>
          <w:p w14:paraId="641C665B" w14:textId="77777777" w:rsidR="0031491F" w:rsidRDefault="0031491F" w:rsidP="006F27B1">
            <w:pPr>
              <w:keepLines/>
              <w:spacing w:before="40" w:after="40" w:line="200" w:lineRule="atLeast"/>
              <w:jc w:val="center"/>
              <w:rPr>
                <w:rFonts w:eastAsia="Times New Roman"/>
                <w:iCs/>
                <w:color w:val="FFFFFF" w:themeColor="background1"/>
                <w:szCs w:val="17"/>
              </w:rPr>
            </w:pPr>
          </w:p>
          <w:p w14:paraId="308F9E01" w14:textId="77777777" w:rsidR="0031491F" w:rsidRPr="00880004" w:rsidRDefault="0031491F" w:rsidP="006F27B1">
            <w:pPr>
              <w:keepLines/>
              <w:spacing w:before="40" w:after="40" w:line="200" w:lineRule="atLeast"/>
              <w:jc w:val="center"/>
              <w:rPr>
                <w:rFonts w:eastAsia="Times New Roman"/>
                <w:iCs/>
                <w:color w:val="FFFFFF" w:themeColor="background1"/>
                <w:szCs w:val="17"/>
              </w:rPr>
            </w:pPr>
            <w:r w:rsidRPr="0031491F">
              <w:rPr>
                <w:rFonts w:asciiTheme="minorHAnsi" w:eastAsia="Times New Roman" w:hAnsiTheme="minorHAnsi"/>
                <w:iCs/>
                <w:color w:val="FFFFFF" w:themeColor="background1"/>
                <w:szCs w:val="17"/>
                <w:lang w:eastAsia="en-US"/>
              </w:rPr>
              <w:t>Partially Achieved</w:t>
            </w:r>
          </w:p>
        </w:tc>
        <w:tc>
          <w:tcPr>
            <w:tcW w:w="2970" w:type="pct"/>
            <w:vMerge/>
          </w:tcPr>
          <w:p w14:paraId="10AD6A40" w14:textId="77777777" w:rsidR="0031491F" w:rsidRPr="00E10C3F" w:rsidRDefault="0031491F" w:rsidP="005B10A9">
            <w:pPr>
              <w:keepLines/>
              <w:spacing w:before="40" w:after="40" w:line="200" w:lineRule="atLeast"/>
              <w:rPr>
                <w:rFonts w:eastAsia="Times New Roman"/>
                <w:iCs/>
                <w:color w:val="auto"/>
                <w:szCs w:val="17"/>
                <w:lang w:val="en-AU"/>
              </w:rPr>
            </w:pPr>
          </w:p>
        </w:tc>
      </w:tr>
      <w:tr w:rsidR="0031491F" w:rsidRPr="00C61187" w14:paraId="06C29D19" w14:textId="77777777" w:rsidTr="002B64D3">
        <w:trPr>
          <w:trHeight w:val="1008"/>
        </w:trPr>
        <w:tc>
          <w:tcPr>
            <w:tcW w:w="780" w:type="pct"/>
            <w:vMerge/>
            <w:tcMar>
              <w:top w:w="57" w:type="dxa"/>
              <w:bottom w:w="57" w:type="dxa"/>
            </w:tcMar>
          </w:tcPr>
          <w:p w14:paraId="7A1485CB" w14:textId="77777777" w:rsidR="0031491F" w:rsidRPr="00E10C3F" w:rsidRDefault="0031491F" w:rsidP="001B6C97">
            <w:pPr>
              <w:keepLines/>
              <w:spacing w:before="40" w:after="40" w:line="200" w:lineRule="atLeast"/>
              <w:rPr>
                <w:rFonts w:eastAsia="Times New Roman"/>
                <w:b/>
                <w:i/>
                <w:iCs/>
                <w:color w:val="auto"/>
                <w:szCs w:val="17"/>
              </w:rPr>
            </w:pPr>
          </w:p>
        </w:tc>
        <w:tc>
          <w:tcPr>
            <w:tcW w:w="780" w:type="pct"/>
            <w:vMerge/>
          </w:tcPr>
          <w:p w14:paraId="005DC592" w14:textId="77777777" w:rsidR="0031491F" w:rsidRPr="00E10C3F" w:rsidRDefault="0031491F" w:rsidP="001B6C97">
            <w:pPr>
              <w:keepLines/>
              <w:spacing w:before="40" w:after="40" w:line="200" w:lineRule="atLeast"/>
              <w:rPr>
                <w:rFonts w:eastAsia="Times New Roman"/>
                <w:iCs/>
                <w:color w:val="auto"/>
                <w:szCs w:val="17"/>
              </w:rPr>
            </w:pPr>
          </w:p>
        </w:tc>
        <w:tc>
          <w:tcPr>
            <w:tcW w:w="470" w:type="pct"/>
            <w:tcBorders>
              <w:top w:val="nil"/>
              <w:bottom w:val="nil"/>
            </w:tcBorders>
            <w:shd w:val="clear" w:color="auto" w:fill="FF6600"/>
          </w:tcPr>
          <w:p w14:paraId="2871193A" w14:textId="77777777" w:rsidR="0031491F" w:rsidRDefault="0031491F" w:rsidP="006F27B1">
            <w:pPr>
              <w:keepLines/>
              <w:spacing w:before="40" w:after="40" w:line="200" w:lineRule="atLeast"/>
              <w:jc w:val="center"/>
              <w:rPr>
                <w:rFonts w:eastAsia="Times New Roman"/>
                <w:iCs/>
                <w:color w:val="FFFFFF" w:themeColor="background1"/>
                <w:szCs w:val="17"/>
              </w:rPr>
            </w:pPr>
          </w:p>
          <w:p w14:paraId="15E19FD7" w14:textId="77777777" w:rsidR="0031491F" w:rsidRPr="00880004" w:rsidRDefault="005546C0" w:rsidP="006F27B1">
            <w:pPr>
              <w:keepLines/>
              <w:spacing w:before="40" w:after="40" w:line="200" w:lineRule="atLeast"/>
              <w:jc w:val="center"/>
              <w:rPr>
                <w:rFonts w:eastAsia="Times New Roman"/>
                <w:iCs/>
                <w:color w:val="FFFFFF" w:themeColor="background1"/>
                <w:szCs w:val="17"/>
              </w:rPr>
            </w:pPr>
            <w:r w:rsidRPr="005546C0">
              <w:rPr>
                <w:rFonts w:asciiTheme="minorHAnsi" w:eastAsia="Times New Roman" w:hAnsiTheme="minorHAnsi"/>
                <w:iCs/>
                <w:color w:val="FFFFFF" w:themeColor="background1"/>
                <w:szCs w:val="17"/>
                <w:lang w:eastAsia="en-US"/>
              </w:rPr>
              <w:t>Partially Achieved</w:t>
            </w:r>
          </w:p>
        </w:tc>
        <w:tc>
          <w:tcPr>
            <w:tcW w:w="2970" w:type="pct"/>
            <w:vMerge/>
          </w:tcPr>
          <w:p w14:paraId="0BBDADD6" w14:textId="77777777" w:rsidR="0031491F" w:rsidRPr="00E10C3F" w:rsidRDefault="0031491F" w:rsidP="005B10A9">
            <w:pPr>
              <w:keepLines/>
              <w:spacing w:before="40" w:after="40" w:line="200" w:lineRule="atLeast"/>
              <w:rPr>
                <w:rFonts w:eastAsia="Times New Roman"/>
                <w:iCs/>
                <w:color w:val="auto"/>
                <w:szCs w:val="17"/>
                <w:lang w:val="en-AU"/>
              </w:rPr>
            </w:pPr>
          </w:p>
        </w:tc>
      </w:tr>
      <w:tr w:rsidR="0031491F" w:rsidRPr="00C61187" w14:paraId="1A26463D" w14:textId="77777777" w:rsidTr="002B64D3">
        <w:trPr>
          <w:trHeight w:val="1008"/>
        </w:trPr>
        <w:tc>
          <w:tcPr>
            <w:tcW w:w="780" w:type="pct"/>
            <w:vMerge/>
            <w:tcMar>
              <w:top w:w="57" w:type="dxa"/>
              <w:bottom w:w="57" w:type="dxa"/>
            </w:tcMar>
          </w:tcPr>
          <w:p w14:paraId="73117DF4" w14:textId="77777777" w:rsidR="0031491F" w:rsidRPr="00E10C3F" w:rsidRDefault="0031491F" w:rsidP="001B6C97">
            <w:pPr>
              <w:keepLines/>
              <w:spacing w:before="40" w:after="40" w:line="200" w:lineRule="atLeast"/>
              <w:rPr>
                <w:rFonts w:eastAsia="Times New Roman"/>
                <w:b/>
                <w:i/>
                <w:iCs/>
                <w:color w:val="auto"/>
                <w:szCs w:val="17"/>
              </w:rPr>
            </w:pPr>
          </w:p>
        </w:tc>
        <w:tc>
          <w:tcPr>
            <w:tcW w:w="780" w:type="pct"/>
            <w:vMerge/>
          </w:tcPr>
          <w:p w14:paraId="0119EA7D" w14:textId="77777777" w:rsidR="0031491F" w:rsidRPr="00E10C3F" w:rsidRDefault="0031491F" w:rsidP="001B6C97">
            <w:pPr>
              <w:keepLines/>
              <w:spacing w:before="40" w:after="40" w:line="200" w:lineRule="atLeast"/>
              <w:rPr>
                <w:rFonts w:eastAsia="Times New Roman"/>
                <w:iCs/>
                <w:color w:val="auto"/>
                <w:szCs w:val="17"/>
              </w:rPr>
            </w:pPr>
          </w:p>
        </w:tc>
        <w:tc>
          <w:tcPr>
            <w:tcW w:w="470" w:type="pct"/>
            <w:tcBorders>
              <w:top w:val="nil"/>
            </w:tcBorders>
            <w:shd w:val="clear" w:color="auto" w:fill="7FB64D" w:themeFill="accent3" w:themeFillShade="BF"/>
          </w:tcPr>
          <w:p w14:paraId="5A455FCD" w14:textId="77777777" w:rsidR="0031491F" w:rsidRDefault="0031491F" w:rsidP="006F27B1">
            <w:pPr>
              <w:keepLines/>
              <w:spacing w:before="40" w:after="40" w:line="200" w:lineRule="atLeast"/>
              <w:jc w:val="center"/>
              <w:rPr>
                <w:rFonts w:eastAsia="Times New Roman"/>
                <w:iCs/>
                <w:color w:val="FFFFFF" w:themeColor="background1"/>
                <w:szCs w:val="17"/>
              </w:rPr>
            </w:pPr>
          </w:p>
          <w:p w14:paraId="327923A0" w14:textId="77777777" w:rsidR="005546C0" w:rsidRDefault="005546C0" w:rsidP="006F27B1">
            <w:pPr>
              <w:keepLines/>
              <w:spacing w:before="40" w:after="40" w:line="200" w:lineRule="atLeast"/>
              <w:jc w:val="center"/>
              <w:rPr>
                <w:rFonts w:eastAsia="Times New Roman"/>
                <w:iCs/>
                <w:color w:val="FFFFFF" w:themeColor="background1"/>
                <w:szCs w:val="17"/>
              </w:rPr>
            </w:pPr>
          </w:p>
          <w:p w14:paraId="6C58827F" w14:textId="77777777" w:rsidR="005546C0" w:rsidRPr="00880004" w:rsidRDefault="005546C0" w:rsidP="006F27B1">
            <w:pPr>
              <w:keepLines/>
              <w:spacing w:before="40" w:after="40" w:line="200" w:lineRule="atLeast"/>
              <w:jc w:val="center"/>
              <w:rPr>
                <w:rFonts w:eastAsia="Times New Roman"/>
                <w:iCs/>
                <w:color w:val="FFFFFF" w:themeColor="background1"/>
                <w:szCs w:val="17"/>
              </w:rPr>
            </w:pPr>
            <w:r w:rsidRPr="005546C0">
              <w:rPr>
                <w:rFonts w:asciiTheme="minorHAnsi" w:eastAsia="Times New Roman" w:hAnsiTheme="minorHAnsi"/>
                <w:iCs/>
                <w:color w:val="FFFFFF" w:themeColor="background1"/>
                <w:szCs w:val="17"/>
                <w:lang w:eastAsia="en-US"/>
              </w:rPr>
              <w:t>Achieved</w:t>
            </w:r>
          </w:p>
        </w:tc>
        <w:tc>
          <w:tcPr>
            <w:tcW w:w="2970" w:type="pct"/>
            <w:vMerge/>
          </w:tcPr>
          <w:p w14:paraId="1A932605" w14:textId="77777777" w:rsidR="0031491F" w:rsidRPr="00E10C3F" w:rsidRDefault="0031491F" w:rsidP="005B10A9">
            <w:pPr>
              <w:keepLines/>
              <w:spacing w:before="40" w:after="40" w:line="200" w:lineRule="atLeast"/>
              <w:rPr>
                <w:rFonts w:eastAsia="Times New Roman"/>
                <w:iCs/>
                <w:color w:val="auto"/>
                <w:szCs w:val="17"/>
                <w:lang w:val="en-AU"/>
              </w:rPr>
            </w:pPr>
          </w:p>
        </w:tc>
      </w:tr>
      <w:tr w:rsidR="00400B0F" w:rsidRPr="00C61187" w14:paraId="700A4ADC" w14:textId="77777777" w:rsidTr="0031491F">
        <w:tc>
          <w:tcPr>
            <w:tcW w:w="780" w:type="pct"/>
            <w:tcMar>
              <w:top w:w="57" w:type="dxa"/>
              <w:bottom w:w="57" w:type="dxa"/>
            </w:tcMar>
          </w:tcPr>
          <w:p w14:paraId="49616362" w14:textId="77777777" w:rsidR="001B6C97" w:rsidRPr="00E10C3F" w:rsidRDefault="001B6C97" w:rsidP="001B6C97">
            <w:pPr>
              <w:keepLines/>
              <w:spacing w:before="40" w:after="40" w:line="200" w:lineRule="atLeast"/>
              <w:rPr>
                <w:rFonts w:asciiTheme="minorHAnsi" w:eastAsia="Times New Roman" w:hAnsiTheme="minorHAnsi"/>
                <w:b/>
                <w:i/>
                <w:iCs/>
                <w:color w:val="auto"/>
                <w:szCs w:val="17"/>
                <w:lang w:eastAsia="en-US"/>
              </w:rPr>
            </w:pPr>
            <w:r w:rsidRPr="00E10C3F">
              <w:rPr>
                <w:rFonts w:asciiTheme="minorHAnsi" w:eastAsia="Times New Roman" w:hAnsiTheme="minorHAnsi"/>
                <w:b/>
                <w:i/>
                <w:iCs/>
                <w:color w:val="auto"/>
                <w:szCs w:val="17"/>
                <w:lang w:eastAsia="en-US"/>
              </w:rPr>
              <w:t>Aid Objective 2</w:t>
            </w:r>
          </w:p>
          <w:p w14:paraId="382E7C8C" w14:textId="77777777" w:rsidR="001B6C97" w:rsidRPr="00CE1FB9" w:rsidRDefault="001B6C97" w:rsidP="001B6C97">
            <w:pPr>
              <w:keepLines/>
              <w:spacing w:before="40" w:after="40" w:line="200" w:lineRule="atLeast"/>
              <w:rPr>
                <w:rFonts w:asciiTheme="minorHAnsi" w:eastAsia="Times New Roman" w:hAnsiTheme="minorHAnsi"/>
                <w:iCs/>
                <w:color w:val="auto"/>
                <w:szCs w:val="17"/>
                <w:lang w:eastAsia="en-US"/>
              </w:rPr>
            </w:pPr>
            <w:r w:rsidRPr="00CE1FB9">
              <w:rPr>
                <w:rFonts w:asciiTheme="minorHAnsi" w:eastAsia="Times New Roman" w:hAnsiTheme="minorHAnsi"/>
                <w:iCs/>
                <w:color w:val="auto"/>
                <w:szCs w:val="17"/>
                <w:lang w:eastAsia="en-US"/>
              </w:rPr>
              <w:t>Philippines Government agencies apply more transparent and accountable governance arrangements and transformative policy reforms achieved in key target sectors</w:t>
            </w:r>
          </w:p>
          <w:p w14:paraId="6A6CC772" w14:textId="77777777" w:rsidR="001B6C97" w:rsidRPr="00E10C3F" w:rsidRDefault="001B6C97" w:rsidP="001B6C97">
            <w:pPr>
              <w:keepLines/>
              <w:spacing w:before="40" w:after="40" w:line="200" w:lineRule="atLeast"/>
              <w:rPr>
                <w:rFonts w:asciiTheme="minorHAnsi" w:eastAsia="Times New Roman" w:hAnsiTheme="minorHAnsi"/>
                <w:iCs/>
                <w:color w:val="auto"/>
                <w:szCs w:val="17"/>
                <w:lang w:eastAsia="en-US"/>
              </w:rPr>
            </w:pPr>
          </w:p>
          <w:p w14:paraId="6A2C5048" w14:textId="77777777" w:rsidR="001B6C97" w:rsidRPr="00E10C3F" w:rsidRDefault="001B6C97" w:rsidP="001B6C97">
            <w:pPr>
              <w:keepLines/>
              <w:spacing w:before="40" w:after="40" w:line="200" w:lineRule="atLeast"/>
              <w:rPr>
                <w:rFonts w:asciiTheme="minorHAnsi" w:eastAsia="Times New Roman" w:hAnsiTheme="minorHAnsi"/>
                <w:iCs/>
                <w:color w:val="auto"/>
                <w:szCs w:val="17"/>
                <w:lang w:eastAsia="en-US"/>
              </w:rPr>
            </w:pPr>
          </w:p>
          <w:p w14:paraId="4110BB43" w14:textId="77777777" w:rsidR="00400B0F" w:rsidRPr="00E10C3F" w:rsidRDefault="00400B0F" w:rsidP="006F27B1">
            <w:pPr>
              <w:keepLines/>
              <w:spacing w:before="40" w:after="40" w:line="200" w:lineRule="atLeast"/>
              <w:rPr>
                <w:rFonts w:asciiTheme="minorHAnsi" w:eastAsia="Times New Roman" w:hAnsiTheme="minorHAnsi"/>
                <w:iCs/>
                <w:color w:val="auto"/>
                <w:szCs w:val="17"/>
                <w:lang w:eastAsia="en-US"/>
              </w:rPr>
            </w:pPr>
          </w:p>
        </w:tc>
        <w:tc>
          <w:tcPr>
            <w:tcW w:w="780" w:type="pct"/>
          </w:tcPr>
          <w:p w14:paraId="39ECE2C4" w14:textId="77777777" w:rsidR="001B6C97" w:rsidRPr="00CE1FB9" w:rsidRDefault="001B6C97" w:rsidP="001B6C97">
            <w:pPr>
              <w:keepLines/>
              <w:spacing w:before="40" w:after="40" w:line="200" w:lineRule="atLeast"/>
              <w:rPr>
                <w:rFonts w:asciiTheme="minorHAnsi" w:eastAsia="Times New Roman" w:hAnsiTheme="minorHAnsi"/>
                <w:iCs/>
                <w:color w:val="auto"/>
                <w:szCs w:val="17"/>
                <w:lang w:eastAsia="en-US"/>
              </w:rPr>
            </w:pPr>
            <w:r w:rsidRPr="00CE1FB9">
              <w:rPr>
                <w:rFonts w:asciiTheme="minorHAnsi" w:eastAsia="Times New Roman" w:hAnsiTheme="minorHAnsi"/>
                <w:iCs/>
                <w:color w:val="auto"/>
                <w:szCs w:val="17"/>
                <w:lang w:eastAsia="en-US"/>
              </w:rPr>
              <w:t>Three Philippines Government agencies have human resource development plans in place</w:t>
            </w:r>
          </w:p>
          <w:p w14:paraId="4FC4427B" w14:textId="77777777" w:rsidR="001B6C97" w:rsidRPr="00CE1FB9" w:rsidRDefault="001B6C97" w:rsidP="001B6C97">
            <w:pPr>
              <w:keepLines/>
              <w:spacing w:before="40" w:after="40" w:line="200" w:lineRule="atLeast"/>
              <w:rPr>
                <w:rFonts w:asciiTheme="minorHAnsi" w:eastAsia="Times New Roman" w:hAnsiTheme="minorHAnsi"/>
                <w:iCs/>
                <w:color w:val="auto"/>
                <w:szCs w:val="17"/>
                <w:lang w:eastAsia="en-US"/>
              </w:rPr>
            </w:pPr>
          </w:p>
          <w:p w14:paraId="37375B40" w14:textId="77777777" w:rsidR="001B6C97" w:rsidRPr="00CE1FB9" w:rsidRDefault="001B6C97" w:rsidP="001B6C97">
            <w:pPr>
              <w:keepLines/>
              <w:spacing w:before="40" w:after="40" w:line="200" w:lineRule="atLeast"/>
              <w:rPr>
                <w:rFonts w:asciiTheme="minorHAnsi" w:eastAsia="Times New Roman" w:hAnsiTheme="minorHAnsi"/>
                <w:iCs/>
                <w:color w:val="auto"/>
                <w:szCs w:val="17"/>
                <w:lang w:eastAsia="en-US"/>
              </w:rPr>
            </w:pPr>
            <w:r w:rsidRPr="00CE1FB9">
              <w:rPr>
                <w:rFonts w:asciiTheme="minorHAnsi" w:eastAsia="Times New Roman" w:hAnsiTheme="minorHAnsi"/>
                <w:iCs/>
                <w:color w:val="auto"/>
                <w:szCs w:val="17"/>
                <w:lang w:eastAsia="en-US"/>
              </w:rPr>
              <w:t>Three partnerships between Philippine and Australian academic institutions are facilitated</w:t>
            </w:r>
          </w:p>
          <w:p w14:paraId="61B475AC" w14:textId="77777777" w:rsidR="00E10C3F" w:rsidRDefault="00E10C3F" w:rsidP="001B6C97">
            <w:pPr>
              <w:keepLines/>
              <w:spacing w:before="40" w:after="40" w:line="200" w:lineRule="atLeast"/>
              <w:rPr>
                <w:rFonts w:asciiTheme="minorHAnsi" w:eastAsia="Times New Roman" w:hAnsiTheme="minorHAnsi"/>
                <w:iCs/>
                <w:color w:val="auto"/>
                <w:szCs w:val="17"/>
                <w:lang w:eastAsia="en-US"/>
              </w:rPr>
            </w:pPr>
          </w:p>
          <w:p w14:paraId="20AD380E" w14:textId="77777777" w:rsidR="00A02542" w:rsidRPr="00CE1FB9" w:rsidRDefault="00A02542" w:rsidP="001B6C97">
            <w:pPr>
              <w:keepLines/>
              <w:spacing w:before="40" w:after="40" w:line="200" w:lineRule="atLeast"/>
              <w:rPr>
                <w:rFonts w:asciiTheme="minorHAnsi" w:eastAsia="Times New Roman" w:hAnsiTheme="minorHAnsi"/>
                <w:iCs/>
                <w:color w:val="auto"/>
                <w:szCs w:val="17"/>
                <w:lang w:eastAsia="en-US"/>
              </w:rPr>
            </w:pPr>
          </w:p>
          <w:p w14:paraId="63133600" w14:textId="77777777" w:rsidR="00400B0F" w:rsidRPr="00E10C3F" w:rsidRDefault="001B6C97" w:rsidP="00E10C3F">
            <w:pPr>
              <w:keepLines/>
              <w:spacing w:before="40" w:after="40" w:line="200" w:lineRule="atLeast"/>
              <w:rPr>
                <w:rFonts w:asciiTheme="minorHAnsi" w:eastAsia="Times New Roman" w:hAnsiTheme="minorHAnsi"/>
                <w:iCs/>
                <w:color w:val="auto"/>
                <w:szCs w:val="17"/>
                <w:lang w:eastAsia="en-US"/>
              </w:rPr>
            </w:pPr>
            <w:r w:rsidRPr="00CE1FB9">
              <w:rPr>
                <w:rFonts w:asciiTheme="minorHAnsi" w:eastAsia="Times New Roman" w:hAnsiTheme="minorHAnsi"/>
                <w:iCs/>
                <w:color w:val="auto"/>
                <w:szCs w:val="17"/>
                <w:lang w:eastAsia="en-US"/>
              </w:rPr>
              <w:t>60 Australia Awards provided to Filipino students</w:t>
            </w:r>
          </w:p>
        </w:tc>
        <w:tc>
          <w:tcPr>
            <w:tcW w:w="470" w:type="pct"/>
            <w:shd w:val="clear" w:color="auto" w:fill="7FB64D" w:themeFill="accent3" w:themeFillShade="BF"/>
          </w:tcPr>
          <w:p w14:paraId="730B9B21" w14:textId="77777777" w:rsidR="00400B0F" w:rsidRDefault="005B0EF1" w:rsidP="006F27B1">
            <w:pPr>
              <w:keepLines/>
              <w:spacing w:before="40" w:after="40" w:line="200" w:lineRule="atLeast"/>
              <w:jc w:val="center"/>
              <w:rPr>
                <w:rFonts w:asciiTheme="minorHAnsi" w:eastAsia="Times New Roman" w:hAnsiTheme="minorHAnsi"/>
                <w:iCs/>
                <w:color w:val="FFFFFF" w:themeColor="background1"/>
                <w:szCs w:val="17"/>
                <w:lang w:eastAsia="en-US"/>
              </w:rPr>
            </w:pPr>
            <w:r w:rsidRPr="00C93ECA">
              <w:rPr>
                <w:rFonts w:asciiTheme="minorHAnsi" w:eastAsia="Times New Roman" w:hAnsiTheme="minorHAnsi"/>
                <w:iCs/>
                <w:color w:val="FFFFFF" w:themeColor="background1"/>
                <w:szCs w:val="17"/>
                <w:lang w:eastAsia="en-US"/>
              </w:rPr>
              <w:t>Achieved</w:t>
            </w:r>
          </w:p>
          <w:p w14:paraId="1F4B27DE" w14:textId="77777777" w:rsidR="0031491F" w:rsidRDefault="0031491F" w:rsidP="006F27B1">
            <w:pPr>
              <w:keepLines/>
              <w:spacing w:before="40" w:after="40" w:line="200" w:lineRule="atLeast"/>
              <w:jc w:val="center"/>
              <w:rPr>
                <w:rFonts w:asciiTheme="minorHAnsi" w:eastAsia="Times New Roman" w:hAnsiTheme="minorHAnsi"/>
                <w:iCs/>
                <w:color w:val="FFFFFF" w:themeColor="background1"/>
                <w:szCs w:val="17"/>
                <w:lang w:eastAsia="en-US"/>
              </w:rPr>
            </w:pPr>
          </w:p>
          <w:p w14:paraId="21453243" w14:textId="77777777" w:rsidR="0031491F" w:rsidRDefault="0031491F" w:rsidP="006F27B1">
            <w:pPr>
              <w:keepLines/>
              <w:spacing w:before="40" w:after="40" w:line="200" w:lineRule="atLeast"/>
              <w:jc w:val="center"/>
              <w:rPr>
                <w:rFonts w:asciiTheme="minorHAnsi" w:eastAsia="Times New Roman" w:hAnsiTheme="minorHAnsi"/>
                <w:iCs/>
                <w:color w:val="FFFFFF" w:themeColor="background1"/>
                <w:szCs w:val="17"/>
                <w:lang w:eastAsia="en-US"/>
              </w:rPr>
            </w:pPr>
          </w:p>
          <w:p w14:paraId="76A5FA2C" w14:textId="77777777" w:rsidR="0031491F" w:rsidRDefault="0031491F" w:rsidP="006F27B1">
            <w:pPr>
              <w:keepLines/>
              <w:spacing w:before="40" w:after="40" w:line="200" w:lineRule="atLeast"/>
              <w:jc w:val="center"/>
              <w:rPr>
                <w:rFonts w:asciiTheme="minorHAnsi" w:eastAsia="Times New Roman" w:hAnsiTheme="minorHAnsi"/>
                <w:iCs/>
                <w:color w:val="FFFFFF" w:themeColor="background1"/>
                <w:szCs w:val="17"/>
                <w:lang w:eastAsia="en-US"/>
              </w:rPr>
            </w:pPr>
          </w:p>
          <w:p w14:paraId="587B4EE9" w14:textId="77777777" w:rsidR="0031491F" w:rsidRDefault="0031491F" w:rsidP="006F27B1">
            <w:pPr>
              <w:keepLines/>
              <w:spacing w:before="40" w:after="40" w:line="200" w:lineRule="atLeast"/>
              <w:jc w:val="center"/>
              <w:rPr>
                <w:rFonts w:asciiTheme="minorHAnsi" w:eastAsia="Times New Roman" w:hAnsiTheme="minorHAnsi"/>
                <w:iCs/>
                <w:color w:val="FFFFFF" w:themeColor="background1"/>
                <w:szCs w:val="17"/>
                <w:lang w:eastAsia="en-US"/>
              </w:rPr>
            </w:pPr>
          </w:p>
          <w:p w14:paraId="0D8F3443" w14:textId="77777777" w:rsidR="0031491F" w:rsidRDefault="00E10C3F" w:rsidP="006F27B1">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Achieved</w:t>
            </w:r>
          </w:p>
          <w:p w14:paraId="49D4AC3B" w14:textId="77777777" w:rsidR="0031491F" w:rsidRDefault="0031491F" w:rsidP="006F27B1">
            <w:pPr>
              <w:keepLines/>
              <w:spacing w:before="40" w:after="40" w:line="200" w:lineRule="atLeast"/>
              <w:jc w:val="center"/>
              <w:rPr>
                <w:rFonts w:asciiTheme="minorHAnsi" w:eastAsia="Times New Roman" w:hAnsiTheme="minorHAnsi"/>
                <w:iCs/>
                <w:color w:val="FFFFFF" w:themeColor="background1"/>
                <w:szCs w:val="17"/>
                <w:lang w:eastAsia="en-US"/>
              </w:rPr>
            </w:pPr>
          </w:p>
          <w:p w14:paraId="7EE02E9E" w14:textId="77777777" w:rsidR="0031491F" w:rsidRDefault="0031491F" w:rsidP="006F27B1">
            <w:pPr>
              <w:keepLines/>
              <w:spacing w:before="40" w:after="40" w:line="200" w:lineRule="atLeast"/>
              <w:jc w:val="center"/>
              <w:rPr>
                <w:rFonts w:asciiTheme="minorHAnsi" w:eastAsia="Times New Roman" w:hAnsiTheme="minorHAnsi"/>
                <w:iCs/>
                <w:color w:val="FFFFFF" w:themeColor="background1"/>
                <w:szCs w:val="17"/>
                <w:lang w:eastAsia="en-US"/>
              </w:rPr>
            </w:pPr>
          </w:p>
          <w:p w14:paraId="2CAA69E5" w14:textId="77777777" w:rsidR="00A02542" w:rsidRDefault="00A02542" w:rsidP="006F27B1">
            <w:pPr>
              <w:keepLines/>
              <w:spacing w:before="40" w:after="40" w:line="200" w:lineRule="atLeast"/>
              <w:jc w:val="center"/>
              <w:rPr>
                <w:rFonts w:asciiTheme="minorHAnsi" w:eastAsia="Times New Roman" w:hAnsiTheme="minorHAnsi"/>
                <w:iCs/>
                <w:color w:val="FFFFFF" w:themeColor="background1"/>
                <w:szCs w:val="17"/>
                <w:lang w:eastAsia="en-US"/>
              </w:rPr>
            </w:pPr>
          </w:p>
          <w:p w14:paraId="796965C5" w14:textId="77777777" w:rsidR="0031491F" w:rsidRDefault="0031491F" w:rsidP="006F27B1">
            <w:pPr>
              <w:keepLines/>
              <w:spacing w:before="40" w:after="40" w:line="200" w:lineRule="atLeast"/>
              <w:jc w:val="center"/>
              <w:rPr>
                <w:rFonts w:asciiTheme="minorHAnsi" w:eastAsia="Times New Roman" w:hAnsiTheme="minorHAnsi"/>
                <w:iCs/>
                <w:color w:val="FFFFFF" w:themeColor="background1"/>
                <w:szCs w:val="17"/>
                <w:lang w:eastAsia="en-US"/>
              </w:rPr>
            </w:pPr>
          </w:p>
          <w:p w14:paraId="5B7238DE" w14:textId="77777777" w:rsidR="0031491F" w:rsidRPr="00C93ECA" w:rsidRDefault="0031491F" w:rsidP="006F27B1">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Achieved</w:t>
            </w:r>
          </w:p>
        </w:tc>
        <w:tc>
          <w:tcPr>
            <w:tcW w:w="2970" w:type="pct"/>
          </w:tcPr>
          <w:p w14:paraId="47FC71B1" w14:textId="40E9544F" w:rsidR="005C7003" w:rsidRPr="005C7003" w:rsidRDefault="00226F46" w:rsidP="005C7003">
            <w:pPr>
              <w:suppressAutoHyphens w:val="0"/>
              <w:spacing w:before="0" w:after="0" w:line="240" w:lineRule="auto"/>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Seven</w:t>
            </w:r>
            <w:r w:rsidR="005C7003">
              <w:rPr>
                <w:rFonts w:asciiTheme="minorHAnsi" w:eastAsia="Times New Roman" w:hAnsiTheme="minorHAnsi"/>
                <w:iCs/>
                <w:color w:val="auto"/>
                <w:szCs w:val="17"/>
                <w:lang w:eastAsia="en-US"/>
              </w:rPr>
              <w:t xml:space="preserve"> agencies have HRD plans in place: the Civil Service Commission; </w:t>
            </w:r>
            <w:r w:rsidR="005C7003" w:rsidRPr="005C7003">
              <w:rPr>
                <w:rFonts w:asciiTheme="minorHAnsi" w:eastAsia="Times New Roman" w:hAnsiTheme="minorHAnsi"/>
                <w:iCs/>
                <w:color w:val="auto"/>
                <w:szCs w:val="17"/>
                <w:lang w:eastAsia="en-US"/>
              </w:rPr>
              <w:t xml:space="preserve">Department of Interior and Local Government (DILG); </w:t>
            </w:r>
            <w:r>
              <w:rPr>
                <w:rFonts w:asciiTheme="minorHAnsi" w:eastAsia="Times New Roman" w:hAnsiTheme="minorHAnsi"/>
                <w:iCs/>
                <w:color w:val="auto"/>
                <w:szCs w:val="17"/>
                <w:lang w:eastAsia="en-US"/>
              </w:rPr>
              <w:t xml:space="preserve">Department of Environment and Natural Resources; </w:t>
            </w:r>
            <w:r w:rsidR="005C7003" w:rsidRPr="005C7003">
              <w:rPr>
                <w:rFonts w:asciiTheme="minorHAnsi" w:eastAsia="Times New Roman" w:hAnsiTheme="minorHAnsi"/>
                <w:iCs/>
                <w:color w:val="auto"/>
                <w:szCs w:val="17"/>
                <w:lang w:eastAsia="en-US"/>
              </w:rPr>
              <w:t>Provincial Govt of Aklan; Provincial Govt of Lanao del Norte; Provincial Govt of Davao del Norte; National Mapping and Resource Information Authority (NAMRIA)</w:t>
            </w:r>
          </w:p>
          <w:p w14:paraId="3AA2735C" w14:textId="77777777" w:rsidR="005B10A9" w:rsidRPr="00E10C3F" w:rsidRDefault="005B10A9" w:rsidP="006F27B1">
            <w:pPr>
              <w:keepLines/>
              <w:spacing w:before="40" w:after="40" w:line="200" w:lineRule="atLeast"/>
              <w:rPr>
                <w:rFonts w:asciiTheme="minorHAnsi" w:eastAsia="Times New Roman" w:hAnsiTheme="minorHAnsi"/>
                <w:iCs/>
                <w:color w:val="auto"/>
                <w:szCs w:val="17"/>
                <w:lang w:eastAsia="en-US"/>
              </w:rPr>
            </w:pPr>
          </w:p>
          <w:p w14:paraId="05306505" w14:textId="77777777" w:rsidR="005B10A9" w:rsidRPr="00E10C3F" w:rsidRDefault="005B10A9" w:rsidP="006F27B1">
            <w:pPr>
              <w:keepLines/>
              <w:spacing w:before="40" w:after="40" w:line="200" w:lineRule="atLeast"/>
              <w:rPr>
                <w:rFonts w:asciiTheme="minorHAnsi" w:eastAsia="Times New Roman" w:hAnsiTheme="minorHAnsi"/>
                <w:iCs/>
                <w:color w:val="auto"/>
                <w:szCs w:val="17"/>
                <w:lang w:eastAsia="en-US"/>
              </w:rPr>
            </w:pPr>
          </w:p>
          <w:p w14:paraId="2C126FCB" w14:textId="77777777" w:rsidR="00A02542" w:rsidRPr="00A02542" w:rsidRDefault="00A02542" w:rsidP="00A02542">
            <w:pPr>
              <w:keepLines/>
              <w:spacing w:before="0" w:after="0" w:line="200" w:lineRule="atLeast"/>
              <w:rPr>
                <w:rFonts w:asciiTheme="minorHAnsi" w:eastAsia="Times New Roman" w:hAnsiTheme="minorHAnsi"/>
                <w:iCs/>
                <w:color w:val="auto"/>
                <w:szCs w:val="17"/>
                <w:lang w:eastAsia="en-US"/>
              </w:rPr>
            </w:pPr>
            <w:r w:rsidRPr="00A02542">
              <w:rPr>
                <w:rFonts w:asciiTheme="minorHAnsi" w:eastAsia="Times New Roman" w:hAnsiTheme="minorHAnsi"/>
                <w:iCs/>
                <w:color w:val="auto"/>
                <w:szCs w:val="17"/>
                <w:lang w:eastAsia="en-US"/>
              </w:rPr>
              <w:t>Facilitated three partnerships between Philippine and Australian academic institutions for research collaboration, faculty and student exchanges, and delivery of joint degrees.</w:t>
            </w:r>
          </w:p>
          <w:p w14:paraId="5A578075" w14:textId="77777777" w:rsidR="00A02542" w:rsidRPr="00A02542" w:rsidRDefault="00A02542" w:rsidP="00A02542">
            <w:pPr>
              <w:keepLines/>
              <w:numPr>
                <w:ilvl w:val="0"/>
                <w:numId w:val="33"/>
              </w:numPr>
              <w:spacing w:before="0" w:after="0" w:line="200" w:lineRule="atLeast"/>
              <w:ind w:left="679"/>
              <w:rPr>
                <w:rFonts w:ascii="Calibri Light" w:hAnsi="Calibri Light"/>
                <w:iCs/>
                <w:color w:val="auto"/>
                <w:szCs w:val="17"/>
                <w:lang w:val="en-AU"/>
              </w:rPr>
            </w:pPr>
            <w:r w:rsidRPr="00A02542">
              <w:rPr>
                <w:rFonts w:ascii="Calibri Light" w:hAnsi="Calibri Light"/>
                <w:iCs/>
                <w:color w:val="auto"/>
                <w:szCs w:val="17"/>
              </w:rPr>
              <w:t>De La Salle University (DLSU) and University of Newcastle (UoN);</w:t>
            </w:r>
          </w:p>
          <w:p w14:paraId="69E7EDCE" w14:textId="77777777" w:rsidR="00A02542" w:rsidRPr="00A02542" w:rsidRDefault="00A02542" w:rsidP="00A02542">
            <w:pPr>
              <w:keepLines/>
              <w:numPr>
                <w:ilvl w:val="0"/>
                <w:numId w:val="33"/>
              </w:numPr>
              <w:spacing w:before="0" w:after="0" w:line="200" w:lineRule="atLeast"/>
              <w:ind w:left="679"/>
              <w:rPr>
                <w:rFonts w:ascii="Calibri Light" w:hAnsi="Calibri Light"/>
                <w:iCs/>
                <w:color w:val="auto"/>
                <w:szCs w:val="17"/>
              </w:rPr>
            </w:pPr>
            <w:r w:rsidRPr="00A02542">
              <w:rPr>
                <w:rFonts w:ascii="Calibri Light" w:hAnsi="Calibri Light"/>
                <w:iCs/>
                <w:color w:val="auto"/>
                <w:szCs w:val="17"/>
              </w:rPr>
              <w:t>University of Santo Tomas (UST) and Curtin University (CU); and</w:t>
            </w:r>
          </w:p>
          <w:p w14:paraId="019AE7DC" w14:textId="77777777" w:rsidR="00A02542" w:rsidRPr="00A02542" w:rsidRDefault="00A02542" w:rsidP="00A02542">
            <w:pPr>
              <w:keepLines/>
              <w:numPr>
                <w:ilvl w:val="0"/>
                <w:numId w:val="33"/>
              </w:numPr>
              <w:spacing w:before="0" w:after="0" w:line="200" w:lineRule="atLeast"/>
              <w:ind w:left="679"/>
              <w:rPr>
                <w:rFonts w:ascii="Calibri Light" w:hAnsi="Calibri Light"/>
                <w:iCs/>
                <w:color w:val="auto"/>
                <w:szCs w:val="17"/>
              </w:rPr>
            </w:pPr>
            <w:r w:rsidRPr="00A02542">
              <w:rPr>
                <w:rFonts w:ascii="Calibri Light" w:hAnsi="Calibri Light"/>
                <w:iCs/>
                <w:color w:val="auto"/>
                <w:szCs w:val="17"/>
              </w:rPr>
              <w:t>De La Salle University (DLSU) and Australian National University (ANU)</w:t>
            </w:r>
          </w:p>
          <w:p w14:paraId="0BE35E6E" w14:textId="77777777" w:rsidR="00A02542" w:rsidRDefault="00A02542" w:rsidP="006F27B1">
            <w:pPr>
              <w:keepLines/>
              <w:spacing w:before="40" w:after="40" w:line="200" w:lineRule="atLeast"/>
              <w:rPr>
                <w:rFonts w:asciiTheme="minorHAnsi" w:eastAsia="Times New Roman" w:hAnsiTheme="minorHAnsi"/>
                <w:iCs/>
                <w:color w:val="auto"/>
                <w:szCs w:val="17"/>
                <w:lang w:val="en-AU" w:eastAsia="en-US"/>
              </w:rPr>
            </w:pPr>
          </w:p>
          <w:p w14:paraId="75064DF9" w14:textId="77777777" w:rsidR="00E10C3F" w:rsidRPr="00E10C3F" w:rsidRDefault="00E10C3F" w:rsidP="006F27B1">
            <w:pPr>
              <w:keepLines/>
              <w:spacing w:before="40" w:after="40" w:line="200" w:lineRule="atLeast"/>
              <w:rPr>
                <w:rFonts w:asciiTheme="minorHAnsi" w:eastAsia="Times New Roman" w:hAnsiTheme="minorHAnsi"/>
                <w:iCs/>
                <w:color w:val="auto"/>
                <w:szCs w:val="17"/>
                <w:lang w:val="en-AU" w:eastAsia="en-US"/>
              </w:rPr>
            </w:pPr>
            <w:r w:rsidRPr="00E10C3F">
              <w:rPr>
                <w:rFonts w:asciiTheme="minorHAnsi" w:eastAsia="Times New Roman" w:hAnsiTheme="minorHAnsi"/>
                <w:iCs/>
                <w:color w:val="auto"/>
                <w:szCs w:val="17"/>
                <w:lang w:val="en-AU" w:eastAsia="en-US"/>
              </w:rPr>
              <w:t xml:space="preserve">60 scholars have been confirmed as at July 2016, with a further 49 pending approval </w:t>
            </w:r>
            <w:r w:rsidR="000E1678">
              <w:rPr>
                <w:rFonts w:asciiTheme="minorHAnsi" w:eastAsia="Times New Roman" w:hAnsiTheme="minorHAnsi"/>
                <w:iCs/>
                <w:color w:val="auto"/>
                <w:szCs w:val="17"/>
                <w:lang w:val="en-AU" w:eastAsia="en-US"/>
              </w:rPr>
              <w:t>in mid-late 2016</w:t>
            </w:r>
            <w:r w:rsidRPr="00E10C3F">
              <w:rPr>
                <w:rFonts w:asciiTheme="minorHAnsi" w:eastAsia="Times New Roman" w:hAnsiTheme="minorHAnsi"/>
                <w:iCs/>
                <w:color w:val="auto"/>
                <w:szCs w:val="17"/>
                <w:lang w:val="en-AU" w:eastAsia="en-US"/>
              </w:rPr>
              <w:t>.</w:t>
            </w:r>
          </w:p>
          <w:p w14:paraId="0DEA494A" w14:textId="77777777" w:rsidR="005B10A9" w:rsidRPr="00E10C3F" w:rsidRDefault="005B10A9" w:rsidP="00E10C3F">
            <w:pPr>
              <w:keepLines/>
              <w:spacing w:before="40" w:after="40" w:line="200" w:lineRule="atLeast"/>
              <w:rPr>
                <w:rFonts w:asciiTheme="minorHAnsi" w:eastAsia="Times New Roman" w:hAnsiTheme="minorHAnsi"/>
                <w:iCs/>
                <w:color w:val="auto"/>
                <w:szCs w:val="17"/>
                <w:lang w:eastAsia="en-US"/>
              </w:rPr>
            </w:pPr>
          </w:p>
        </w:tc>
      </w:tr>
      <w:tr w:rsidR="00400B0F" w:rsidRPr="00C61187" w14:paraId="29DB6EAA" w14:textId="77777777" w:rsidTr="0031491F">
        <w:tc>
          <w:tcPr>
            <w:tcW w:w="780" w:type="pct"/>
            <w:tcMar>
              <w:top w:w="57" w:type="dxa"/>
              <w:bottom w:w="57" w:type="dxa"/>
            </w:tcMar>
          </w:tcPr>
          <w:p w14:paraId="55E6D5DA" w14:textId="77777777" w:rsidR="001B6C97" w:rsidRPr="00E10C3F" w:rsidRDefault="001B6C97" w:rsidP="001B6C97">
            <w:pPr>
              <w:keepLines/>
              <w:spacing w:before="40" w:after="40" w:line="200" w:lineRule="atLeast"/>
              <w:rPr>
                <w:rFonts w:asciiTheme="minorHAnsi" w:eastAsia="Times New Roman" w:hAnsiTheme="minorHAnsi"/>
                <w:b/>
                <w:i/>
                <w:iCs/>
                <w:color w:val="auto"/>
                <w:szCs w:val="17"/>
                <w:lang w:eastAsia="en-US"/>
              </w:rPr>
            </w:pPr>
            <w:r w:rsidRPr="00E10C3F">
              <w:rPr>
                <w:rFonts w:asciiTheme="minorHAnsi" w:eastAsia="Times New Roman" w:hAnsiTheme="minorHAnsi"/>
                <w:b/>
                <w:i/>
                <w:iCs/>
                <w:color w:val="auto"/>
                <w:szCs w:val="17"/>
                <w:lang w:eastAsia="en-US"/>
              </w:rPr>
              <w:lastRenderedPageBreak/>
              <w:t>Aid Objective 3</w:t>
            </w:r>
          </w:p>
          <w:p w14:paraId="13A6F6D2" w14:textId="77777777" w:rsidR="001B6C97" w:rsidRPr="00E10C3F" w:rsidRDefault="001B6C97" w:rsidP="001B6C97">
            <w:pPr>
              <w:keepLines/>
              <w:spacing w:before="40" w:after="40" w:line="200" w:lineRule="atLeast"/>
              <w:rPr>
                <w:rFonts w:asciiTheme="minorHAnsi" w:eastAsia="Times New Roman" w:hAnsiTheme="minorHAnsi"/>
                <w:iCs/>
                <w:color w:val="auto"/>
                <w:szCs w:val="17"/>
                <w:lang w:eastAsia="en-US"/>
              </w:rPr>
            </w:pPr>
            <w:r w:rsidRPr="00E10C3F">
              <w:rPr>
                <w:rFonts w:asciiTheme="minorHAnsi" w:eastAsia="Times New Roman" w:hAnsiTheme="minorHAnsi"/>
                <w:iCs/>
                <w:color w:val="auto"/>
                <w:szCs w:val="17"/>
                <w:lang w:eastAsia="en-US"/>
              </w:rPr>
              <w:t>Number of women actively participating in peace building</w:t>
            </w:r>
          </w:p>
          <w:p w14:paraId="07579BFA" w14:textId="77777777" w:rsidR="001B6C97" w:rsidRPr="00E10C3F" w:rsidRDefault="001B6C97" w:rsidP="001B6C97">
            <w:pPr>
              <w:keepLines/>
              <w:spacing w:before="40" w:after="40" w:line="200" w:lineRule="atLeast"/>
              <w:rPr>
                <w:rFonts w:asciiTheme="minorHAnsi" w:eastAsia="Times New Roman" w:hAnsiTheme="minorHAnsi"/>
                <w:iCs/>
                <w:color w:val="auto"/>
                <w:szCs w:val="17"/>
                <w:lang w:eastAsia="en-US"/>
              </w:rPr>
            </w:pPr>
          </w:p>
          <w:p w14:paraId="47077673" w14:textId="77777777" w:rsidR="00F82819" w:rsidRPr="00E10C3F" w:rsidRDefault="001B6C97" w:rsidP="00E10C3F">
            <w:pPr>
              <w:keepLines/>
              <w:spacing w:before="40" w:after="40" w:line="200" w:lineRule="atLeast"/>
              <w:rPr>
                <w:rFonts w:asciiTheme="minorHAnsi" w:eastAsia="Times New Roman" w:hAnsiTheme="minorHAnsi"/>
                <w:iCs/>
                <w:color w:val="auto"/>
                <w:szCs w:val="17"/>
                <w:lang w:eastAsia="en-US"/>
              </w:rPr>
            </w:pPr>
            <w:r w:rsidRPr="00E10C3F">
              <w:rPr>
                <w:rFonts w:asciiTheme="minorHAnsi" w:eastAsia="Times New Roman" w:hAnsiTheme="minorHAnsi"/>
                <w:iCs/>
                <w:color w:val="auto"/>
                <w:szCs w:val="17"/>
                <w:lang w:eastAsia="en-US"/>
              </w:rPr>
              <w:t xml:space="preserve">Number of children enrolled in pre-school and elementary grades from disadvantages communities </w:t>
            </w:r>
          </w:p>
        </w:tc>
        <w:tc>
          <w:tcPr>
            <w:tcW w:w="780" w:type="pct"/>
          </w:tcPr>
          <w:p w14:paraId="0457EF33" w14:textId="77777777" w:rsidR="001B6C97" w:rsidRPr="00E10C3F" w:rsidRDefault="001B6C97" w:rsidP="001B6C97">
            <w:pPr>
              <w:keepLines/>
              <w:spacing w:before="40" w:after="40" w:line="200" w:lineRule="atLeast"/>
              <w:rPr>
                <w:rFonts w:asciiTheme="minorHAnsi" w:eastAsia="Times New Roman" w:hAnsiTheme="minorHAnsi"/>
                <w:iCs/>
                <w:color w:val="auto"/>
                <w:szCs w:val="17"/>
                <w:lang w:eastAsia="en-US"/>
              </w:rPr>
            </w:pPr>
            <w:r w:rsidRPr="00E10C3F">
              <w:rPr>
                <w:rFonts w:asciiTheme="minorHAnsi" w:eastAsia="Times New Roman" w:hAnsiTheme="minorHAnsi"/>
                <w:iCs/>
                <w:color w:val="auto"/>
                <w:szCs w:val="17"/>
                <w:lang w:eastAsia="en-US"/>
              </w:rPr>
              <w:t>1,000 women community leaders participate in pubic consultations</w:t>
            </w:r>
          </w:p>
          <w:p w14:paraId="3C802DB3" w14:textId="77777777" w:rsidR="001B6C97" w:rsidRPr="00E10C3F" w:rsidRDefault="001B6C97" w:rsidP="001B6C97">
            <w:pPr>
              <w:keepLines/>
              <w:spacing w:before="40" w:after="40" w:line="200" w:lineRule="atLeast"/>
              <w:rPr>
                <w:rFonts w:asciiTheme="minorHAnsi" w:eastAsia="Times New Roman" w:hAnsiTheme="minorHAnsi"/>
                <w:iCs/>
                <w:color w:val="auto"/>
                <w:szCs w:val="17"/>
                <w:lang w:eastAsia="en-US"/>
              </w:rPr>
            </w:pPr>
          </w:p>
          <w:p w14:paraId="1C661262" w14:textId="77777777" w:rsidR="00E10C3F" w:rsidRPr="00E10C3F" w:rsidRDefault="00E10C3F" w:rsidP="001B6C97">
            <w:pPr>
              <w:keepLines/>
              <w:spacing w:before="40" w:after="40" w:line="200" w:lineRule="atLeast"/>
              <w:rPr>
                <w:rFonts w:asciiTheme="minorHAnsi" w:eastAsia="Times New Roman" w:hAnsiTheme="minorHAnsi"/>
                <w:iCs/>
                <w:color w:val="auto"/>
                <w:szCs w:val="17"/>
                <w:lang w:eastAsia="en-US"/>
              </w:rPr>
            </w:pPr>
          </w:p>
          <w:p w14:paraId="12DBF1BA" w14:textId="77777777" w:rsidR="00400B0F" w:rsidRPr="00E10C3F" w:rsidRDefault="001B6C97" w:rsidP="001B6C97">
            <w:pPr>
              <w:keepLines/>
              <w:spacing w:before="40" w:after="40" w:line="200" w:lineRule="atLeast"/>
              <w:rPr>
                <w:rFonts w:asciiTheme="minorHAnsi" w:eastAsia="Times New Roman" w:hAnsiTheme="minorHAnsi"/>
                <w:iCs/>
                <w:color w:val="auto"/>
                <w:szCs w:val="17"/>
                <w:lang w:eastAsia="en-US"/>
              </w:rPr>
            </w:pPr>
            <w:r w:rsidRPr="00E10C3F">
              <w:rPr>
                <w:rFonts w:asciiTheme="minorHAnsi" w:eastAsia="Times New Roman" w:hAnsiTheme="minorHAnsi"/>
                <w:iCs/>
                <w:color w:val="auto"/>
                <w:szCs w:val="17"/>
                <w:lang w:eastAsia="en-US"/>
              </w:rPr>
              <w:t>25,000 additional children enrolled in targeted schools</w:t>
            </w:r>
          </w:p>
        </w:tc>
        <w:tc>
          <w:tcPr>
            <w:tcW w:w="470" w:type="pct"/>
            <w:shd w:val="clear" w:color="auto" w:fill="7FB64D" w:themeFill="accent3" w:themeFillShade="BF"/>
          </w:tcPr>
          <w:p w14:paraId="1AD521EC" w14:textId="77777777" w:rsidR="00400B0F" w:rsidRDefault="00400B0F" w:rsidP="00C93ECA">
            <w:pPr>
              <w:keepLines/>
              <w:spacing w:before="40" w:after="40" w:line="200" w:lineRule="atLeast"/>
              <w:jc w:val="center"/>
              <w:rPr>
                <w:rFonts w:asciiTheme="minorHAnsi" w:eastAsia="Times New Roman" w:hAnsiTheme="minorHAnsi"/>
                <w:iCs/>
                <w:color w:val="FFFFFF" w:themeColor="background1"/>
                <w:szCs w:val="17"/>
                <w:lang w:eastAsia="en-US"/>
              </w:rPr>
            </w:pPr>
            <w:r w:rsidRPr="00880004">
              <w:rPr>
                <w:rFonts w:asciiTheme="minorHAnsi" w:eastAsia="Times New Roman" w:hAnsiTheme="minorHAnsi"/>
                <w:iCs/>
                <w:color w:val="FFFFFF" w:themeColor="background1"/>
                <w:szCs w:val="17"/>
                <w:lang w:eastAsia="en-US"/>
              </w:rPr>
              <w:t xml:space="preserve">Achieved </w:t>
            </w:r>
          </w:p>
          <w:p w14:paraId="7D831ACB" w14:textId="77777777" w:rsidR="00E10C3F" w:rsidRDefault="00E10C3F" w:rsidP="00C93ECA">
            <w:pPr>
              <w:keepLines/>
              <w:spacing w:before="40" w:after="40" w:line="200" w:lineRule="atLeast"/>
              <w:jc w:val="center"/>
              <w:rPr>
                <w:rFonts w:asciiTheme="minorHAnsi" w:eastAsia="Times New Roman" w:hAnsiTheme="minorHAnsi"/>
                <w:iCs/>
                <w:color w:val="FFFFFF" w:themeColor="background1"/>
                <w:szCs w:val="17"/>
                <w:lang w:eastAsia="en-US"/>
              </w:rPr>
            </w:pPr>
          </w:p>
          <w:p w14:paraId="29A7E990" w14:textId="77777777" w:rsidR="00E10C3F" w:rsidRDefault="00E10C3F" w:rsidP="00C93ECA">
            <w:pPr>
              <w:keepLines/>
              <w:spacing w:before="40" w:after="40" w:line="200" w:lineRule="atLeast"/>
              <w:jc w:val="center"/>
              <w:rPr>
                <w:rFonts w:asciiTheme="minorHAnsi" w:eastAsia="Times New Roman" w:hAnsiTheme="minorHAnsi"/>
                <w:iCs/>
                <w:color w:val="FFFFFF" w:themeColor="background1"/>
                <w:szCs w:val="17"/>
                <w:lang w:eastAsia="en-US"/>
              </w:rPr>
            </w:pPr>
          </w:p>
          <w:p w14:paraId="29B8110E" w14:textId="77777777" w:rsidR="00E10C3F" w:rsidRDefault="00E10C3F" w:rsidP="00C93ECA">
            <w:pPr>
              <w:keepLines/>
              <w:spacing w:before="40" w:after="40" w:line="200" w:lineRule="atLeast"/>
              <w:jc w:val="center"/>
              <w:rPr>
                <w:rFonts w:asciiTheme="minorHAnsi" w:eastAsia="Times New Roman" w:hAnsiTheme="minorHAnsi"/>
                <w:iCs/>
                <w:color w:val="FFFFFF" w:themeColor="background1"/>
                <w:szCs w:val="17"/>
                <w:lang w:eastAsia="en-US"/>
              </w:rPr>
            </w:pPr>
          </w:p>
          <w:p w14:paraId="15731477" w14:textId="77777777" w:rsidR="00FC44FC" w:rsidRDefault="00FC44FC" w:rsidP="00C93ECA">
            <w:pPr>
              <w:keepLines/>
              <w:spacing w:before="40" w:after="40" w:line="200" w:lineRule="atLeast"/>
              <w:jc w:val="center"/>
              <w:rPr>
                <w:rFonts w:asciiTheme="minorHAnsi" w:eastAsia="Times New Roman" w:hAnsiTheme="minorHAnsi"/>
                <w:iCs/>
                <w:color w:val="FFFFFF" w:themeColor="background1"/>
                <w:szCs w:val="17"/>
                <w:lang w:eastAsia="en-US"/>
              </w:rPr>
            </w:pPr>
          </w:p>
          <w:p w14:paraId="7AE4CC8E" w14:textId="77777777" w:rsidR="00E10C3F" w:rsidRPr="00C93ECA" w:rsidRDefault="00E10C3F" w:rsidP="00C93ECA">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Achieved</w:t>
            </w:r>
          </w:p>
        </w:tc>
        <w:tc>
          <w:tcPr>
            <w:tcW w:w="2970" w:type="pct"/>
          </w:tcPr>
          <w:p w14:paraId="36884DAF" w14:textId="77777777" w:rsidR="00400B0F" w:rsidRPr="00E10C3F" w:rsidRDefault="00CE4FDA" w:rsidP="006F27B1">
            <w:pPr>
              <w:keepLines/>
              <w:spacing w:before="40" w:after="40" w:line="200" w:lineRule="atLeast"/>
              <w:rPr>
                <w:rFonts w:asciiTheme="minorHAnsi" w:eastAsia="Times New Roman" w:hAnsiTheme="minorHAnsi"/>
                <w:iCs/>
                <w:color w:val="auto"/>
                <w:szCs w:val="17"/>
                <w:lang w:val="en-AU" w:eastAsia="en-US"/>
              </w:rPr>
            </w:pPr>
            <w:r w:rsidRPr="00E10C3F">
              <w:rPr>
                <w:rFonts w:asciiTheme="minorHAnsi" w:eastAsia="Times New Roman" w:hAnsiTheme="minorHAnsi"/>
                <w:iCs/>
                <w:color w:val="auto"/>
                <w:szCs w:val="17"/>
                <w:lang w:val="en-AU" w:eastAsia="en-US"/>
              </w:rPr>
              <w:t>3,231 women leaders participated in public consultations</w:t>
            </w:r>
            <w:r w:rsidR="00CA65C8">
              <w:rPr>
                <w:rFonts w:asciiTheme="minorHAnsi" w:eastAsia="Times New Roman" w:hAnsiTheme="minorHAnsi"/>
                <w:iCs/>
                <w:color w:val="auto"/>
                <w:szCs w:val="17"/>
                <w:lang w:val="en-AU" w:eastAsia="en-US"/>
              </w:rPr>
              <w:t>.</w:t>
            </w:r>
          </w:p>
          <w:p w14:paraId="26191435" w14:textId="77777777" w:rsidR="00F82819" w:rsidRPr="00E10C3F" w:rsidRDefault="00F82819" w:rsidP="006F27B1">
            <w:pPr>
              <w:keepLines/>
              <w:spacing w:before="40" w:after="40" w:line="200" w:lineRule="atLeast"/>
              <w:rPr>
                <w:rFonts w:asciiTheme="minorHAnsi" w:eastAsia="Times New Roman" w:hAnsiTheme="minorHAnsi"/>
                <w:iCs/>
                <w:color w:val="auto"/>
                <w:szCs w:val="17"/>
                <w:lang w:eastAsia="en-US"/>
              </w:rPr>
            </w:pPr>
          </w:p>
          <w:p w14:paraId="2B2902BB" w14:textId="77777777" w:rsidR="00F82819" w:rsidRDefault="00F82819" w:rsidP="006F27B1">
            <w:pPr>
              <w:keepLines/>
              <w:spacing w:before="40" w:after="40" w:line="200" w:lineRule="atLeast"/>
              <w:rPr>
                <w:rFonts w:asciiTheme="minorHAnsi" w:eastAsia="Times New Roman" w:hAnsiTheme="minorHAnsi"/>
                <w:iCs/>
                <w:color w:val="auto"/>
                <w:szCs w:val="17"/>
                <w:lang w:eastAsia="en-US"/>
              </w:rPr>
            </w:pPr>
          </w:p>
          <w:p w14:paraId="5F5A92BA" w14:textId="77777777" w:rsidR="00FC44FC" w:rsidRDefault="00FC44FC" w:rsidP="006F27B1">
            <w:pPr>
              <w:keepLines/>
              <w:spacing w:before="40" w:after="40" w:line="200" w:lineRule="atLeast"/>
              <w:rPr>
                <w:rFonts w:asciiTheme="minorHAnsi" w:eastAsia="Times New Roman" w:hAnsiTheme="minorHAnsi"/>
                <w:iCs/>
                <w:color w:val="auto"/>
                <w:szCs w:val="17"/>
                <w:lang w:eastAsia="en-US"/>
              </w:rPr>
            </w:pPr>
          </w:p>
          <w:p w14:paraId="30BBDEC2" w14:textId="77777777" w:rsidR="00E10C3F" w:rsidRDefault="00E10C3F" w:rsidP="006F27B1">
            <w:pPr>
              <w:keepLines/>
              <w:spacing w:before="40" w:after="40" w:line="200" w:lineRule="atLeast"/>
              <w:rPr>
                <w:rFonts w:asciiTheme="minorHAnsi" w:eastAsia="Times New Roman" w:hAnsiTheme="minorHAnsi"/>
                <w:iCs/>
                <w:color w:val="auto"/>
                <w:szCs w:val="17"/>
                <w:lang w:eastAsia="en-US"/>
              </w:rPr>
            </w:pPr>
          </w:p>
          <w:p w14:paraId="325D959D" w14:textId="77777777" w:rsidR="00D32AD2" w:rsidRDefault="00EB4C06" w:rsidP="00CA65C8">
            <w:pPr>
              <w:keepLines/>
              <w:spacing w:before="40" w:after="40" w:line="200" w:lineRule="atLeast"/>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More than 37,000 additional children were enrolled, 18,241 of them were girls</w:t>
            </w:r>
            <w:r w:rsidR="00D32AD2">
              <w:rPr>
                <w:rFonts w:asciiTheme="minorHAnsi" w:eastAsia="Times New Roman" w:hAnsiTheme="minorHAnsi"/>
                <w:iCs/>
                <w:color w:val="auto"/>
                <w:szCs w:val="17"/>
                <w:lang w:eastAsia="en-US"/>
              </w:rPr>
              <w:t xml:space="preserve"> and 214 were children with a disability, as reported in special education classes supported by Basic Education Assistance for ARMM.</w:t>
            </w:r>
          </w:p>
          <w:p w14:paraId="4B417968" w14:textId="77777777" w:rsidR="00E10C3F" w:rsidRPr="00E10C3F" w:rsidRDefault="00E10C3F" w:rsidP="00CA65C8">
            <w:pPr>
              <w:keepLines/>
              <w:spacing w:before="40" w:after="40" w:line="200" w:lineRule="atLeast"/>
              <w:rPr>
                <w:rFonts w:asciiTheme="minorHAnsi" w:eastAsia="Times New Roman" w:hAnsiTheme="minorHAnsi"/>
                <w:iCs/>
                <w:color w:val="auto"/>
                <w:szCs w:val="17"/>
                <w:lang w:eastAsia="en-US"/>
              </w:rPr>
            </w:pPr>
          </w:p>
        </w:tc>
      </w:tr>
    </w:tbl>
    <w:p w14:paraId="6231281A" w14:textId="77777777" w:rsidR="00400B0F" w:rsidRPr="00E10C3F" w:rsidRDefault="00400B0F" w:rsidP="00400B0F">
      <w:pPr>
        <w:spacing w:before="20" w:after="20" w:line="180" w:lineRule="atLeast"/>
        <w:jc w:val="both"/>
        <w:rPr>
          <w:rFonts w:eastAsia="Times New Roman"/>
          <w:b/>
          <w:color w:val="auto"/>
          <w:sz w:val="16"/>
          <w:szCs w:val="14"/>
        </w:rPr>
      </w:pPr>
      <w:r w:rsidRPr="00E10C3F">
        <w:rPr>
          <w:rFonts w:eastAsia="Times New Roman"/>
          <w:b/>
          <w:color w:val="auto"/>
          <w:sz w:val="16"/>
          <w:szCs w:val="14"/>
        </w:rPr>
        <w:t xml:space="preserve">Note: </w:t>
      </w:r>
    </w:p>
    <w:p w14:paraId="12DC5E11" w14:textId="77777777" w:rsidR="00400B0F" w:rsidRPr="00E10C3F" w:rsidRDefault="00400B0F" w:rsidP="00400B0F">
      <w:pPr>
        <w:spacing w:before="20" w:after="20" w:line="180" w:lineRule="atLeast"/>
        <w:jc w:val="both"/>
        <w:rPr>
          <w:rFonts w:eastAsia="Times New Roman"/>
          <w:b/>
          <w:color w:val="auto"/>
          <w:sz w:val="16"/>
          <w:szCs w:val="14"/>
        </w:rPr>
      </w:pPr>
      <w:r w:rsidRPr="00880004">
        <w:rPr>
          <w:rFonts w:eastAsia="Times New Roman"/>
          <w:b/>
          <w:color w:val="72AF2F"/>
          <w:sz w:val="16"/>
          <w:szCs w:val="14"/>
        </w:rPr>
        <w:sym w:font="Webdings" w:char="F067"/>
      </w:r>
      <w:r w:rsidRPr="00880004">
        <w:rPr>
          <w:rFonts w:eastAsia="Times New Roman"/>
          <w:b/>
          <w:sz w:val="16"/>
          <w:szCs w:val="14"/>
        </w:rPr>
        <w:t> </w:t>
      </w:r>
      <w:r w:rsidRPr="00880004">
        <w:rPr>
          <w:rFonts w:eastAsia="Times New Roman"/>
          <w:b/>
          <w:sz w:val="16"/>
          <w:szCs w:val="14"/>
        </w:rPr>
        <w:t xml:space="preserve"> </w:t>
      </w:r>
      <w:r w:rsidRPr="00E10C3F">
        <w:rPr>
          <w:rFonts w:eastAsia="Times New Roman"/>
          <w:b/>
          <w:color w:val="auto"/>
          <w:sz w:val="16"/>
          <w:szCs w:val="14"/>
        </w:rPr>
        <w:t xml:space="preserve">Achieved.  Significant progress has been made and the performance benchmark was achieved </w:t>
      </w:r>
    </w:p>
    <w:p w14:paraId="2B1165E1" w14:textId="77777777" w:rsidR="00400B0F" w:rsidRPr="00E10C3F" w:rsidRDefault="00400B0F" w:rsidP="00400B0F">
      <w:pPr>
        <w:spacing w:before="20" w:after="20" w:line="180" w:lineRule="atLeast"/>
        <w:jc w:val="both"/>
        <w:rPr>
          <w:rFonts w:eastAsia="Times New Roman"/>
          <w:b/>
          <w:color w:val="auto"/>
          <w:sz w:val="16"/>
          <w:szCs w:val="14"/>
        </w:rPr>
      </w:pPr>
      <w:r w:rsidRPr="00880004">
        <w:rPr>
          <w:rFonts w:eastAsia="Times New Roman"/>
          <w:b/>
          <w:color w:val="E36C0A"/>
          <w:sz w:val="16"/>
          <w:szCs w:val="14"/>
        </w:rPr>
        <w:sym w:font="Webdings" w:char="F067"/>
      </w:r>
      <w:r w:rsidRPr="00880004">
        <w:rPr>
          <w:rFonts w:eastAsia="Times New Roman"/>
          <w:b/>
          <w:sz w:val="16"/>
          <w:szCs w:val="14"/>
        </w:rPr>
        <w:t> </w:t>
      </w:r>
      <w:r w:rsidRPr="00880004">
        <w:rPr>
          <w:rFonts w:eastAsia="Times New Roman"/>
          <w:b/>
          <w:sz w:val="16"/>
          <w:szCs w:val="14"/>
        </w:rPr>
        <w:t xml:space="preserve"> </w:t>
      </w:r>
      <w:r w:rsidRPr="00E10C3F">
        <w:rPr>
          <w:rFonts w:eastAsia="Times New Roman"/>
          <w:b/>
          <w:color w:val="auto"/>
          <w:sz w:val="16"/>
          <w:szCs w:val="14"/>
        </w:rPr>
        <w:t xml:space="preserve">Partly achieved.  Some progress has been made towards achieving the performance benchmark, but progress was less than anticipated. </w:t>
      </w:r>
    </w:p>
    <w:p w14:paraId="557E28F3" w14:textId="77777777"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w:t>
      </w:r>
      <w:r w:rsidRPr="00880004">
        <w:rPr>
          <w:rFonts w:eastAsia="Times New Roman"/>
          <w:b/>
          <w:sz w:val="16"/>
          <w:szCs w:val="14"/>
        </w:rPr>
        <w:t xml:space="preserve"> </w:t>
      </w:r>
      <w:r w:rsidRPr="00E10C3F">
        <w:rPr>
          <w:rFonts w:eastAsia="Times New Roman"/>
          <w:b/>
          <w:color w:val="auto"/>
          <w:sz w:val="16"/>
          <w:szCs w:val="14"/>
        </w:rPr>
        <w:t>Not achieved. Progress towards the performance benchmark has been significantly below expectations</w:t>
      </w:r>
    </w:p>
    <w:p w14:paraId="4CD2122A" w14:textId="77777777" w:rsidR="00400B0F" w:rsidRDefault="00400B0F" w:rsidP="002A51CA">
      <w:pPr>
        <w:spacing w:after="120" w:line="280" w:lineRule="exact"/>
        <w:rPr>
          <w:rFonts w:ascii="Franklin Gothic Book" w:eastAsia="Times New Roman" w:hAnsi="Franklin Gothic Book"/>
          <w:sz w:val="21"/>
        </w:rPr>
      </w:pPr>
    </w:p>
    <w:p w14:paraId="320FADC0" w14:textId="77777777" w:rsidR="00400B0F" w:rsidRDefault="00400B0F">
      <w:pPr>
        <w:suppressAutoHyphens w:val="0"/>
        <w:spacing w:before="0" w:after="120" w:line="440" w:lineRule="atLeast"/>
        <w:rPr>
          <w:rFonts w:ascii="Franklin Gothic Book" w:eastAsia="Times New Roman" w:hAnsi="Franklin Gothic Book"/>
          <w:sz w:val="21"/>
        </w:rPr>
      </w:pPr>
      <w:r>
        <w:rPr>
          <w:rFonts w:ascii="Franklin Gothic Book" w:eastAsia="Times New Roman" w:hAnsi="Franklin Gothic Book"/>
          <w:sz w:val="21"/>
        </w:rPr>
        <w:br w:type="page"/>
      </w:r>
    </w:p>
    <w:p w14:paraId="1E896616" w14:textId="77777777" w:rsidR="00400B0F" w:rsidRPr="00A02542" w:rsidRDefault="00400B0F" w:rsidP="00784031">
      <w:pPr>
        <w:pStyle w:val="Subtitle"/>
        <w:numPr>
          <w:ilvl w:val="0"/>
          <w:numId w:val="0"/>
        </w:numPr>
        <w:rPr>
          <w:color w:val="auto"/>
        </w:rPr>
      </w:pPr>
      <w:r w:rsidRPr="00A02542">
        <w:rPr>
          <w:color w:val="auto"/>
        </w:rPr>
        <w:lastRenderedPageBreak/>
        <w:t>Annex C - Evaluation Planning</w:t>
      </w:r>
    </w:p>
    <w:p w14:paraId="181E0A79" w14:textId="77777777" w:rsidR="00400B0F" w:rsidRPr="00A02542" w:rsidRDefault="00400B0F" w:rsidP="008C2F58">
      <w:pPr>
        <w:rPr>
          <w:b/>
          <w:color w:val="auto"/>
          <w:sz w:val="24"/>
        </w:rPr>
      </w:pPr>
      <w:r w:rsidRPr="00A02542">
        <w:rPr>
          <w:b/>
          <w:color w:val="auto"/>
          <w:sz w:val="24"/>
        </w:rPr>
        <w:t xml:space="preserve">List of evaluations completed in the reporting period </w:t>
      </w:r>
    </w:p>
    <w:tbl>
      <w:tblPr>
        <w:tblStyle w:val="APPR"/>
        <w:tblW w:w="14453" w:type="dxa"/>
        <w:tblLayout w:type="fixed"/>
        <w:tblLook w:val="04A0" w:firstRow="1" w:lastRow="0" w:firstColumn="1" w:lastColumn="0" w:noHBand="0" w:noVBand="1"/>
      </w:tblPr>
      <w:tblGrid>
        <w:gridCol w:w="3106"/>
        <w:gridCol w:w="4685"/>
        <w:gridCol w:w="1425"/>
        <w:gridCol w:w="1981"/>
        <w:gridCol w:w="1699"/>
        <w:gridCol w:w="1557"/>
      </w:tblGrid>
      <w:tr w:rsidR="00400B0F" w:rsidRPr="00A20667" w14:paraId="5FCEE52E" w14:textId="77777777" w:rsidTr="006F27B1">
        <w:trPr>
          <w:cnfStyle w:val="100000000000" w:firstRow="1" w:lastRow="0" w:firstColumn="0" w:lastColumn="0" w:oddVBand="0" w:evenVBand="0" w:oddHBand="0" w:evenHBand="0" w:firstRowFirstColumn="0" w:firstRowLastColumn="0" w:lastRowFirstColumn="0" w:lastRowLastColumn="0"/>
        </w:trPr>
        <w:tc>
          <w:tcPr>
            <w:tcW w:w="3064" w:type="dxa"/>
          </w:tcPr>
          <w:p w14:paraId="53848B70" w14:textId="77777777" w:rsidR="00400B0F" w:rsidRPr="00A20667" w:rsidRDefault="00400B0F" w:rsidP="006F27B1">
            <w:pPr>
              <w:keepLines/>
              <w:spacing w:line="200" w:lineRule="atLeast"/>
              <w:rPr>
                <w:rFonts w:asciiTheme="minorHAnsi" w:eastAsia="Times New Roman" w:hAnsiTheme="minorHAnsi"/>
                <w:iCs/>
                <w:color w:val="auto"/>
                <w:szCs w:val="17"/>
                <w:lang w:eastAsia="en-US"/>
              </w:rPr>
            </w:pPr>
            <w:r w:rsidRPr="00A20667">
              <w:rPr>
                <w:rFonts w:asciiTheme="minorHAnsi" w:eastAsia="Times New Roman" w:hAnsiTheme="minorHAnsi"/>
                <w:iCs/>
                <w:color w:val="auto"/>
                <w:szCs w:val="17"/>
                <w:lang w:eastAsia="en-US"/>
              </w:rPr>
              <w:t xml:space="preserve">Investment number and name </w:t>
            </w:r>
          </w:p>
          <w:p w14:paraId="1EE62C78" w14:textId="40E3BF07" w:rsidR="00400B0F" w:rsidRPr="00A20667" w:rsidRDefault="00400B0F" w:rsidP="006F27B1">
            <w:pPr>
              <w:keepLines/>
              <w:spacing w:line="200" w:lineRule="atLeast"/>
              <w:rPr>
                <w:rFonts w:asciiTheme="minorHAnsi" w:eastAsia="Times New Roman" w:hAnsiTheme="minorHAnsi"/>
                <w:b w:val="0"/>
                <w:iCs/>
                <w:color w:val="auto"/>
                <w:szCs w:val="17"/>
                <w:lang w:eastAsia="en-US"/>
              </w:rPr>
            </w:pPr>
          </w:p>
        </w:tc>
        <w:tc>
          <w:tcPr>
            <w:tcW w:w="4657" w:type="dxa"/>
          </w:tcPr>
          <w:p w14:paraId="7F44B6D4" w14:textId="77777777" w:rsidR="00400B0F" w:rsidRPr="00A20667" w:rsidRDefault="00400B0F" w:rsidP="006F27B1">
            <w:pPr>
              <w:keepLines/>
              <w:spacing w:line="200" w:lineRule="atLeast"/>
              <w:rPr>
                <w:rFonts w:asciiTheme="minorHAnsi" w:eastAsia="Times New Roman" w:hAnsiTheme="minorHAnsi"/>
                <w:iCs/>
                <w:color w:val="auto"/>
                <w:szCs w:val="17"/>
                <w:lang w:eastAsia="en-US"/>
              </w:rPr>
            </w:pPr>
            <w:r w:rsidRPr="00A20667">
              <w:rPr>
                <w:rFonts w:asciiTheme="minorHAnsi" w:eastAsia="Times New Roman" w:hAnsiTheme="minorHAnsi"/>
                <w:iCs/>
                <w:color w:val="auto"/>
                <w:szCs w:val="17"/>
                <w:lang w:eastAsia="en-US"/>
              </w:rPr>
              <w:t>Name of evaluation</w:t>
            </w:r>
          </w:p>
        </w:tc>
        <w:tc>
          <w:tcPr>
            <w:tcW w:w="1397" w:type="dxa"/>
          </w:tcPr>
          <w:p w14:paraId="0A26EEE9" w14:textId="77777777" w:rsidR="00400B0F" w:rsidRPr="00A20667" w:rsidRDefault="00400B0F" w:rsidP="006F27B1">
            <w:pPr>
              <w:keepLines/>
              <w:spacing w:line="200" w:lineRule="atLeast"/>
              <w:rPr>
                <w:rFonts w:asciiTheme="minorHAnsi" w:eastAsia="Times New Roman" w:hAnsiTheme="minorHAnsi"/>
                <w:iCs/>
                <w:color w:val="auto"/>
                <w:szCs w:val="17"/>
                <w:lang w:eastAsia="en-US"/>
              </w:rPr>
            </w:pPr>
            <w:r w:rsidRPr="00A20667">
              <w:rPr>
                <w:rFonts w:asciiTheme="minorHAnsi" w:eastAsia="Times New Roman" w:hAnsiTheme="minorHAnsi"/>
                <w:iCs/>
                <w:color w:val="auto"/>
                <w:szCs w:val="17"/>
                <w:lang w:eastAsia="en-US"/>
              </w:rPr>
              <w:t>Date completed</w:t>
            </w:r>
          </w:p>
        </w:tc>
        <w:tc>
          <w:tcPr>
            <w:tcW w:w="1953" w:type="dxa"/>
          </w:tcPr>
          <w:p w14:paraId="12A818EB" w14:textId="77777777" w:rsidR="00400B0F" w:rsidRPr="00A20667" w:rsidRDefault="00400B0F" w:rsidP="006F27B1">
            <w:pPr>
              <w:keepLines/>
              <w:spacing w:line="200" w:lineRule="atLeast"/>
              <w:rPr>
                <w:rFonts w:asciiTheme="minorHAnsi" w:eastAsia="Times New Roman" w:hAnsiTheme="minorHAnsi"/>
                <w:iCs/>
                <w:color w:val="auto"/>
                <w:szCs w:val="17"/>
                <w:lang w:eastAsia="en-US"/>
              </w:rPr>
            </w:pPr>
            <w:r w:rsidRPr="00A20667">
              <w:rPr>
                <w:rFonts w:asciiTheme="minorHAnsi" w:eastAsia="Times New Roman" w:hAnsiTheme="minorHAnsi"/>
                <w:iCs/>
                <w:color w:val="auto"/>
                <w:szCs w:val="17"/>
                <w:lang w:eastAsia="en-US"/>
              </w:rPr>
              <w:t>Date Evaluation report Uploaded into AidWorks</w:t>
            </w:r>
          </w:p>
        </w:tc>
        <w:tc>
          <w:tcPr>
            <w:tcW w:w="1671" w:type="dxa"/>
          </w:tcPr>
          <w:p w14:paraId="55D0B2A8" w14:textId="77777777" w:rsidR="00400B0F" w:rsidRPr="00A20667" w:rsidRDefault="00400B0F" w:rsidP="006F27B1">
            <w:pPr>
              <w:keepLines/>
              <w:spacing w:line="200" w:lineRule="atLeast"/>
              <w:rPr>
                <w:rFonts w:asciiTheme="minorHAnsi" w:eastAsia="Times New Roman" w:hAnsiTheme="minorHAnsi"/>
                <w:iCs/>
                <w:color w:val="auto"/>
                <w:szCs w:val="17"/>
                <w:lang w:eastAsia="en-US"/>
              </w:rPr>
            </w:pPr>
            <w:r w:rsidRPr="00A20667">
              <w:rPr>
                <w:rFonts w:asciiTheme="minorHAnsi" w:eastAsia="Times New Roman" w:hAnsiTheme="minorHAnsi"/>
                <w:iCs/>
                <w:color w:val="auto"/>
                <w:szCs w:val="17"/>
                <w:lang w:eastAsia="en-US"/>
              </w:rPr>
              <w:t>Date Management response uploaded into AidWorks</w:t>
            </w:r>
          </w:p>
        </w:tc>
        <w:tc>
          <w:tcPr>
            <w:tcW w:w="1515" w:type="dxa"/>
          </w:tcPr>
          <w:p w14:paraId="4262B537" w14:textId="77777777" w:rsidR="00400B0F" w:rsidRPr="00A20667" w:rsidRDefault="00400B0F" w:rsidP="006F27B1">
            <w:pPr>
              <w:keepLines/>
              <w:spacing w:line="200" w:lineRule="atLeast"/>
              <w:rPr>
                <w:rFonts w:asciiTheme="minorHAnsi" w:eastAsia="Times New Roman" w:hAnsiTheme="minorHAnsi"/>
                <w:iCs/>
                <w:color w:val="auto"/>
                <w:szCs w:val="17"/>
                <w:lang w:eastAsia="en-US"/>
              </w:rPr>
            </w:pPr>
            <w:r w:rsidRPr="00A20667">
              <w:rPr>
                <w:rFonts w:asciiTheme="minorHAnsi" w:eastAsia="Times New Roman" w:hAnsiTheme="minorHAnsi"/>
                <w:iCs/>
                <w:color w:val="auto"/>
                <w:szCs w:val="17"/>
                <w:lang w:eastAsia="en-US"/>
              </w:rPr>
              <w:t>Published on website</w:t>
            </w:r>
          </w:p>
        </w:tc>
      </w:tr>
      <w:tr w:rsidR="00400B0F" w:rsidRPr="003B5EE5" w14:paraId="76EB38F1" w14:textId="77777777" w:rsidTr="006F27B1">
        <w:trPr>
          <w:cnfStyle w:val="100000000000" w:firstRow="1" w:lastRow="0" w:firstColumn="0" w:lastColumn="0" w:oddVBand="0" w:evenVBand="0" w:oddHBand="0" w:evenHBand="0" w:firstRowFirstColumn="0" w:firstRowLastColumn="0" w:lastRowFirstColumn="0" w:lastRowLastColumn="0"/>
        </w:trPr>
        <w:tc>
          <w:tcPr>
            <w:tcW w:w="3064" w:type="dxa"/>
          </w:tcPr>
          <w:p w14:paraId="53ED405E" w14:textId="77777777" w:rsidR="007A2031" w:rsidRPr="00A02542" w:rsidRDefault="007A2031" w:rsidP="006F27B1">
            <w:pPr>
              <w:keepLines/>
              <w:spacing w:before="40" w:after="40" w:line="200" w:lineRule="atLeast"/>
              <w:rPr>
                <w:rFonts w:asciiTheme="minorHAnsi" w:eastAsia="Times New Roman" w:hAnsiTheme="minorHAnsi"/>
                <w:b w:val="0"/>
                <w:iCs/>
                <w:color w:val="auto"/>
                <w:szCs w:val="17"/>
                <w:lang w:eastAsia="en-US"/>
              </w:rPr>
            </w:pPr>
            <w:r w:rsidRPr="00A02542">
              <w:rPr>
                <w:rFonts w:asciiTheme="minorHAnsi" w:eastAsia="Times New Roman" w:hAnsiTheme="minorHAnsi"/>
                <w:b w:val="0"/>
                <w:iCs/>
                <w:color w:val="auto"/>
                <w:szCs w:val="17"/>
                <w:lang w:eastAsia="en-US"/>
              </w:rPr>
              <w:t>INI171 Provincial Road Management Facility (PRMF)</w:t>
            </w:r>
          </w:p>
          <w:p w14:paraId="1F3B0CA0" w14:textId="77777777" w:rsidR="00400B0F" w:rsidRPr="00A02542" w:rsidRDefault="00400B0F" w:rsidP="006F27B1">
            <w:pPr>
              <w:keepLines/>
              <w:spacing w:before="40" w:after="40" w:line="200" w:lineRule="atLeast"/>
              <w:rPr>
                <w:rFonts w:asciiTheme="minorHAnsi" w:eastAsia="Times New Roman" w:hAnsiTheme="minorHAnsi"/>
                <w:b w:val="0"/>
                <w:iCs/>
                <w:color w:val="auto"/>
                <w:szCs w:val="17"/>
                <w:lang w:eastAsia="en-US"/>
              </w:rPr>
            </w:pPr>
          </w:p>
        </w:tc>
        <w:tc>
          <w:tcPr>
            <w:tcW w:w="4657" w:type="dxa"/>
          </w:tcPr>
          <w:p w14:paraId="376013B8" w14:textId="4C3E23A7" w:rsidR="00400B0F" w:rsidRPr="00A02542" w:rsidRDefault="007A2031" w:rsidP="006F27B1">
            <w:pPr>
              <w:keepLines/>
              <w:spacing w:before="40" w:after="40" w:line="200" w:lineRule="atLeast"/>
              <w:rPr>
                <w:rFonts w:asciiTheme="minorHAnsi" w:eastAsia="Times New Roman" w:hAnsiTheme="minorHAnsi"/>
                <w:b w:val="0"/>
                <w:iCs/>
                <w:color w:val="auto"/>
                <w:szCs w:val="17"/>
                <w:lang w:eastAsia="en-US"/>
              </w:rPr>
            </w:pPr>
            <w:r w:rsidRPr="00A02542">
              <w:rPr>
                <w:rFonts w:asciiTheme="minorHAnsi" w:eastAsia="Times New Roman" w:hAnsiTheme="minorHAnsi"/>
                <w:b w:val="0"/>
                <w:iCs/>
                <w:color w:val="auto"/>
                <w:szCs w:val="17"/>
                <w:lang w:eastAsia="en-US"/>
              </w:rPr>
              <w:t>Independent</w:t>
            </w:r>
            <w:r w:rsidR="002E3358" w:rsidRPr="00A02542">
              <w:rPr>
                <w:rFonts w:asciiTheme="minorHAnsi" w:eastAsia="Times New Roman" w:hAnsiTheme="minorHAnsi"/>
                <w:b w:val="0"/>
                <w:iCs/>
                <w:color w:val="auto"/>
                <w:szCs w:val="17"/>
                <w:lang w:eastAsia="en-US"/>
              </w:rPr>
              <w:t xml:space="preserve"> Final External</w:t>
            </w:r>
            <w:r w:rsidRPr="00A02542">
              <w:rPr>
                <w:rFonts w:asciiTheme="minorHAnsi" w:eastAsia="Times New Roman" w:hAnsiTheme="minorHAnsi"/>
                <w:b w:val="0"/>
                <w:iCs/>
                <w:color w:val="auto"/>
                <w:szCs w:val="17"/>
                <w:lang w:eastAsia="en-US"/>
              </w:rPr>
              <w:t xml:space="preserve"> Review of PRMF </w:t>
            </w:r>
          </w:p>
        </w:tc>
        <w:tc>
          <w:tcPr>
            <w:tcW w:w="1397" w:type="dxa"/>
          </w:tcPr>
          <w:p w14:paraId="7BE13928" w14:textId="6F5DF4EE" w:rsidR="00400B0F" w:rsidRPr="00A02542" w:rsidRDefault="007A2031" w:rsidP="006F27B1">
            <w:pPr>
              <w:keepLines/>
              <w:spacing w:before="40" w:after="40" w:line="200" w:lineRule="atLeast"/>
              <w:rPr>
                <w:rFonts w:asciiTheme="minorHAnsi" w:eastAsia="Times New Roman" w:hAnsiTheme="minorHAnsi"/>
                <w:b w:val="0"/>
                <w:iCs/>
                <w:color w:val="auto"/>
                <w:szCs w:val="17"/>
                <w:lang w:eastAsia="en-US"/>
              </w:rPr>
            </w:pPr>
            <w:r w:rsidRPr="00A02542">
              <w:rPr>
                <w:rFonts w:asciiTheme="minorHAnsi" w:eastAsia="Times New Roman" w:hAnsiTheme="minorHAnsi"/>
                <w:b w:val="0"/>
                <w:iCs/>
                <w:color w:val="auto"/>
                <w:szCs w:val="17"/>
                <w:lang w:eastAsia="en-US"/>
              </w:rPr>
              <w:t>7 April 2016</w:t>
            </w:r>
          </w:p>
        </w:tc>
        <w:tc>
          <w:tcPr>
            <w:tcW w:w="1953" w:type="dxa"/>
          </w:tcPr>
          <w:p w14:paraId="0A5AA008" w14:textId="219334BB" w:rsidR="00400B0F" w:rsidRPr="00A02542" w:rsidRDefault="006945EA" w:rsidP="006F27B1">
            <w:pPr>
              <w:keepLines/>
              <w:spacing w:before="40" w:after="40" w:line="200" w:lineRule="atLeast"/>
              <w:rPr>
                <w:rFonts w:asciiTheme="minorHAnsi" w:eastAsia="Times New Roman" w:hAnsiTheme="minorHAnsi"/>
                <w:b w:val="0"/>
                <w:iCs/>
                <w:color w:val="auto"/>
                <w:szCs w:val="17"/>
                <w:lang w:eastAsia="en-US"/>
              </w:rPr>
            </w:pPr>
            <w:r w:rsidRPr="00A02542">
              <w:rPr>
                <w:rFonts w:asciiTheme="minorHAnsi" w:eastAsia="Times New Roman" w:hAnsiTheme="minorHAnsi"/>
                <w:b w:val="0"/>
                <w:iCs/>
                <w:color w:val="auto"/>
                <w:szCs w:val="17"/>
                <w:lang w:eastAsia="en-US"/>
              </w:rPr>
              <w:t>August 2016</w:t>
            </w:r>
          </w:p>
        </w:tc>
        <w:tc>
          <w:tcPr>
            <w:tcW w:w="1671" w:type="dxa"/>
          </w:tcPr>
          <w:p w14:paraId="51BA06FB" w14:textId="68EFE567" w:rsidR="00400B0F" w:rsidRPr="00A02542" w:rsidRDefault="006945EA" w:rsidP="006F27B1">
            <w:pPr>
              <w:keepLines/>
              <w:spacing w:before="40" w:after="40" w:line="200" w:lineRule="atLeast"/>
              <w:rPr>
                <w:rFonts w:asciiTheme="minorHAnsi" w:eastAsia="Times New Roman" w:hAnsiTheme="minorHAnsi"/>
                <w:b w:val="0"/>
                <w:iCs/>
                <w:color w:val="auto"/>
                <w:szCs w:val="17"/>
                <w:lang w:eastAsia="en-US"/>
              </w:rPr>
            </w:pPr>
            <w:r w:rsidRPr="00A02542">
              <w:rPr>
                <w:rFonts w:asciiTheme="minorHAnsi" w:eastAsia="Times New Roman" w:hAnsiTheme="minorHAnsi"/>
                <w:b w:val="0"/>
                <w:iCs/>
                <w:color w:val="auto"/>
                <w:szCs w:val="17"/>
                <w:lang w:eastAsia="en-US"/>
              </w:rPr>
              <w:t>August 2016</w:t>
            </w:r>
          </w:p>
        </w:tc>
        <w:tc>
          <w:tcPr>
            <w:tcW w:w="1515" w:type="dxa"/>
          </w:tcPr>
          <w:p w14:paraId="68AAAE3D" w14:textId="70224EE7" w:rsidR="00400B0F" w:rsidRPr="00A02542" w:rsidRDefault="007A2031" w:rsidP="00A20667">
            <w:pPr>
              <w:keepLines/>
              <w:spacing w:before="40" w:after="40" w:line="200" w:lineRule="atLeast"/>
              <w:rPr>
                <w:rFonts w:asciiTheme="minorHAnsi" w:eastAsia="Times New Roman" w:hAnsiTheme="minorHAnsi"/>
                <w:b w:val="0"/>
                <w:iCs/>
                <w:color w:val="auto"/>
                <w:szCs w:val="17"/>
                <w:lang w:eastAsia="en-US"/>
              </w:rPr>
            </w:pPr>
            <w:r w:rsidRPr="00A02542">
              <w:rPr>
                <w:rFonts w:asciiTheme="minorHAnsi" w:eastAsia="Times New Roman" w:hAnsiTheme="minorHAnsi"/>
                <w:b w:val="0"/>
                <w:iCs/>
                <w:color w:val="auto"/>
                <w:szCs w:val="17"/>
                <w:lang w:eastAsia="en-US"/>
              </w:rPr>
              <w:t>The</w:t>
            </w:r>
            <w:r w:rsidR="002C209A" w:rsidRPr="00A02542">
              <w:rPr>
                <w:rFonts w:asciiTheme="minorHAnsi" w:eastAsia="Times New Roman" w:hAnsiTheme="minorHAnsi"/>
                <w:b w:val="0"/>
                <w:iCs/>
                <w:color w:val="auto"/>
                <w:szCs w:val="17"/>
                <w:lang w:eastAsia="en-US"/>
              </w:rPr>
              <w:t xml:space="preserve"> Independent Final External</w:t>
            </w:r>
            <w:r w:rsidRPr="00A02542">
              <w:rPr>
                <w:rFonts w:asciiTheme="minorHAnsi" w:eastAsia="Times New Roman" w:hAnsiTheme="minorHAnsi"/>
                <w:b w:val="0"/>
                <w:iCs/>
                <w:color w:val="auto"/>
                <w:szCs w:val="17"/>
                <w:lang w:eastAsia="en-US"/>
              </w:rPr>
              <w:t xml:space="preserve"> Review is an Annex to the Final Completion </w:t>
            </w:r>
            <w:r w:rsidR="00A20667">
              <w:rPr>
                <w:rFonts w:asciiTheme="minorHAnsi" w:eastAsia="Times New Roman" w:hAnsiTheme="minorHAnsi"/>
                <w:b w:val="0"/>
                <w:iCs/>
                <w:color w:val="auto"/>
                <w:szCs w:val="17"/>
                <w:lang w:eastAsia="en-US"/>
              </w:rPr>
              <w:t xml:space="preserve">Report </w:t>
            </w:r>
            <w:r w:rsidRPr="00A02542">
              <w:rPr>
                <w:rFonts w:asciiTheme="minorHAnsi" w:eastAsia="Times New Roman" w:hAnsiTheme="minorHAnsi"/>
                <w:b w:val="0"/>
                <w:iCs/>
                <w:color w:val="auto"/>
                <w:szCs w:val="17"/>
                <w:lang w:eastAsia="en-US"/>
              </w:rPr>
              <w:t>of PRMF</w:t>
            </w:r>
            <w:r w:rsidR="008634D5" w:rsidRPr="00A02542">
              <w:rPr>
                <w:rFonts w:asciiTheme="minorHAnsi" w:eastAsia="Times New Roman" w:hAnsiTheme="minorHAnsi"/>
                <w:b w:val="0"/>
                <w:iCs/>
                <w:color w:val="auto"/>
                <w:szCs w:val="17"/>
                <w:lang w:eastAsia="en-US"/>
              </w:rPr>
              <w:t xml:space="preserve">. Publication </w:t>
            </w:r>
            <w:r w:rsidR="00EE307B" w:rsidRPr="00A02542">
              <w:rPr>
                <w:rFonts w:asciiTheme="minorHAnsi" w:eastAsia="Times New Roman" w:hAnsiTheme="minorHAnsi"/>
                <w:b w:val="0"/>
                <w:iCs/>
                <w:color w:val="auto"/>
                <w:szCs w:val="17"/>
                <w:lang w:eastAsia="en-US"/>
              </w:rPr>
              <w:t xml:space="preserve">of the </w:t>
            </w:r>
            <w:r w:rsidR="00A20667">
              <w:rPr>
                <w:rFonts w:asciiTheme="minorHAnsi" w:eastAsia="Times New Roman" w:hAnsiTheme="minorHAnsi"/>
                <w:b w:val="0"/>
                <w:iCs/>
                <w:color w:val="auto"/>
                <w:szCs w:val="17"/>
                <w:lang w:eastAsia="en-US"/>
              </w:rPr>
              <w:t>r</w:t>
            </w:r>
            <w:r w:rsidR="00EE307B" w:rsidRPr="00A02542">
              <w:rPr>
                <w:rFonts w:asciiTheme="minorHAnsi" w:eastAsia="Times New Roman" w:hAnsiTheme="minorHAnsi"/>
                <w:b w:val="0"/>
                <w:iCs/>
                <w:color w:val="auto"/>
                <w:szCs w:val="17"/>
                <w:lang w:eastAsia="en-US"/>
              </w:rPr>
              <w:t>eport</w:t>
            </w:r>
            <w:r w:rsidR="00680B67" w:rsidRPr="00A02542">
              <w:rPr>
                <w:rFonts w:asciiTheme="minorHAnsi" w:eastAsia="Times New Roman" w:hAnsiTheme="minorHAnsi"/>
                <w:b w:val="0"/>
                <w:iCs/>
                <w:color w:val="auto"/>
                <w:szCs w:val="17"/>
                <w:lang w:eastAsia="en-US"/>
              </w:rPr>
              <w:t xml:space="preserve"> is</w:t>
            </w:r>
            <w:r w:rsidR="0035353B" w:rsidRPr="00A02542">
              <w:rPr>
                <w:rFonts w:asciiTheme="minorHAnsi" w:eastAsia="Times New Roman" w:hAnsiTheme="minorHAnsi"/>
                <w:b w:val="0"/>
                <w:iCs/>
                <w:color w:val="auto"/>
                <w:szCs w:val="17"/>
                <w:lang w:eastAsia="en-US"/>
              </w:rPr>
              <w:t xml:space="preserve"> </w:t>
            </w:r>
            <w:r w:rsidR="00A20667">
              <w:rPr>
                <w:rFonts w:asciiTheme="minorHAnsi" w:eastAsia="Times New Roman" w:hAnsiTheme="minorHAnsi"/>
                <w:b w:val="0"/>
                <w:iCs/>
                <w:color w:val="auto"/>
                <w:szCs w:val="17"/>
                <w:lang w:eastAsia="en-US"/>
              </w:rPr>
              <w:t>expected in</w:t>
            </w:r>
            <w:r w:rsidR="0035353B" w:rsidRPr="00A02542">
              <w:rPr>
                <w:rFonts w:asciiTheme="minorHAnsi" w:eastAsia="Times New Roman" w:hAnsiTheme="minorHAnsi"/>
                <w:b w:val="0"/>
                <w:iCs/>
                <w:color w:val="auto"/>
                <w:szCs w:val="17"/>
                <w:lang w:eastAsia="en-US"/>
              </w:rPr>
              <w:t xml:space="preserve"> </w:t>
            </w:r>
            <w:r w:rsidR="00A20667">
              <w:rPr>
                <w:rFonts w:asciiTheme="minorHAnsi" w:eastAsia="Times New Roman" w:hAnsiTheme="minorHAnsi"/>
                <w:b w:val="0"/>
                <w:iCs/>
                <w:color w:val="auto"/>
                <w:szCs w:val="17"/>
                <w:lang w:eastAsia="en-US"/>
              </w:rPr>
              <w:t>late</w:t>
            </w:r>
            <w:r w:rsidR="0035353B" w:rsidRPr="00A02542">
              <w:rPr>
                <w:rFonts w:asciiTheme="minorHAnsi" w:eastAsia="Times New Roman" w:hAnsiTheme="minorHAnsi"/>
                <w:b w:val="0"/>
                <w:iCs/>
                <w:color w:val="auto"/>
                <w:szCs w:val="17"/>
                <w:lang w:eastAsia="en-US"/>
              </w:rPr>
              <w:t xml:space="preserve"> 2016.</w:t>
            </w:r>
            <w:r w:rsidR="00EE307B" w:rsidRPr="00A02542">
              <w:rPr>
                <w:rFonts w:asciiTheme="minorHAnsi" w:eastAsia="Times New Roman" w:hAnsiTheme="minorHAnsi"/>
                <w:b w:val="0"/>
                <w:iCs/>
                <w:color w:val="auto"/>
                <w:szCs w:val="17"/>
                <w:lang w:eastAsia="en-US"/>
              </w:rPr>
              <w:t xml:space="preserve"> </w:t>
            </w:r>
          </w:p>
        </w:tc>
      </w:tr>
    </w:tbl>
    <w:p w14:paraId="140BADA9" w14:textId="77777777" w:rsidR="00400B0F" w:rsidRPr="00A02542" w:rsidRDefault="00400B0F" w:rsidP="008C2F58">
      <w:pPr>
        <w:rPr>
          <w:b/>
          <w:color w:val="auto"/>
          <w:sz w:val="24"/>
        </w:rPr>
      </w:pPr>
      <w:r w:rsidRPr="00A02542">
        <w:rPr>
          <w:b/>
          <w:color w:val="auto"/>
          <w:sz w:val="24"/>
        </w:rPr>
        <w:t xml:space="preserve">List of program prioritised evaluations planned for the next 12 months </w:t>
      </w:r>
    </w:p>
    <w:tbl>
      <w:tblPr>
        <w:tblStyle w:val="APPR"/>
        <w:tblW w:w="0" w:type="auto"/>
        <w:tblLook w:val="0600" w:firstRow="0" w:lastRow="0" w:firstColumn="0" w:lastColumn="0" w:noHBand="1" w:noVBand="1"/>
      </w:tblPr>
      <w:tblGrid>
        <w:gridCol w:w="2514"/>
        <w:gridCol w:w="2409"/>
        <w:gridCol w:w="2487"/>
        <w:gridCol w:w="2255"/>
        <w:gridCol w:w="2376"/>
        <w:gridCol w:w="2404"/>
      </w:tblGrid>
      <w:tr w:rsidR="00400B0F" w:rsidRPr="00A02542" w14:paraId="6081700D" w14:textId="77777777" w:rsidTr="00CF00FE">
        <w:tc>
          <w:tcPr>
            <w:tcW w:w="2472" w:type="dxa"/>
          </w:tcPr>
          <w:p w14:paraId="1F11ECFC" w14:textId="77777777" w:rsidR="00400B0F" w:rsidRPr="00A02542" w:rsidRDefault="00400B0F" w:rsidP="006F27B1">
            <w:pPr>
              <w:keepLines/>
              <w:spacing w:before="80" w:after="80" w:line="200" w:lineRule="atLeast"/>
              <w:rPr>
                <w:rFonts w:asciiTheme="minorHAnsi" w:eastAsia="Times New Roman" w:hAnsiTheme="minorHAnsi"/>
                <w:b/>
                <w:iCs/>
                <w:color w:val="auto"/>
                <w:szCs w:val="17"/>
                <w:lang w:eastAsia="en-US"/>
              </w:rPr>
            </w:pPr>
            <w:r w:rsidRPr="00A02542">
              <w:rPr>
                <w:rFonts w:asciiTheme="minorHAnsi" w:eastAsia="Times New Roman" w:hAnsiTheme="minorHAnsi"/>
                <w:b/>
                <w:iCs/>
                <w:color w:val="auto"/>
                <w:szCs w:val="17"/>
                <w:lang w:eastAsia="en-US"/>
              </w:rPr>
              <w:t>Evaluation title</w:t>
            </w:r>
          </w:p>
        </w:tc>
        <w:tc>
          <w:tcPr>
            <w:tcW w:w="2381" w:type="dxa"/>
          </w:tcPr>
          <w:p w14:paraId="0DBD490E" w14:textId="77777777" w:rsidR="00400B0F" w:rsidRPr="00A02542" w:rsidRDefault="00400B0F" w:rsidP="006F27B1">
            <w:pPr>
              <w:keepLines/>
              <w:spacing w:before="80" w:after="80" w:line="200" w:lineRule="atLeast"/>
              <w:rPr>
                <w:rFonts w:asciiTheme="minorHAnsi" w:eastAsia="Times New Roman" w:hAnsiTheme="minorHAnsi"/>
                <w:b/>
                <w:iCs/>
                <w:color w:val="auto"/>
                <w:szCs w:val="17"/>
                <w:lang w:eastAsia="en-US"/>
              </w:rPr>
            </w:pPr>
            <w:r w:rsidRPr="00A02542">
              <w:rPr>
                <w:rFonts w:asciiTheme="minorHAnsi" w:eastAsia="Times New Roman" w:hAnsiTheme="minorHAnsi"/>
                <w:b/>
                <w:iCs/>
                <w:color w:val="auto"/>
                <w:szCs w:val="17"/>
                <w:lang w:eastAsia="en-US"/>
              </w:rPr>
              <w:t xml:space="preserve">Investment number and name (if applicable) </w:t>
            </w:r>
          </w:p>
        </w:tc>
        <w:tc>
          <w:tcPr>
            <w:tcW w:w="2459" w:type="dxa"/>
          </w:tcPr>
          <w:p w14:paraId="31A858D5" w14:textId="77777777" w:rsidR="00400B0F" w:rsidRPr="00A02542" w:rsidRDefault="00400B0F" w:rsidP="006F27B1">
            <w:pPr>
              <w:keepLines/>
              <w:spacing w:before="80" w:after="80" w:line="200" w:lineRule="atLeast"/>
              <w:rPr>
                <w:rFonts w:asciiTheme="minorHAnsi" w:eastAsia="Times New Roman" w:hAnsiTheme="minorHAnsi"/>
                <w:b/>
                <w:iCs/>
                <w:color w:val="auto"/>
                <w:szCs w:val="17"/>
                <w:lang w:eastAsia="en-US"/>
              </w:rPr>
            </w:pPr>
            <w:r w:rsidRPr="00A02542">
              <w:rPr>
                <w:rFonts w:asciiTheme="minorHAnsi" w:eastAsia="Times New Roman" w:hAnsiTheme="minorHAnsi"/>
                <w:b/>
                <w:iCs/>
                <w:color w:val="auto"/>
                <w:szCs w:val="17"/>
                <w:lang w:eastAsia="en-US"/>
              </w:rPr>
              <w:t>Date – planned commencement (month/year)</w:t>
            </w:r>
          </w:p>
        </w:tc>
        <w:tc>
          <w:tcPr>
            <w:tcW w:w="2227" w:type="dxa"/>
          </w:tcPr>
          <w:p w14:paraId="2264A671" w14:textId="77777777" w:rsidR="00400B0F" w:rsidRPr="00A02542" w:rsidRDefault="00400B0F" w:rsidP="006F27B1">
            <w:pPr>
              <w:keepLines/>
              <w:spacing w:before="80" w:after="80" w:line="200" w:lineRule="atLeast"/>
              <w:rPr>
                <w:rFonts w:asciiTheme="minorHAnsi" w:eastAsia="Times New Roman" w:hAnsiTheme="minorHAnsi"/>
                <w:b/>
                <w:iCs/>
                <w:color w:val="auto"/>
                <w:szCs w:val="17"/>
                <w:lang w:eastAsia="en-US"/>
              </w:rPr>
            </w:pPr>
            <w:r w:rsidRPr="00A02542">
              <w:rPr>
                <w:rFonts w:asciiTheme="minorHAnsi" w:eastAsia="Times New Roman" w:hAnsiTheme="minorHAnsi"/>
                <w:b/>
                <w:iCs/>
                <w:color w:val="auto"/>
                <w:szCs w:val="17"/>
                <w:lang w:eastAsia="en-US"/>
              </w:rPr>
              <w:t>Date – planned completion (month/year)</w:t>
            </w:r>
          </w:p>
        </w:tc>
        <w:tc>
          <w:tcPr>
            <w:tcW w:w="2348" w:type="dxa"/>
          </w:tcPr>
          <w:p w14:paraId="0A520656" w14:textId="77777777" w:rsidR="00400B0F" w:rsidRPr="00A02542" w:rsidRDefault="00400B0F" w:rsidP="006F27B1">
            <w:pPr>
              <w:keepLines/>
              <w:spacing w:before="80" w:after="80" w:line="200" w:lineRule="atLeast"/>
              <w:rPr>
                <w:rFonts w:asciiTheme="minorHAnsi" w:eastAsia="Times New Roman" w:hAnsiTheme="minorHAnsi"/>
                <w:b/>
                <w:iCs/>
                <w:color w:val="auto"/>
                <w:szCs w:val="17"/>
                <w:lang w:eastAsia="en-US"/>
              </w:rPr>
            </w:pPr>
            <w:r w:rsidRPr="00A02542">
              <w:rPr>
                <w:rFonts w:asciiTheme="minorHAnsi" w:eastAsia="Times New Roman" w:hAnsiTheme="minorHAnsi"/>
                <w:b/>
                <w:iCs/>
                <w:color w:val="auto"/>
                <w:szCs w:val="17"/>
                <w:lang w:eastAsia="en-US"/>
              </w:rPr>
              <w:t>Purpose of evaluation</w:t>
            </w:r>
          </w:p>
        </w:tc>
        <w:tc>
          <w:tcPr>
            <w:tcW w:w="2362" w:type="dxa"/>
          </w:tcPr>
          <w:p w14:paraId="07C9B716" w14:textId="77777777" w:rsidR="00400B0F" w:rsidRPr="00A02542" w:rsidRDefault="00400B0F" w:rsidP="006F27B1">
            <w:pPr>
              <w:keepLines/>
              <w:spacing w:before="80" w:after="80" w:line="200" w:lineRule="atLeast"/>
              <w:rPr>
                <w:rFonts w:asciiTheme="minorHAnsi" w:eastAsia="Times New Roman" w:hAnsiTheme="minorHAnsi"/>
                <w:b/>
                <w:iCs/>
                <w:color w:val="auto"/>
                <w:szCs w:val="17"/>
                <w:lang w:eastAsia="en-US"/>
              </w:rPr>
            </w:pPr>
            <w:r w:rsidRPr="00A02542">
              <w:rPr>
                <w:rFonts w:asciiTheme="minorHAnsi" w:eastAsia="Times New Roman" w:hAnsiTheme="minorHAnsi"/>
                <w:b/>
                <w:iCs/>
                <w:color w:val="auto"/>
                <w:szCs w:val="17"/>
                <w:lang w:eastAsia="en-US"/>
              </w:rPr>
              <w:t>Evaluation type</w:t>
            </w:r>
          </w:p>
        </w:tc>
      </w:tr>
      <w:tr w:rsidR="00400B0F" w:rsidRPr="00C61187" w14:paraId="677105E3" w14:textId="77777777" w:rsidTr="00A02542">
        <w:tc>
          <w:tcPr>
            <w:tcW w:w="2472" w:type="dxa"/>
            <w:tcBorders>
              <w:top w:val="nil"/>
              <w:bottom w:val="nil"/>
            </w:tcBorders>
          </w:tcPr>
          <w:p w14:paraId="60B4913D" w14:textId="77777777" w:rsidR="00400B0F" w:rsidRPr="00A02542" w:rsidRDefault="00E10C3F" w:rsidP="006F27B1">
            <w:pPr>
              <w:keepLines/>
              <w:spacing w:before="40" w:after="40" w:line="200" w:lineRule="atLeast"/>
              <w:rPr>
                <w:rFonts w:asciiTheme="minorHAnsi" w:eastAsia="Times New Roman" w:hAnsiTheme="minorHAnsi"/>
                <w:iCs/>
                <w:color w:val="auto"/>
                <w:szCs w:val="17"/>
                <w:lang w:eastAsia="en-US"/>
              </w:rPr>
            </w:pPr>
            <w:r w:rsidRPr="00A02542">
              <w:rPr>
                <w:rFonts w:asciiTheme="minorHAnsi" w:eastAsia="Times New Roman" w:hAnsiTheme="minorHAnsi"/>
                <w:iCs/>
                <w:color w:val="auto"/>
                <w:szCs w:val="17"/>
                <w:lang w:eastAsia="en-US"/>
              </w:rPr>
              <w:t xml:space="preserve">Disaster and Climate Risks Management </w:t>
            </w:r>
          </w:p>
          <w:p w14:paraId="0A34CE4B" w14:textId="77777777" w:rsidR="00E10C3F" w:rsidRPr="00A02542" w:rsidRDefault="00E10C3F" w:rsidP="00E10C3F">
            <w:pPr>
              <w:pStyle w:val="ListParagraph"/>
              <w:keepLines/>
              <w:numPr>
                <w:ilvl w:val="0"/>
                <w:numId w:val="26"/>
              </w:numPr>
              <w:spacing w:before="40" w:after="40" w:line="200" w:lineRule="atLeast"/>
              <w:ind w:left="142" w:hanging="142"/>
              <w:rPr>
                <w:rFonts w:asciiTheme="minorHAnsi" w:eastAsia="Times New Roman" w:hAnsiTheme="minorHAnsi"/>
                <w:iCs/>
                <w:color w:val="auto"/>
                <w:szCs w:val="17"/>
                <w:lang w:eastAsia="en-US"/>
              </w:rPr>
            </w:pPr>
            <w:r w:rsidRPr="00A02542">
              <w:rPr>
                <w:rFonts w:asciiTheme="minorHAnsi" w:eastAsia="Times New Roman" w:hAnsiTheme="minorHAnsi"/>
                <w:iCs/>
                <w:color w:val="auto"/>
                <w:szCs w:val="17"/>
                <w:lang w:eastAsia="en-US"/>
              </w:rPr>
              <w:t>GMMA READY Project completion and terminal evaluation</w:t>
            </w:r>
          </w:p>
          <w:p w14:paraId="26DAD3C3" w14:textId="77777777" w:rsidR="0050378A" w:rsidRPr="00A02542" w:rsidRDefault="0050378A" w:rsidP="0050378A">
            <w:pPr>
              <w:pStyle w:val="ListParagraph"/>
              <w:keepLines/>
              <w:numPr>
                <w:ilvl w:val="0"/>
                <w:numId w:val="26"/>
              </w:numPr>
              <w:spacing w:before="40" w:after="40" w:line="200" w:lineRule="atLeast"/>
              <w:ind w:left="142" w:hanging="142"/>
              <w:rPr>
                <w:rFonts w:asciiTheme="minorHAnsi" w:eastAsia="Times New Roman" w:hAnsiTheme="minorHAnsi"/>
                <w:iCs/>
                <w:color w:val="auto"/>
                <w:szCs w:val="17"/>
                <w:lang w:eastAsia="en-US"/>
              </w:rPr>
            </w:pPr>
            <w:r w:rsidRPr="00A02542">
              <w:rPr>
                <w:rFonts w:asciiTheme="minorHAnsi" w:eastAsia="Times New Roman" w:hAnsiTheme="minorHAnsi"/>
                <w:iCs/>
                <w:color w:val="auto"/>
                <w:szCs w:val="17"/>
                <w:lang w:eastAsia="en-US"/>
              </w:rPr>
              <w:t>RAPID Program/Project Climate Twin Phoenix mid-term evaluation</w:t>
            </w:r>
          </w:p>
        </w:tc>
        <w:tc>
          <w:tcPr>
            <w:tcW w:w="2381" w:type="dxa"/>
          </w:tcPr>
          <w:p w14:paraId="33FAA261" w14:textId="77777777" w:rsidR="00400B0F" w:rsidRPr="00A02542" w:rsidRDefault="00E10C3F" w:rsidP="006F27B1">
            <w:pPr>
              <w:keepLines/>
              <w:spacing w:before="40" w:after="40" w:line="200" w:lineRule="atLeast"/>
              <w:rPr>
                <w:rFonts w:asciiTheme="minorHAnsi" w:eastAsia="Times New Roman" w:hAnsiTheme="minorHAnsi"/>
                <w:iCs/>
                <w:color w:val="auto"/>
                <w:szCs w:val="17"/>
                <w:lang w:eastAsia="en-US"/>
              </w:rPr>
            </w:pPr>
            <w:r w:rsidRPr="00A02542">
              <w:rPr>
                <w:rFonts w:asciiTheme="minorHAnsi" w:eastAsia="Times New Roman" w:hAnsiTheme="minorHAnsi"/>
                <w:iCs/>
                <w:color w:val="auto"/>
                <w:szCs w:val="17"/>
                <w:lang w:eastAsia="en-US"/>
              </w:rPr>
              <w:t xml:space="preserve">ING581 </w:t>
            </w:r>
          </w:p>
          <w:p w14:paraId="3134221B" w14:textId="77777777" w:rsidR="0050378A" w:rsidRPr="00A02542" w:rsidRDefault="0050378A" w:rsidP="006F27B1">
            <w:pPr>
              <w:keepLines/>
              <w:spacing w:before="40" w:after="40" w:line="200" w:lineRule="atLeast"/>
              <w:rPr>
                <w:rFonts w:asciiTheme="minorHAnsi" w:eastAsia="Times New Roman" w:hAnsiTheme="minorHAnsi"/>
                <w:iCs/>
                <w:color w:val="auto"/>
                <w:szCs w:val="17"/>
                <w:lang w:eastAsia="en-US"/>
              </w:rPr>
            </w:pPr>
          </w:p>
          <w:p w14:paraId="380D287F" w14:textId="77777777" w:rsidR="0050378A" w:rsidRPr="00A02542" w:rsidRDefault="0050378A" w:rsidP="006F27B1">
            <w:pPr>
              <w:keepLines/>
              <w:spacing w:before="40" w:after="40" w:line="200" w:lineRule="atLeast"/>
              <w:rPr>
                <w:rFonts w:asciiTheme="minorHAnsi" w:eastAsia="Times New Roman" w:hAnsiTheme="minorHAnsi"/>
                <w:iCs/>
                <w:color w:val="auto"/>
                <w:szCs w:val="17"/>
                <w:lang w:eastAsia="en-US"/>
              </w:rPr>
            </w:pPr>
            <w:r w:rsidRPr="00A02542">
              <w:rPr>
                <w:rFonts w:asciiTheme="minorHAnsi" w:eastAsia="Times New Roman" w:hAnsiTheme="minorHAnsi"/>
                <w:iCs/>
                <w:color w:val="auto"/>
                <w:szCs w:val="17"/>
                <w:lang w:eastAsia="en-US"/>
              </w:rPr>
              <w:t>11A082</w:t>
            </w:r>
          </w:p>
          <w:p w14:paraId="6BD75CF0" w14:textId="77777777" w:rsidR="0050378A" w:rsidRDefault="0050378A" w:rsidP="006F27B1">
            <w:pPr>
              <w:keepLines/>
              <w:spacing w:before="40" w:after="40" w:line="200" w:lineRule="atLeast"/>
              <w:rPr>
                <w:rFonts w:asciiTheme="minorHAnsi" w:eastAsia="Times New Roman" w:hAnsiTheme="minorHAnsi"/>
                <w:iCs/>
                <w:color w:val="auto"/>
                <w:szCs w:val="17"/>
                <w:lang w:eastAsia="en-US"/>
              </w:rPr>
            </w:pPr>
          </w:p>
          <w:p w14:paraId="0F882097" w14:textId="77777777" w:rsidR="00A20667" w:rsidRPr="00A02542" w:rsidRDefault="00A20667" w:rsidP="006F27B1">
            <w:pPr>
              <w:keepLines/>
              <w:spacing w:before="40" w:after="40" w:line="200" w:lineRule="atLeast"/>
              <w:rPr>
                <w:rFonts w:asciiTheme="minorHAnsi" w:eastAsia="Times New Roman" w:hAnsiTheme="minorHAnsi"/>
                <w:iCs/>
                <w:color w:val="auto"/>
                <w:szCs w:val="17"/>
                <w:lang w:eastAsia="en-US"/>
              </w:rPr>
            </w:pPr>
          </w:p>
          <w:p w14:paraId="401543FF" w14:textId="7A320519" w:rsidR="0050378A" w:rsidRPr="00A02542" w:rsidRDefault="00EC0BD5" w:rsidP="006F27B1">
            <w:pPr>
              <w:keepLines/>
              <w:spacing w:before="40" w:after="40" w:line="200" w:lineRule="atLeast"/>
              <w:rPr>
                <w:rFonts w:asciiTheme="minorHAnsi" w:eastAsia="Times New Roman" w:hAnsiTheme="minorHAnsi"/>
                <w:iCs/>
                <w:color w:val="auto"/>
                <w:szCs w:val="17"/>
                <w:lang w:eastAsia="en-US"/>
              </w:rPr>
            </w:pPr>
            <w:r w:rsidRPr="00A02542">
              <w:rPr>
                <w:rFonts w:asciiTheme="minorHAnsi" w:eastAsia="Times New Roman" w:hAnsiTheme="minorHAnsi"/>
                <w:iCs/>
                <w:color w:val="auto"/>
                <w:szCs w:val="17"/>
                <w:lang w:eastAsia="en-US"/>
              </w:rPr>
              <w:t>62001</w:t>
            </w:r>
          </w:p>
        </w:tc>
        <w:tc>
          <w:tcPr>
            <w:tcW w:w="2459" w:type="dxa"/>
          </w:tcPr>
          <w:p w14:paraId="0ADE5B31" w14:textId="77777777" w:rsidR="00400B0F" w:rsidRPr="00A02542" w:rsidRDefault="00400B0F" w:rsidP="006F27B1">
            <w:pPr>
              <w:keepLines/>
              <w:spacing w:before="40" w:after="40" w:line="200" w:lineRule="atLeast"/>
              <w:rPr>
                <w:rFonts w:asciiTheme="minorHAnsi" w:eastAsia="Times New Roman" w:hAnsiTheme="minorHAnsi"/>
                <w:iCs/>
                <w:color w:val="auto"/>
                <w:szCs w:val="17"/>
                <w:lang w:eastAsia="en-US"/>
              </w:rPr>
            </w:pPr>
          </w:p>
          <w:p w14:paraId="0F5D1A34" w14:textId="77777777" w:rsidR="0050378A" w:rsidRPr="00A02542" w:rsidRDefault="0050378A" w:rsidP="006F27B1">
            <w:pPr>
              <w:keepLines/>
              <w:spacing w:before="40" w:after="40" w:line="200" w:lineRule="atLeast"/>
              <w:rPr>
                <w:rFonts w:asciiTheme="minorHAnsi" w:eastAsia="Times New Roman" w:hAnsiTheme="minorHAnsi"/>
                <w:iCs/>
                <w:color w:val="auto"/>
                <w:szCs w:val="17"/>
                <w:lang w:eastAsia="en-US"/>
              </w:rPr>
            </w:pPr>
          </w:p>
          <w:p w14:paraId="01C30799" w14:textId="404E1AAD" w:rsidR="00E10C3F" w:rsidRPr="00A02542" w:rsidRDefault="00EC0BD5" w:rsidP="006F27B1">
            <w:pPr>
              <w:keepLines/>
              <w:spacing w:before="40" w:after="40" w:line="200" w:lineRule="atLeast"/>
              <w:rPr>
                <w:rFonts w:asciiTheme="minorHAnsi" w:eastAsia="Times New Roman" w:hAnsiTheme="minorHAnsi"/>
                <w:iCs/>
                <w:color w:val="auto"/>
                <w:szCs w:val="17"/>
                <w:lang w:eastAsia="en-US"/>
              </w:rPr>
            </w:pPr>
            <w:r w:rsidRPr="00A02542">
              <w:rPr>
                <w:rFonts w:asciiTheme="minorHAnsi" w:eastAsia="Times New Roman" w:hAnsiTheme="minorHAnsi"/>
                <w:iCs/>
                <w:color w:val="auto"/>
                <w:szCs w:val="17"/>
                <w:lang w:eastAsia="en-US"/>
              </w:rPr>
              <w:t xml:space="preserve">June 2016 </w:t>
            </w:r>
          </w:p>
          <w:p w14:paraId="32072FBB" w14:textId="77777777" w:rsidR="0050378A" w:rsidRDefault="0050378A" w:rsidP="006F27B1">
            <w:pPr>
              <w:keepLines/>
              <w:spacing w:before="40" w:after="40" w:line="200" w:lineRule="atLeast"/>
              <w:rPr>
                <w:rFonts w:asciiTheme="minorHAnsi" w:eastAsia="Times New Roman" w:hAnsiTheme="minorHAnsi"/>
                <w:iCs/>
                <w:color w:val="auto"/>
                <w:szCs w:val="17"/>
                <w:lang w:eastAsia="en-US"/>
              </w:rPr>
            </w:pPr>
          </w:p>
          <w:p w14:paraId="745709C2" w14:textId="77777777" w:rsidR="00A20667" w:rsidRPr="00A02542" w:rsidRDefault="00A20667" w:rsidP="006F27B1">
            <w:pPr>
              <w:keepLines/>
              <w:spacing w:before="40" w:after="40" w:line="200" w:lineRule="atLeast"/>
              <w:rPr>
                <w:rFonts w:asciiTheme="minorHAnsi" w:eastAsia="Times New Roman" w:hAnsiTheme="minorHAnsi"/>
                <w:iCs/>
                <w:color w:val="auto"/>
                <w:szCs w:val="17"/>
                <w:lang w:eastAsia="en-US"/>
              </w:rPr>
            </w:pPr>
          </w:p>
          <w:p w14:paraId="5FB0EA4C" w14:textId="77777777" w:rsidR="0050378A" w:rsidRPr="00A02542" w:rsidRDefault="0050378A" w:rsidP="006F27B1">
            <w:pPr>
              <w:keepLines/>
              <w:spacing w:before="40" w:after="40" w:line="200" w:lineRule="atLeast"/>
              <w:rPr>
                <w:rFonts w:asciiTheme="minorHAnsi" w:eastAsia="Times New Roman" w:hAnsiTheme="minorHAnsi"/>
                <w:iCs/>
                <w:color w:val="auto"/>
                <w:szCs w:val="17"/>
                <w:lang w:eastAsia="en-US"/>
              </w:rPr>
            </w:pPr>
            <w:r w:rsidRPr="00A02542">
              <w:rPr>
                <w:rFonts w:asciiTheme="minorHAnsi" w:eastAsia="Times New Roman" w:hAnsiTheme="minorHAnsi"/>
                <w:iCs/>
                <w:color w:val="auto"/>
                <w:szCs w:val="17"/>
                <w:lang w:eastAsia="en-US"/>
              </w:rPr>
              <w:t>October 2016</w:t>
            </w:r>
          </w:p>
          <w:p w14:paraId="58BEE6C9" w14:textId="4858F043" w:rsidR="004C6958" w:rsidRPr="00A02542" w:rsidRDefault="004C6958" w:rsidP="006F27B1">
            <w:pPr>
              <w:keepLines/>
              <w:spacing w:before="40" w:after="40" w:line="200" w:lineRule="atLeast"/>
              <w:rPr>
                <w:rFonts w:asciiTheme="minorHAnsi" w:eastAsia="Times New Roman" w:hAnsiTheme="minorHAnsi"/>
                <w:iCs/>
                <w:color w:val="auto"/>
                <w:szCs w:val="17"/>
                <w:lang w:eastAsia="en-US"/>
              </w:rPr>
            </w:pPr>
          </w:p>
        </w:tc>
        <w:tc>
          <w:tcPr>
            <w:tcW w:w="2227" w:type="dxa"/>
          </w:tcPr>
          <w:p w14:paraId="2EA8934C" w14:textId="77777777" w:rsidR="00400B0F" w:rsidRPr="00A02542" w:rsidRDefault="00400B0F" w:rsidP="006F27B1">
            <w:pPr>
              <w:keepLines/>
              <w:spacing w:before="40" w:after="40" w:line="200" w:lineRule="atLeast"/>
              <w:rPr>
                <w:rFonts w:asciiTheme="minorHAnsi" w:eastAsia="Times New Roman" w:hAnsiTheme="minorHAnsi"/>
                <w:iCs/>
                <w:color w:val="auto"/>
                <w:szCs w:val="17"/>
                <w:lang w:eastAsia="en-US"/>
              </w:rPr>
            </w:pPr>
          </w:p>
          <w:p w14:paraId="1427A221" w14:textId="77777777" w:rsidR="0050378A" w:rsidRPr="00A02542" w:rsidRDefault="0050378A" w:rsidP="006F27B1">
            <w:pPr>
              <w:keepLines/>
              <w:spacing w:before="40" w:after="40" w:line="200" w:lineRule="atLeast"/>
              <w:rPr>
                <w:rFonts w:asciiTheme="minorHAnsi" w:eastAsia="Times New Roman" w:hAnsiTheme="minorHAnsi"/>
                <w:iCs/>
                <w:color w:val="auto"/>
                <w:szCs w:val="17"/>
                <w:lang w:eastAsia="en-US"/>
              </w:rPr>
            </w:pPr>
          </w:p>
          <w:p w14:paraId="4F838575" w14:textId="0F624760" w:rsidR="0050378A" w:rsidRPr="00A02542" w:rsidRDefault="00EC0BD5" w:rsidP="006F27B1">
            <w:pPr>
              <w:keepLines/>
              <w:spacing w:before="40" w:after="40" w:line="200" w:lineRule="atLeast"/>
              <w:rPr>
                <w:rFonts w:asciiTheme="minorHAnsi" w:hAnsiTheme="minorHAnsi"/>
                <w:color w:val="auto"/>
              </w:rPr>
            </w:pPr>
            <w:r w:rsidRPr="00A02542">
              <w:rPr>
                <w:rFonts w:asciiTheme="minorHAnsi" w:eastAsia="Times New Roman" w:hAnsiTheme="minorHAnsi"/>
                <w:iCs/>
                <w:color w:val="auto"/>
                <w:szCs w:val="17"/>
                <w:lang w:eastAsia="en-US"/>
              </w:rPr>
              <w:t>September 2016</w:t>
            </w:r>
          </w:p>
          <w:p w14:paraId="03A3BF8F" w14:textId="77777777" w:rsidR="0050378A" w:rsidRDefault="0050378A" w:rsidP="006F27B1">
            <w:pPr>
              <w:keepLines/>
              <w:spacing w:before="40" w:after="40" w:line="200" w:lineRule="atLeast"/>
              <w:rPr>
                <w:rFonts w:asciiTheme="minorHAnsi" w:hAnsiTheme="minorHAnsi"/>
                <w:color w:val="auto"/>
              </w:rPr>
            </w:pPr>
          </w:p>
          <w:p w14:paraId="4A1E4D90" w14:textId="77777777" w:rsidR="00A20667" w:rsidRPr="00A02542" w:rsidRDefault="00A20667" w:rsidP="006F27B1">
            <w:pPr>
              <w:keepLines/>
              <w:spacing w:before="40" w:after="40" w:line="200" w:lineRule="atLeast"/>
              <w:rPr>
                <w:rFonts w:asciiTheme="minorHAnsi" w:hAnsiTheme="minorHAnsi"/>
                <w:color w:val="auto"/>
              </w:rPr>
            </w:pPr>
          </w:p>
          <w:p w14:paraId="3BF89390" w14:textId="170611A2" w:rsidR="0050378A" w:rsidRPr="00A02542" w:rsidRDefault="00EC0BD5" w:rsidP="006F27B1">
            <w:pPr>
              <w:keepLines/>
              <w:spacing w:before="40" w:after="40" w:line="200" w:lineRule="atLeast"/>
              <w:rPr>
                <w:rFonts w:asciiTheme="minorHAnsi" w:eastAsia="Times New Roman" w:hAnsiTheme="minorHAnsi"/>
                <w:iCs/>
                <w:color w:val="auto"/>
                <w:szCs w:val="17"/>
                <w:lang w:eastAsia="en-US"/>
              </w:rPr>
            </w:pPr>
            <w:r w:rsidRPr="00A02542">
              <w:rPr>
                <w:rFonts w:asciiTheme="minorHAnsi" w:eastAsia="Times New Roman" w:hAnsiTheme="minorHAnsi"/>
                <w:iCs/>
                <w:color w:val="auto"/>
                <w:szCs w:val="17"/>
                <w:lang w:eastAsia="en-US"/>
              </w:rPr>
              <w:t>December 2016</w:t>
            </w:r>
          </w:p>
        </w:tc>
        <w:tc>
          <w:tcPr>
            <w:tcW w:w="2348" w:type="dxa"/>
          </w:tcPr>
          <w:p w14:paraId="4A41C125" w14:textId="77777777" w:rsidR="0050378A" w:rsidRPr="00A02542" w:rsidRDefault="0050378A" w:rsidP="006F27B1">
            <w:pPr>
              <w:keepLines/>
              <w:spacing w:before="40" w:after="40" w:line="200" w:lineRule="atLeast"/>
              <w:rPr>
                <w:rFonts w:asciiTheme="minorHAnsi" w:hAnsiTheme="minorHAnsi"/>
                <w:color w:val="auto"/>
                <w:highlight w:val="magenta"/>
              </w:rPr>
            </w:pPr>
          </w:p>
          <w:p w14:paraId="579B8D5E" w14:textId="77777777" w:rsidR="0050378A" w:rsidRPr="00A02542" w:rsidRDefault="0050378A" w:rsidP="006F27B1">
            <w:pPr>
              <w:keepLines/>
              <w:spacing w:before="40" w:after="40" w:line="200" w:lineRule="atLeast"/>
              <w:rPr>
                <w:rFonts w:asciiTheme="minorHAnsi" w:hAnsiTheme="minorHAnsi"/>
                <w:color w:val="auto"/>
                <w:highlight w:val="magenta"/>
              </w:rPr>
            </w:pPr>
          </w:p>
          <w:p w14:paraId="058B42B1" w14:textId="42A35888" w:rsidR="0050378A" w:rsidRPr="00A02542" w:rsidRDefault="00A20667" w:rsidP="006F27B1">
            <w:pPr>
              <w:keepLines/>
              <w:spacing w:before="40" w:after="40" w:line="200" w:lineRule="atLeast"/>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D</w:t>
            </w:r>
            <w:r w:rsidR="0050378A" w:rsidRPr="00A02542">
              <w:rPr>
                <w:rFonts w:asciiTheme="minorHAnsi" w:eastAsia="Times New Roman" w:hAnsiTheme="minorHAnsi"/>
                <w:iCs/>
                <w:color w:val="auto"/>
                <w:szCs w:val="17"/>
                <w:lang w:eastAsia="en-US"/>
              </w:rPr>
              <w:t>emonstrate results and document lessons learned</w:t>
            </w:r>
          </w:p>
          <w:p w14:paraId="5E4B15DA" w14:textId="77777777" w:rsidR="00EC0BD5" w:rsidRPr="00A02542" w:rsidRDefault="00EC0BD5" w:rsidP="0050378A">
            <w:pPr>
              <w:keepLines/>
              <w:spacing w:before="40" w:after="40" w:line="200" w:lineRule="atLeast"/>
              <w:rPr>
                <w:rFonts w:asciiTheme="minorHAnsi" w:eastAsia="Times New Roman" w:hAnsiTheme="minorHAnsi"/>
                <w:iCs/>
                <w:color w:val="auto"/>
                <w:szCs w:val="17"/>
                <w:lang w:eastAsia="en-US"/>
              </w:rPr>
            </w:pPr>
          </w:p>
          <w:p w14:paraId="4A8A3739" w14:textId="3E56256D" w:rsidR="0050378A" w:rsidRPr="00A02542" w:rsidRDefault="00A20667" w:rsidP="0050378A">
            <w:pPr>
              <w:keepLines/>
              <w:spacing w:before="40" w:after="40" w:line="200" w:lineRule="atLeast"/>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V</w:t>
            </w:r>
            <w:r w:rsidR="0050378A" w:rsidRPr="00A02542">
              <w:rPr>
                <w:rFonts w:asciiTheme="minorHAnsi" w:eastAsia="Times New Roman" w:hAnsiTheme="minorHAnsi"/>
                <w:iCs/>
                <w:color w:val="auto"/>
                <w:szCs w:val="17"/>
                <w:lang w:eastAsia="en-US"/>
              </w:rPr>
              <w:t>erify performance; improve existing investment</w:t>
            </w:r>
          </w:p>
          <w:p w14:paraId="0219969F" w14:textId="09F43C03" w:rsidR="00400B0F" w:rsidRPr="00A02542" w:rsidRDefault="00400B0F" w:rsidP="00CF00FE">
            <w:pPr>
              <w:keepLines/>
              <w:spacing w:before="40" w:after="40" w:line="200" w:lineRule="atLeast"/>
              <w:rPr>
                <w:rFonts w:asciiTheme="minorHAnsi" w:hAnsiTheme="minorHAnsi"/>
                <w:color w:val="auto"/>
                <w:highlight w:val="magenta"/>
              </w:rPr>
            </w:pPr>
          </w:p>
        </w:tc>
        <w:tc>
          <w:tcPr>
            <w:tcW w:w="2362" w:type="dxa"/>
          </w:tcPr>
          <w:p w14:paraId="2AB3FCB2" w14:textId="77777777" w:rsidR="0050378A" w:rsidRPr="00A02542" w:rsidRDefault="0050378A" w:rsidP="006F27B1">
            <w:pPr>
              <w:keepLines/>
              <w:spacing w:before="40" w:after="40" w:line="200" w:lineRule="atLeast"/>
              <w:rPr>
                <w:rFonts w:asciiTheme="minorHAnsi" w:hAnsiTheme="minorHAnsi"/>
                <w:color w:val="auto"/>
                <w:highlight w:val="magenta"/>
              </w:rPr>
            </w:pPr>
          </w:p>
          <w:p w14:paraId="55F21594" w14:textId="77777777" w:rsidR="0050378A" w:rsidRPr="00A02542" w:rsidRDefault="0050378A" w:rsidP="006F27B1">
            <w:pPr>
              <w:keepLines/>
              <w:spacing w:before="40" w:after="40" w:line="200" w:lineRule="atLeast"/>
              <w:rPr>
                <w:rFonts w:asciiTheme="minorHAnsi" w:hAnsiTheme="minorHAnsi"/>
                <w:color w:val="auto"/>
                <w:highlight w:val="magenta"/>
              </w:rPr>
            </w:pPr>
          </w:p>
          <w:p w14:paraId="4332A23C" w14:textId="7B1854C3" w:rsidR="0050378A" w:rsidRPr="00A02542" w:rsidRDefault="00EC0BD5" w:rsidP="006F27B1">
            <w:pPr>
              <w:keepLines/>
              <w:spacing w:before="40" w:after="40" w:line="200" w:lineRule="atLeast"/>
              <w:rPr>
                <w:rFonts w:asciiTheme="minorHAnsi" w:eastAsia="Times New Roman" w:hAnsiTheme="minorHAnsi"/>
                <w:iCs/>
                <w:color w:val="auto"/>
                <w:szCs w:val="17"/>
                <w:lang w:eastAsia="en-US"/>
              </w:rPr>
            </w:pPr>
            <w:r w:rsidRPr="00A02542">
              <w:rPr>
                <w:rFonts w:asciiTheme="minorHAnsi" w:eastAsia="Times New Roman" w:hAnsiTheme="minorHAnsi"/>
                <w:iCs/>
                <w:color w:val="auto"/>
                <w:szCs w:val="17"/>
                <w:lang w:eastAsia="en-US"/>
              </w:rPr>
              <w:t>Partner-led</w:t>
            </w:r>
          </w:p>
          <w:p w14:paraId="0886BEFA" w14:textId="77777777" w:rsidR="0050378A" w:rsidRPr="00A02542" w:rsidRDefault="0050378A" w:rsidP="006F27B1">
            <w:pPr>
              <w:keepLines/>
              <w:spacing w:before="40" w:after="40" w:line="200" w:lineRule="atLeast"/>
              <w:rPr>
                <w:rFonts w:asciiTheme="minorHAnsi" w:eastAsia="Times New Roman" w:hAnsiTheme="minorHAnsi"/>
                <w:iCs/>
                <w:color w:val="auto"/>
                <w:szCs w:val="17"/>
                <w:highlight w:val="magenta"/>
                <w:lang w:eastAsia="en-US"/>
              </w:rPr>
            </w:pPr>
          </w:p>
          <w:p w14:paraId="345934DE" w14:textId="77777777" w:rsidR="0050378A" w:rsidRPr="00A02542" w:rsidRDefault="0050378A" w:rsidP="006F27B1">
            <w:pPr>
              <w:keepLines/>
              <w:spacing w:before="40" w:after="40" w:line="200" w:lineRule="atLeast"/>
              <w:rPr>
                <w:rFonts w:asciiTheme="minorHAnsi" w:eastAsia="Times New Roman" w:hAnsiTheme="minorHAnsi"/>
                <w:iCs/>
                <w:color w:val="auto"/>
                <w:szCs w:val="17"/>
                <w:highlight w:val="magenta"/>
                <w:lang w:eastAsia="en-US"/>
              </w:rPr>
            </w:pPr>
          </w:p>
          <w:p w14:paraId="5D4DFD64" w14:textId="07F347C7" w:rsidR="0050378A" w:rsidRPr="00A02542" w:rsidRDefault="00EC0BD5" w:rsidP="006F27B1">
            <w:pPr>
              <w:keepLines/>
              <w:spacing w:before="40" w:after="40" w:line="200" w:lineRule="atLeast"/>
              <w:rPr>
                <w:rFonts w:asciiTheme="minorHAnsi" w:eastAsia="Times New Roman" w:hAnsiTheme="minorHAnsi"/>
                <w:iCs/>
                <w:color w:val="auto"/>
                <w:szCs w:val="17"/>
                <w:lang w:eastAsia="en-US"/>
              </w:rPr>
            </w:pPr>
            <w:r w:rsidRPr="00A02542">
              <w:rPr>
                <w:rFonts w:asciiTheme="minorHAnsi" w:eastAsia="Times New Roman" w:hAnsiTheme="minorHAnsi"/>
                <w:iCs/>
                <w:color w:val="auto"/>
                <w:szCs w:val="17"/>
                <w:lang w:eastAsia="en-US"/>
              </w:rPr>
              <w:t>Partner-led</w:t>
            </w:r>
          </w:p>
          <w:p w14:paraId="3179A974" w14:textId="1246E9D4" w:rsidR="00CF00FE" w:rsidRPr="00A02542" w:rsidRDefault="00CF00FE" w:rsidP="00CF00FE">
            <w:pPr>
              <w:keepLines/>
              <w:spacing w:before="40" w:after="40" w:line="200" w:lineRule="atLeast"/>
              <w:rPr>
                <w:color w:val="auto"/>
              </w:rPr>
            </w:pPr>
          </w:p>
          <w:p w14:paraId="5FE4CBF3" w14:textId="79AEE3BA" w:rsidR="00400B0F" w:rsidRPr="00A02542" w:rsidRDefault="00400B0F" w:rsidP="006F27B1">
            <w:pPr>
              <w:keepLines/>
              <w:spacing w:before="40" w:after="40" w:line="200" w:lineRule="atLeast"/>
              <w:rPr>
                <w:rFonts w:asciiTheme="minorHAnsi" w:hAnsiTheme="minorHAnsi"/>
                <w:color w:val="auto"/>
                <w:highlight w:val="magenta"/>
              </w:rPr>
            </w:pPr>
            <w:r w:rsidRPr="00A02542">
              <w:rPr>
                <w:color w:val="auto"/>
                <w:highlight w:val="magenta"/>
              </w:rPr>
              <w:t xml:space="preserve"> </w:t>
            </w:r>
          </w:p>
        </w:tc>
      </w:tr>
      <w:tr w:rsidR="0050378A" w:rsidRPr="00C61187" w14:paraId="2466C6B3" w14:textId="77777777" w:rsidTr="00CF00FE">
        <w:tc>
          <w:tcPr>
            <w:tcW w:w="2472" w:type="dxa"/>
          </w:tcPr>
          <w:p w14:paraId="75FBC2C8" w14:textId="77777777" w:rsidR="0050378A" w:rsidRPr="00A02542" w:rsidRDefault="0050378A" w:rsidP="0050378A">
            <w:pPr>
              <w:keepLines/>
              <w:spacing w:before="40" w:after="40" w:line="200" w:lineRule="atLeast"/>
              <w:rPr>
                <w:rFonts w:eastAsia="Times New Roman"/>
                <w:iCs/>
                <w:color w:val="auto"/>
                <w:szCs w:val="17"/>
                <w:lang w:eastAsia="en-US"/>
              </w:rPr>
            </w:pPr>
            <w:r w:rsidRPr="00A02542">
              <w:rPr>
                <w:rFonts w:asciiTheme="minorHAnsi" w:eastAsia="Times New Roman" w:hAnsiTheme="minorHAnsi"/>
                <w:iCs/>
                <w:color w:val="auto"/>
                <w:szCs w:val="17"/>
                <w:lang w:eastAsia="en-US"/>
              </w:rPr>
              <w:t>Mid-term/Strategic Review for the BASIC Bangsamoro Program</w:t>
            </w:r>
          </w:p>
        </w:tc>
        <w:tc>
          <w:tcPr>
            <w:tcW w:w="2381" w:type="dxa"/>
          </w:tcPr>
          <w:p w14:paraId="566C7362" w14:textId="77777777" w:rsidR="0050378A" w:rsidRPr="00A02542" w:rsidRDefault="0050378A" w:rsidP="00B53741">
            <w:pPr>
              <w:keepLines/>
              <w:spacing w:before="40" w:after="40" w:line="200" w:lineRule="atLeast"/>
              <w:rPr>
                <w:rFonts w:asciiTheme="minorHAnsi" w:eastAsia="Times New Roman" w:hAnsiTheme="minorHAnsi"/>
                <w:iCs/>
                <w:color w:val="auto"/>
                <w:szCs w:val="17"/>
                <w:lang w:eastAsia="en-US"/>
              </w:rPr>
            </w:pPr>
            <w:r w:rsidRPr="00A02542">
              <w:rPr>
                <w:rFonts w:asciiTheme="minorHAnsi" w:eastAsia="Times New Roman" w:hAnsiTheme="minorHAnsi"/>
                <w:iCs/>
                <w:color w:val="auto"/>
                <w:szCs w:val="17"/>
                <w:lang w:eastAsia="en-US"/>
              </w:rPr>
              <w:t>INL343; 14A222</w:t>
            </w:r>
          </w:p>
        </w:tc>
        <w:tc>
          <w:tcPr>
            <w:tcW w:w="2459" w:type="dxa"/>
          </w:tcPr>
          <w:p w14:paraId="199352D7" w14:textId="77777777" w:rsidR="0050378A" w:rsidRPr="00A02542" w:rsidRDefault="0050378A" w:rsidP="00B53741">
            <w:pPr>
              <w:keepLines/>
              <w:spacing w:before="40" w:after="40" w:line="200" w:lineRule="atLeast"/>
              <w:rPr>
                <w:rFonts w:eastAsia="Times New Roman"/>
                <w:iCs/>
                <w:color w:val="auto"/>
                <w:szCs w:val="17"/>
                <w:lang w:eastAsia="en-US"/>
              </w:rPr>
            </w:pPr>
            <w:r w:rsidRPr="00A02542">
              <w:rPr>
                <w:rFonts w:asciiTheme="minorHAnsi" w:eastAsia="Times New Roman" w:hAnsiTheme="minorHAnsi"/>
                <w:iCs/>
                <w:color w:val="auto"/>
                <w:szCs w:val="17"/>
                <w:lang w:eastAsia="en-US"/>
              </w:rPr>
              <w:t>September 2016</w:t>
            </w:r>
          </w:p>
        </w:tc>
        <w:tc>
          <w:tcPr>
            <w:tcW w:w="2227" w:type="dxa"/>
          </w:tcPr>
          <w:p w14:paraId="43DDCC96" w14:textId="77777777" w:rsidR="0050378A" w:rsidRPr="00A02542" w:rsidRDefault="0050378A" w:rsidP="00B53741">
            <w:pPr>
              <w:keepLines/>
              <w:spacing w:before="40" w:after="40" w:line="200" w:lineRule="atLeast"/>
              <w:rPr>
                <w:rFonts w:eastAsia="Times New Roman"/>
                <w:iCs/>
                <w:color w:val="auto"/>
                <w:szCs w:val="17"/>
                <w:lang w:eastAsia="en-US"/>
              </w:rPr>
            </w:pPr>
          </w:p>
        </w:tc>
        <w:tc>
          <w:tcPr>
            <w:tcW w:w="2348" w:type="dxa"/>
          </w:tcPr>
          <w:p w14:paraId="2EFE5F19" w14:textId="35C2B5F1" w:rsidR="0050378A" w:rsidRPr="00A02542" w:rsidRDefault="00A20667" w:rsidP="0050378A">
            <w:pPr>
              <w:keepLines/>
              <w:spacing w:before="40" w:after="40" w:line="200" w:lineRule="atLeast"/>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 xml:space="preserve">Verify performance; </w:t>
            </w:r>
            <w:r w:rsidR="0050378A" w:rsidRPr="00A02542">
              <w:rPr>
                <w:rFonts w:asciiTheme="minorHAnsi" w:eastAsia="Times New Roman" w:hAnsiTheme="minorHAnsi"/>
                <w:iCs/>
                <w:color w:val="auto"/>
                <w:szCs w:val="17"/>
                <w:lang w:eastAsia="en-US"/>
              </w:rPr>
              <w:t>improve existing investment</w:t>
            </w:r>
          </w:p>
          <w:p w14:paraId="6F931C4B" w14:textId="77777777" w:rsidR="0050378A" w:rsidRPr="00A02542" w:rsidRDefault="0050378A" w:rsidP="00B53741">
            <w:pPr>
              <w:keepLines/>
              <w:spacing w:before="40" w:after="40" w:line="200" w:lineRule="atLeast"/>
              <w:rPr>
                <w:rFonts w:eastAsia="Times New Roman"/>
                <w:iCs/>
                <w:color w:val="auto"/>
                <w:szCs w:val="17"/>
                <w:lang w:eastAsia="en-US"/>
              </w:rPr>
            </w:pPr>
          </w:p>
        </w:tc>
        <w:tc>
          <w:tcPr>
            <w:tcW w:w="2362" w:type="dxa"/>
          </w:tcPr>
          <w:p w14:paraId="79B15DC2" w14:textId="02E8DE3D" w:rsidR="0050378A" w:rsidRPr="00A02542" w:rsidRDefault="00A20667" w:rsidP="00B53741">
            <w:pPr>
              <w:keepLines/>
              <w:spacing w:before="40" w:after="40" w:line="200" w:lineRule="atLeast"/>
              <w:rPr>
                <w:rFonts w:eastAsia="Times New Roman"/>
                <w:iCs/>
                <w:color w:val="auto"/>
                <w:szCs w:val="17"/>
                <w:lang w:eastAsia="en-US"/>
              </w:rPr>
            </w:pPr>
            <w:r>
              <w:rPr>
                <w:rFonts w:eastAsia="Times New Roman"/>
                <w:iCs/>
                <w:color w:val="auto"/>
                <w:szCs w:val="17"/>
                <w:lang w:eastAsia="en-US"/>
              </w:rPr>
              <w:t>DFAT-led</w:t>
            </w:r>
          </w:p>
        </w:tc>
      </w:tr>
      <w:tr w:rsidR="008834AE" w:rsidRPr="00C61187" w14:paraId="2B1A8284" w14:textId="77777777" w:rsidTr="00CF00FE">
        <w:tc>
          <w:tcPr>
            <w:tcW w:w="2472" w:type="dxa"/>
          </w:tcPr>
          <w:p w14:paraId="15E1982C" w14:textId="77777777" w:rsidR="008834AE" w:rsidRPr="004967EA" w:rsidRDefault="008834AE" w:rsidP="00603108">
            <w:pPr>
              <w:keepLines/>
              <w:spacing w:before="40" w:after="40" w:line="200" w:lineRule="atLeast"/>
              <w:rPr>
                <w:rFonts w:asciiTheme="minorHAnsi" w:eastAsia="Times New Roman" w:hAnsiTheme="minorHAnsi"/>
                <w:iCs/>
                <w:color w:val="auto"/>
                <w:szCs w:val="17"/>
                <w:lang w:eastAsia="en-US"/>
              </w:rPr>
            </w:pPr>
            <w:r w:rsidRPr="004967EA">
              <w:rPr>
                <w:rFonts w:asciiTheme="minorHAnsi" w:eastAsia="Times New Roman" w:hAnsiTheme="minorHAnsi"/>
                <w:iCs/>
                <w:color w:val="auto"/>
                <w:szCs w:val="17"/>
                <w:lang w:eastAsia="en-US"/>
              </w:rPr>
              <w:t>Schola</w:t>
            </w:r>
            <w:r w:rsidRPr="00A20667">
              <w:rPr>
                <w:rFonts w:asciiTheme="minorHAnsi" w:eastAsia="Times New Roman" w:hAnsiTheme="minorHAnsi"/>
                <w:iCs/>
                <w:color w:val="auto"/>
                <w:szCs w:val="17"/>
                <w:lang w:eastAsia="en-US"/>
              </w:rPr>
              <w:t>rshi</w:t>
            </w:r>
            <w:r w:rsidRPr="004967EA">
              <w:rPr>
                <w:rFonts w:asciiTheme="minorHAnsi" w:eastAsia="Times New Roman" w:hAnsiTheme="minorHAnsi"/>
                <w:iCs/>
                <w:color w:val="auto"/>
                <w:szCs w:val="17"/>
                <w:lang w:eastAsia="en-US"/>
              </w:rPr>
              <w:t>ps</w:t>
            </w:r>
          </w:p>
        </w:tc>
        <w:tc>
          <w:tcPr>
            <w:tcW w:w="2381" w:type="dxa"/>
          </w:tcPr>
          <w:p w14:paraId="0A978CFB" w14:textId="23097EFE" w:rsidR="008834AE" w:rsidRPr="00C61187" w:rsidRDefault="00226F46" w:rsidP="004967EA">
            <w:pPr>
              <w:keepLines/>
              <w:spacing w:before="40" w:after="40" w:line="200" w:lineRule="atLeast"/>
              <w:rPr>
                <w:rFonts w:eastAsia="Times New Roman"/>
                <w:iCs/>
                <w:szCs w:val="17"/>
                <w:lang w:eastAsia="en-US"/>
              </w:rPr>
            </w:pPr>
            <w:r w:rsidRPr="004967EA">
              <w:rPr>
                <w:rFonts w:asciiTheme="minorHAnsi" w:eastAsia="Times New Roman" w:hAnsiTheme="minorHAnsi"/>
                <w:iCs/>
                <w:color w:val="auto"/>
                <w:szCs w:val="17"/>
                <w:lang w:eastAsia="en-US"/>
              </w:rPr>
              <w:t>INI294</w:t>
            </w:r>
          </w:p>
        </w:tc>
        <w:tc>
          <w:tcPr>
            <w:tcW w:w="2459" w:type="dxa"/>
          </w:tcPr>
          <w:p w14:paraId="7308271D" w14:textId="77777777" w:rsidR="008834AE" w:rsidRPr="00C61187" w:rsidRDefault="00053CC7" w:rsidP="00603108">
            <w:pPr>
              <w:keepLines/>
              <w:spacing w:before="40" w:after="40" w:line="200" w:lineRule="atLeast"/>
              <w:rPr>
                <w:rFonts w:eastAsia="Times New Roman"/>
                <w:iCs/>
                <w:szCs w:val="17"/>
                <w:lang w:eastAsia="en-US"/>
              </w:rPr>
            </w:pPr>
            <w:r w:rsidRPr="004967EA">
              <w:rPr>
                <w:rFonts w:asciiTheme="minorHAnsi" w:eastAsia="Times New Roman" w:hAnsiTheme="minorHAnsi"/>
                <w:iCs/>
                <w:color w:val="auto"/>
                <w:szCs w:val="17"/>
                <w:lang w:eastAsia="en-US"/>
              </w:rPr>
              <w:t>August 2016</w:t>
            </w:r>
          </w:p>
        </w:tc>
        <w:tc>
          <w:tcPr>
            <w:tcW w:w="2227" w:type="dxa"/>
          </w:tcPr>
          <w:p w14:paraId="1AD16AA4" w14:textId="77777777" w:rsidR="008834AE" w:rsidRPr="00C61187" w:rsidRDefault="00053CC7" w:rsidP="00603108">
            <w:pPr>
              <w:keepLines/>
              <w:spacing w:before="40" w:after="40" w:line="200" w:lineRule="atLeast"/>
              <w:rPr>
                <w:rFonts w:eastAsia="Times New Roman"/>
                <w:iCs/>
                <w:szCs w:val="17"/>
                <w:lang w:eastAsia="en-US"/>
              </w:rPr>
            </w:pPr>
            <w:r w:rsidRPr="004967EA">
              <w:rPr>
                <w:rFonts w:asciiTheme="minorHAnsi" w:eastAsia="Times New Roman" w:hAnsiTheme="minorHAnsi"/>
                <w:iCs/>
                <w:color w:val="auto"/>
                <w:szCs w:val="17"/>
                <w:lang w:eastAsia="en-US"/>
              </w:rPr>
              <w:t>October 2016</w:t>
            </w:r>
          </w:p>
        </w:tc>
        <w:tc>
          <w:tcPr>
            <w:tcW w:w="2348" w:type="dxa"/>
          </w:tcPr>
          <w:p w14:paraId="6EF4C6A7" w14:textId="77777777" w:rsidR="008834AE" w:rsidRPr="00053CC7" w:rsidRDefault="00053CC7" w:rsidP="00603108">
            <w:pPr>
              <w:keepLines/>
              <w:spacing w:before="40" w:after="40" w:line="200" w:lineRule="atLeast"/>
              <w:rPr>
                <w:rFonts w:eastAsia="Times New Roman"/>
                <w:iCs/>
                <w:color w:val="auto"/>
                <w:szCs w:val="17"/>
                <w:lang w:eastAsia="en-US"/>
              </w:rPr>
            </w:pPr>
            <w:r w:rsidRPr="004967EA">
              <w:rPr>
                <w:rFonts w:asciiTheme="minorHAnsi" w:eastAsia="Times New Roman" w:hAnsiTheme="minorHAnsi"/>
                <w:iCs/>
                <w:color w:val="auto"/>
                <w:szCs w:val="17"/>
                <w:lang w:eastAsia="en-US"/>
              </w:rPr>
              <w:t>To inform the new design</w:t>
            </w:r>
            <w:r w:rsidRPr="00053CC7">
              <w:rPr>
                <w:rFonts w:eastAsia="Times New Roman"/>
                <w:iCs/>
                <w:color w:val="auto"/>
                <w:szCs w:val="17"/>
                <w:lang w:eastAsia="en-US"/>
              </w:rPr>
              <w:t xml:space="preserve"> </w:t>
            </w:r>
          </w:p>
        </w:tc>
        <w:tc>
          <w:tcPr>
            <w:tcW w:w="2362" w:type="dxa"/>
          </w:tcPr>
          <w:p w14:paraId="3F75F3E6" w14:textId="0E1ED2F7" w:rsidR="008834AE" w:rsidRPr="00C61187" w:rsidRDefault="00A20667" w:rsidP="00603108">
            <w:pPr>
              <w:keepLines/>
              <w:spacing w:before="40" w:after="40" w:line="200" w:lineRule="atLeast"/>
              <w:rPr>
                <w:rFonts w:eastAsia="Times New Roman"/>
                <w:iCs/>
                <w:szCs w:val="17"/>
                <w:lang w:eastAsia="en-US"/>
              </w:rPr>
            </w:pPr>
            <w:r>
              <w:rPr>
                <w:rFonts w:asciiTheme="minorHAnsi" w:eastAsia="Times New Roman" w:hAnsiTheme="minorHAnsi"/>
                <w:iCs/>
                <w:color w:val="auto"/>
                <w:szCs w:val="17"/>
                <w:lang w:eastAsia="en-US"/>
              </w:rPr>
              <w:t>DFAT-</w:t>
            </w:r>
            <w:r w:rsidR="00053CC7" w:rsidRPr="004967EA">
              <w:rPr>
                <w:rFonts w:asciiTheme="minorHAnsi" w:eastAsia="Times New Roman" w:hAnsiTheme="minorHAnsi"/>
                <w:iCs/>
                <w:color w:val="auto"/>
                <w:szCs w:val="17"/>
                <w:lang w:eastAsia="en-US"/>
              </w:rPr>
              <w:t>led</w:t>
            </w:r>
          </w:p>
        </w:tc>
      </w:tr>
      <w:tr w:rsidR="008834AE" w:rsidRPr="00C61187" w14:paraId="59C49B38" w14:textId="77777777" w:rsidTr="00CF00FE">
        <w:tc>
          <w:tcPr>
            <w:tcW w:w="2472" w:type="dxa"/>
          </w:tcPr>
          <w:p w14:paraId="330DD221" w14:textId="77777777" w:rsidR="008834AE" w:rsidRPr="004967EA" w:rsidRDefault="008834AE" w:rsidP="00603108">
            <w:pPr>
              <w:keepLines/>
              <w:spacing w:before="40" w:after="40" w:line="200" w:lineRule="atLeast"/>
              <w:rPr>
                <w:rFonts w:asciiTheme="minorHAnsi" w:eastAsia="Times New Roman" w:hAnsiTheme="minorHAnsi"/>
                <w:iCs/>
                <w:color w:val="auto"/>
                <w:szCs w:val="17"/>
                <w:lang w:eastAsia="en-US"/>
              </w:rPr>
            </w:pPr>
          </w:p>
        </w:tc>
        <w:tc>
          <w:tcPr>
            <w:tcW w:w="2381" w:type="dxa"/>
          </w:tcPr>
          <w:p w14:paraId="3442FD1A" w14:textId="77777777" w:rsidR="008834AE" w:rsidRPr="00C61187" w:rsidRDefault="008834AE" w:rsidP="00603108">
            <w:pPr>
              <w:keepLines/>
              <w:spacing w:before="40" w:after="40" w:line="200" w:lineRule="atLeast"/>
              <w:rPr>
                <w:rFonts w:eastAsia="Times New Roman"/>
                <w:iCs/>
                <w:szCs w:val="17"/>
                <w:lang w:eastAsia="en-US"/>
              </w:rPr>
            </w:pPr>
          </w:p>
        </w:tc>
        <w:tc>
          <w:tcPr>
            <w:tcW w:w="2459" w:type="dxa"/>
          </w:tcPr>
          <w:p w14:paraId="08F4A25E" w14:textId="77777777" w:rsidR="008834AE" w:rsidRPr="00C61187" w:rsidRDefault="008834AE" w:rsidP="00603108">
            <w:pPr>
              <w:keepLines/>
              <w:spacing w:before="40" w:after="40" w:line="200" w:lineRule="atLeast"/>
              <w:rPr>
                <w:rFonts w:eastAsia="Times New Roman"/>
                <w:iCs/>
                <w:szCs w:val="17"/>
                <w:lang w:eastAsia="en-US"/>
              </w:rPr>
            </w:pPr>
          </w:p>
        </w:tc>
        <w:tc>
          <w:tcPr>
            <w:tcW w:w="2227" w:type="dxa"/>
          </w:tcPr>
          <w:p w14:paraId="2C05B469" w14:textId="77777777" w:rsidR="008834AE" w:rsidRPr="00C61187" w:rsidRDefault="008834AE" w:rsidP="00603108">
            <w:pPr>
              <w:keepLines/>
              <w:spacing w:before="40" w:after="40" w:line="200" w:lineRule="atLeast"/>
              <w:rPr>
                <w:rFonts w:eastAsia="Times New Roman"/>
                <w:iCs/>
                <w:szCs w:val="17"/>
                <w:lang w:eastAsia="en-US"/>
              </w:rPr>
            </w:pPr>
          </w:p>
        </w:tc>
        <w:tc>
          <w:tcPr>
            <w:tcW w:w="2348" w:type="dxa"/>
          </w:tcPr>
          <w:p w14:paraId="71E6E5D3" w14:textId="77777777" w:rsidR="008834AE" w:rsidRPr="00C61187" w:rsidRDefault="008834AE" w:rsidP="00603108">
            <w:pPr>
              <w:keepLines/>
              <w:spacing w:before="40" w:after="40" w:line="200" w:lineRule="atLeast"/>
              <w:rPr>
                <w:rFonts w:eastAsia="Times New Roman"/>
                <w:iCs/>
                <w:szCs w:val="17"/>
                <w:lang w:eastAsia="en-US"/>
              </w:rPr>
            </w:pPr>
          </w:p>
        </w:tc>
        <w:tc>
          <w:tcPr>
            <w:tcW w:w="2362" w:type="dxa"/>
          </w:tcPr>
          <w:p w14:paraId="420BCD02" w14:textId="77777777" w:rsidR="008834AE" w:rsidRPr="00C61187" w:rsidRDefault="008834AE" w:rsidP="00603108">
            <w:pPr>
              <w:keepLines/>
              <w:spacing w:before="40" w:after="40" w:line="200" w:lineRule="atLeast"/>
              <w:rPr>
                <w:rFonts w:eastAsia="Times New Roman"/>
                <w:iCs/>
                <w:szCs w:val="17"/>
                <w:lang w:eastAsia="en-US"/>
              </w:rPr>
            </w:pPr>
          </w:p>
        </w:tc>
      </w:tr>
    </w:tbl>
    <w:p w14:paraId="65D34BBB" w14:textId="77777777" w:rsidR="00400B0F" w:rsidRPr="00C61187" w:rsidRDefault="00400B0F" w:rsidP="00400B0F">
      <w:pPr>
        <w:rPr>
          <w:b/>
        </w:rPr>
        <w:sectPr w:rsidR="00400B0F" w:rsidRPr="00C61187" w:rsidSect="0031491F">
          <w:headerReference w:type="even" r:id="rId18"/>
          <w:headerReference w:type="default" r:id="rId19"/>
          <w:headerReference w:type="first" r:id="rId20"/>
          <w:footerReference w:type="first" r:id="rId21"/>
          <w:footnotePr>
            <w:numRestart w:val="eachPage"/>
          </w:footnotePr>
          <w:type w:val="continuous"/>
          <w:pgSz w:w="16838" w:h="11906" w:orient="landscape" w:code="9"/>
          <w:pgMar w:top="1272" w:right="1814" w:bottom="851" w:left="851" w:header="709" w:footer="230" w:gutter="0"/>
          <w:pgBorders w:offsetFrom="page">
            <w:top w:val="single" w:sz="4" w:space="24" w:color="auto"/>
          </w:pgBorders>
          <w:cols w:space="708"/>
          <w:titlePg/>
          <w:docGrid w:linePitch="360"/>
        </w:sectPr>
      </w:pPr>
    </w:p>
    <w:p w14:paraId="760D3C71" w14:textId="77777777" w:rsidR="00400B0F" w:rsidRPr="00A02542" w:rsidRDefault="00400B0F" w:rsidP="007E3164">
      <w:pPr>
        <w:keepNext/>
        <w:tabs>
          <w:tab w:val="left" w:pos="1560"/>
        </w:tabs>
        <w:spacing w:before="0" w:after="120"/>
        <w:outlineLvl w:val="1"/>
        <w:rPr>
          <w:rFonts w:eastAsiaTheme="majorEastAsia" w:cstheme="majorBidi"/>
          <w:bCs/>
          <w:iCs/>
          <w:caps/>
          <w:color w:val="auto"/>
          <w:spacing w:val="-10"/>
          <w:kern w:val="28"/>
          <w:sz w:val="38"/>
          <w:szCs w:val="24"/>
        </w:rPr>
      </w:pPr>
      <w:r w:rsidRPr="00A02542">
        <w:rPr>
          <w:rFonts w:eastAsiaTheme="majorEastAsia" w:cstheme="majorBidi"/>
          <w:bCs/>
          <w:iCs/>
          <w:caps/>
          <w:color w:val="auto"/>
          <w:spacing w:val="-10"/>
          <w:kern w:val="28"/>
          <w:sz w:val="38"/>
          <w:szCs w:val="24"/>
        </w:rPr>
        <w:lastRenderedPageBreak/>
        <w:t>Annex D - Aid Quality Check ratings</w:t>
      </w:r>
    </w:p>
    <w:p w14:paraId="74D4B063" w14:textId="77777777" w:rsidR="00400B0F" w:rsidRPr="00A02542" w:rsidRDefault="00400B0F" w:rsidP="00D85A5F">
      <w:pPr>
        <w:keepNext/>
        <w:numPr>
          <w:ilvl w:val="2"/>
          <w:numId w:val="0"/>
        </w:numPr>
        <w:spacing w:before="0" w:after="0"/>
        <w:outlineLvl w:val="2"/>
        <w:rPr>
          <w:rFonts w:asciiTheme="majorHAnsi" w:eastAsiaTheme="majorEastAsia" w:hAnsiTheme="majorHAnsi" w:cstheme="majorBidi"/>
          <w:caps/>
          <w:color w:val="auto"/>
          <w:sz w:val="38"/>
          <w:szCs w:val="26"/>
        </w:rPr>
      </w:pPr>
      <w:r w:rsidRPr="00A02542">
        <w:rPr>
          <w:rFonts w:asciiTheme="majorHAnsi" w:eastAsiaTheme="majorEastAsia" w:hAnsiTheme="majorHAnsi" w:cstheme="majorBidi"/>
          <w:caps/>
          <w:color w:val="auto"/>
          <w:sz w:val="38"/>
          <w:szCs w:val="26"/>
        </w:rPr>
        <w:t>AQC ratings</w:t>
      </w:r>
    </w:p>
    <w:p w14:paraId="1E7FB131" w14:textId="77777777" w:rsidR="00400B0F" w:rsidRPr="00A02542" w:rsidRDefault="00400B0F" w:rsidP="007E3164">
      <w:pPr>
        <w:spacing w:before="0"/>
        <w:rPr>
          <w:color w:val="auto"/>
        </w:rPr>
      </w:pPr>
      <w:r w:rsidRPr="00A02542">
        <w:rPr>
          <w:color w:val="auto"/>
        </w:rPr>
        <w:t>AQC investment performance over the previous 12 months and where available last year’s AQC ratings are included.</w:t>
      </w:r>
    </w:p>
    <w:tbl>
      <w:tblPr>
        <w:tblStyle w:val="APPR"/>
        <w:tblW w:w="0" w:type="auto"/>
        <w:tblLayout w:type="fixed"/>
        <w:tblLook w:val="0000" w:firstRow="0" w:lastRow="0" w:firstColumn="0" w:lastColumn="0" w:noHBand="0" w:noVBand="0"/>
      </w:tblPr>
      <w:tblGrid>
        <w:gridCol w:w="2829"/>
        <w:gridCol w:w="1969"/>
        <w:gridCol w:w="1254"/>
        <w:gridCol w:w="1260"/>
        <w:gridCol w:w="1251"/>
        <w:gridCol w:w="1260"/>
        <w:gridCol w:w="1251"/>
        <w:gridCol w:w="1261"/>
        <w:gridCol w:w="1252"/>
        <w:gridCol w:w="1257"/>
      </w:tblGrid>
      <w:tr w:rsidR="00400B0F" w:rsidRPr="00A02542" w14:paraId="680760BC" w14:textId="77777777" w:rsidTr="00D85A5F">
        <w:trPr>
          <w:cnfStyle w:val="000000010000" w:firstRow="0" w:lastRow="0" w:firstColumn="0" w:lastColumn="0" w:oddVBand="0" w:evenVBand="0" w:oddHBand="0" w:evenHBand="1" w:firstRowFirstColumn="0" w:firstRowLastColumn="0" w:lastRowFirstColumn="0" w:lastRowLastColumn="0"/>
          <w:trHeight w:val="1413"/>
        </w:trPr>
        <w:tc>
          <w:tcPr>
            <w:tcW w:w="2787" w:type="dxa"/>
          </w:tcPr>
          <w:p w14:paraId="23BD5595" w14:textId="77777777" w:rsidR="00400B0F" w:rsidRPr="00A02542" w:rsidRDefault="00400B0F" w:rsidP="006F27B1">
            <w:pPr>
              <w:keepLines/>
              <w:spacing w:before="80" w:after="80" w:line="200" w:lineRule="atLeast"/>
              <w:rPr>
                <w:rFonts w:asciiTheme="minorHAnsi" w:eastAsia="Times New Roman" w:hAnsiTheme="minorHAnsi"/>
                <w:b/>
                <w:iCs/>
                <w:color w:val="auto"/>
                <w:szCs w:val="17"/>
                <w:lang w:eastAsia="en-US"/>
              </w:rPr>
            </w:pPr>
            <w:r w:rsidRPr="00A02542">
              <w:rPr>
                <w:rFonts w:eastAsia="Times New Roman"/>
                <w:b/>
                <w:iCs/>
                <w:noProof/>
                <w:color w:val="auto"/>
                <w:szCs w:val="17"/>
                <w:lang w:val="en-AU"/>
              </w:rPr>
              <w:drawing>
                <wp:anchor distT="0" distB="0" distL="114300" distR="114300" simplePos="0" relativeHeight="251676672" behindDoc="0" locked="0" layoutInCell="1" allowOverlap="1" wp14:anchorId="0F5ADEC7" wp14:editId="2C2133DD">
                  <wp:simplePos x="0" y="0"/>
                  <wp:positionH relativeFrom="column">
                    <wp:posOffset>0</wp:posOffset>
                  </wp:positionH>
                  <wp:positionV relativeFrom="paragraph">
                    <wp:posOffset>0</wp:posOffset>
                  </wp:positionV>
                  <wp:extent cx="1857375" cy="228600"/>
                  <wp:effectExtent l="0" t="0" r="9525" b="0"/>
                  <wp:wrapNone/>
                  <wp:docPr id="14" name="Picture 14"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2542">
              <w:rPr>
                <w:rFonts w:asciiTheme="minorHAnsi" w:eastAsia="Times New Roman" w:hAnsiTheme="minorHAnsi"/>
                <w:b/>
                <w:iCs/>
                <w:color w:val="auto"/>
                <w:szCs w:val="17"/>
                <w:lang w:eastAsia="en-US"/>
              </w:rPr>
              <w:t>Investment name</w:t>
            </w:r>
          </w:p>
        </w:tc>
        <w:tc>
          <w:tcPr>
            <w:tcW w:w="1941" w:type="dxa"/>
            <w:textDirection w:val="btLr"/>
          </w:tcPr>
          <w:p w14:paraId="3188F21F" w14:textId="77777777" w:rsidR="00400B0F" w:rsidRPr="00A02542" w:rsidRDefault="00400B0F" w:rsidP="006F27B1">
            <w:pPr>
              <w:keepLines/>
              <w:spacing w:before="80" w:after="80" w:line="200" w:lineRule="atLeast"/>
              <w:rPr>
                <w:rFonts w:asciiTheme="minorHAnsi" w:eastAsia="Times New Roman" w:hAnsiTheme="minorHAnsi"/>
                <w:b/>
                <w:iCs/>
                <w:color w:val="auto"/>
                <w:szCs w:val="17"/>
                <w:lang w:eastAsia="en-US"/>
              </w:rPr>
            </w:pPr>
            <w:r w:rsidRPr="00A02542">
              <w:rPr>
                <w:rFonts w:asciiTheme="minorHAnsi" w:eastAsia="Times New Roman" w:hAnsiTheme="minorHAnsi"/>
                <w:b/>
                <w:iCs/>
                <w:color w:val="auto"/>
                <w:szCs w:val="17"/>
                <w:lang w:eastAsia="en-US"/>
              </w:rPr>
              <w:t>Approved budget and duration</w:t>
            </w:r>
          </w:p>
        </w:tc>
        <w:tc>
          <w:tcPr>
            <w:tcW w:w="1226" w:type="dxa"/>
            <w:textDirection w:val="btLr"/>
          </w:tcPr>
          <w:p w14:paraId="6DBD638E" w14:textId="77777777" w:rsidR="00400B0F" w:rsidRPr="00A02542" w:rsidRDefault="00400B0F" w:rsidP="006F27B1">
            <w:pPr>
              <w:keepLines/>
              <w:spacing w:before="80" w:after="80" w:line="200" w:lineRule="atLeast"/>
              <w:rPr>
                <w:rFonts w:asciiTheme="minorHAnsi" w:eastAsia="Times New Roman" w:hAnsiTheme="minorHAnsi"/>
                <w:b/>
                <w:iCs/>
                <w:color w:val="auto"/>
                <w:szCs w:val="17"/>
                <w:lang w:eastAsia="en-US"/>
              </w:rPr>
            </w:pPr>
            <w:r w:rsidRPr="00A02542">
              <w:rPr>
                <w:rFonts w:asciiTheme="minorHAnsi" w:eastAsia="Times New Roman" w:hAnsiTheme="minorHAnsi"/>
                <w:b/>
                <w:iCs/>
                <w:color w:val="auto"/>
                <w:szCs w:val="17"/>
                <w:lang w:eastAsia="en-US"/>
              </w:rPr>
              <w:t>year on year</w:t>
            </w:r>
          </w:p>
        </w:tc>
        <w:tc>
          <w:tcPr>
            <w:tcW w:w="1232" w:type="dxa"/>
            <w:textDirection w:val="btLr"/>
          </w:tcPr>
          <w:p w14:paraId="15A125B1" w14:textId="77777777" w:rsidR="00400B0F" w:rsidRPr="00A02542" w:rsidRDefault="00400B0F" w:rsidP="006F27B1">
            <w:pPr>
              <w:keepLines/>
              <w:spacing w:before="80" w:after="80" w:line="200" w:lineRule="atLeast"/>
              <w:rPr>
                <w:rFonts w:asciiTheme="minorHAnsi" w:eastAsia="Times New Roman" w:hAnsiTheme="minorHAnsi"/>
                <w:b/>
                <w:iCs/>
                <w:color w:val="auto"/>
                <w:szCs w:val="17"/>
                <w:lang w:eastAsia="en-US"/>
              </w:rPr>
            </w:pPr>
            <w:r w:rsidRPr="00A02542">
              <w:rPr>
                <w:rFonts w:asciiTheme="minorHAnsi" w:eastAsia="Times New Roman" w:hAnsiTheme="minorHAnsi"/>
                <w:b/>
                <w:iCs/>
                <w:color w:val="auto"/>
                <w:szCs w:val="17"/>
                <w:lang w:eastAsia="en-US"/>
              </w:rPr>
              <w:t>Relevance</w:t>
            </w:r>
          </w:p>
        </w:tc>
        <w:tc>
          <w:tcPr>
            <w:tcW w:w="1223" w:type="dxa"/>
            <w:textDirection w:val="btLr"/>
          </w:tcPr>
          <w:p w14:paraId="622FA861" w14:textId="77777777" w:rsidR="00400B0F" w:rsidRPr="00A02542" w:rsidRDefault="00400B0F" w:rsidP="006F27B1">
            <w:pPr>
              <w:keepLines/>
              <w:spacing w:before="80" w:after="80" w:line="200" w:lineRule="atLeast"/>
              <w:rPr>
                <w:rFonts w:asciiTheme="minorHAnsi" w:eastAsia="Times New Roman" w:hAnsiTheme="minorHAnsi"/>
                <w:b/>
                <w:iCs/>
                <w:color w:val="auto"/>
                <w:szCs w:val="17"/>
                <w:lang w:eastAsia="en-US"/>
              </w:rPr>
            </w:pPr>
            <w:r w:rsidRPr="00A02542">
              <w:rPr>
                <w:rFonts w:asciiTheme="minorHAnsi" w:eastAsia="Times New Roman" w:hAnsiTheme="minorHAnsi"/>
                <w:b/>
                <w:iCs/>
                <w:color w:val="auto"/>
                <w:szCs w:val="17"/>
                <w:lang w:eastAsia="en-US"/>
              </w:rPr>
              <w:t>Effectiveness</w:t>
            </w:r>
          </w:p>
        </w:tc>
        <w:tc>
          <w:tcPr>
            <w:tcW w:w="1232" w:type="dxa"/>
            <w:textDirection w:val="btLr"/>
          </w:tcPr>
          <w:p w14:paraId="595B6A1A" w14:textId="77777777" w:rsidR="00400B0F" w:rsidRPr="00A02542" w:rsidRDefault="00400B0F" w:rsidP="006F27B1">
            <w:pPr>
              <w:keepLines/>
              <w:spacing w:before="80" w:after="80" w:line="200" w:lineRule="atLeast"/>
              <w:rPr>
                <w:rFonts w:asciiTheme="minorHAnsi" w:eastAsia="Times New Roman" w:hAnsiTheme="minorHAnsi"/>
                <w:b/>
                <w:iCs/>
                <w:color w:val="auto"/>
                <w:szCs w:val="17"/>
                <w:lang w:eastAsia="en-US"/>
              </w:rPr>
            </w:pPr>
            <w:r w:rsidRPr="00A02542">
              <w:rPr>
                <w:rFonts w:asciiTheme="minorHAnsi" w:eastAsia="Times New Roman" w:hAnsiTheme="minorHAnsi"/>
                <w:b/>
                <w:iCs/>
                <w:color w:val="auto"/>
                <w:szCs w:val="17"/>
                <w:lang w:eastAsia="en-US"/>
              </w:rPr>
              <w:t>Efficiency</w:t>
            </w:r>
          </w:p>
        </w:tc>
        <w:tc>
          <w:tcPr>
            <w:tcW w:w="1223" w:type="dxa"/>
            <w:textDirection w:val="btLr"/>
          </w:tcPr>
          <w:p w14:paraId="2302519F" w14:textId="77777777" w:rsidR="00400B0F" w:rsidRPr="00A02542" w:rsidRDefault="00400B0F" w:rsidP="006F27B1">
            <w:pPr>
              <w:keepLines/>
              <w:spacing w:before="80" w:after="80" w:line="200" w:lineRule="atLeast"/>
              <w:rPr>
                <w:rFonts w:asciiTheme="minorHAnsi" w:eastAsia="Times New Roman" w:hAnsiTheme="minorHAnsi"/>
                <w:b/>
                <w:iCs/>
                <w:color w:val="auto"/>
                <w:szCs w:val="17"/>
                <w:lang w:eastAsia="en-US"/>
              </w:rPr>
            </w:pPr>
            <w:r w:rsidRPr="00A02542">
              <w:rPr>
                <w:rFonts w:asciiTheme="minorHAnsi" w:eastAsia="Times New Roman" w:hAnsiTheme="minorHAnsi"/>
                <w:b/>
                <w:iCs/>
                <w:color w:val="auto"/>
                <w:szCs w:val="17"/>
                <w:lang w:eastAsia="en-US"/>
              </w:rPr>
              <w:t>Monitoring and Evaluation</w:t>
            </w:r>
          </w:p>
        </w:tc>
        <w:tc>
          <w:tcPr>
            <w:tcW w:w="1233" w:type="dxa"/>
            <w:textDirection w:val="btLr"/>
          </w:tcPr>
          <w:p w14:paraId="2B020300" w14:textId="77777777" w:rsidR="00400B0F" w:rsidRPr="00A02542" w:rsidRDefault="00400B0F" w:rsidP="006F27B1">
            <w:pPr>
              <w:keepLines/>
              <w:spacing w:before="80" w:after="80" w:line="200" w:lineRule="atLeast"/>
              <w:rPr>
                <w:rFonts w:asciiTheme="minorHAnsi" w:eastAsia="Times New Roman" w:hAnsiTheme="minorHAnsi"/>
                <w:b/>
                <w:iCs/>
                <w:color w:val="auto"/>
                <w:szCs w:val="17"/>
                <w:lang w:eastAsia="en-US"/>
              </w:rPr>
            </w:pPr>
            <w:r w:rsidRPr="00A02542">
              <w:rPr>
                <w:rFonts w:asciiTheme="minorHAnsi" w:eastAsia="Times New Roman" w:hAnsiTheme="minorHAnsi"/>
                <w:b/>
                <w:iCs/>
                <w:color w:val="auto"/>
                <w:szCs w:val="17"/>
                <w:lang w:eastAsia="en-US"/>
              </w:rPr>
              <w:t>Sustainability</w:t>
            </w:r>
          </w:p>
        </w:tc>
        <w:tc>
          <w:tcPr>
            <w:tcW w:w="1224" w:type="dxa"/>
            <w:textDirection w:val="btLr"/>
          </w:tcPr>
          <w:p w14:paraId="0739E05C" w14:textId="77777777" w:rsidR="00400B0F" w:rsidRPr="00A02542" w:rsidRDefault="00400B0F" w:rsidP="006F27B1">
            <w:pPr>
              <w:keepLines/>
              <w:spacing w:before="80" w:after="80" w:line="200" w:lineRule="atLeast"/>
              <w:rPr>
                <w:rFonts w:asciiTheme="minorHAnsi" w:eastAsia="Times New Roman" w:hAnsiTheme="minorHAnsi"/>
                <w:b/>
                <w:iCs/>
                <w:color w:val="auto"/>
                <w:szCs w:val="17"/>
                <w:lang w:eastAsia="en-US"/>
              </w:rPr>
            </w:pPr>
            <w:r w:rsidRPr="00A02542">
              <w:rPr>
                <w:rFonts w:asciiTheme="minorHAnsi" w:eastAsia="Times New Roman" w:hAnsiTheme="minorHAnsi"/>
                <w:b/>
                <w:iCs/>
                <w:color w:val="auto"/>
                <w:szCs w:val="17"/>
                <w:lang w:eastAsia="en-US"/>
              </w:rPr>
              <w:t>Gender equality</w:t>
            </w:r>
          </w:p>
        </w:tc>
        <w:tc>
          <w:tcPr>
            <w:tcW w:w="1215" w:type="dxa"/>
            <w:textDirection w:val="btLr"/>
          </w:tcPr>
          <w:p w14:paraId="5260D63A" w14:textId="77777777" w:rsidR="00400B0F" w:rsidRPr="00A02542" w:rsidRDefault="00400B0F" w:rsidP="006F27B1">
            <w:pPr>
              <w:keepLines/>
              <w:spacing w:before="80" w:after="80" w:line="200" w:lineRule="atLeast"/>
              <w:rPr>
                <w:rFonts w:asciiTheme="minorHAnsi" w:eastAsia="Times New Roman" w:hAnsiTheme="minorHAnsi"/>
                <w:b/>
                <w:iCs/>
                <w:color w:val="auto"/>
                <w:szCs w:val="17"/>
                <w:lang w:eastAsia="en-US"/>
              </w:rPr>
            </w:pPr>
            <w:r w:rsidRPr="00A02542">
              <w:rPr>
                <w:rFonts w:asciiTheme="minorHAnsi" w:eastAsia="Times New Roman" w:hAnsiTheme="minorHAnsi"/>
                <w:b/>
                <w:iCs/>
                <w:color w:val="auto"/>
                <w:szCs w:val="17"/>
                <w:lang w:eastAsia="en-US"/>
              </w:rPr>
              <w:t>Risks  and Safeguards</w:t>
            </w:r>
          </w:p>
        </w:tc>
      </w:tr>
      <w:tr w:rsidR="00400B0F" w:rsidRPr="00C61187" w14:paraId="19FC80B8" w14:textId="77777777" w:rsidTr="00D85A5F">
        <w:trPr>
          <w:cnfStyle w:val="000000010000" w:firstRow="0" w:lastRow="0" w:firstColumn="0" w:lastColumn="0" w:oddVBand="0" w:evenVBand="0" w:oddHBand="0" w:evenHBand="1" w:firstRowFirstColumn="0" w:firstRowLastColumn="0" w:lastRowFirstColumn="0" w:lastRowLastColumn="0"/>
          <w:trHeight w:val="284"/>
        </w:trPr>
        <w:tc>
          <w:tcPr>
            <w:tcW w:w="2787" w:type="dxa"/>
          </w:tcPr>
          <w:p w14:paraId="7E16FB30" w14:textId="77777777" w:rsidR="00400B0F" w:rsidRPr="00880004" w:rsidRDefault="00400B0F" w:rsidP="006F27B1">
            <w:pPr>
              <w:keepLines/>
              <w:spacing w:before="40" w:after="40" w:line="200" w:lineRule="atLeast"/>
              <w:rPr>
                <w:rFonts w:asciiTheme="minorHAnsi" w:eastAsia="Times New Roman" w:hAnsiTheme="minorHAnsi"/>
                <w:iCs/>
                <w:szCs w:val="17"/>
                <w:lang w:eastAsia="en-US"/>
              </w:rPr>
            </w:pPr>
          </w:p>
        </w:tc>
        <w:tc>
          <w:tcPr>
            <w:tcW w:w="1941" w:type="dxa"/>
          </w:tcPr>
          <w:p w14:paraId="52AF5A0C" w14:textId="77777777" w:rsidR="00400B0F" w:rsidRPr="00880004" w:rsidRDefault="00400B0F" w:rsidP="006F27B1">
            <w:pPr>
              <w:keepLines/>
              <w:spacing w:before="40" w:after="40" w:line="200" w:lineRule="atLeast"/>
              <w:rPr>
                <w:rFonts w:asciiTheme="minorHAnsi" w:eastAsia="Times New Roman" w:hAnsiTheme="minorHAnsi"/>
                <w:iCs/>
                <w:szCs w:val="17"/>
                <w:lang w:eastAsia="en-US"/>
              </w:rPr>
            </w:pPr>
          </w:p>
        </w:tc>
        <w:tc>
          <w:tcPr>
            <w:tcW w:w="1226" w:type="dxa"/>
          </w:tcPr>
          <w:p w14:paraId="2C1E50B5" w14:textId="77777777" w:rsidR="00400B0F" w:rsidRPr="00880004" w:rsidRDefault="00400B0F" w:rsidP="006F27B1">
            <w:pPr>
              <w:keepLines/>
              <w:spacing w:before="40" w:after="40" w:line="200" w:lineRule="atLeast"/>
              <w:rPr>
                <w:rFonts w:asciiTheme="minorHAnsi" w:eastAsia="Times New Roman" w:hAnsiTheme="minorHAnsi"/>
                <w:iCs/>
                <w:szCs w:val="17"/>
                <w:lang w:eastAsia="en-US"/>
              </w:rPr>
            </w:pPr>
          </w:p>
        </w:tc>
        <w:tc>
          <w:tcPr>
            <w:tcW w:w="1232" w:type="dxa"/>
            <w:shd w:val="clear" w:color="auto" w:fill="auto"/>
            <w:noWrap/>
          </w:tcPr>
          <w:p w14:paraId="220AFB22" w14:textId="77777777" w:rsidR="00400B0F" w:rsidRPr="00CB6273" w:rsidRDefault="00400B0F" w:rsidP="006F27B1">
            <w:pPr>
              <w:keepLines/>
              <w:spacing w:before="40" w:after="40" w:line="200" w:lineRule="atLeast"/>
              <w:jc w:val="center"/>
              <w:rPr>
                <w:rFonts w:asciiTheme="minorHAnsi" w:eastAsia="Times New Roman" w:hAnsiTheme="minorHAnsi"/>
                <w:iCs/>
                <w:szCs w:val="17"/>
                <w:u w:val="single"/>
                <w:lang w:eastAsia="en-US"/>
              </w:rPr>
            </w:pPr>
          </w:p>
        </w:tc>
        <w:tc>
          <w:tcPr>
            <w:tcW w:w="1223" w:type="dxa"/>
            <w:shd w:val="clear" w:color="auto" w:fill="auto"/>
            <w:noWrap/>
          </w:tcPr>
          <w:p w14:paraId="1A5116DA" w14:textId="77777777" w:rsidR="00400B0F" w:rsidRPr="00880004" w:rsidRDefault="00400B0F" w:rsidP="006F27B1">
            <w:pPr>
              <w:keepLines/>
              <w:spacing w:before="40" w:after="40" w:line="200" w:lineRule="atLeast"/>
              <w:jc w:val="center"/>
              <w:rPr>
                <w:rFonts w:asciiTheme="minorHAnsi" w:eastAsia="Times New Roman" w:hAnsiTheme="minorHAnsi"/>
                <w:iCs/>
                <w:szCs w:val="17"/>
                <w:lang w:eastAsia="en-US"/>
              </w:rPr>
            </w:pPr>
          </w:p>
        </w:tc>
        <w:tc>
          <w:tcPr>
            <w:tcW w:w="1232" w:type="dxa"/>
            <w:shd w:val="clear" w:color="auto" w:fill="auto"/>
            <w:noWrap/>
          </w:tcPr>
          <w:p w14:paraId="33E67852" w14:textId="77777777" w:rsidR="00400B0F" w:rsidRPr="00880004" w:rsidRDefault="00400B0F" w:rsidP="006F27B1">
            <w:pPr>
              <w:keepLines/>
              <w:spacing w:before="40" w:after="40" w:line="200" w:lineRule="atLeast"/>
              <w:jc w:val="center"/>
              <w:rPr>
                <w:rFonts w:asciiTheme="minorHAnsi" w:eastAsia="Times New Roman" w:hAnsiTheme="minorHAnsi"/>
                <w:iCs/>
                <w:szCs w:val="17"/>
                <w:lang w:eastAsia="en-US"/>
              </w:rPr>
            </w:pPr>
          </w:p>
        </w:tc>
        <w:tc>
          <w:tcPr>
            <w:tcW w:w="1223" w:type="dxa"/>
            <w:shd w:val="clear" w:color="auto" w:fill="auto"/>
            <w:noWrap/>
          </w:tcPr>
          <w:p w14:paraId="2BA2B470" w14:textId="77777777" w:rsidR="00400B0F" w:rsidRPr="00880004" w:rsidRDefault="00400B0F" w:rsidP="006F27B1">
            <w:pPr>
              <w:keepLines/>
              <w:spacing w:before="40" w:after="40" w:line="200" w:lineRule="atLeast"/>
              <w:jc w:val="center"/>
              <w:rPr>
                <w:rFonts w:asciiTheme="minorHAnsi" w:eastAsia="Times New Roman" w:hAnsiTheme="minorHAnsi"/>
                <w:iCs/>
                <w:szCs w:val="17"/>
                <w:lang w:eastAsia="en-US"/>
              </w:rPr>
            </w:pPr>
          </w:p>
        </w:tc>
        <w:tc>
          <w:tcPr>
            <w:tcW w:w="1233" w:type="dxa"/>
            <w:shd w:val="clear" w:color="auto" w:fill="auto"/>
            <w:noWrap/>
          </w:tcPr>
          <w:p w14:paraId="1BF0ED94" w14:textId="77777777" w:rsidR="00400B0F" w:rsidRPr="00880004" w:rsidRDefault="00400B0F" w:rsidP="006F27B1">
            <w:pPr>
              <w:keepLines/>
              <w:spacing w:before="40" w:after="40" w:line="200" w:lineRule="atLeast"/>
              <w:jc w:val="center"/>
              <w:rPr>
                <w:rFonts w:asciiTheme="minorHAnsi" w:eastAsia="Times New Roman" w:hAnsiTheme="minorHAnsi"/>
                <w:iCs/>
                <w:szCs w:val="17"/>
                <w:lang w:eastAsia="en-US"/>
              </w:rPr>
            </w:pPr>
          </w:p>
        </w:tc>
        <w:tc>
          <w:tcPr>
            <w:tcW w:w="1224" w:type="dxa"/>
            <w:shd w:val="clear" w:color="auto" w:fill="auto"/>
            <w:noWrap/>
          </w:tcPr>
          <w:p w14:paraId="04D705C9" w14:textId="77777777" w:rsidR="00400B0F" w:rsidRPr="00880004" w:rsidRDefault="00400B0F" w:rsidP="006F27B1">
            <w:pPr>
              <w:keepLines/>
              <w:spacing w:before="40" w:after="40" w:line="200" w:lineRule="atLeast"/>
              <w:jc w:val="center"/>
              <w:rPr>
                <w:rFonts w:asciiTheme="minorHAnsi" w:eastAsia="Times New Roman" w:hAnsiTheme="minorHAnsi"/>
                <w:iCs/>
                <w:szCs w:val="17"/>
                <w:lang w:eastAsia="en-US"/>
              </w:rPr>
            </w:pPr>
          </w:p>
        </w:tc>
        <w:tc>
          <w:tcPr>
            <w:tcW w:w="1215" w:type="dxa"/>
            <w:shd w:val="clear" w:color="auto" w:fill="auto"/>
          </w:tcPr>
          <w:p w14:paraId="48059A47" w14:textId="77777777" w:rsidR="00400B0F" w:rsidRPr="00880004" w:rsidRDefault="00400B0F" w:rsidP="006F27B1">
            <w:pPr>
              <w:keepLines/>
              <w:spacing w:before="40" w:after="40" w:line="200" w:lineRule="atLeast"/>
              <w:jc w:val="center"/>
              <w:rPr>
                <w:rFonts w:asciiTheme="minorHAnsi" w:eastAsia="Times New Roman" w:hAnsiTheme="minorHAnsi"/>
                <w:iCs/>
                <w:szCs w:val="17"/>
                <w:lang w:eastAsia="en-US"/>
              </w:rPr>
            </w:pPr>
          </w:p>
        </w:tc>
      </w:tr>
      <w:tr w:rsidR="009B3BF0" w:rsidRPr="00C61187" w14:paraId="180A3B16" w14:textId="77777777" w:rsidTr="00D85A5F">
        <w:trPr>
          <w:cnfStyle w:val="000000010000" w:firstRow="0" w:lastRow="0" w:firstColumn="0" w:lastColumn="0" w:oddVBand="0" w:evenVBand="0" w:oddHBand="0" w:evenHBand="1" w:firstRowFirstColumn="0" w:firstRowLastColumn="0" w:lastRowFirstColumn="0" w:lastRowLastColumn="0"/>
          <w:trHeight w:val="284"/>
        </w:trPr>
        <w:tc>
          <w:tcPr>
            <w:tcW w:w="2787" w:type="dxa"/>
            <w:vMerge w:val="restart"/>
            <w:tcBorders>
              <w:top w:val="single" w:sz="4" w:space="0" w:color="auto"/>
            </w:tcBorders>
            <w:vAlign w:val="center"/>
          </w:tcPr>
          <w:p w14:paraId="06E2CE0A" w14:textId="77777777" w:rsidR="009B3BF0" w:rsidRPr="0048469F" w:rsidRDefault="009B3BF0" w:rsidP="009B3BF0">
            <w:pPr>
              <w:pStyle w:val="TableTextEntries"/>
              <w:spacing w:before="0" w:after="0" w:line="240" w:lineRule="auto"/>
            </w:pPr>
            <w:r w:rsidRPr="0048469F">
              <w:t>INI294 - Human Resource Organisational</w:t>
            </w:r>
          </w:p>
        </w:tc>
        <w:tc>
          <w:tcPr>
            <w:tcW w:w="1941" w:type="dxa"/>
            <w:vMerge w:val="restart"/>
            <w:tcBorders>
              <w:top w:val="single" w:sz="4" w:space="0" w:color="auto"/>
            </w:tcBorders>
            <w:vAlign w:val="center"/>
          </w:tcPr>
          <w:p w14:paraId="46071C24" w14:textId="77777777" w:rsidR="009B3BF0" w:rsidRPr="0048469F" w:rsidRDefault="009B3BF0" w:rsidP="009B3BF0">
            <w:pPr>
              <w:pStyle w:val="TableTextEntries"/>
              <w:spacing w:before="0" w:after="0" w:line="240" w:lineRule="auto"/>
              <w:jc w:val="center"/>
            </w:pPr>
            <w:r>
              <w:t>AUD48,378,054.39</w:t>
            </w:r>
          </w:p>
          <w:p w14:paraId="19CF67FF" w14:textId="77777777" w:rsidR="009B3BF0" w:rsidRPr="0048469F" w:rsidRDefault="009B3BF0" w:rsidP="009B3BF0">
            <w:pPr>
              <w:pStyle w:val="TableTextEntries"/>
              <w:spacing w:before="0" w:after="0" w:line="240" w:lineRule="auto"/>
              <w:jc w:val="center"/>
            </w:pPr>
            <w:r w:rsidRPr="0048469F">
              <w:t>23/03/09 - 30/06/19</w:t>
            </w:r>
          </w:p>
        </w:tc>
        <w:tc>
          <w:tcPr>
            <w:tcW w:w="1226" w:type="dxa"/>
            <w:tcBorders>
              <w:top w:val="single" w:sz="4" w:space="0" w:color="auto"/>
            </w:tcBorders>
            <w:vAlign w:val="center"/>
          </w:tcPr>
          <w:p w14:paraId="44D57016" w14:textId="77777777" w:rsidR="009B3BF0" w:rsidRPr="00CF04F7" w:rsidRDefault="009B3BF0" w:rsidP="009B3BF0">
            <w:pPr>
              <w:pStyle w:val="TableTextEntries"/>
              <w:spacing w:before="0" w:after="0" w:line="240" w:lineRule="auto"/>
              <w:jc w:val="center"/>
              <w:rPr>
                <w:sz w:val="16"/>
                <w:szCs w:val="16"/>
              </w:rPr>
            </w:pPr>
            <w:r w:rsidRPr="00CF04F7">
              <w:rPr>
                <w:sz w:val="16"/>
                <w:szCs w:val="16"/>
              </w:rPr>
              <w:t>2015-16</w:t>
            </w:r>
          </w:p>
        </w:tc>
        <w:tc>
          <w:tcPr>
            <w:tcW w:w="1232" w:type="dxa"/>
            <w:tcBorders>
              <w:top w:val="single" w:sz="4" w:space="0" w:color="auto"/>
            </w:tcBorders>
            <w:shd w:val="clear" w:color="auto" w:fill="92D050"/>
            <w:noWrap/>
            <w:vAlign w:val="center"/>
          </w:tcPr>
          <w:p w14:paraId="4B39DCA6" w14:textId="77777777" w:rsidR="009B3BF0" w:rsidRPr="0048469F" w:rsidRDefault="009B3BF0" w:rsidP="009B3BF0">
            <w:pPr>
              <w:jc w:val="center"/>
              <w:rPr>
                <w:rFonts w:cs="Calibri"/>
                <w:color w:val="000000"/>
                <w:szCs w:val="17"/>
              </w:rPr>
            </w:pPr>
            <w:r>
              <w:rPr>
                <w:rFonts w:cs="Calibri"/>
                <w:color w:val="000000"/>
                <w:szCs w:val="17"/>
              </w:rPr>
              <w:t>5</w:t>
            </w:r>
          </w:p>
        </w:tc>
        <w:tc>
          <w:tcPr>
            <w:tcW w:w="1223" w:type="dxa"/>
            <w:tcBorders>
              <w:top w:val="single" w:sz="4" w:space="0" w:color="auto"/>
            </w:tcBorders>
            <w:shd w:val="clear" w:color="auto" w:fill="92D050"/>
            <w:noWrap/>
            <w:vAlign w:val="center"/>
          </w:tcPr>
          <w:p w14:paraId="05D2B249" w14:textId="77777777" w:rsidR="009B3BF0" w:rsidRPr="0048469F" w:rsidRDefault="009B3BF0" w:rsidP="009B3BF0">
            <w:pPr>
              <w:jc w:val="center"/>
              <w:rPr>
                <w:rFonts w:cs="Calibri"/>
                <w:color w:val="000000"/>
                <w:szCs w:val="17"/>
              </w:rPr>
            </w:pPr>
            <w:r>
              <w:rPr>
                <w:rFonts w:cs="Calibri"/>
                <w:color w:val="000000"/>
                <w:szCs w:val="17"/>
              </w:rPr>
              <w:t>5</w:t>
            </w:r>
          </w:p>
        </w:tc>
        <w:tc>
          <w:tcPr>
            <w:tcW w:w="1232" w:type="dxa"/>
            <w:tcBorders>
              <w:top w:val="single" w:sz="4" w:space="0" w:color="auto"/>
            </w:tcBorders>
            <w:shd w:val="clear" w:color="auto" w:fill="92D050"/>
            <w:noWrap/>
            <w:vAlign w:val="center"/>
          </w:tcPr>
          <w:p w14:paraId="7F0E5629" w14:textId="77777777" w:rsidR="009B3BF0" w:rsidRPr="0048469F" w:rsidRDefault="009B3BF0" w:rsidP="009B3BF0">
            <w:pPr>
              <w:jc w:val="center"/>
              <w:rPr>
                <w:rFonts w:cs="Calibri"/>
                <w:color w:val="000000"/>
                <w:szCs w:val="17"/>
              </w:rPr>
            </w:pPr>
            <w:r>
              <w:rPr>
                <w:rFonts w:cs="Calibri"/>
                <w:color w:val="000000"/>
                <w:szCs w:val="17"/>
              </w:rPr>
              <w:t>5</w:t>
            </w:r>
          </w:p>
        </w:tc>
        <w:tc>
          <w:tcPr>
            <w:tcW w:w="1223" w:type="dxa"/>
            <w:tcBorders>
              <w:top w:val="single" w:sz="4" w:space="0" w:color="auto"/>
            </w:tcBorders>
            <w:shd w:val="clear" w:color="auto" w:fill="92D050"/>
            <w:noWrap/>
            <w:vAlign w:val="center"/>
          </w:tcPr>
          <w:p w14:paraId="640C5336" w14:textId="77777777" w:rsidR="009B3BF0" w:rsidRPr="0048469F" w:rsidRDefault="009B3BF0" w:rsidP="009B3BF0">
            <w:pPr>
              <w:jc w:val="center"/>
              <w:rPr>
                <w:rFonts w:cs="Calibri"/>
                <w:color w:val="000000"/>
                <w:szCs w:val="17"/>
              </w:rPr>
            </w:pPr>
            <w:r>
              <w:rPr>
                <w:rFonts w:cs="Calibri"/>
                <w:color w:val="000000"/>
                <w:szCs w:val="17"/>
              </w:rPr>
              <w:t>5</w:t>
            </w:r>
          </w:p>
        </w:tc>
        <w:tc>
          <w:tcPr>
            <w:tcW w:w="1233" w:type="dxa"/>
            <w:tcBorders>
              <w:top w:val="single" w:sz="4" w:space="0" w:color="auto"/>
            </w:tcBorders>
            <w:shd w:val="clear" w:color="auto" w:fill="92D050"/>
            <w:noWrap/>
            <w:vAlign w:val="center"/>
          </w:tcPr>
          <w:p w14:paraId="47E1233F" w14:textId="77777777" w:rsidR="009B3BF0" w:rsidRPr="0048469F" w:rsidRDefault="009B3BF0" w:rsidP="009B3BF0">
            <w:pPr>
              <w:jc w:val="center"/>
              <w:rPr>
                <w:rFonts w:cs="Calibri"/>
                <w:color w:val="000000"/>
                <w:szCs w:val="17"/>
              </w:rPr>
            </w:pPr>
            <w:r>
              <w:rPr>
                <w:rFonts w:cs="Calibri"/>
                <w:color w:val="000000"/>
                <w:szCs w:val="17"/>
              </w:rPr>
              <w:t>5</w:t>
            </w:r>
          </w:p>
        </w:tc>
        <w:tc>
          <w:tcPr>
            <w:tcW w:w="1224" w:type="dxa"/>
            <w:tcBorders>
              <w:top w:val="single" w:sz="4" w:space="0" w:color="auto"/>
            </w:tcBorders>
            <w:shd w:val="clear" w:color="auto" w:fill="92D050"/>
            <w:noWrap/>
            <w:vAlign w:val="center"/>
          </w:tcPr>
          <w:p w14:paraId="2311FF8E" w14:textId="77777777" w:rsidR="009B3BF0" w:rsidRPr="0048469F" w:rsidRDefault="009B3BF0" w:rsidP="009B3BF0">
            <w:pPr>
              <w:jc w:val="center"/>
              <w:rPr>
                <w:rFonts w:cs="Calibri"/>
                <w:color w:val="000000"/>
                <w:szCs w:val="17"/>
              </w:rPr>
            </w:pPr>
            <w:r>
              <w:rPr>
                <w:rFonts w:cs="Calibri"/>
                <w:color w:val="000000"/>
                <w:szCs w:val="17"/>
              </w:rPr>
              <w:t>5</w:t>
            </w:r>
          </w:p>
        </w:tc>
        <w:tc>
          <w:tcPr>
            <w:tcW w:w="1215" w:type="dxa"/>
            <w:tcBorders>
              <w:top w:val="single" w:sz="4" w:space="0" w:color="auto"/>
            </w:tcBorders>
            <w:shd w:val="clear" w:color="auto" w:fill="92D050"/>
            <w:vAlign w:val="center"/>
          </w:tcPr>
          <w:p w14:paraId="0485B1FF" w14:textId="77777777" w:rsidR="009B3BF0" w:rsidRPr="0048469F" w:rsidRDefault="009B3BF0" w:rsidP="009B3BF0">
            <w:pPr>
              <w:jc w:val="center"/>
              <w:rPr>
                <w:rFonts w:cs="Calibri"/>
                <w:color w:val="000000"/>
                <w:szCs w:val="17"/>
              </w:rPr>
            </w:pPr>
            <w:r>
              <w:rPr>
                <w:rFonts w:cs="Calibri"/>
                <w:color w:val="000000"/>
                <w:szCs w:val="17"/>
              </w:rPr>
              <w:t>5</w:t>
            </w:r>
          </w:p>
        </w:tc>
      </w:tr>
      <w:tr w:rsidR="009B3BF0" w:rsidRPr="00C61187" w14:paraId="3EE4E618" w14:textId="77777777" w:rsidTr="00D85A5F">
        <w:trPr>
          <w:cnfStyle w:val="000000010000" w:firstRow="0" w:lastRow="0" w:firstColumn="0" w:lastColumn="0" w:oddVBand="0" w:evenVBand="0" w:oddHBand="0" w:evenHBand="1" w:firstRowFirstColumn="0" w:firstRowLastColumn="0" w:lastRowFirstColumn="0" w:lastRowLastColumn="0"/>
          <w:trHeight w:val="284"/>
        </w:trPr>
        <w:tc>
          <w:tcPr>
            <w:tcW w:w="2787" w:type="dxa"/>
            <w:vMerge/>
            <w:vAlign w:val="center"/>
          </w:tcPr>
          <w:p w14:paraId="5B897E5A" w14:textId="77777777" w:rsidR="009B3BF0" w:rsidRPr="00880004" w:rsidRDefault="009B3BF0" w:rsidP="006F27B1">
            <w:pPr>
              <w:keepLines/>
              <w:spacing w:before="40" w:after="40" w:line="200" w:lineRule="atLeast"/>
              <w:rPr>
                <w:rFonts w:asciiTheme="minorHAnsi" w:eastAsia="Times New Roman" w:hAnsiTheme="minorHAnsi"/>
                <w:iCs/>
                <w:szCs w:val="17"/>
                <w:lang w:eastAsia="en-US"/>
              </w:rPr>
            </w:pPr>
          </w:p>
        </w:tc>
        <w:tc>
          <w:tcPr>
            <w:tcW w:w="1941" w:type="dxa"/>
            <w:vMerge/>
            <w:vAlign w:val="center"/>
          </w:tcPr>
          <w:p w14:paraId="44C127D9" w14:textId="77777777" w:rsidR="009B3BF0" w:rsidRPr="00880004" w:rsidRDefault="009B3BF0" w:rsidP="006F27B1">
            <w:pPr>
              <w:keepLines/>
              <w:spacing w:before="40" w:after="40" w:line="200" w:lineRule="atLeast"/>
              <w:rPr>
                <w:rFonts w:asciiTheme="minorHAnsi" w:eastAsia="Times New Roman" w:hAnsiTheme="minorHAnsi"/>
                <w:iCs/>
                <w:szCs w:val="17"/>
                <w:lang w:eastAsia="en-US"/>
              </w:rPr>
            </w:pPr>
          </w:p>
        </w:tc>
        <w:tc>
          <w:tcPr>
            <w:tcW w:w="1226" w:type="dxa"/>
            <w:vAlign w:val="center"/>
          </w:tcPr>
          <w:p w14:paraId="412291EA" w14:textId="77777777" w:rsidR="009B3BF0" w:rsidRPr="00880004" w:rsidRDefault="009B3BF0" w:rsidP="0052473C">
            <w:pPr>
              <w:pStyle w:val="TableTextEntries"/>
              <w:spacing w:before="0" w:after="0" w:line="240" w:lineRule="auto"/>
              <w:jc w:val="center"/>
              <w:rPr>
                <w:rFonts w:asciiTheme="minorHAnsi" w:hAnsiTheme="minorHAnsi"/>
                <w:iCs w:val="0"/>
                <w:lang w:eastAsia="en-US"/>
              </w:rPr>
            </w:pPr>
            <w:r w:rsidRPr="00CF04F7">
              <w:rPr>
                <w:sz w:val="16"/>
                <w:szCs w:val="16"/>
              </w:rPr>
              <w:t>2014-15</w:t>
            </w:r>
          </w:p>
        </w:tc>
        <w:tc>
          <w:tcPr>
            <w:tcW w:w="1232" w:type="dxa"/>
            <w:shd w:val="clear" w:color="auto" w:fill="92D050"/>
            <w:noWrap/>
            <w:vAlign w:val="center"/>
          </w:tcPr>
          <w:p w14:paraId="66448EEE" w14:textId="77777777" w:rsidR="009B3BF0" w:rsidRPr="00880004" w:rsidRDefault="009B3BF0" w:rsidP="006F27B1">
            <w:pPr>
              <w:keepLines/>
              <w:spacing w:before="40" w:after="40" w:line="200" w:lineRule="atLeast"/>
              <w:jc w:val="center"/>
              <w:rPr>
                <w:rFonts w:asciiTheme="minorHAnsi" w:eastAsia="Times New Roman" w:hAnsiTheme="minorHAnsi"/>
                <w:iCs/>
                <w:szCs w:val="17"/>
                <w:lang w:eastAsia="en-US"/>
              </w:rPr>
            </w:pPr>
            <w:r w:rsidRPr="0048469F">
              <w:rPr>
                <w:rFonts w:cs="Calibri"/>
                <w:color w:val="000000"/>
                <w:szCs w:val="17"/>
              </w:rPr>
              <w:t>6</w:t>
            </w:r>
          </w:p>
        </w:tc>
        <w:tc>
          <w:tcPr>
            <w:tcW w:w="1223" w:type="dxa"/>
            <w:shd w:val="clear" w:color="auto" w:fill="92D050"/>
            <w:noWrap/>
            <w:vAlign w:val="center"/>
          </w:tcPr>
          <w:p w14:paraId="6F2C20E4" w14:textId="77777777" w:rsidR="009B3BF0" w:rsidRPr="00880004" w:rsidRDefault="009B3BF0" w:rsidP="006F27B1">
            <w:pPr>
              <w:keepLines/>
              <w:spacing w:before="40" w:after="40" w:line="200" w:lineRule="atLeast"/>
              <w:jc w:val="center"/>
              <w:rPr>
                <w:rFonts w:asciiTheme="minorHAnsi" w:eastAsia="Times New Roman" w:hAnsiTheme="minorHAnsi"/>
                <w:iCs/>
                <w:szCs w:val="17"/>
                <w:lang w:eastAsia="en-US"/>
              </w:rPr>
            </w:pPr>
            <w:r w:rsidRPr="0048469F">
              <w:rPr>
                <w:rFonts w:cs="Calibri"/>
                <w:color w:val="000000"/>
                <w:szCs w:val="17"/>
              </w:rPr>
              <w:t>6</w:t>
            </w:r>
          </w:p>
        </w:tc>
        <w:tc>
          <w:tcPr>
            <w:tcW w:w="1232" w:type="dxa"/>
            <w:shd w:val="clear" w:color="auto" w:fill="92D050"/>
            <w:noWrap/>
            <w:vAlign w:val="center"/>
          </w:tcPr>
          <w:p w14:paraId="0AF6C244" w14:textId="77777777" w:rsidR="009B3BF0" w:rsidRPr="00880004" w:rsidRDefault="009B3BF0" w:rsidP="006F27B1">
            <w:pPr>
              <w:keepLines/>
              <w:spacing w:before="40" w:after="40" w:line="200" w:lineRule="atLeast"/>
              <w:jc w:val="center"/>
              <w:rPr>
                <w:rFonts w:asciiTheme="minorHAnsi" w:eastAsia="Times New Roman" w:hAnsiTheme="minorHAnsi"/>
                <w:iCs/>
                <w:szCs w:val="17"/>
                <w:lang w:eastAsia="en-US"/>
              </w:rPr>
            </w:pPr>
            <w:r w:rsidRPr="0048469F">
              <w:rPr>
                <w:rFonts w:cs="Calibri"/>
                <w:color w:val="000000"/>
                <w:szCs w:val="17"/>
              </w:rPr>
              <w:t>6</w:t>
            </w:r>
          </w:p>
        </w:tc>
        <w:tc>
          <w:tcPr>
            <w:tcW w:w="1223" w:type="dxa"/>
            <w:shd w:val="clear" w:color="auto" w:fill="92D050"/>
            <w:noWrap/>
            <w:vAlign w:val="center"/>
          </w:tcPr>
          <w:p w14:paraId="378772DC" w14:textId="77777777" w:rsidR="009B3BF0" w:rsidRPr="00880004" w:rsidRDefault="009B3BF0" w:rsidP="006F27B1">
            <w:pPr>
              <w:keepLines/>
              <w:spacing w:before="40" w:after="40" w:line="200" w:lineRule="atLeast"/>
              <w:jc w:val="center"/>
              <w:rPr>
                <w:rFonts w:asciiTheme="minorHAnsi" w:eastAsia="Times New Roman" w:hAnsiTheme="minorHAnsi"/>
                <w:iCs/>
                <w:szCs w:val="17"/>
                <w:lang w:eastAsia="en-US"/>
              </w:rPr>
            </w:pPr>
            <w:r w:rsidRPr="0048469F">
              <w:rPr>
                <w:rFonts w:cs="Calibri"/>
                <w:color w:val="000000"/>
                <w:szCs w:val="17"/>
              </w:rPr>
              <w:t>6</w:t>
            </w:r>
          </w:p>
        </w:tc>
        <w:tc>
          <w:tcPr>
            <w:tcW w:w="1233" w:type="dxa"/>
            <w:shd w:val="clear" w:color="auto" w:fill="92D050"/>
            <w:noWrap/>
            <w:vAlign w:val="center"/>
          </w:tcPr>
          <w:p w14:paraId="624E38B0" w14:textId="77777777" w:rsidR="009B3BF0" w:rsidRPr="00880004" w:rsidRDefault="009B3BF0" w:rsidP="006F27B1">
            <w:pPr>
              <w:keepLines/>
              <w:spacing w:before="40" w:after="40" w:line="200" w:lineRule="atLeast"/>
              <w:jc w:val="center"/>
              <w:rPr>
                <w:rFonts w:asciiTheme="minorHAnsi" w:eastAsia="Times New Roman" w:hAnsiTheme="minorHAnsi"/>
                <w:iCs/>
                <w:szCs w:val="17"/>
                <w:lang w:eastAsia="en-US"/>
              </w:rPr>
            </w:pPr>
            <w:r w:rsidRPr="0048469F">
              <w:rPr>
                <w:rFonts w:cs="Calibri"/>
                <w:color w:val="000000"/>
                <w:szCs w:val="17"/>
              </w:rPr>
              <w:t>5</w:t>
            </w:r>
          </w:p>
        </w:tc>
        <w:tc>
          <w:tcPr>
            <w:tcW w:w="1224" w:type="dxa"/>
            <w:shd w:val="clear" w:color="auto" w:fill="92D050"/>
            <w:noWrap/>
            <w:vAlign w:val="center"/>
          </w:tcPr>
          <w:p w14:paraId="6DE19ED0" w14:textId="77777777" w:rsidR="009B3BF0" w:rsidRPr="00880004" w:rsidRDefault="009B3BF0" w:rsidP="006F27B1">
            <w:pPr>
              <w:keepLines/>
              <w:spacing w:before="40" w:after="40" w:line="200" w:lineRule="atLeast"/>
              <w:jc w:val="center"/>
              <w:rPr>
                <w:rFonts w:asciiTheme="minorHAnsi" w:eastAsia="Times New Roman" w:hAnsiTheme="minorHAnsi"/>
                <w:iCs/>
                <w:szCs w:val="17"/>
                <w:lang w:eastAsia="en-US"/>
              </w:rPr>
            </w:pPr>
            <w:r w:rsidRPr="0048469F">
              <w:rPr>
                <w:rFonts w:cs="Calibri"/>
                <w:color w:val="000000"/>
                <w:szCs w:val="17"/>
              </w:rPr>
              <w:t>6</w:t>
            </w:r>
          </w:p>
        </w:tc>
        <w:tc>
          <w:tcPr>
            <w:tcW w:w="1215" w:type="dxa"/>
            <w:shd w:val="clear" w:color="auto" w:fill="92D050"/>
            <w:vAlign w:val="center"/>
          </w:tcPr>
          <w:p w14:paraId="03967A77" w14:textId="77777777" w:rsidR="009B3BF0" w:rsidRPr="00880004" w:rsidRDefault="009B3BF0" w:rsidP="006F27B1">
            <w:pPr>
              <w:keepLines/>
              <w:spacing w:before="40" w:after="40" w:line="200" w:lineRule="atLeast"/>
              <w:jc w:val="center"/>
              <w:rPr>
                <w:rFonts w:asciiTheme="minorHAnsi" w:eastAsia="Times New Roman" w:hAnsiTheme="minorHAnsi"/>
                <w:iCs/>
                <w:szCs w:val="17"/>
                <w:lang w:eastAsia="en-US"/>
              </w:rPr>
            </w:pPr>
            <w:r w:rsidRPr="0048469F">
              <w:rPr>
                <w:rFonts w:cs="Calibri"/>
                <w:color w:val="000000"/>
              </w:rPr>
              <w:t>5</w:t>
            </w:r>
          </w:p>
        </w:tc>
      </w:tr>
      <w:tr w:rsidR="009B3BF0" w:rsidRPr="00C61187" w14:paraId="2BC49CE7" w14:textId="77777777" w:rsidTr="00D85A5F">
        <w:trPr>
          <w:cnfStyle w:val="000000010000" w:firstRow="0" w:lastRow="0" w:firstColumn="0" w:lastColumn="0" w:oddVBand="0" w:evenVBand="0" w:oddHBand="0" w:evenHBand="1" w:firstRowFirstColumn="0" w:firstRowLastColumn="0" w:lastRowFirstColumn="0" w:lastRowLastColumn="0"/>
          <w:trHeight w:val="284"/>
        </w:trPr>
        <w:tc>
          <w:tcPr>
            <w:tcW w:w="2787" w:type="dxa"/>
            <w:vAlign w:val="center"/>
          </w:tcPr>
          <w:p w14:paraId="6E5C0FC4" w14:textId="77777777" w:rsidR="009B3BF0" w:rsidRPr="0048469F" w:rsidRDefault="009B3BF0" w:rsidP="009B3BF0">
            <w:pPr>
              <w:pStyle w:val="TableTextEntries"/>
              <w:spacing w:before="0" w:after="0" w:line="240" w:lineRule="auto"/>
            </w:pPr>
            <w:r w:rsidRPr="0048469F">
              <w:t>INI428 - Philippines Social Protection</w:t>
            </w:r>
          </w:p>
        </w:tc>
        <w:tc>
          <w:tcPr>
            <w:tcW w:w="1941" w:type="dxa"/>
            <w:vAlign w:val="center"/>
          </w:tcPr>
          <w:p w14:paraId="5CD5C55E" w14:textId="77777777" w:rsidR="009B3BF0" w:rsidRPr="0048469F" w:rsidRDefault="009B3BF0" w:rsidP="009B3BF0">
            <w:pPr>
              <w:pStyle w:val="TableTextEntries"/>
              <w:spacing w:before="0" w:after="0" w:line="240" w:lineRule="auto"/>
              <w:jc w:val="center"/>
            </w:pPr>
            <w:r>
              <w:t>AUD</w:t>
            </w:r>
            <w:r w:rsidRPr="0048469F">
              <w:t>27,</w:t>
            </w:r>
            <w:r>
              <w:t>791,190.21</w:t>
            </w:r>
          </w:p>
          <w:p w14:paraId="10018809" w14:textId="77777777" w:rsidR="009B3BF0" w:rsidRPr="0048469F" w:rsidRDefault="009B3BF0" w:rsidP="009B3BF0">
            <w:pPr>
              <w:pStyle w:val="TableTextEntries"/>
              <w:spacing w:before="0" w:after="0" w:line="240" w:lineRule="auto"/>
              <w:jc w:val="center"/>
            </w:pPr>
            <w:r w:rsidRPr="0048469F">
              <w:t>3/02/09 - 30/06/17</w:t>
            </w:r>
          </w:p>
        </w:tc>
        <w:tc>
          <w:tcPr>
            <w:tcW w:w="1226" w:type="dxa"/>
            <w:vAlign w:val="center"/>
          </w:tcPr>
          <w:p w14:paraId="25CC6F6D" w14:textId="77777777" w:rsidR="009B3BF0" w:rsidRPr="00CF04F7" w:rsidRDefault="009B3BF0" w:rsidP="009B3BF0">
            <w:pPr>
              <w:pStyle w:val="TableTextEntries"/>
              <w:spacing w:before="0" w:after="0" w:line="240" w:lineRule="auto"/>
              <w:jc w:val="center"/>
              <w:rPr>
                <w:sz w:val="16"/>
                <w:szCs w:val="16"/>
              </w:rPr>
            </w:pPr>
            <w:r w:rsidRPr="00CF04F7">
              <w:rPr>
                <w:sz w:val="16"/>
                <w:szCs w:val="16"/>
              </w:rPr>
              <w:t>2015-16</w:t>
            </w:r>
          </w:p>
        </w:tc>
        <w:tc>
          <w:tcPr>
            <w:tcW w:w="1232" w:type="dxa"/>
            <w:shd w:val="clear" w:color="auto" w:fill="92D050"/>
            <w:noWrap/>
            <w:vAlign w:val="center"/>
          </w:tcPr>
          <w:p w14:paraId="2EDB7E3E" w14:textId="77777777" w:rsidR="009B3BF0" w:rsidRPr="0048469F" w:rsidRDefault="009B3BF0" w:rsidP="009B3BF0">
            <w:pPr>
              <w:jc w:val="center"/>
              <w:rPr>
                <w:rFonts w:cs="Calibri"/>
                <w:color w:val="000000"/>
                <w:szCs w:val="17"/>
              </w:rPr>
            </w:pPr>
            <w:r>
              <w:rPr>
                <w:rFonts w:cs="Calibri"/>
                <w:color w:val="000000"/>
                <w:szCs w:val="17"/>
              </w:rPr>
              <w:t>5</w:t>
            </w:r>
          </w:p>
        </w:tc>
        <w:tc>
          <w:tcPr>
            <w:tcW w:w="1223" w:type="dxa"/>
            <w:shd w:val="clear" w:color="auto" w:fill="92D050"/>
            <w:noWrap/>
            <w:vAlign w:val="center"/>
          </w:tcPr>
          <w:p w14:paraId="3586DB9A" w14:textId="77777777" w:rsidR="009B3BF0" w:rsidRPr="0048469F" w:rsidRDefault="009B3BF0" w:rsidP="009B3BF0">
            <w:pPr>
              <w:jc w:val="center"/>
              <w:rPr>
                <w:rFonts w:cs="Calibri"/>
                <w:color w:val="000000"/>
                <w:szCs w:val="17"/>
              </w:rPr>
            </w:pPr>
            <w:r>
              <w:rPr>
                <w:rFonts w:cs="Calibri"/>
                <w:color w:val="000000"/>
                <w:szCs w:val="17"/>
              </w:rPr>
              <w:t>5</w:t>
            </w:r>
          </w:p>
        </w:tc>
        <w:tc>
          <w:tcPr>
            <w:tcW w:w="1232" w:type="dxa"/>
            <w:shd w:val="clear" w:color="auto" w:fill="92D050"/>
            <w:noWrap/>
            <w:vAlign w:val="center"/>
          </w:tcPr>
          <w:p w14:paraId="11A37CF0" w14:textId="77777777" w:rsidR="009B3BF0" w:rsidRPr="0048469F" w:rsidRDefault="009B3BF0" w:rsidP="009B3BF0">
            <w:pPr>
              <w:jc w:val="center"/>
              <w:rPr>
                <w:rFonts w:cs="Calibri"/>
                <w:color w:val="000000"/>
                <w:szCs w:val="17"/>
              </w:rPr>
            </w:pPr>
            <w:r>
              <w:rPr>
                <w:rFonts w:cs="Calibri"/>
                <w:color w:val="000000"/>
                <w:szCs w:val="17"/>
              </w:rPr>
              <w:t>5</w:t>
            </w:r>
          </w:p>
        </w:tc>
        <w:tc>
          <w:tcPr>
            <w:tcW w:w="1223" w:type="dxa"/>
            <w:shd w:val="clear" w:color="auto" w:fill="FFFF00"/>
            <w:noWrap/>
            <w:vAlign w:val="center"/>
          </w:tcPr>
          <w:p w14:paraId="47FCBC6F" w14:textId="77777777" w:rsidR="009B3BF0" w:rsidRPr="0048469F" w:rsidRDefault="009B3BF0" w:rsidP="009B3BF0">
            <w:pPr>
              <w:jc w:val="center"/>
              <w:rPr>
                <w:rFonts w:cs="Calibri"/>
                <w:color w:val="000000"/>
                <w:szCs w:val="17"/>
              </w:rPr>
            </w:pPr>
            <w:r>
              <w:rPr>
                <w:rFonts w:cs="Calibri"/>
                <w:color w:val="000000"/>
                <w:szCs w:val="17"/>
              </w:rPr>
              <w:t>4</w:t>
            </w:r>
          </w:p>
        </w:tc>
        <w:tc>
          <w:tcPr>
            <w:tcW w:w="1233" w:type="dxa"/>
            <w:shd w:val="clear" w:color="auto" w:fill="92D050"/>
            <w:noWrap/>
            <w:vAlign w:val="center"/>
          </w:tcPr>
          <w:p w14:paraId="45D5BF79" w14:textId="77777777" w:rsidR="009B3BF0" w:rsidRPr="0048469F" w:rsidRDefault="009B3BF0" w:rsidP="009B3BF0">
            <w:pPr>
              <w:jc w:val="center"/>
              <w:rPr>
                <w:rFonts w:cs="Calibri"/>
                <w:color w:val="000000"/>
                <w:szCs w:val="17"/>
              </w:rPr>
            </w:pPr>
            <w:r>
              <w:rPr>
                <w:rFonts w:cs="Calibri"/>
                <w:color w:val="000000"/>
                <w:szCs w:val="17"/>
              </w:rPr>
              <w:t>5</w:t>
            </w:r>
          </w:p>
        </w:tc>
        <w:tc>
          <w:tcPr>
            <w:tcW w:w="1224" w:type="dxa"/>
            <w:shd w:val="clear" w:color="auto" w:fill="FFFF00"/>
            <w:noWrap/>
            <w:vAlign w:val="center"/>
          </w:tcPr>
          <w:p w14:paraId="341F53EF" w14:textId="77777777" w:rsidR="009B3BF0" w:rsidRPr="0048469F" w:rsidRDefault="009B3BF0" w:rsidP="009B3BF0">
            <w:pPr>
              <w:jc w:val="center"/>
              <w:rPr>
                <w:rFonts w:cs="Calibri"/>
                <w:color w:val="000000"/>
                <w:szCs w:val="17"/>
              </w:rPr>
            </w:pPr>
            <w:r>
              <w:rPr>
                <w:rFonts w:cs="Calibri"/>
                <w:color w:val="000000"/>
                <w:szCs w:val="17"/>
              </w:rPr>
              <w:t>4</w:t>
            </w:r>
          </w:p>
        </w:tc>
        <w:tc>
          <w:tcPr>
            <w:tcW w:w="1215" w:type="dxa"/>
            <w:shd w:val="clear" w:color="auto" w:fill="92D050"/>
            <w:vAlign w:val="center"/>
          </w:tcPr>
          <w:p w14:paraId="30E3BC89" w14:textId="77777777" w:rsidR="009B3BF0" w:rsidRPr="0048469F" w:rsidRDefault="009B3BF0" w:rsidP="009B3BF0">
            <w:pPr>
              <w:jc w:val="center"/>
              <w:rPr>
                <w:rFonts w:cs="Calibri"/>
                <w:color w:val="000000"/>
                <w:szCs w:val="17"/>
              </w:rPr>
            </w:pPr>
            <w:r>
              <w:rPr>
                <w:rFonts w:cs="Calibri"/>
                <w:color w:val="000000"/>
                <w:szCs w:val="17"/>
              </w:rPr>
              <w:t>5</w:t>
            </w:r>
          </w:p>
        </w:tc>
      </w:tr>
      <w:tr w:rsidR="009B3BF0" w:rsidRPr="00C61187" w14:paraId="6C153637" w14:textId="77777777" w:rsidTr="00D85A5F">
        <w:trPr>
          <w:cnfStyle w:val="000000010000" w:firstRow="0" w:lastRow="0" w:firstColumn="0" w:lastColumn="0" w:oddVBand="0" w:evenVBand="0" w:oddHBand="0" w:evenHBand="1" w:firstRowFirstColumn="0" w:firstRowLastColumn="0" w:lastRowFirstColumn="0" w:lastRowLastColumn="0"/>
          <w:trHeight w:val="284"/>
        </w:trPr>
        <w:tc>
          <w:tcPr>
            <w:tcW w:w="2787" w:type="dxa"/>
            <w:vAlign w:val="center"/>
          </w:tcPr>
          <w:p w14:paraId="30C4082F" w14:textId="77777777" w:rsidR="009B3BF0" w:rsidRPr="0048469F" w:rsidRDefault="009B3BF0" w:rsidP="009B3BF0">
            <w:pPr>
              <w:pStyle w:val="TableTextEntries"/>
              <w:spacing w:before="0" w:after="0" w:line="240" w:lineRule="auto"/>
            </w:pPr>
          </w:p>
        </w:tc>
        <w:tc>
          <w:tcPr>
            <w:tcW w:w="1941" w:type="dxa"/>
            <w:vAlign w:val="center"/>
          </w:tcPr>
          <w:p w14:paraId="6B7ACABD" w14:textId="77777777" w:rsidR="009B3BF0" w:rsidRPr="0048469F" w:rsidRDefault="009B3BF0" w:rsidP="009B3BF0">
            <w:pPr>
              <w:pStyle w:val="TableTextEntries"/>
              <w:spacing w:before="0" w:after="0" w:line="240" w:lineRule="auto"/>
              <w:jc w:val="center"/>
            </w:pPr>
          </w:p>
        </w:tc>
        <w:tc>
          <w:tcPr>
            <w:tcW w:w="1226" w:type="dxa"/>
            <w:vAlign w:val="center"/>
          </w:tcPr>
          <w:p w14:paraId="60C0A26E" w14:textId="77777777" w:rsidR="009B3BF0" w:rsidRPr="00CF04F7" w:rsidRDefault="009B3BF0" w:rsidP="009B3BF0">
            <w:pPr>
              <w:pStyle w:val="TableTextEntries"/>
              <w:spacing w:before="0" w:after="0" w:line="240" w:lineRule="auto"/>
              <w:jc w:val="center"/>
              <w:rPr>
                <w:sz w:val="16"/>
                <w:szCs w:val="16"/>
              </w:rPr>
            </w:pPr>
            <w:r w:rsidRPr="00CF04F7">
              <w:rPr>
                <w:sz w:val="16"/>
                <w:szCs w:val="16"/>
              </w:rPr>
              <w:t>2014-15</w:t>
            </w:r>
          </w:p>
        </w:tc>
        <w:tc>
          <w:tcPr>
            <w:tcW w:w="1232" w:type="dxa"/>
            <w:shd w:val="clear" w:color="auto" w:fill="92D050"/>
            <w:noWrap/>
            <w:vAlign w:val="center"/>
          </w:tcPr>
          <w:p w14:paraId="592433D8" w14:textId="77777777" w:rsidR="009B3BF0" w:rsidRPr="0048469F" w:rsidRDefault="009B3BF0" w:rsidP="009B3BF0">
            <w:pPr>
              <w:jc w:val="center"/>
              <w:rPr>
                <w:rFonts w:cs="Calibri"/>
                <w:color w:val="000000"/>
                <w:szCs w:val="17"/>
              </w:rPr>
            </w:pPr>
            <w:r w:rsidRPr="0048469F">
              <w:rPr>
                <w:rFonts w:cs="Calibri"/>
                <w:color w:val="000000"/>
                <w:szCs w:val="17"/>
              </w:rPr>
              <w:t>6</w:t>
            </w:r>
          </w:p>
        </w:tc>
        <w:tc>
          <w:tcPr>
            <w:tcW w:w="1223" w:type="dxa"/>
            <w:shd w:val="clear" w:color="auto" w:fill="92D050"/>
            <w:noWrap/>
            <w:vAlign w:val="center"/>
          </w:tcPr>
          <w:p w14:paraId="5CE5D629" w14:textId="77777777" w:rsidR="009B3BF0" w:rsidRPr="0048469F" w:rsidRDefault="009B3BF0" w:rsidP="009B3BF0">
            <w:pPr>
              <w:jc w:val="center"/>
              <w:rPr>
                <w:rFonts w:cs="Calibri"/>
                <w:color w:val="000000"/>
                <w:szCs w:val="17"/>
              </w:rPr>
            </w:pPr>
            <w:r w:rsidRPr="0048469F">
              <w:rPr>
                <w:rFonts w:cs="Calibri"/>
                <w:color w:val="000000"/>
                <w:szCs w:val="17"/>
              </w:rPr>
              <w:t>5</w:t>
            </w:r>
          </w:p>
        </w:tc>
        <w:tc>
          <w:tcPr>
            <w:tcW w:w="1232" w:type="dxa"/>
            <w:shd w:val="clear" w:color="auto" w:fill="92D050"/>
            <w:noWrap/>
            <w:vAlign w:val="center"/>
          </w:tcPr>
          <w:p w14:paraId="7855C3EC" w14:textId="77777777" w:rsidR="009B3BF0" w:rsidRPr="0048469F" w:rsidRDefault="009B3BF0" w:rsidP="009B3BF0">
            <w:pPr>
              <w:jc w:val="center"/>
              <w:rPr>
                <w:rFonts w:cs="Calibri"/>
                <w:color w:val="000000"/>
                <w:szCs w:val="17"/>
              </w:rPr>
            </w:pPr>
            <w:r w:rsidRPr="0048469F">
              <w:rPr>
                <w:rFonts w:cs="Calibri"/>
                <w:color w:val="000000"/>
                <w:szCs w:val="17"/>
              </w:rPr>
              <w:t>5</w:t>
            </w:r>
          </w:p>
        </w:tc>
        <w:tc>
          <w:tcPr>
            <w:tcW w:w="1223" w:type="dxa"/>
            <w:shd w:val="clear" w:color="auto" w:fill="FFFF00"/>
            <w:noWrap/>
            <w:vAlign w:val="center"/>
          </w:tcPr>
          <w:p w14:paraId="0D4A3D8F" w14:textId="77777777" w:rsidR="009B3BF0" w:rsidRPr="0048469F" w:rsidRDefault="009B3BF0" w:rsidP="009B3BF0">
            <w:pPr>
              <w:jc w:val="center"/>
              <w:rPr>
                <w:rFonts w:cs="Calibri"/>
                <w:color w:val="000000"/>
                <w:szCs w:val="17"/>
              </w:rPr>
            </w:pPr>
            <w:r w:rsidRPr="0048469F">
              <w:rPr>
                <w:rFonts w:cs="Calibri"/>
                <w:color w:val="000000"/>
                <w:szCs w:val="17"/>
              </w:rPr>
              <w:t>4</w:t>
            </w:r>
          </w:p>
        </w:tc>
        <w:tc>
          <w:tcPr>
            <w:tcW w:w="1233" w:type="dxa"/>
            <w:shd w:val="clear" w:color="auto" w:fill="92D050"/>
            <w:noWrap/>
            <w:vAlign w:val="center"/>
          </w:tcPr>
          <w:p w14:paraId="74283E22" w14:textId="77777777" w:rsidR="009B3BF0" w:rsidRPr="0048469F" w:rsidRDefault="009B3BF0" w:rsidP="009B3BF0">
            <w:pPr>
              <w:jc w:val="center"/>
              <w:rPr>
                <w:rFonts w:cs="Calibri"/>
                <w:color w:val="000000"/>
                <w:szCs w:val="17"/>
              </w:rPr>
            </w:pPr>
            <w:r w:rsidRPr="0048469F">
              <w:rPr>
                <w:rFonts w:cs="Calibri"/>
                <w:color w:val="000000"/>
                <w:szCs w:val="17"/>
              </w:rPr>
              <w:t>5</w:t>
            </w:r>
          </w:p>
        </w:tc>
        <w:tc>
          <w:tcPr>
            <w:tcW w:w="1224" w:type="dxa"/>
            <w:shd w:val="clear" w:color="auto" w:fill="FFFF00"/>
            <w:noWrap/>
            <w:vAlign w:val="center"/>
          </w:tcPr>
          <w:p w14:paraId="46E49E7B" w14:textId="77777777" w:rsidR="009B3BF0" w:rsidRPr="0048469F" w:rsidRDefault="009B3BF0" w:rsidP="009B3BF0">
            <w:pPr>
              <w:jc w:val="center"/>
              <w:rPr>
                <w:rFonts w:cs="Calibri"/>
                <w:color w:val="000000"/>
                <w:szCs w:val="17"/>
              </w:rPr>
            </w:pPr>
            <w:r w:rsidRPr="0048469F">
              <w:rPr>
                <w:rFonts w:cs="Calibri"/>
                <w:color w:val="000000"/>
                <w:szCs w:val="17"/>
              </w:rPr>
              <w:t>4</w:t>
            </w:r>
          </w:p>
        </w:tc>
        <w:tc>
          <w:tcPr>
            <w:tcW w:w="1215" w:type="dxa"/>
            <w:shd w:val="clear" w:color="auto" w:fill="92D050"/>
            <w:vAlign w:val="center"/>
          </w:tcPr>
          <w:p w14:paraId="4BA09F89" w14:textId="77777777" w:rsidR="009B3BF0" w:rsidRPr="0048469F" w:rsidRDefault="009B3BF0" w:rsidP="009B3BF0">
            <w:pPr>
              <w:pStyle w:val="TableTextEntries"/>
              <w:spacing w:before="0" w:after="0" w:line="240" w:lineRule="auto"/>
              <w:jc w:val="center"/>
            </w:pPr>
            <w:r w:rsidRPr="0048469F">
              <w:rPr>
                <w:rFonts w:cs="Calibri"/>
                <w:color w:val="000000"/>
              </w:rPr>
              <w:t>5</w:t>
            </w:r>
          </w:p>
        </w:tc>
      </w:tr>
      <w:tr w:rsidR="009B3BF0" w:rsidRPr="00C61187" w14:paraId="7EDE7B38" w14:textId="77777777" w:rsidTr="00D85A5F">
        <w:trPr>
          <w:cnfStyle w:val="000000010000" w:firstRow="0" w:lastRow="0" w:firstColumn="0" w:lastColumn="0" w:oddVBand="0" w:evenVBand="0" w:oddHBand="0" w:evenHBand="1" w:firstRowFirstColumn="0" w:firstRowLastColumn="0" w:lastRowFirstColumn="0" w:lastRowLastColumn="0"/>
          <w:trHeight w:val="284"/>
        </w:trPr>
        <w:tc>
          <w:tcPr>
            <w:tcW w:w="2787" w:type="dxa"/>
            <w:vAlign w:val="center"/>
          </w:tcPr>
          <w:p w14:paraId="04CDC7F5" w14:textId="77777777" w:rsidR="009B3BF0" w:rsidRPr="0048469F" w:rsidRDefault="009B3BF0" w:rsidP="009B3BF0">
            <w:pPr>
              <w:pStyle w:val="TableTextEntries"/>
              <w:spacing w:before="0" w:after="0" w:line="240" w:lineRule="auto"/>
            </w:pPr>
            <w:r w:rsidRPr="0048469F">
              <w:t>INJ168 - Philippines Research Initiative</w:t>
            </w:r>
          </w:p>
        </w:tc>
        <w:tc>
          <w:tcPr>
            <w:tcW w:w="1941" w:type="dxa"/>
            <w:vAlign w:val="center"/>
          </w:tcPr>
          <w:p w14:paraId="657CABBD" w14:textId="77777777" w:rsidR="009B3BF0" w:rsidRPr="0048469F" w:rsidRDefault="009B3BF0" w:rsidP="009B3BF0">
            <w:pPr>
              <w:pStyle w:val="TableTextEntries"/>
              <w:spacing w:before="0" w:after="0" w:line="240" w:lineRule="auto"/>
              <w:jc w:val="center"/>
            </w:pPr>
            <w:r>
              <w:t>AUD5,844,267.74</w:t>
            </w:r>
          </w:p>
          <w:p w14:paraId="7AD5522A" w14:textId="77777777" w:rsidR="009B3BF0" w:rsidRPr="0048469F" w:rsidRDefault="009B3BF0" w:rsidP="009B3BF0">
            <w:pPr>
              <w:pStyle w:val="TableTextEntries"/>
              <w:spacing w:before="0" w:after="0" w:line="240" w:lineRule="auto"/>
              <w:jc w:val="center"/>
            </w:pPr>
            <w:r w:rsidRPr="0048469F">
              <w:t>1/01/10 - 30/06/19</w:t>
            </w:r>
          </w:p>
        </w:tc>
        <w:tc>
          <w:tcPr>
            <w:tcW w:w="1226" w:type="dxa"/>
            <w:vAlign w:val="center"/>
          </w:tcPr>
          <w:p w14:paraId="64BE13A9" w14:textId="77777777" w:rsidR="009B3BF0" w:rsidRPr="00CF04F7" w:rsidRDefault="009B3BF0" w:rsidP="009B3BF0">
            <w:pPr>
              <w:pStyle w:val="TableTextEntries"/>
              <w:spacing w:before="0" w:after="0" w:line="240" w:lineRule="auto"/>
              <w:jc w:val="center"/>
              <w:rPr>
                <w:sz w:val="16"/>
                <w:szCs w:val="16"/>
              </w:rPr>
            </w:pPr>
            <w:r w:rsidRPr="00CF04F7">
              <w:rPr>
                <w:sz w:val="16"/>
                <w:szCs w:val="16"/>
              </w:rPr>
              <w:t>2015-16</w:t>
            </w:r>
          </w:p>
        </w:tc>
        <w:tc>
          <w:tcPr>
            <w:tcW w:w="1232" w:type="dxa"/>
            <w:shd w:val="clear" w:color="auto" w:fill="92D050"/>
            <w:noWrap/>
            <w:vAlign w:val="center"/>
          </w:tcPr>
          <w:p w14:paraId="6B0524B7" w14:textId="77777777" w:rsidR="009B3BF0" w:rsidRPr="0048469F" w:rsidRDefault="009B3BF0" w:rsidP="009B3BF0">
            <w:pPr>
              <w:jc w:val="center"/>
              <w:rPr>
                <w:rFonts w:cs="Calibri"/>
                <w:color w:val="000000"/>
                <w:szCs w:val="17"/>
              </w:rPr>
            </w:pPr>
            <w:r>
              <w:rPr>
                <w:rFonts w:cs="Calibri"/>
                <w:color w:val="000000"/>
                <w:szCs w:val="17"/>
              </w:rPr>
              <w:t>5</w:t>
            </w:r>
          </w:p>
        </w:tc>
        <w:tc>
          <w:tcPr>
            <w:tcW w:w="1223" w:type="dxa"/>
            <w:shd w:val="clear" w:color="auto" w:fill="FFFF00"/>
            <w:noWrap/>
            <w:vAlign w:val="center"/>
          </w:tcPr>
          <w:p w14:paraId="3F5E7704" w14:textId="77777777" w:rsidR="009B3BF0" w:rsidRPr="0048469F" w:rsidRDefault="009B3BF0" w:rsidP="009B3BF0">
            <w:pPr>
              <w:jc w:val="center"/>
              <w:rPr>
                <w:rFonts w:cs="Calibri"/>
                <w:color w:val="000000"/>
                <w:szCs w:val="17"/>
              </w:rPr>
            </w:pPr>
            <w:r>
              <w:rPr>
                <w:rFonts w:cs="Calibri"/>
                <w:color w:val="000000"/>
                <w:szCs w:val="17"/>
              </w:rPr>
              <w:t>4</w:t>
            </w:r>
          </w:p>
        </w:tc>
        <w:tc>
          <w:tcPr>
            <w:tcW w:w="1232" w:type="dxa"/>
            <w:shd w:val="clear" w:color="auto" w:fill="FFFF00"/>
            <w:noWrap/>
            <w:vAlign w:val="center"/>
          </w:tcPr>
          <w:p w14:paraId="2608BC15" w14:textId="77777777" w:rsidR="009B3BF0" w:rsidRPr="0048469F" w:rsidRDefault="009B3BF0" w:rsidP="009B3BF0">
            <w:pPr>
              <w:jc w:val="center"/>
              <w:rPr>
                <w:rFonts w:cs="Calibri"/>
                <w:color w:val="000000"/>
                <w:szCs w:val="17"/>
              </w:rPr>
            </w:pPr>
            <w:r>
              <w:rPr>
                <w:rFonts w:cs="Calibri"/>
                <w:color w:val="000000"/>
                <w:szCs w:val="17"/>
              </w:rPr>
              <w:t>4</w:t>
            </w:r>
          </w:p>
        </w:tc>
        <w:tc>
          <w:tcPr>
            <w:tcW w:w="1223" w:type="dxa"/>
            <w:shd w:val="clear" w:color="auto" w:fill="FFC000"/>
            <w:noWrap/>
            <w:vAlign w:val="center"/>
          </w:tcPr>
          <w:p w14:paraId="38242D1F" w14:textId="77777777" w:rsidR="009B3BF0" w:rsidRPr="0048469F" w:rsidRDefault="009B3BF0" w:rsidP="009B3BF0">
            <w:pPr>
              <w:jc w:val="center"/>
              <w:rPr>
                <w:rFonts w:cs="Calibri"/>
                <w:color w:val="000000"/>
                <w:szCs w:val="17"/>
              </w:rPr>
            </w:pPr>
            <w:r>
              <w:rPr>
                <w:rFonts w:cs="Calibri"/>
                <w:color w:val="000000"/>
                <w:szCs w:val="17"/>
              </w:rPr>
              <w:t>3</w:t>
            </w:r>
          </w:p>
        </w:tc>
        <w:tc>
          <w:tcPr>
            <w:tcW w:w="1233" w:type="dxa"/>
            <w:shd w:val="clear" w:color="auto" w:fill="FFFF00"/>
            <w:noWrap/>
            <w:vAlign w:val="center"/>
          </w:tcPr>
          <w:p w14:paraId="5EE3E0A4" w14:textId="77777777" w:rsidR="009B3BF0" w:rsidRPr="0048469F" w:rsidRDefault="009B3BF0" w:rsidP="009B3BF0">
            <w:pPr>
              <w:jc w:val="center"/>
              <w:rPr>
                <w:rFonts w:cs="Calibri"/>
                <w:color w:val="000000"/>
                <w:szCs w:val="17"/>
              </w:rPr>
            </w:pPr>
            <w:r>
              <w:rPr>
                <w:rFonts w:cs="Calibri"/>
                <w:color w:val="000000"/>
                <w:szCs w:val="17"/>
              </w:rPr>
              <w:t>4</w:t>
            </w:r>
          </w:p>
        </w:tc>
        <w:tc>
          <w:tcPr>
            <w:tcW w:w="1224" w:type="dxa"/>
            <w:shd w:val="clear" w:color="auto" w:fill="FFFF00"/>
            <w:noWrap/>
            <w:vAlign w:val="center"/>
          </w:tcPr>
          <w:p w14:paraId="672DE05F" w14:textId="77777777" w:rsidR="009B3BF0" w:rsidRPr="0048469F" w:rsidRDefault="009B3BF0" w:rsidP="009B3BF0">
            <w:pPr>
              <w:jc w:val="center"/>
              <w:rPr>
                <w:rFonts w:cs="Calibri"/>
                <w:color w:val="000000"/>
                <w:szCs w:val="17"/>
              </w:rPr>
            </w:pPr>
            <w:r>
              <w:rPr>
                <w:rFonts w:cs="Calibri"/>
                <w:color w:val="000000"/>
                <w:szCs w:val="17"/>
              </w:rPr>
              <w:t>4</w:t>
            </w:r>
          </w:p>
        </w:tc>
        <w:tc>
          <w:tcPr>
            <w:tcW w:w="1215" w:type="dxa"/>
            <w:shd w:val="clear" w:color="auto" w:fill="92D050"/>
            <w:vAlign w:val="center"/>
          </w:tcPr>
          <w:p w14:paraId="660592D2" w14:textId="77777777" w:rsidR="009B3BF0" w:rsidRPr="0048469F" w:rsidRDefault="009B3BF0" w:rsidP="009B3BF0">
            <w:pPr>
              <w:jc w:val="center"/>
              <w:rPr>
                <w:rFonts w:cs="Calibri"/>
                <w:color w:val="000000"/>
                <w:szCs w:val="17"/>
              </w:rPr>
            </w:pPr>
            <w:r>
              <w:rPr>
                <w:rFonts w:cs="Calibri"/>
                <w:color w:val="000000"/>
                <w:szCs w:val="17"/>
              </w:rPr>
              <w:t>5</w:t>
            </w:r>
          </w:p>
        </w:tc>
      </w:tr>
      <w:tr w:rsidR="009B3BF0" w:rsidRPr="00C61187" w14:paraId="5E9C0DD5" w14:textId="77777777" w:rsidTr="00D85A5F">
        <w:trPr>
          <w:cnfStyle w:val="000000010000" w:firstRow="0" w:lastRow="0" w:firstColumn="0" w:lastColumn="0" w:oddVBand="0" w:evenVBand="0" w:oddHBand="0" w:evenHBand="1" w:firstRowFirstColumn="0" w:firstRowLastColumn="0" w:lastRowFirstColumn="0" w:lastRowLastColumn="0"/>
          <w:trHeight w:val="284"/>
        </w:trPr>
        <w:tc>
          <w:tcPr>
            <w:tcW w:w="2787" w:type="dxa"/>
            <w:vAlign w:val="center"/>
          </w:tcPr>
          <w:p w14:paraId="382A19FE" w14:textId="77777777" w:rsidR="009B3BF0" w:rsidRPr="0048469F" w:rsidRDefault="009B3BF0" w:rsidP="009B3BF0">
            <w:pPr>
              <w:pStyle w:val="TableTextEntries"/>
              <w:spacing w:before="0" w:after="0" w:line="240" w:lineRule="auto"/>
            </w:pPr>
          </w:p>
        </w:tc>
        <w:tc>
          <w:tcPr>
            <w:tcW w:w="1941" w:type="dxa"/>
            <w:vAlign w:val="center"/>
          </w:tcPr>
          <w:p w14:paraId="4233E87C" w14:textId="77777777" w:rsidR="009B3BF0" w:rsidRPr="0048469F" w:rsidRDefault="009B3BF0" w:rsidP="009B3BF0">
            <w:pPr>
              <w:pStyle w:val="TableTextEntries"/>
              <w:spacing w:before="0" w:after="0" w:line="240" w:lineRule="auto"/>
              <w:jc w:val="center"/>
            </w:pPr>
          </w:p>
        </w:tc>
        <w:tc>
          <w:tcPr>
            <w:tcW w:w="1226" w:type="dxa"/>
            <w:vAlign w:val="center"/>
          </w:tcPr>
          <w:p w14:paraId="5C6AB443" w14:textId="77777777" w:rsidR="009B3BF0" w:rsidRPr="00CF04F7" w:rsidRDefault="009B3BF0" w:rsidP="009B3BF0">
            <w:pPr>
              <w:pStyle w:val="TableTextEntries"/>
              <w:spacing w:before="0" w:after="0" w:line="240" w:lineRule="auto"/>
              <w:jc w:val="center"/>
              <w:rPr>
                <w:sz w:val="16"/>
                <w:szCs w:val="16"/>
              </w:rPr>
            </w:pPr>
            <w:r w:rsidRPr="00CF04F7">
              <w:rPr>
                <w:sz w:val="16"/>
                <w:szCs w:val="16"/>
              </w:rPr>
              <w:t>2014-15</w:t>
            </w:r>
          </w:p>
        </w:tc>
        <w:tc>
          <w:tcPr>
            <w:tcW w:w="1232" w:type="dxa"/>
            <w:shd w:val="clear" w:color="auto" w:fill="FFC000"/>
            <w:noWrap/>
            <w:vAlign w:val="center"/>
          </w:tcPr>
          <w:p w14:paraId="049258AB" w14:textId="77777777" w:rsidR="009B3BF0" w:rsidRPr="0048469F" w:rsidRDefault="009B3BF0" w:rsidP="009B3BF0">
            <w:pPr>
              <w:pStyle w:val="TableTextEntries"/>
              <w:spacing w:before="0" w:after="0" w:line="240" w:lineRule="auto"/>
              <w:jc w:val="center"/>
            </w:pPr>
            <w:r w:rsidRPr="0048469F">
              <w:rPr>
                <w:rFonts w:cs="Calibri"/>
                <w:color w:val="000000"/>
              </w:rPr>
              <w:t>3</w:t>
            </w:r>
          </w:p>
        </w:tc>
        <w:tc>
          <w:tcPr>
            <w:tcW w:w="1223" w:type="dxa"/>
            <w:shd w:val="clear" w:color="auto" w:fill="FFC000"/>
            <w:noWrap/>
            <w:vAlign w:val="center"/>
          </w:tcPr>
          <w:p w14:paraId="7D6041ED" w14:textId="77777777" w:rsidR="009B3BF0" w:rsidRPr="0048469F" w:rsidRDefault="009B3BF0" w:rsidP="009B3BF0">
            <w:pPr>
              <w:pStyle w:val="TableTextEntries"/>
              <w:spacing w:before="0" w:after="0" w:line="240" w:lineRule="auto"/>
              <w:jc w:val="center"/>
            </w:pPr>
            <w:r w:rsidRPr="0048469F">
              <w:rPr>
                <w:rFonts w:cs="Calibri"/>
                <w:color w:val="000000"/>
              </w:rPr>
              <w:t>3</w:t>
            </w:r>
          </w:p>
        </w:tc>
        <w:tc>
          <w:tcPr>
            <w:tcW w:w="1232" w:type="dxa"/>
            <w:shd w:val="clear" w:color="auto" w:fill="FFC000"/>
            <w:noWrap/>
            <w:vAlign w:val="center"/>
          </w:tcPr>
          <w:p w14:paraId="70CE2EEF" w14:textId="77777777" w:rsidR="009B3BF0" w:rsidRPr="0048469F" w:rsidRDefault="009B3BF0" w:rsidP="009B3BF0">
            <w:pPr>
              <w:pStyle w:val="TableTextEntries"/>
              <w:spacing w:before="0" w:after="0" w:line="240" w:lineRule="auto"/>
              <w:jc w:val="center"/>
            </w:pPr>
            <w:r w:rsidRPr="0048469F">
              <w:rPr>
                <w:rFonts w:cs="Calibri"/>
                <w:color w:val="000000"/>
              </w:rPr>
              <w:t>3</w:t>
            </w:r>
          </w:p>
        </w:tc>
        <w:tc>
          <w:tcPr>
            <w:tcW w:w="1223" w:type="dxa"/>
            <w:shd w:val="clear" w:color="auto" w:fill="FFC000"/>
            <w:noWrap/>
            <w:vAlign w:val="center"/>
          </w:tcPr>
          <w:p w14:paraId="30EB812F" w14:textId="77777777" w:rsidR="009B3BF0" w:rsidRPr="0048469F" w:rsidRDefault="009B3BF0" w:rsidP="009B3BF0">
            <w:pPr>
              <w:pStyle w:val="TableTextEntries"/>
              <w:spacing w:before="0" w:after="0" w:line="240" w:lineRule="auto"/>
              <w:jc w:val="center"/>
            </w:pPr>
            <w:r w:rsidRPr="0048469F">
              <w:rPr>
                <w:rFonts w:cs="Calibri"/>
                <w:color w:val="000000"/>
              </w:rPr>
              <w:t>3</w:t>
            </w:r>
          </w:p>
        </w:tc>
        <w:tc>
          <w:tcPr>
            <w:tcW w:w="1233" w:type="dxa"/>
            <w:shd w:val="clear" w:color="auto" w:fill="FFC000"/>
            <w:noWrap/>
            <w:vAlign w:val="center"/>
          </w:tcPr>
          <w:p w14:paraId="55C7B360" w14:textId="77777777" w:rsidR="009B3BF0" w:rsidRPr="0048469F" w:rsidRDefault="009B3BF0" w:rsidP="009B3BF0">
            <w:pPr>
              <w:pStyle w:val="TableTextEntries"/>
              <w:spacing w:before="0" w:after="0" w:line="240" w:lineRule="auto"/>
              <w:jc w:val="center"/>
            </w:pPr>
            <w:r w:rsidRPr="0048469F">
              <w:rPr>
                <w:rFonts w:cs="Calibri"/>
                <w:color w:val="000000"/>
              </w:rPr>
              <w:t>3</w:t>
            </w:r>
          </w:p>
        </w:tc>
        <w:tc>
          <w:tcPr>
            <w:tcW w:w="1224" w:type="dxa"/>
            <w:shd w:val="clear" w:color="auto" w:fill="FFC000"/>
            <w:noWrap/>
            <w:vAlign w:val="center"/>
          </w:tcPr>
          <w:p w14:paraId="693958C4" w14:textId="77777777" w:rsidR="009B3BF0" w:rsidRPr="0048469F" w:rsidRDefault="009B3BF0" w:rsidP="009B3BF0">
            <w:pPr>
              <w:pStyle w:val="TableTextEntries"/>
              <w:spacing w:before="0" w:after="0" w:line="240" w:lineRule="auto"/>
              <w:jc w:val="center"/>
            </w:pPr>
            <w:r w:rsidRPr="0048469F">
              <w:rPr>
                <w:rFonts w:cs="Calibri"/>
                <w:color w:val="000000"/>
              </w:rPr>
              <w:t>3</w:t>
            </w:r>
          </w:p>
        </w:tc>
        <w:tc>
          <w:tcPr>
            <w:tcW w:w="1215" w:type="dxa"/>
            <w:shd w:val="clear" w:color="auto" w:fill="FFC000"/>
            <w:vAlign w:val="center"/>
          </w:tcPr>
          <w:p w14:paraId="580F50D0" w14:textId="77777777" w:rsidR="009B3BF0" w:rsidRPr="0048469F" w:rsidRDefault="009B3BF0" w:rsidP="009B3BF0">
            <w:pPr>
              <w:pStyle w:val="TableTextEntries"/>
              <w:spacing w:before="0" w:after="0" w:line="240" w:lineRule="auto"/>
              <w:jc w:val="center"/>
            </w:pPr>
            <w:r w:rsidRPr="0048469F">
              <w:rPr>
                <w:rFonts w:cs="Calibri"/>
                <w:color w:val="000000"/>
              </w:rPr>
              <w:t>3</w:t>
            </w:r>
          </w:p>
        </w:tc>
      </w:tr>
      <w:tr w:rsidR="009B3BF0" w:rsidRPr="00C61187" w14:paraId="0B2F6D0B" w14:textId="77777777" w:rsidTr="00D85A5F">
        <w:trPr>
          <w:cnfStyle w:val="000000010000" w:firstRow="0" w:lastRow="0" w:firstColumn="0" w:lastColumn="0" w:oddVBand="0" w:evenVBand="0" w:oddHBand="0" w:evenHBand="1" w:firstRowFirstColumn="0" w:firstRowLastColumn="0" w:lastRowFirstColumn="0" w:lastRowLastColumn="0"/>
          <w:trHeight w:val="284"/>
        </w:trPr>
        <w:tc>
          <w:tcPr>
            <w:tcW w:w="2787" w:type="dxa"/>
            <w:vAlign w:val="center"/>
          </w:tcPr>
          <w:p w14:paraId="23CB8F27" w14:textId="77777777" w:rsidR="009B3BF0" w:rsidRPr="00A911D0" w:rsidRDefault="009B3BF0" w:rsidP="009B3BF0">
            <w:pPr>
              <w:pStyle w:val="TableTextEntries"/>
              <w:spacing w:before="0" w:after="0" w:line="240" w:lineRule="auto"/>
            </w:pPr>
            <w:r w:rsidRPr="00A911D0">
              <w:t>INJ223 - Basic Education Sector Transformation (BEST) Program</w:t>
            </w:r>
          </w:p>
        </w:tc>
        <w:tc>
          <w:tcPr>
            <w:tcW w:w="1941" w:type="dxa"/>
            <w:vAlign w:val="center"/>
          </w:tcPr>
          <w:p w14:paraId="533F9EC9" w14:textId="77777777" w:rsidR="009B3BF0" w:rsidRPr="00A911D0" w:rsidRDefault="009B3BF0" w:rsidP="009B3BF0">
            <w:pPr>
              <w:pStyle w:val="TableTextEntries"/>
              <w:spacing w:before="0" w:after="0" w:line="240" w:lineRule="auto"/>
              <w:jc w:val="center"/>
            </w:pPr>
            <w:r w:rsidRPr="00A911D0">
              <w:t>AUD157,465,811</w:t>
            </w:r>
            <w:r>
              <w:t>.48</w:t>
            </w:r>
          </w:p>
          <w:p w14:paraId="4ABB7A22" w14:textId="77777777" w:rsidR="009B3BF0" w:rsidRPr="00A911D0" w:rsidRDefault="009B3BF0" w:rsidP="009B3BF0">
            <w:pPr>
              <w:pStyle w:val="TableTextEntries"/>
              <w:spacing w:before="0" w:after="0" w:line="240" w:lineRule="auto"/>
              <w:jc w:val="center"/>
            </w:pPr>
            <w:r w:rsidRPr="00A911D0">
              <w:t>1/07/10 - 30/06/19</w:t>
            </w:r>
          </w:p>
        </w:tc>
        <w:tc>
          <w:tcPr>
            <w:tcW w:w="1226" w:type="dxa"/>
            <w:vAlign w:val="center"/>
          </w:tcPr>
          <w:p w14:paraId="15494086" w14:textId="77777777" w:rsidR="009B3BF0" w:rsidRPr="00CF04F7" w:rsidRDefault="009B3BF0" w:rsidP="009B3BF0">
            <w:pPr>
              <w:pStyle w:val="TableTextEntries"/>
              <w:spacing w:before="0" w:after="0" w:line="240" w:lineRule="auto"/>
              <w:jc w:val="center"/>
              <w:rPr>
                <w:sz w:val="16"/>
                <w:szCs w:val="16"/>
              </w:rPr>
            </w:pPr>
            <w:r w:rsidRPr="00CF04F7">
              <w:rPr>
                <w:sz w:val="16"/>
                <w:szCs w:val="16"/>
              </w:rPr>
              <w:t>2015-16</w:t>
            </w:r>
          </w:p>
        </w:tc>
        <w:tc>
          <w:tcPr>
            <w:tcW w:w="1232" w:type="dxa"/>
            <w:shd w:val="clear" w:color="auto" w:fill="92D050"/>
            <w:noWrap/>
            <w:vAlign w:val="center"/>
          </w:tcPr>
          <w:p w14:paraId="363D03CF" w14:textId="77777777" w:rsidR="009B3BF0" w:rsidRPr="0048469F" w:rsidRDefault="009B3BF0" w:rsidP="009B3BF0">
            <w:pPr>
              <w:jc w:val="center"/>
              <w:rPr>
                <w:rFonts w:cs="Calibri"/>
                <w:color w:val="000000"/>
                <w:szCs w:val="17"/>
              </w:rPr>
            </w:pPr>
            <w:r>
              <w:rPr>
                <w:rFonts w:cs="Calibri"/>
                <w:color w:val="000000"/>
                <w:szCs w:val="17"/>
              </w:rPr>
              <w:t>6</w:t>
            </w:r>
          </w:p>
        </w:tc>
        <w:tc>
          <w:tcPr>
            <w:tcW w:w="1223" w:type="dxa"/>
            <w:shd w:val="clear" w:color="auto" w:fill="92D050"/>
            <w:noWrap/>
            <w:vAlign w:val="center"/>
          </w:tcPr>
          <w:p w14:paraId="5DC7FFB4" w14:textId="77777777" w:rsidR="009B3BF0" w:rsidRPr="0048469F" w:rsidRDefault="009B3BF0" w:rsidP="009B3BF0">
            <w:pPr>
              <w:jc w:val="center"/>
              <w:rPr>
                <w:rFonts w:cs="Calibri"/>
                <w:color w:val="000000"/>
                <w:szCs w:val="17"/>
              </w:rPr>
            </w:pPr>
            <w:r>
              <w:rPr>
                <w:rFonts w:cs="Calibri"/>
                <w:color w:val="000000"/>
                <w:szCs w:val="17"/>
              </w:rPr>
              <w:t>5</w:t>
            </w:r>
          </w:p>
        </w:tc>
        <w:tc>
          <w:tcPr>
            <w:tcW w:w="1232" w:type="dxa"/>
            <w:shd w:val="clear" w:color="auto" w:fill="92D050"/>
            <w:noWrap/>
            <w:vAlign w:val="center"/>
          </w:tcPr>
          <w:p w14:paraId="5CA97E9F" w14:textId="77777777" w:rsidR="009B3BF0" w:rsidRPr="0048469F" w:rsidRDefault="009B3BF0" w:rsidP="009B3BF0">
            <w:pPr>
              <w:jc w:val="center"/>
              <w:rPr>
                <w:rFonts w:cs="Calibri"/>
                <w:color w:val="000000"/>
                <w:szCs w:val="17"/>
              </w:rPr>
            </w:pPr>
            <w:r>
              <w:rPr>
                <w:rFonts w:cs="Calibri"/>
                <w:color w:val="000000"/>
                <w:szCs w:val="17"/>
              </w:rPr>
              <w:t>5</w:t>
            </w:r>
          </w:p>
        </w:tc>
        <w:tc>
          <w:tcPr>
            <w:tcW w:w="1223" w:type="dxa"/>
            <w:shd w:val="clear" w:color="auto" w:fill="FFFF00"/>
            <w:noWrap/>
            <w:vAlign w:val="center"/>
          </w:tcPr>
          <w:p w14:paraId="6D6B789E" w14:textId="77777777" w:rsidR="009B3BF0" w:rsidRPr="0048469F" w:rsidRDefault="009B3BF0" w:rsidP="009B3BF0">
            <w:pPr>
              <w:jc w:val="center"/>
              <w:rPr>
                <w:rFonts w:cs="Calibri"/>
                <w:color w:val="000000"/>
                <w:szCs w:val="17"/>
              </w:rPr>
            </w:pPr>
            <w:r>
              <w:rPr>
                <w:rFonts w:cs="Calibri"/>
                <w:color w:val="000000"/>
                <w:szCs w:val="17"/>
              </w:rPr>
              <w:t>4</w:t>
            </w:r>
          </w:p>
        </w:tc>
        <w:tc>
          <w:tcPr>
            <w:tcW w:w="1233" w:type="dxa"/>
            <w:shd w:val="clear" w:color="auto" w:fill="92D050"/>
            <w:noWrap/>
            <w:vAlign w:val="center"/>
          </w:tcPr>
          <w:p w14:paraId="4EFF43F4" w14:textId="77777777" w:rsidR="009B3BF0" w:rsidRPr="0048469F" w:rsidRDefault="009B3BF0" w:rsidP="009B3BF0">
            <w:pPr>
              <w:jc w:val="center"/>
              <w:rPr>
                <w:rFonts w:cs="Calibri"/>
                <w:color w:val="000000"/>
                <w:szCs w:val="17"/>
              </w:rPr>
            </w:pPr>
            <w:r>
              <w:rPr>
                <w:rFonts w:cs="Calibri"/>
                <w:color w:val="000000"/>
                <w:szCs w:val="17"/>
              </w:rPr>
              <w:t>5</w:t>
            </w:r>
          </w:p>
        </w:tc>
        <w:tc>
          <w:tcPr>
            <w:tcW w:w="1224" w:type="dxa"/>
            <w:shd w:val="clear" w:color="auto" w:fill="92D050"/>
            <w:noWrap/>
            <w:vAlign w:val="center"/>
          </w:tcPr>
          <w:p w14:paraId="31DEB98A" w14:textId="77777777" w:rsidR="009B3BF0" w:rsidRPr="0048469F" w:rsidRDefault="009B3BF0" w:rsidP="009B3BF0">
            <w:pPr>
              <w:jc w:val="center"/>
              <w:rPr>
                <w:rFonts w:cs="Calibri"/>
                <w:color w:val="000000"/>
                <w:szCs w:val="17"/>
              </w:rPr>
            </w:pPr>
            <w:r>
              <w:rPr>
                <w:rFonts w:cs="Calibri"/>
                <w:color w:val="000000"/>
                <w:szCs w:val="17"/>
              </w:rPr>
              <w:t>5</w:t>
            </w:r>
          </w:p>
        </w:tc>
        <w:tc>
          <w:tcPr>
            <w:tcW w:w="1215" w:type="dxa"/>
            <w:shd w:val="clear" w:color="auto" w:fill="92D050"/>
            <w:vAlign w:val="center"/>
          </w:tcPr>
          <w:p w14:paraId="4880AB10" w14:textId="77777777" w:rsidR="009B3BF0" w:rsidRPr="0048469F" w:rsidRDefault="009B3BF0" w:rsidP="009B3BF0">
            <w:pPr>
              <w:jc w:val="center"/>
              <w:rPr>
                <w:rFonts w:cs="Calibri"/>
                <w:color w:val="000000"/>
                <w:szCs w:val="17"/>
              </w:rPr>
            </w:pPr>
            <w:r>
              <w:rPr>
                <w:rFonts w:cs="Calibri"/>
                <w:color w:val="000000"/>
                <w:szCs w:val="17"/>
              </w:rPr>
              <w:t>5</w:t>
            </w:r>
          </w:p>
        </w:tc>
      </w:tr>
      <w:tr w:rsidR="009B3BF0" w:rsidRPr="00C61187" w14:paraId="2BBA7368" w14:textId="77777777" w:rsidTr="00D85A5F">
        <w:trPr>
          <w:cnfStyle w:val="000000010000" w:firstRow="0" w:lastRow="0" w:firstColumn="0" w:lastColumn="0" w:oddVBand="0" w:evenVBand="0" w:oddHBand="0" w:evenHBand="1" w:firstRowFirstColumn="0" w:firstRowLastColumn="0" w:lastRowFirstColumn="0" w:lastRowLastColumn="0"/>
          <w:trHeight w:val="284"/>
        </w:trPr>
        <w:tc>
          <w:tcPr>
            <w:tcW w:w="2787" w:type="dxa"/>
            <w:vAlign w:val="center"/>
          </w:tcPr>
          <w:p w14:paraId="3576E583" w14:textId="77777777" w:rsidR="009B3BF0" w:rsidRPr="00A911D0" w:rsidRDefault="009B3BF0" w:rsidP="009B3BF0">
            <w:pPr>
              <w:pStyle w:val="TableTextEntries"/>
              <w:spacing w:before="0" w:after="0" w:line="240" w:lineRule="auto"/>
            </w:pPr>
          </w:p>
        </w:tc>
        <w:tc>
          <w:tcPr>
            <w:tcW w:w="1941" w:type="dxa"/>
            <w:vAlign w:val="center"/>
          </w:tcPr>
          <w:p w14:paraId="2D4F9401" w14:textId="77777777" w:rsidR="009B3BF0" w:rsidRPr="00A911D0" w:rsidRDefault="009B3BF0" w:rsidP="009B3BF0">
            <w:pPr>
              <w:pStyle w:val="TableTextEntries"/>
              <w:spacing w:before="0" w:after="0" w:line="240" w:lineRule="auto"/>
              <w:jc w:val="center"/>
            </w:pPr>
          </w:p>
        </w:tc>
        <w:tc>
          <w:tcPr>
            <w:tcW w:w="1226" w:type="dxa"/>
            <w:vAlign w:val="center"/>
          </w:tcPr>
          <w:p w14:paraId="60EDB3CB" w14:textId="77777777" w:rsidR="009B3BF0" w:rsidRPr="00CF04F7" w:rsidRDefault="009B3BF0" w:rsidP="009B3BF0">
            <w:pPr>
              <w:pStyle w:val="TableTextEntries"/>
              <w:spacing w:before="0" w:after="0" w:line="240" w:lineRule="auto"/>
              <w:jc w:val="center"/>
              <w:rPr>
                <w:sz w:val="16"/>
                <w:szCs w:val="16"/>
              </w:rPr>
            </w:pPr>
            <w:r w:rsidRPr="00CF04F7">
              <w:rPr>
                <w:sz w:val="16"/>
                <w:szCs w:val="16"/>
              </w:rPr>
              <w:t>2014-15</w:t>
            </w:r>
          </w:p>
        </w:tc>
        <w:tc>
          <w:tcPr>
            <w:tcW w:w="1232" w:type="dxa"/>
            <w:shd w:val="clear" w:color="auto" w:fill="92D050"/>
            <w:noWrap/>
            <w:vAlign w:val="center"/>
          </w:tcPr>
          <w:p w14:paraId="1A174CE3" w14:textId="77777777" w:rsidR="009B3BF0" w:rsidRPr="0048469F" w:rsidRDefault="009B3BF0" w:rsidP="009B3BF0">
            <w:pPr>
              <w:jc w:val="center"/>
              <w:rPr>
                <w:rFonts w:cs="Calibri"/>
                <w:color w:val="000000"/>
                <w:szCs w:val="17"/>
              </w:rPr>
            </w:pPr>
            <w:r w:rsidRPr="0048469F">
              <w:rPr>
                <w:rFonts w:cs="Calibri"/>
                <w:color w:val="000000"/>
                <w:szCs w:val="17"/>
              </w:rPr>
              <w:t>6</w:t>
            </w:r>
          </w:p>
        </w:tc>
        <w:tc>
          <w:tcPr>
            <w:tcW w:w="1223" w:type="dxa"/>
            <w:shd w:val="clear" w:color="auto" w:fill="92D050"/>
            <w:noWrap/>
            <w:vAlign w:val="center"/>
          </w:tcPr>
          <w:p w14:paraId="0AED67A6" w14:textId="77777777" w:rsidR="009B3BF0" w:rsidRPr="0048469F" w:rsidRDefault="009B3BF0" w:rsidP="009B3BF0">
            <w:pPr>
              <w:jc w:val="center"/>
              <w:rPr>
                <w:rFonts w:cs="Calibri"/>
                <w:color w:val="000000"/>
                <w:szCs w:val="17"/>
              </w:rPr>
            </w:pPr>
            <w:r w:rsidRPr="0048469F">
              <w:rPr>
                <w:rFonts w:cs="Calibri"/>
                <w:color w:val="000000"/>
                <w:szCs w:val="17"/>
              </w:rPr>
              <w:t>5</w:t>
            </w:r>
          </w:p>
        </w:tc>
        <w:tc>
          <w:tcPr>
            <w:tcW w:w="1232" w:type="dxa"/>
            <w:shd w:val="clear" w:color="auto" w:fill="92D050"/>
            <w:noWrap/>
            <w:vAlign w:val="center"/>
          </w:tcPr>
          <w:p w14:paraId="50AE1436" w14:textId="77777777" w:rsidR="009B3BF0" w:rsidRPr="0048469F" w:rsidRDefault="009B3BF0" w:rsidP="009B3BF0">
            <w:pPr>
              <w:jc w:val="center"/>
              <w:rPr>
                <w:rFonts w:cs="Calibri"/>
                <w:color w:val="000000"/>
                <w:szCs w:val="17"/>
              </w:rPr>
            </w:pPr>
            <w:r w:rsidRPr="0048469F">
              <w:rPr>
                <w:rFonts w:cs="Calibri"/>
                <w:color w:val="000000"/>
                <w:szCs w:val="17"/>
              </w:rPr>
              <w:t>5</w:t>
            </w:r>
          </w:p>
        </w:tc>
        <w:tc>
          <w:tcPr>
            <w:tcW w:w="1223" w:type="dxa"/>
            <w:shd w:val="clear" w:color="auto" w:fill="92D050"/>
            <w:noWrap/>
            <w:vAlign w:val="center"/>
          </w:tcPr>
          <w:p w14:paraId="414A2B57" w14:textId="77777777" w:rsidR="009B3BF0" w:rsidRPr="0048469F" w:rsidRDefault="009B3BF0" w:rsidP="009B3BF0">
            <w:pPr>
              <w:jc w:val="center"/>
              <w:rPr>
                <w:rFonts w:cs="Calibri"/>
                <w:color w:val="000000"/>
                <w:szCs w:val="17"/>
              </w:rPr>
            </w:pPr>
            <w:r w:rsidRPr="0048469F">
              <w:rPr>
                <w:rFonts w:cs="Calibri"/>
                <w:color w:val="000000"/>
                <w:szCs w:val="17"/>
              </w:rPr>
              <w:t>5</w:t>
            </w:r>
          </w:p>
        </w:tc>
        <w:tc>
          <w:tcPr>
            <w:tcW w:w="1233" w:type="dxa"/>
            <w:shd w:val="clear" w:color="auto" w:fill="92D050"/>
            <w:noWrap/>
            <w:vAlign w:val="center"/>
          </w:tcPr>
          <w:p w14:paraId="556D8CA2" w14:textId="77777777" w:rsidR="009B3BF0" w:rsidRPr="0048469F" w:rsidRDefault="009B3BF0" w:rsidP="009B3BF0">
            <w:pPr>
              <w:jc w:val="center"/>
              <w:rPr>
                <w:rFonts w:cs="Calibri"/>
                <w:color w:val="000000"/>
                <w:szCs w:val="17"/>
              </w:rPr>
            </w:pPr>
            <w:r w:rsidRPr="0048469F">
              <w:rPr>
                <w:rFonts w:cs="Calibri"/>
                <w:color w:val="000000"/>
                <w:szCs w:val="17"/>
              </w:rPr>
              <w:t>5</w:t>
            </w:r>
          </w:p>
        </w:tc>
        <w:tc>
          <w:tcPr>
            <w:tcW w:w="1224" w:type="dxa"/>
            <w:shd w:val="clear" w:color="auto" w:fill="92D050"/>
            <w:noWrap/>
            <w:vAlign w:val="center"/>
          </w:tcPr>
          <w:p w14:paraId="66B90F7F" w14:textId="77777777" w:rsidR="009B3BF0" w:rsidRPr="0048469F" w:rsidRDefault="009B3BF0" w:rsidP="009B3BF0">
            <w:pPr>
              <w:jc w:val="center"/>
              <w:rPr>
                <w:rFonts w:cs="Calibri"/>
                <w:color w:val="000000"/>
                <w:szCs w:val="17"/>
              </w:rPr>
            </w:pPr>
            <w:r w:rsidRPr="0048469F">
              <w:rPr>
                <w:rFonts w:cs="Calibri"/>
                <w:color w:val="000000"/>
                <w:szCs w:val="17"/>
              </w:rPr>
              <w:t>5</w:t>
            </w:r>
          </w:p>
        </w:tc>
        <w:tc>
          <w:tcPr>
            <w:tcW w:w="1215" w:type="dxa"/>
            <w:shd w:val="clear" w:color="auto" w:fill="92D050"/>
            <w:vAlign w:val="center"/>
          </w:tcPr>
          <w:p w14:paraId="64946383" w14:textId="77777777" w:rsidR="009B3BF0" w:rsidRPr="0048469F" w:rsidRDefault="009B3BF0" w:rsidP="009B3BF0">
            <w:pPr>
              <w:pStyle w:val="TableTextEntries"/>
              <w:spacing w:before="0" w:after="0" w:line="240" w:lineRule="auto"/>
              <w:jc w:val="center"/>
            </w:pPr>
            <w:r w:rsidRPr="0048469F">
              <w:rPr>
                <w:rFonts w:cs="Calibri"/>
                <w:color w:val="000000"/>
              </w:rPr>
              <w:t>5</w:t>
            </w:r>
          </w:p>
        </w:tc>
      </w:tr>
      <w:tr w:rsidR="009B3BF0" w:rsidRPr="00C61187" w14:paraId="5339E600" w14:textId="77777777" w:rsidTr="00D85A5F">
        <w:trPr>
          <w:cnfStyle w:val="000000010000" w:firstRow="0" w:lastRow="0" w:firstColumn="0" w:lastColumn="0" w:oddVBand="0" w:evenVBand="0" w:oddHBand="0" w:evenHBand="1" w:firstRowFirstColumn="0" w:firstRowLastColumn="0" w:lastRowFirstColumn="0" w:lastRowLastColumn="0"/>
          <w:trHeight w:val="284"/>
        </w:trPr>
        <w:tc>
          <w:tcPr>
            <w:tcW w:w="2787" w:type="dxa"/>
            <w:vAlign w:val="center"/>
          </w:tcPr>
          <w:p w14:paraId="2AEA15F4" w14:textId="77777777" w:rsidR="009B3BF0" w:rsidRPr="0048469F" w:rsidRDefault="009B3BF0" w:rsidP="009B3BF0">
            <w:pPr>
              <w:pStyle w:val="TableTextEntries"/>
              <w:spacing w:before="0" w:after="0" w:line="240" w:lineRule="auto"/>
            </w:pPr>
            <w:r w:rsidRPr="0048469F">
              <w:t>INJ766 - Strengthening Public Private Partnership Program</w:t>
            </w:r>
          </w:p>
        </w:tc>
        <w:tc>
          <w:tcPr>
            <w:tcW w:w="1941" w:type="dxa"/>
            <w:vAlign w:val="center"/>
          </w:tcPr>
          <w:p w14:paraId="7158FBD1" w14:textId="77777777" w:rsidR="009B3BF0" w:rsidRPr="0048469F" w:rsidRDefault="009B3BF0" w:rsidP="009B3BF0">
            <w:pPr>
              <w:pStyle w:val="TableTextEntries"/>
              <w:spacing w:before="0" w:after="0" w:line="240" w:lineRule="auto"/>
              <w:jc w:val="center"/>
            </w:pPr>
            <w:r>
              <w:t>AUD41,074,557.68</w:t>
            </w:r>
          </w:p>
          <w:p w14:paraId="7DC17A62" w14:textId="77777777" w:rsidR="009B3BF0" w:rsidRPr="0048469F" w:rsidRDefault="009B3BF0" w:rsidP="009B3BF0">
            <w:pPr>
              <w:pStyle w:val="TableTextEntries"/>
              <w:spacing w:before="0" w:after="0" w:line="240" w:lineRule="auto"/>
              <w:jc w:val="center"/>
            </w:pPr>
            <w:r w:rsidRPr="0048469F">
              <w:t xml:space="preserve">22/03/11 - </w:t>
            </w:r>
            <w:r>
              <w:t>31</w:t>
            </w:r>
            <w:r w:rsidRPr="0048469F">
              <w:t>/06/17</w:t>
            </w:r>
          </w:p>
        </w:tc>
        <w:tc>
          <w:tcPr>
            <w:tcW w:w="1226" w:type="dxa"/>
            <w:vAlign w:val="center"/>
          </w:tcPr>
          <w:p w14:paraId="0280EC61" w14:textId="77777777" w:rsidR="009B3BF0" w:rsidRPr="00CF04F7" w:rsidRDefault="009B3BF0" w:rsidP="009B3BF0">
            <w:pPr>
              <w:pStyle w:val="TableTextEntries"/>
              <w:spacing w:before="0" w:after="0" w:line="240" w:lineRule="auto"/>
              <w:jc w:val="center"/>
              <w:rPr>
                <w:sz w:val="16"/>
                <w:szCs w:val="16"/>
              </w:rPr>
            </w:pPr>
            <w:r w:rsidRPr="00CF04F7">
              <w:rPr>
                <w:sz w:val="16"/>
                <w:szCs w:val="16"/>
              </w:rPr>
              <w:t>2015-16</w:t>
            </w:r>
          </w:p>
        </w:tc>
        <w:tc>
          <w:tcPr>
            <w:tcW w:w="1232" w:type="dxa"/>
            <w:shd w:val="clear" w:color="auto" w:fill="92D050"/>
            <w:noWrap/>
            <w:vAlign w:val="center"/>
          </w:tcPr>
          <w:p w14:paraId="26F8F292" w14:textId="77777777" w:rsidR="009B3BF0" w:rsidRPr="0048469F" w:rsidRDefault="009B3BF0" w:rsidP="009B3BF0">
            <w:pPr>
              <w:jc w:val="center"/>
              <w:rPr>
                <w:rFonts w:cs="Calibri"/>
                <w:color w:val="000000"/>
                <w:szCs w:val="17"/>
              </w:rPr>
            </w:pPr>
            <w:r>
              <w:rPr>
                <w:rFonts w:cs="Calibri"/>
                <w:color w:val="000000"/>
                <w:szCs w:val="17"/>
              </w:rPr>
              <w:t>6</w:t>
            </w:r>
          </w:p>
        </w:tc>
        <w:tc>
          <w:tcPr>
            <w:tcW w:w="1223" w:type="dxa"/>
            <w:shd w:val="clear" w:color="auto" w:fill="92D050"/>
            <w:noWrap/>
            <w:vAlign w:val="center"/>
          </w:tcPr>
          <w:p w14:paraId="377EA0C3" w14:textId="77777777" w:rsidR="009B3BF0" w:rsidRPr="0048469F" w:rsidRDefault="009B3BF0" w:rsidP="009B3BF0">
            <w:pPr>
              <w:jc w:val="center"/>
              <w:rPr>
                <w:rFonts w:cs="Calibri"/>
                <w:color w:val="000000"/>
                <w:szCs w:val="17"/>
              </w:rPr>
            </w:pPr>
            <w:r>
              <w:rPr>
                <w:rFonts w:cs="Calibri"/>
                <w:color w:val="000000"/>
                <w:szCs w:val="17"/>
              </w:rPr>
              <w:t>5</w:t>
            </w:r>
          </w:p>
        </w:tc>
        <w:tc>
          <w:tcPr>
            <w:tcW w:w="1232" w:type="dxa"/>
            <w:shd w:val="clear" w:color="auto" w:fill="92D050"/>
            <w:noWrap/>
            <w:vAlign w:val="center"/>
          </w:tcPr>
          <w:p w14:paraId="0FEA1B87" w14:textId="77777777" w:rsidR="009B3BF0" w:rsidRPr="0048469F" w:rsidRDefault="009B3BF0" w:rsidP="009B3BF0">
            <w:pPr>
              <w:jc w:val="center"/>
              <w:rPr>
                <w:rFonts w:cs="Calibri"/>
                <w:color w:val="000000"/>
                <w:szCs w:val="17"/>
              </w:rPr>
            </w:pPr>
            <w:r>
              <w:rPr>
                <w:rFonts w:cs="Calibri"/>
                <w:color w:val="000000"/>
                <w:szCs w:val="17"/>
              </w:rPr>
              <w:t>5</w:t>
            </w:r>
          </w:p>
        </w:tc>
        <w:tc>
          <w:tcPr>
            <w:tcW w:w="1223" w:type="dxa"/>
            <w:shd w:val="clear" w:color="auto" w:fill="92D050"/>
            <w:noWrap/>
            <w:vAlign w:val="center"/>
          </w:tcPr>
          <w:p w14:paraId="232ED6D9" w14:textId="77777777" w:rsidR="009B3BF0" w:rsidRPr="0048469F" w:rsidRDefault="009B3BF0" w:rsidP="009B3BF0">
            <w:pPr>
              <w:jc w:val="center"/>
              <w:rPr>
                <w:rFonts w:cs="Calibri"/>
                <w:color w:val="000000"/>
                <w:szCs w:val="17"/>
              </w:rPr>
            </w:pPr>
            <w:r>
              <w:rPr>
                <w:rFonts w:cs="Calibri"/>
                <w:color w:val="000000"/>
                <w:szCs w:val="17"/>
              </w:rPr>
              <w:t>5</w:t>
            </w:r>
          </w:p>
        </w:tc>
        <w:tc>
          <w:tcPr>
            <w:tcW w:w="1233" w:type="dxa"/>
            <w:shd w:val="clear" w:color="auto" w:fill="92D050"/>
            <w:noWrap/>
            <w:vAlign w:val="center"/>
          </w:tcPr>
          <w:p w14:paraId="56F4FD46" w14:textId="77777777" w:rsidR="009B3BF0" w:rsidRPr="0048469F" w:rsidRDefault="009B3BF0" w:rsidP="009B3BF0">
            <w:pPr>
              <w:jc w:val="center"/>
              <w:rPr>
                <w:rFonts w:cs="Calibri"/>
                <w:color w:val="000000"/>
                <w:szCs w:val="17"/>
              </w:rPr>
            </w:pPr>
            <w:r>
              <w:rPr>
                <w:rFonts w:cs="Calibri"/>
                <w:color w:val="000000"/>
                <w:szCs w:val="17"/>
              </w:rPr>
              <w:t>5</w:t>
            </w:r>
          </w:p>
        </w:tc>
        <w:tc>
          <w:tcPr>
            <w:tcW w:w="1224" w:type="dxa"/>
            <w:shd w:val="clear" w:color="auto" w:fill="FFFF00"/>
            <w:noWrap/>
            <w:vAlign w:val="center"/>
          </w:tcPr>
          <w:p w14:paraId="0FA55A59" w14:textId="77777777" w:rsidR="009B3BF0" w:rsidRPr="0048469F" w:rsidRDefault="009B3BF0" w:rsidP="009B3BF0">
            <w:pPr>
              <w:jc w:val="center"/>
              <w:rPr>
                <w:rFonts w:cs="Calibri"/>
                <w:color w:val="000000"/>
                <w:szCs w:val="17"/>
              </w:rPr>
            </w:pPr>
            <w:r>
              <w:rPr>
                <w:rFonts w:cs="Calibri"/>
                <w:color w:val="000000"/>
                <w:szCs w:val="17"/>
              </w:rPr>
              <w:t>4</w:t>
            </w:r>
          </w:p>
        </w:tc>
        <w:tc>
          <w:tcPr>
            <w:tcW w:w="1215" w:type="dxa"/>
            <w:shd w:val="clear" w:color="auto" w:fill="92D050"/>
            <w:vAlign w:val="center"/>
          </w:tcPr>
          <w:p w14:paraId="5587BBBB" w14:textId="77777777" w:rsidR="009B3BF0" w:rsidRPr="0048469F" w:rsidRDefault="009B3BF0" w:rsidP="009B3BF0">
            <w:pPr>
              <w:jc w:val="center"/>
              <w:rPr>
                <w:rFonts w:cs="Calibri"/>
                <w:color w:val="000000"/>
                <w:szCs w:val="17"/>
              </w:rPr>
            </w:pPr>
            <w:r>
              <w:rPr>
                <w:rFonts w:cs="Calibri"/>
                <w:color w:val="000000"/>
                <w:szCs w:val="17"/>
              </w:rPr>
              <w:t>5</w:t>
            </w:r>
          </w:p>
        </w:tc>
      </w:tr>
      <w:tr w:rsidR="009B3BF0" w:rsidRPr="00C61187" w14:paraId="6A98E61E" w14:textId="77777777" w:rsidTr="00D85A5F">
        <w:trPr>
          <w:cnfStyle w:val="000000010000" w:firstRow="0" w:lastRow="0" w:firstColumn="0" w:lastColumn="0" w:oddVBand="0" w:evenVBand="0" w:oddHBand="0" w:evenHBand="1" w:firstRowFirstColumn="0" w:firstRowLastColumn="0" w:lastRowFirstColumn="0" w:lastRowLastColumn="0"/>
          <w:trHeight w:val="284"/>
        </w:trPr>
        <w:tc>
          <w:tcPr>
            <w:tcW w:w="2787" w:type="dxa"/>
            <w:vAlign w:val="center"/>
          </w:tcPr>
          <w:p w14:paraId="6F396B82" w14:textId="77777777" w:rsidR="009B3BF0" w:rsidRPr="0048469F" w:rsidRDefault="009B3BF0" w:rsidP="009B3BF0">
            <w:pPr>
              <w:pStyle w:val="TableTextEntries"/>
              <w:spacing w:before="0" w:after="0" w:line="240" w:lineRule="auto"/>
            </w:pPr>
          </w:p>
        </w:tc>
        <w:tc>
          <w:tcPr>
            <w:tcW w:w="1941" w:type="dxa"/>
            <w:vAlign w:val="center"/>
          </w:tcPr>
          <w:p w14:paraId="08DE4E72" w14:textId="77777777" w:rsidR="009B3BF0" w:rsidRPr="0048469F" w:rsidRDefault="009B3BF0" w:rsidP="009B3BF0">
            <w:pPr>
              <w:pStyle w:val="TableTextEntries"/>
              <w:spacing w:before="0" w:after="0" w:line="240" w:lineRule="auto"/>
              <w:jc w:val="center"/>
            </w:pPr>
          </w:p>
        </w:tc>
        <w:tc>
          <w:tcPr>
            <w:tcW w:w="1226" w:type="dxa"/>
            <w:vAlign w:val="center"/>
          </w:tcPr>
          <w:p w14:paraId="53741466" w14:textId="77777777" w:rsidR="009B3BF0" w:rsidRPr="00CF04F7" w:rsidRDefault="009B3BF0" w:rsidP="009B3BF0">
            <w:pPr>
              <w:pStyle w:val="TableTextEntries"/>
              <w:spacing w:before="0" w:after="0" w:line="240" w:lineRule="auto"/>
              <w:jc w:val="center"/>
              <w:rPr>
                <w:sz w:val="16"/>
                <w:szCs w:val="16"/>
              </w:rPr>
            </w:pPr>
            <w:r w:rsidRPr="00CF04F7">
              <w:rPr>
                <w:sz w:val="16"/>
                <w:szCs w:val="16"/>
              </w:rPr>
              <w:t>2014-15</w:t>
            </w:r>
          </w:p>
        </w:tc>
        <w:tc>
          <w:tcPr>
            <w:tcW w:w="1232" w:type="dxa"/>
            <w:shd w:val="clear" w:color="auto" w:fill="92D050"/>
            <w:noWrap/>
            <w:vAlign w:val="center"/>
          </w:tcPr>
          <w:p w14:paraId="273F749C" w14:textId="77777777" w:rsidR="009B3BF0" w:rsidRPr="0048469F" w:rsidRDefault="009B3BF0" w:rsidP="009B3BF0">
            <w:pPr>
              <w:jc w:val="center"/>
              <w:rPr>
                <w:rFonts w:cs="Calibri"/>
                <w:color w:val="000000"/>
                <w:szCs w:val="17"/>
              </w:rPr>
            </w:pPr>
            <w:r w:rsidRPr="0048469F">
              <w:rPr>
                <w:rFonts w:cs="Calibri"/>
                <w:color w:val="000000"/>
                <w:szCs w:val="17"/>
              </w:rPr>
              <w:t>6</w:t>
            </w:r>
          </w:p>
        </w:tc>
        <w:tc>
          <w:tcPr>
            <w:tcW w:w="1223" w:type="dxa"/>
            <w:shd w:val="clear" w:color="auto" w:fill="92D050"/>
            <w:noWrap/>
            <w:vAlign w:val="center"/>
          </w:tcPr>
          <w:p w14:paraId="48693932" w14:textId="77777777" w:rsidR="009B3BF0" w:rsidRPr="0048469F" w:rsidRDefault="009B3BF0" w:rsidP="009B3BF0">
            <w:pPr>
              <w:jc w:val="center"/>
              <w:rPr>
                <w:rFonts w:cs="Calibri"/>
                <w:color w:val="000000"/>
                <w:szCs w:val="17"/>
              </w:rPr>
            </w:pPr>
            <w:r w:rsidRPr="0048469F">
              <w:rPr>
                <w:rFonts w:cs="Calibri"/>
                <w:color w:val="000000"/>
                <w:szCs w:val="17"/>
              </w:rPr>
              <w:t>6</w:t>
            </w:r>
          </w:p>
        </w:tc>
        <w:tc>
          <w:tcPr>
            <w:tcW w:w="1232" w:type="dxa"/>
            <w:shd w:val="clear" w:color="auto" w:fill="92D050"/>
            <w:noWrap/>
            <w:vAlign w:val="center"/>
          </w:tcPr>
          <w:p w14:paraId="07C419AB" w14:textId="77777777" w:rsidR="009B3BF0" w:rsidRPr="0048469F" w:rsidRDefault="009B3BF0" w:rsidP="009B3BF0">
            <w:pPr>
              <w:jc w:val="center"/>
              <w:rPr>
                <w:rFonts w:cs="Calibri"/>
                <w:color w:val="000000"/>
                <w:szCs w:val="17"/>
              </w:rPr>
            </w:pPr>
            <w:r w:rsidRPr="0048469F">
              <w:rPr>
                <w:rFonts w:cs="Calibri"/>
                <w:color w:val="000000"/>
                <w:szCs w:val="17"/>
              </w:rPr>
              <w:t>5</w:t>
            </w:r>
          </w:p>
        </w:tc>
        <w:tc>
          <w:tcPr>
            <w:tcW w:w="1223" w:type="dxa"/>
            <w:shd w:val="clear" w:color="auto" w:fill="92D050"/>
            <w:noWrap/>
            <w:vAlign w:val="center"/>
          </w:tcPr>
          <w:p w14:paraId="09197B2F" w14:textId="77777777" w:rsidR="009B3BF0" w:rsidRPr="0048469F" w:rsidRDefault="009B3BF0" w:rsidP="009B3BF0">
            <w:pPr>
              <w:jc w:val="center"/>
              <w:rPr>
                <w:rFonts w:cs="Calibri"/>
                <w:color w:val="000000"/>
                <w:szCs w:val="17"/>
              </w:rPr>
            </w:pPr>
            <w:r w:rsidRPr="0048469F">
              <w:rPr>
                <w:rFonts w:cs="Calibri"/>
                <w:color w:val="000000"/>
                <w:szCs w:val="17"/>
              </w:rPr>
              <w:t>5</w:t>
            </w:r>
          </w:p>
        </w:tc>
        <w:tc>
          <w:tcPr>
            <w:tcW w:w="1233" w:type="dxa"/>
            <w:shd w:val="clear" w:color="auto" w:fill="92D050"/>
            <w:noWrap/>
            <w:vAlign w:val="center"/>
          </w:tcPr>
          <w:p w14:paraId="3197672F" w14:textId="77777777" w:rsidR="009B3BF0" w:rsidRPr="0048469F" w:rsidRDefault="009B3BF0" w:rsidP="009B3BF0">
            <w:pPr>
              <w:jc w:val="center"/>
              <w:rPr>
                <w:rFonts w:cs="Calibri"/>
                <w:color w:val="000000"/>
                <w:szCs w:val="17"/>
              </w:rPr>
            </w:pPr>
            <w:r w:rsidRPr="0048469F">
              <w:rPr>
                <w:rFonts w:cs="Calibri"/>
                <w:color w:val="000000"/>
                <w:szCs w:val="17"/>
              </w:rPr>
              <w:t>5</w:t>
            </w:r>
          </w:p>
        </w:tc>
        <w:tc>
          <w:tcPr>
            <w:tcW w:w="1224" w:type="dxa"/>
            <w:shd w:val="clear" w:color="auto" w:fill="FFFF00"/>
            <w:noWrap/>
            <w:vAlign w:val="center"/>
          </w:tcPr>
          <w:p w14:paraId="185E36E4" w14:textId="77777777" w:rsidR="009B3BF0" w:rsidRPr="0048469F" w:rsidRDefault="009B3BF0" w:rsidP="009B3BF0">
            <w:pPr>
              <w:jc w:val="center"/>
              <w:rPr>
                <w:rFonts w:cs="Calibri"/>
                <w:color w:val="000000"/>
                <w:szCs w:val="17"/>
              </w:rPr>
            </w:pPr>
            <w:r w:rsidRPr="0048469F">
              <w:rPr>
                <w:rFonts w:cs="Calibri"/>
                <w:color w:val="000000"/>
                <w:szCs w:val="17"/>
              </w:rPr>
              <w:t>4</w:t>
            </w:r>
          </w:p>
        </w:tc>
        <w:tc>
          <w:tcPr>
            <w:tcW w:w="1215" w:type="dxa"/>
            <w:shd w:val="clear" w:color="auto" w:fill="92D050"/>
            <w:vAlign w:val="center"/>
          </w:tcPr>
          <w:p w14:paraId="716C80DF" w14:textId="77777777" w:rsidR="009B3BF0" w:rsidRPr="0048469F" w:rsidRDefault="009B3BF0" w:rsidP="009B3BF0">
            <w:pPr>
              <w:pStyle w:val="TableTextEntries"/>
              <w:spacing w:before="0" w:after="0" w:line="240" w:lineRule="auto"/>
              <w:jc w:val="center"/>
            </w:pPr>
            <w:r w:rsidRPr="0048469F">
              <w:rPr>
                <w:rFonts w:cs="Calibri"/>
                <w:color w:val="000000"/>
              </w:rPr>
              <w:t>5</w:t>
            </w:r>
          </w:p>
        </w:tc>
      </w:tr>
      <w:tr w:rsidR="009B3BF0" w:rsidRPr="00C61187" w14:paraId="52C6E7EB" w14:textId="77777777" w:rsidTr="00D85A5F">
        <w:trPr>
          <w:cnfStyle w:val="000000010000" w:firstRow="0" w:lastRow="0" w:firstColumn="0" w:lastColumn="0" w:oddVBand="0" w:evenVBand="0" w:oddHBand="0" w:evenHBand="1" w:firstRowFirstColumn="0" w:firstRowLastColumn="0" w:lastRowFirstColumn="0" w:lastRowLastColumn="0"/>
          <w:trHeight w:val="284"/>
        </w:trPr>
        <w:tc>
          <w:tcPr>
            <w:tcW w:w="2787" w:type="dxa"/>
            <w:vAlign w:val="center"/>
          </w:tcPr>
          <w:p w14:paraId="06C0F786" w14:textId="77777777" w:rsidR="009B3BF0" w:rsidRPr="0048469F" w:rsidRDefault="009B3BF0" w:rsidP="009B3BF0">
            <w:pPr>
              <w:pStyle w:val="TableTextEntries"/>
              <w:spacing w:before="0" w:after="0" w:line="240" w:lineRule="auto"/>
            </w:pPr>
            <w:r w:rsidRPr="0048469F">
              <w:t>ING581 - Philippines: Disaster and Climate Risks Management</w:t>
            </w:r>
          </w:p>
        </w:tc>
        <w:tc>
          <w:tcPr>
            <w:tcW w:w="1941" w:type="dxa"/>
            <w:vAlign w:val="center"/>
          </w:tcPr>
          <w:p w14:paraId="33E4955D" w14:textId="77777777" w:rsidR="009B3BF0" w:rsidRPr="0048469F" w:rsidRDefault="009B3BF0" w:rsidP="009B3BF0">
            <w:pPr>
              <w:pStyle w:val="TableTextEntries"/>
              <w:spacing w:before="0" w:after="0" w:line="240" w:lineRule="auto"/>
              <w:jc w:val="center"/>
            </w:pPr>
            <w:r>
              <w:t>AUD45,888,342.85</w:t>
            </w:r>
          </w:p>
          <w:p w14:paraId="6342E7C6" w14:textId="77777777" w:rsidR="009B3BF0" w:rsidRPr="0048469F" w:rsidRDefault="009B3BF0" w:rsidP="009B3BF0">
            <w:pPr>
              <w:pStyle w:val="TableTextEntries"/>
              <w:spacing w:before="0" w:after="0" w:line="240" w:lineRule="auto"/>
              <w:jc w:val="center"/>
            </w:pPr>
            <w:r w:rsidRPr="0048469F">
              <w:t>2/06/06 - 31/12/17</w:t>
            </w:r>
          </w:p>
        </w:tc>
        <w:tc>
          <w:tcPr>
            <w:tcW w:w="1226" w:type="dxa"/>
            <w:vAlign w:val="center"/>
          </w:tcPr>
          <w:p w14:paraId="18C292B7" w14:textId="77777777" w:rsidR="009B3BF0" w:rsidRPr="00CF04F7" w:rsidRDefault="009B3BF0" w:rsidP="009B3BF0">
            <w:pPr>
              <w:pStyle w:val="TableTextEntries"/>
              <w:spacing w:before="0" w:after="0" w:line="240" w:lineRule="auto"/>
              <w:jc w:val="center"/>
              <w:rPr>
                <w:sz w:val="16"/>
                <w:szCs w:val="16"/>
              </w:rPr>
            </w:pPr>
            <w:r w:rsidRPr="00CF04F7">
              <w:rPr>
                <w:sz w:val="16"/>
                <w:szCs w:val="16"/>
              </w:rPr>
              <w:t>2015-16</w:t>
            </w:r>
          </w:p>
        </w:tc>
        <w:tc>
          <w:tcPr>
            <w:tcW w:w="1232" w:type="dxa"/>
            <w:shd w:val="clear" w:color="auto" w:fill="92D050"/>
            <w:noWrap/>
            <w:vAlign w:val="center"/>
          </w:tcPr>
          <w:p w14:paraId="7B832CA6" w14:textId="77777777" w:rsidR="009B3BF0" w:rsidRPr="0048469F" w:rsidRDefault="009B3BF0" w:rsidP="009B3BF0">
            <w:pPr>
              <w:jc w:val="center"/>
              <w:rPr>
                <w:rFonts w:cs="Calibri"/>
                <w:color w:val="000000"/>
                <w:szCs w:val="17"/>
              </w:rPr>
            </w:pPr>
            <w:r>
              <w:rPr>
                <w:rFonts w:cs="Calibri"/>
                <w:color w:val="000000"/>
                <w:szCs w:val="17"/>
              </w:rPr>
              <w:t>6</w:t>
            </w:r>
          </w:p>
        </w:tc>
        <w:tc>
          <w:tcPr>
            <w:tcW w:w="1223" w:type="dxa"/>
            <w:shd w:val="clear" w:color="auto" w:fill="92D050"/>
            <w:noWrap/>
            <w:vAlign w:val="center"/>
          </w:tcPr>
          <w:p w14:paraId="7254E904" w14:textId="77777777" w:rsidR="009B3BF0" w:rsidRPr="0048469F" w:rsidRDefault="009B3BF0" w:rsidP="009B3BF0">
            <w:pPr>
              <w:jc w:val="center"/>
              <w:rPr>
                <w:rFonts w:cs="Calibri"/>
                <w:color w:val="000000"/>
                <w:szCs w:val="17"/>
              </w:rPr>
            </w:pPr>
            <w:r>
              <w:rPr>
                <w:rFonts w:cs="Calibri"/>
                <w:color w:val="000000"/>
                <w:szCs w:val="17"/>
              </w:rPr>
              <w:t>5</w:t>
            </w:r>
          </w:p>
        </w:tc>
        <w:tc>
          <w:tcPr>
            <w:tcW w:w="1232" w:type="dxa"/>
            <w:shd w:val="clear" w:color="auto" w:fill="FFFF00"/>
            <w:noWrap/>
            <w:vAlign w:val="center"/>
          </w:tcPr>
          <w:p w14:paraId="3E7C4374" w14:textId="77777777" w:rsidR="009B3BF0" w:rsidRPr="0048469F" w:rsidRDefault="009B3BF0" w:rsidP="009B3BF0">
            <w:pPr>
              <w:jc w:val="center"/>
              <w:rPr>
                <w:rFonts w:cs="Calibri"/>
                <w:color w:val="000000"/>
                <w:szCs w:val="17"/>
              </w:rPr>
            </w:pPr>
            <w:r>
              <w:rPr>
                <w:rFonts w:cs="Calibri"/>
                <w:color w:val="000000"/>
                <w:szCs w:val="17"/>
              </w:rPr>
              <w:t>4</w:t>
            </w:r>
          </w:p>
        </w:tc>
        <w:tc>
          <w:tcPr>
            <w:tcW w:w="1223" w:type="dxa"/>
            <w:shd w:val="clear" w:color="auto" w:fill="FFFF00"/>
            <w:noWrap/>
            <w:vAlign w:val="center"/>
          </w:tcPr>
          <w:p w14:paraId="40347C80" w14:textId="77777777" w:rsidR="009B3BF0" w:rsidRPr="0048469F" w:rsidRDefault="009B3BF0" w:rsidP="009B3BF0">
            <w:pPr>
              <w:jc w:val="center"/>
              <w:rPr>
                <w:rFonts w:cs="Calibri"/>
                <w:color w:val="000000"/>
                <w:szCs w:val="17"/>
              </w:rPr>
            </w:pPr>
            <w:r>
              <w:rPr>
                <w:rFonts w:cs="Calibri"/>
                <w:color w:val="000000"/>
                <w:szCs w:val="17"/>
              </w:rPr>
              <w:t>4</w:t>
            </w:r>
          </w:p>
        </w:tc>
        <w:tc>
          <w:tcPr>
            <w:tcW w:w="1233" w:type="dxa"/>
            <w:shd w:val="clear" w:color="auto" w:fill="92D050"/>
            <w:noWrap/>
            <w:vAlign w:val="center"/>
          </w:tcPr>
          <w:p w14:paraId="38991FA7" w14:textId="77777777" w:rsidR="009B3BF0" w:rsidRPr="0048469F" w:rsidRDefault="009B3BF0" w:rsidP="009B3BF0">
            <w:pPr>
              <w:jc w:val="center"/>
              <w:rPr>
                <w:rFonts w:cs="Calibri"/>
                <w:color w:val="000000"/>
                <w:szCs w:val="17"/>
              </w:rPr>
            </w:pPr>
            <w:r>
              <w:rPr>
                <w:rFonts w:cs="Calibri"/>
                <w:color w:val="000000"/>
                <w:szCs w:val="17"/>
              </w:rPr>
              <w:t>5</w:t>
            </w:r>
          </w:p>
        </w:tc>
        <w:tc>
          <w:tcPr>
            <w:tcW w:w="1224" w:type="dxa"/>
            <w:shd w:val="clear" w:color="auto" w:fill="92D050"/>
            <w:noWrap/>
            <w:vAlign w:val="center"/>
          </w:tcPr>
          <w:p w14:paraId="65602BBF" w14:textId="77777777" w:rsidR="009B3BF0" w:rsidRPr="0048469F" w:rsidRDefault="009B3BF0" w:rsidP="009B3BF0">
            <w:pPr>
              <w:jc w:val="center"/>
              <w:rPr>
                <w:rFonts w:cs="Calibri"/>
                <w:color w:val="000000"/>
                <w:szCs w:val="17"/>
              </w:rPr>
            </w:pPr>
            <w:r>
              <w:rPr>
                <w:rFonts w:cs="Calibri"/>
                <w:color w:val="000000"/>
                <w:szCs w:val="17"/>
              </w:rPr>
              <w:t>5</w:t>
            </w:r>
          </w:p>
        </w:tc>
        <w:tc>
          <w:tcPr>
            <w:tcW w:w="1215" w:type="dxa"/>
            <w:shd w:val="clear" w:color="auto" w:fill="FFFF00"/>
            <w:vAlign w:val="center"/>
          </w:tcPr>
          <w:p w14:paraId="357B35AC" w14:textId="77777777" w:rsidR="009B3BF0" w:rsidRPr="0048469F" w:rsidRDefault="009B3BF0" w:rsidP="009B3BF0">
            <w:pPr>
              <w:jc w:val="center"/>
              <w:rPr>
                <w:rFonts w:cs="Calibri"/>
                <w:color w:val="000000"/>
                <w:szCs w:val="17"/>
              </w:rPr>
            </w:pPr>
            <w:r>
              <w:rPr>
                <w:rFonts w:cs="Calibri"/>
                <w:color w:val="000000"/>
                <w:szCs w:val="17"/>
              </w:rPr>
              <w:t>4</w:t>
            </w:r>
          </w:p>
        </w:tc>
      </w:tr>
      <w:tr w:rsidR="009B3BF0" w:rsidRPr="00C61187" w14:paraId="74BD5143" w14:textId="77777777" w:rsidTr="00D85A5F">
        <w:trPr>
          <w:cnfStyle w:val="000000010000" w:firstRow="0" w:lastRow="0" w:firstColumn="0" w:lastColumn="0" w:oddVBand="0" w:evenVBand="0" w:oddHBand="0" w:evenHBand="1" w:firstRowFirstColumn="0" w:firstRowLastColumn="0" w:lastRowFirstColumn="0" w:lastRowLastColumn="0"/>
          <w:trHeight w:val="284"/>
        </w:trPr>
        <w:tc>
          <w:tcPr>
            <w:tcW w:w="2787" w:type="dxa"/>
            <w:vAlign w:val="center"/>
          </w:tcPr>
          <w:p w14:paraId="33BBF372" w14:textId="77777777" w:rsidR="009B3BF0" w:rsidRPr="0048469F" w:rsidRDefault="009B3BF0" w:rsidP="009B3BF0">
            <w:pPr>
              <w:pStyle w:val="TableTextEntries"/>
              <w:spacing w:before="0" w:after="0" w:line="240" w:lineRule="auto"/>
            </w:pPr>
          </w:p>
        </w:tc>
        <w:tc>
          <w:tcPr>
            <w:tcW w:w="1941" w:type="dxa"/>
            <w:vAlign w:val="center"/>
          </w:tcPr>
          <w:p w14:paraId="4C77246B" w14:textId="77777777" w:rsidR="009B3BF0" w:rsidRPr="0048469F" w:rsidRDefault="009B3BF0" w:rsidP="009B3BF0">
            <w:pPr>
              <w:pStyle w:val="TableTextEntries"/>
              <w:spacing w:before="0" w:after="0" w:line="240" w:lineRule="auto"/>
              <w:jc w:val="center"/>
            </w:pPr>
          </w:p>
        </w:tc>
        <w:tc>
          <w:tcPr>
            <w:tcW w:w="1226" w:type="dxa"/>
            <w:vAlign w:val="center"/>
          </w:tcPr>
          <w:p w14:paraId="11BD0C11" w14:textId="77777777" w:rsidR="009B3BF0" w:rsidRPr="00CF04F7" w:rsidRDefault="009B3BF0" w:rsidP="009B3BF0">
            <w:pPr>
              <w:pStyle w:val="TableTextEntries"/>
              <w:spacing w:before="0" w:after="0" w:line="240" w:lineRule="auto"/>
              <w:jc w:val="center"/>
              <w:rPr>
                <w:sz w:val="16"/>
                <w:szCs w:val="16"/>
              </w:rPr>
            </w:pPr>
            <w:r w:rsidRPr="00CF04F7">
              <w:rPr>
                <w:sz w:val="16"/>
                <w:szCs w:val="16"/>
              </w:rPr>
              <w:t>2014-15</w:t>
            </w:r>
          </w:p>
        </w:tc>
        <w:tc>
          <w:tcPr>
            <w:tcW w:w="1232" w:type="dxa"/>
            <w:shd w:val="clear" w:color="auto" w:fill="92D050"/>
            <w:noWrap/>
            <w:vAlign w:val="center"/>
          </w:tcPr>
          <w:p w14:paraId="1C84B0EF" w14:textId="77777777" w:rsidR="009B3BF0" w:rsidRPr="0048469F" w:rsidRDefault="009B3BF0" w:rsidP="009B3BF0">
            <w:pPr>
              <w:jc w:val="center"/>
              <w:rPr>
                <w:rFonts w:cs="Calibri"/>
                <w:color w:val="000000"/>
                <w:szCs w:val="17"/>
              </w:rPr>
            </w:pPr>
            <w:r w:rsidRPr="0048469F">
              <w:rPr>
                <w:rFonts w:cs="Calibri"/>
                <w:color w:val="000000"/>
                <w:szCs w:val="17"/>
              </w:rPr>
              <w:t>6</w:t>
            </w:r>
          </w:p>
        </w:tc>
        <w:tc>
          <w:tcPr>
            <w:tcW w:w="1223" w:type="dxa"/>
            <w:shd w:val="clear" w:color="auto" w:fill="FFFF00"/>
            <w:noWrap/>
            <w:vAlign w:val="center"/>
          </w:tcPr>
          <w:p w14:paraId="2984829D" w14:textId="77777777" w:rsidR="009B3BF0" w:rsidRPr="0048469F" w:rsidRDefault="009B3BF0" w:rsidP="009B3BF0">
            <w:pPr>
              <w:jc w:val="center"/>
              <w:rPr>
                <w:rFonts w:cs="Calibri"/>
                <w:color w:val="000000"/>
                <w:szCs w:val="17"/>
              </w:rPr>
            </w:pPr>
            <w:r w:rsidRPr="0048469F">
              <w:rPr>
                <w:rFonts w:cs="Calibri"/>
                <w:color w:val="000000"/>
                <w:szCs w:val="17"/>
              </w:rPr>
              <w:t>4</w:t>
            </w:r>
          </w:p>
        </w:tc>
        <w:tc>
          <w:tcPr>
            <w:tcW w:w="1232" w:type="dxa"/>
            <w:shd w:val="clear" w:color="auto" w:fill="FFFF00"/>
            <w:noWrap/>
            <w:vAlign w:val="center"/>
          </w:tcPr>
          <w:p w14:paraId="5B9386F1" w14:textId="77777777" w:rsidR="009B3BF0" w:rsidRPr="0048469F" w:rsidRDefault="009B3BF0" w:rsidP="009B3BF0">
            <w:pPr>
              <w:jc w:val="center"/>
              <w:rPr>
                <w:rFonts w:cs="Calibri"/>
                <w:color w:val="000000"/>
                <w:szCs w:val="17"/>
              </w:rPr>
            </w:pPr>
            <w:r w:rsidRPr="0048469F">
              <w:rPr>
                <w:rFonts w:cs="Calibri"/>
                <w:color w:val="000000"/>
                <w:szCs w:val="17"/>
              </w:rPr>
              <w:t>4</w:t>
            </w:r>
          </w:p>
        </w:tc>
        <w:tc>
          <w:tcPr>
            <w:tcW w:w="1223" w:type="dxa"/>
            <w:shd w:val="clear" w:color="auto" w:fill="FFFF00"/>
            <w:noWrap/>
            <w:vAlign w:val="center"/>
          </w:tcPr>
          <w:p w14:paraId="45ACB773" w14:textId="77777777" w:rsidR="009B3BF0" w:rsidRPr="0048469F" w:rsidRDefault="009B3BF0" w:rsidP="009B3BF0">
            <w:pPr>
              <w:jc w:val="center"/>
              <w:rPr>
                <w:rFonts w:cs="Calibri"/>
                <w:color w:val="000000"/>
                <w:szCs w:val="17"/>
              </w:rPr>
            </w:pPr>
            <w:r w:rsidRPr="0048469F">
              <w:rPr>
                <w:rFonts w:cs="Calibri"/>
                <w:color w:val="000000"/>
                <w:szCs w:val="17"/>
              </w:rPr>
              <w:t>4</w:t>
            </w:r>
          </w:p>
        </w:tc>
        <w:tc>
          <w:tcPr>
            <w:tcW w:w="1233" w:type="dxa"/>
            <w:shd w:val="clear" w:color="auto" w:fill="92D050"/>
            <w:noWrap/>
            <w:vAlign w:val="center"/>
          </w:tcPr>
          <w:p w14:paraId="0E067FD6" w14:textId="77777777" w:rsidR="009B3BF0" w:rsidRPr="0048469F" w:rsidRDefault="009B3BF0" w:rsidP="009B3BF0">
            <w:pPr>
              <w:jc w:val="center"/>
              <w:rPr>
                <w:rFonts w:cs="Calibri"/>
                <w:color w:val="000000"/>
                <w:szCs w:val="17"/>
              </w:rPr>
            </w:pPr>
            <w:r w:rsidRPr="0048469F">
              <w:rPr>
                <w:rFonts w:cs="Calibri"/>
                <w:color w:val="000000"/>
                <w:szCs w:val="17"/>
              </w:rPr>
              <w:t>6</w:t>
            </w:r>
          </w:p>
        </w:tc>
        <w:tc>
          <w:tcPr>
            <w:tcW w:w="1224" w:type="dxa"/>
            <w:shd w:val="clear" w:color="auto" w:fill="FFFF00"/>
            <w:noWrap/>
            <w:vAlign w:val="center"/>
          </w:tcPr>
          <w:p w14:paraId="2A62EC0A" w14:textId="77777777" w:rsidR="009B3BF0" w:rsidRPr="0048469F" w:rsidRDefault="009B3BF0" w:rsidP="009B3BF0">
            <w:pPr>
              <w:jc w:val="center"/>
              <w:rPr>
                <w:rFonts w:cs="Calibri"/>
                <w:color w:val="000000"/>
                <w:szCs w:val="17"/>
              </w:rPr>
            </w:pPr>
            <w:r w:rsidRPr="0048469F">
              <w:rPr>
                <w:rFonts w:cs="Calibri"/>
                <w:color w:val="000000"/>
                <w:szCs w:val="17"/>
              </w:rPr>
              <w:t>4</w:t>
            </w:r>
          </w:p>
        </w:tc>
        <w:tc>
          <w:tcPr>
            <w:tcW w:w="1215" w:type="dxa"/>
            <w:shd w:val="clear" w:color="auto" w:fill="92D050"/>
            <w:vAlign w:val="center"/>
          </w:tcPr>
          <w:p w14:paraId="3006176C" w14:textId="77777777" w:rsidR="009B3BF0" w:rsidRPr="0048469F" w:rsidRDefault="009B3BF0" w:rsidP="009B3BF0">
            <w:pPr>
              <w:pStyle w:val="TableTextEntries"/>
              <w:spacing w:before="0" w:after="0" w:line="240" w:lineRule="auto"/>
              <w:jc w:val="center"/>
            </w:pPr>
            <w:r w:rsidRPr="0048469F">
              <w:rPr>
                <w:rFonts w:cs="Calibri"/>
                <w:color w:val="000000"/>
              </w:rPr>
              <w:t>5</w:t>
            </w:r>
          </w:p>
        </w:tc>
      </w:tr>
      <w:tr w:rsidR="009B3BF0" w:rsidRPr="00C61187" w14:paraId="776986E9" w14:textId="77777777" w:rsidTr="00D85A5F">
        <w:trPr>
          <w:cnfStyle w:val="000000010000" w:firstRow="0" w:lastRow="0" w:firstColumn="0" w:lastColumn="0" w:oddVBand="0" w:evenVBand="0" w:oddHBand="0" w:evenHBand="1" w:firstRowFirstColumn="0" w:firstRowLastColumn="0" w:lastRowFirstColumn="0" w:lastRowLastColumn="0"/>
          <w:trHeight w:val="284"/>
        </w:trPr>
        <w:tc>
          <w:tcPr>
            <w:tcW w:w="2787" w:type="dxa"/>
            <w:vAlign w:val="center"/>
          </w:tcPr>
          <w:p w14:paraId="1DE37F0A" w14:textId="77777777" w:rsidR="009B3BF0" w:rsidRPr="0048469F" w:rsidRDefault="009B3BF0" w:rsidP="009B3BF0">
            <w:pPr>
              <w:pStyle w:val="TableTextEntries"/>
              <w:spacing w:before="0" w:after="0" w:line="240" w:lineRule="auto"/>
            </w:pPr>
            <w:r w:rsidRPr="0048469F">
              <w:t>INK078 - Public Financial Management Program Phase 2</w:t>
            </w:r>
          </w:p>
        </w:tc>
        <w:tc>
          <w:tcPr>
            <w:tcW w:w="1941" w:type="dxa"/>
            <w:vAlign w:val="center"/>
          </w:tcPr>
          <w:p w14:paraId="3B8D5450" w14:textId="77777777" w:rsidR="009B3BF0" w:rsidRPr="0048469F" w:rsidRDefault="009B3BF0" w:rsidP="009B3BF0">
            <w:pPr>
              <w:pStyle w:val="TableTextEntries"/>
              <w:spacing w:before="0" w:after="0" w:line="240" w:lineRule="auto"/>
              <w:jc w:val="center"/>
            </w:pPr>
            <w:r>
              <w:t>AUD29,264,942.93</w:t>
            </w:r>
          </w:p>
          <w:p w14:paraId="37E844F3" w14:textId="77777777" w:rsidR="009B3BF0" w:rsidRPr="0048469F" w:rsidRDefault="009B3BF0" w:rsidP="009B3BF0">
            <w:pPr>
              <w:pStyle w:val="TableTextEntries"/>
              <w:spacing w:before="0" w:after="0" w:line="240" w:lineRule="auto"/>
              <w:jc w:val="center"/>
            </w:pPr>
            <w:r w:rsidRPr="0048469F">
              <w:t>1/07/11 - 30/06/17</w:t>
            </w:r>
          </w:p>
        </w:tc>
        <w:tc>
          <w:tcPr>
            <w:tcW w:w="1226" w:type="dxa"/>
            <w:vAlign w:val="center"/>
          </w:tcPr>
          <w:p w14:paraId="64A9E77B" w14:textId="77777777" w:rsidR="009B3BF0" w:rsidRPr="00CF04F7" w:rsidRDefault="009B3BF0" w:rsidP="009B3BF0">
            <w:pPr>
              <w:pStyle w:val="TableTextEntries"/>
              <w:spacing w:before="0" w:after="0" w:line="240" w:lineRule="auto"/>
              <w:jc w:val="center"/>
              <w:rPr>
                <w:sz w:val="16"/>
                <w:szCs w:val="16"/>
              </w:rPr>
            </w:pPr>
            <w:r w:rsidRPr="00CF04F7">
              <w:rPr>
                <w:sz w:val="16"/>
                <w:szCs w:val="16"/>
              </w:rPr>
              <w:t>2015-16</w:t>
            </w:r>
          </w:p>
        </w:tc>
        <w:tc>
          <w:tcPr>
            <w:tcW w:w="1232" w:type="dxa"/>
            <w:shd w:val="clear" w:color="auto" w:fill="92D050"/>
            <w:noWrap/>
            <w:vAlign w:val="center"/>
          </w:tcPr>
          <w:p w14:paraId="65224547" w14:textId="77777777" w:rsidR="009B3BF0" w:rsidRPr="0048469F" w:rsidRDefault="009B3BF0" w:rsidP="009B3BF0">
            <w:pPr>
              <w:jc w:val="center"/>
              <w:rPr>
                <w:rFonts w:cs="Calibri"/>
                <w:color w:val="000000"/>
                <w:szCs w:val="17"/>
              </w:rPr>
            </w:pPr>
            <w:r>
              <w:rPr>
                <w:rFonts w:cs="Calibri"/>
                <w:color w:val="000000"/>
                <w:szCs w:val="17"/>
              </w:rPr>
              <w:t>5</w:t>
            </w:r>
          </w:p>
        </w:tc>
        <w:tc>
          <w:tcPr>
            <w:tcW w:w="1223" w:type="dxa"/>
            <w:shd w:val="clear" w:color="auto" w:fill="92D050"/>
            <w:noWrap/>
            <w:vAlign w:val="center"/>
          </w:tcPr>
          <w:p w14:paraId="6EC8AEB3" w14:textId="77777777" w:rsidR="009B3BF0" w:rsidRPr="0048469F" w:rsidRDefault="009B3BF0" w:rsidP="009B3BF0">
            <w:pPr>
              <w:jc w:val="center"/>
              <w:rPr>
                <w:rFonts w:cs="Calibri"/>
                <w:color w:val="000000"/>
                <w:szCs w:val="17"/>
              </w:rPr>
            </w:pPr>
            <w:r>
              <w:rPr>
                <w:rFonts w:cs="Calibri"/>
                <w:color w:val="000000"/>
                <w:szCs w:val="17"/>
              </w:rPr>
              <w:t>5</w:t>
            </w:r>
          </w:p>
        </w:tc>
        <w:tc>
          <w:tcPr>
            <w:tcW w:w="1232" w:type="dxa"/>
            <w:shd w:val="clear" w:color="auto" w:fill="FFFF00"/>
            <w:noWrap/>
            <w:vAlign w:val="center"/>
          </w:tcPr>
          <w:p w14:paraId="23E2F72D" w14:textId="77777777" w:rsidR="009B3BF0" w:rsidRPr="0048469F" w:rsidRDefault="009B3BF0" w:rsidP="009B3BF0">
            <w:pPr>
              <w:jc w:val="center"/>
              <w:rPr>
                <w:rFonts w:cs="Calibri"/>
                <w:color w:val="000000"/>
                <w:szCs w:val="17"/>
              </w:rPr>
            </w:pPr>
            <w:r>
              <w:rPr>
                <w:rFonts w:cs="Calibri"/>
                <w:color w:val="000000"/>
                <w:szCs w:val="17"/>
              </w:rPr>
              <w:t>4</w:t>
            </w:r>
          </w:p>
        </w:tc>
        <w:tc>
          <w:tcPr>
            <w:tcW w:w="1223" w:type="dxa"/>
            <w:shd w:val="clear" w:color="auto" w:fill="92D050"/>
            <w:noWrap/>
            <w:vAlign w:val="center"/>
          </w:tcPr>
          <w:p w14:paraId="55312D6C" w14:textId="77777777" w:rsidR="009B3BF0" w:rsidRPr="0048469F" w:rsidRDefault="009B3BF0" w:rsidP="009B3BF0">
            <w:pPr>
              <w:jc w:val="center"/>
              <w:rPr>
                <w:rFonts w:cs="Calibri"/>
                <w:color w:val="000000"/>
                <w:szCs w:val="17"/>
              </w:rPr>
            </w:pPr>
            <w:r>
              <w:rPr>
                <w:rFonts w:cs="Calibri"/>
                <w:color w:val="000000"/>
                <w:szCs w:val="17"/>
              </w:rPr>
              <w:t>5</w:t>
            </w:r>
          </w:p>
        </w:tc>
        <w:tc>
          <w:tcPr>
            <w:tcW w:w="1233" w:type="dxa"/>
            <w:shd w:val="clear" w:color="auto" w:fill="FFFF00"/>
            <w:noWrap/>
            <w:vAlign w:val="center"/>
          </w:tcPr>
          <w:p w14:paraId="5AA86B4A" w14:textId="77777777" w:rsidR="009B3BF0" w:rsidRPr="0048469F" w:rsidRDefault="009B3BF0" w:rsidP="009B3BF0">
            <w:pPr>
              <w:jc w:val="center"/>
              <w:rPr>
                <w:rFonts w:cs="Calibri"/>
                <w:color w:val="000000"/>
                <w:szCs w:val="17"/>
              </w:rPr>
            </w:pPr>
            <w:r>
              <w:rPr>
                <w:rFonts w:cs="Calibri"/>
                <w:color w:val="000000"/>
                <w:szCs w:val="17"/>
              </w:rPr>
              <w:t>4</w:t>
            </w:r>
          </w:p>
        </w:tc>
        <w:tc>
          <w:tcPr>
            <w:tcW w:w="1224" w:type="dxa"/>
            <w:shd w:val="clear" w:color="auto" w:fill="FFFF00"/>
            <w:noWrap/>
            <w:vAlign w:val="center"/>
          </w:tcPr>
          <w:p w14:paraId="0A28D4AC" w14:textId="77777777" w:rsidR="009B3BF0" w:rsidRPr="0048469F" w:rsidRDefault="009B3BF0" w:rsidP="009B3BF0">
            <w:pPr>
              <w:jc w:val="center"/>
              <w:rPr>
                <w:rFonts w:cs="Calibri"/>
                <w:color w:val="000000"/>
                <w:szCs w:val="17"/>
              </w:rPr>
            </w:pPr>
            <w:r>
              <w:rPr>
                <w:rFonts w:cs="Calibri"/>
                <w:color w:val="000000"/>
                <w:szCs w:val="17"/>
              </w:rPr>
              <w:t>4</w:t>
            </w:r>
          </w:p>
        </w:tc>
        <w:tc>
          <w:tcPr>
            <w:tcW w:w="1215" w:type="dxa"/>
            <w:shd w:val="clear" w:color="auto" w:fill="92D050"/>
            <w:vAlign w:val="center"/>
          </w:tcPr>
          <w:p w14:paraId="5B737558" w14:textId="77777777" w:rsidR="009B3BF0" w:rsidRPr="0048469F" w:rsidRDefault="009B3BF0" w:rsidP="009B3BF0">
            <w:pPr>
              <w:jc w:val="center"/>
              <w:rPr>
                <w:rFonts w:cs="Calibri"/>
                <w:color w:val="000000"/>
                <w:szCs w:val="17"/>
              </w:rPr>
            </w:pPr>
            <w:r>
              <w:rPr>
                <w:rFonts w:cs="Calibri"/>
                <w:color w:val="000000"/>
                <w:szCs w:val="17"/>
              </w:rPr>
              <w:t>5</w:t>
            </w:r>
          </w:p>
        </w:tc>
      </w:tr>
      <w:tr w:rsidR="009B3BF0" w:rsidRPr="00C61187" w14:paraId="670064B8" w14:textId="77777777" w:rsidTr="00D85A5F">
        <w:trPr>
          <w:cnfStyle w:val="000000010000" w:firstRow="0" w:lastRow="0" w:firstColumn="0" w:lastColumn="0" w:oddVBand="0" w:evenVBand="0" w:oddHBand="0" w:evenHBand="1" w:firstRowFirstColumn="0" w:firstRowLastColumn="0" w:lastRowFirstColumn="0" w:lastRowLastColumn="0"/>
          <w:trHeight w:val="284"/>
        </w:trPr>
        <w:tc>
          <w:tcPr>
            <w:tcW w:w="2787" w:type="dxa"/>
            <w:vAlign w:val="center"/>
          </w:tcPr>
          <w:p w14:paraId="26697F99" w14:textId="77777777" w:rsidR="009B3BF0" w:rsidRPr="0048469F" w:rsidRDefault="009B3BF0" w:rsidP="009B3BF0">
            <w:pPr>
              <w:pStyle w:val="TableTextEntries"/>
              <w:spacing w:before="0" w:after="0" w:line="240" w:lineRule="auto"/>
            </w:pPr>
          </w:p>
        </w:tc>
        <w:tc>
          <w:tcPr>
            <w:tcW w:w="1941" w:type="dxa"/>
            <w:vAlign w:val="center"/>
          </w:tcPr>
          <w:p w14:paraId="3850DA3D" w14:textId="77777777" w:rsidR="009B3BF0" w:rsidRPr="0048469F" w:rsidRDefault="009B3BF0" w:rsidP="009B3BF0">
            <w:pPr>
              <w:pStyle w:val="TableTextEntries"/>
              <w:spacing w:before="0" w:after="0" w:line="240" w:lineRule="auto"/>
              <w:jc w:val="center"/>
            </w:pPr>
          </w:p>
        </w:tc>
        <w:tc>
          <w:tcPr>
            <w:tcW w:w="1226" w:type="dxa"/>
            <w:vAlign w:val="center"/>
          </w:tcPr>
          <w:p w14:paraId="10D11ED8" w14:textId="77777777" w:rsidR="009B3BF0" w:rsidRPr="00CF04F7" w:rsidRDefault="009B3BF0" w:rsidP="009B3BF0">
            <w:pPr>
              <w:pStyle w:val="TableTextEntries"/>
              <w:spacing w:before="0" w:after="0" w:line="240" w:lineRule="auto"/>
              <w:jc w:val="center"/>
              <w:rPr>
                <w:sz w:val="16"/>
                <w:szCs w:val="16"/>
              </w:rPr>
            </w:pPr>
            <w:r w:rsidRPr="00CF04F7">
              <w:rPr>
                <w:sz w:val="16"/>
                <w:szCs w:val="16"/>
              </w:rPr>
              <w:t>2014-15</w:t>
            </w:r>
          </w:p>
        </w:tc>
        <w:tc>
          <w:tcPr>
            <w:tcW w:w="1232" w:type="dxa"/>
            <w:shd w:val="clear" w:color="auto" w:fill="92D050"/>
            <w:noWrap/>
            <w:vAlign w:val="center"/>
          </w:tcPr>
          <w:p w14:paraId="4198FF4A" w14:textId="77777777" w:rsidR="009B3BF0" w:rsidRPr="0048469F" w:rsidRDefault="009B3BF0" w:rsidP="009B3BF0">
            <w:pPr>
              <w:jc w:val="center"/>
              <w:rPr>
                <w:rFonts w:cs="Calibri"/>
                <w:color w:val="000000"/>
                <w:szCs w:val="17"/>
              </w:rPr>
            </w:pPr>
            <w:r w:rsidRPr="0048469F">
              <w:rPr>
                <w:rFonts w:cs="Calibri"/>
                <w:color w:val="000000"/>
                <w:szCs w:val="17"/>
              </w:rPr>
              <w:t>5</w:t>
            </w:r>
          </w:p>
        </w:tc>
        <w:tc>
          <w:tcPr>
            <w:tcW w:w="1223" w:type="dxa"/>
            <w:shd w:val="clear" w:color="auto" w:fill="92D050"/>
            <w:noWrap/>
            <w:vAlign w:val="center"/>
          </w:tcPr>
          <w:p w14:paraId="258683EA" w14:textId="77777777" w:rsidR="009B3BF0" w:rsidRPr="0048469F" w:rsidRDefault="009B3BF0" w:rsidP="009B3BF0">
            <w:pPr>
              <w:jc w:val="center"/>
              <w:rPr>
                <w:rFonts w:cs="Calibri"/>
                <w:color w:val="000000"/>
                <w:szCs w:val="17"/>
              </w:rPr>
            </w:pPr>
            <w:r w:rsidRPr="0048469F">
              <w:rPr>
                <w:rFonts w:cs="Calibri"/>
                <w:color w:val="000000"/>
                <w:szCs w:val="17"/>
              </w:rPr>
              <w:t>5</w:t>
            </w:r>
          </w:p>
        </w:tc>
        <w:tc>
          <w:tcPr>
            <w:tcW w:w="1232" w:type="dxa"/>
            <w:shd w:val="clear" w:color="auto" w:fill="FFFF00"/>
            <w:noWrap/>
            <w:vAlign w:val="center"/>
          </w:tcPr>
          <w:p w14:paraId="347F6D2B" w14:textId="77777777" w:rsidR="009B3BF0" w:rsidRPr="0048469F" w:rsidRDefault="009B3BF0" w:rsidP="009B3BF0">
            <w:pPr>
              <w:jc w:val="center"/>
              <w:rPr>
                <w:rFonts w:cs="Calibri"/>
                <w:color w:val="000000"/>
                <w:szCs w:val="17"/>
              </w:rPr>
            </w:pPr>
            <w:r w:rsidRPr="0048469F">
              <w:rPr>
                <w:rFonts w:cs="Calibri"/>
                <w:color w:val="000000"/>
                <w:szCs w:val="17"/>
              </w:rPr>
              <w:t>4</w:t>
            </w:r>
          </w:p>
        </w:tc>
        <w:tc>
          <w:tcPr>
            <w:tcW w:w="1223" w:type="dxa"/>
            <w:shd w:val="clear" w:color="auto" w:fill="92D050"/>
            <w:noWrap/>
            <w:vAlign w:val="center"/>
          </w:tcPr>
          <w:p w14:paraId="178BD733" w14:textId="77777777" w:rsidR="009B3BF0" w:rsidRPr="0048469F" w:rsidRDefault="009B3BF0" w:rsidP="009B3BF0">
            <w:pPr>
              <w:jc w:val="center"/>
              <w:rPr>
                <w:rFonts w:cs="Calibri"/>
                <w:color w:val="000000"/>
                <w:szCs w:val="17"/>
              </w:rPr>
            </w:pPr>
            <w:r w:rsidRPr="0048469F">
              <w:rPr>
                <w:rFonts w:cs="Calibri"/>
                <w:color w:val="000000"/>
                <w:szCs w:val="17"/>
              </w:rPr>
              <w:t>5</w:t>
            </w:r>
          </w:p>
        </w:tc>
        <w:tc>
          <w:tcPr>
            <w:tcW w:w="1233" w:type="dxa"/>
            <w:shd w:val="clear" w:color="auto" w:fill="FFFF00"/>
            <w:noWrap/>
            <w:vAlign w:val="center"/>
          </w:tcPr>
          <w:p w14:paraId="6ACB8B6D" w14:textId="77777777" w:rsidR="009B3BF0" w:rsidRPr="0048469F" w:rsidRDefault="009B3BF0" w:rsidP="009B3BF0">
            <w:pPr>
              <w:jc w:val="center"/>
              <w:rPr>
                <w:rFonts w:cs="Calibri"/>
                <w:color w:val="000000"/>
                <w:szCs w:val="17"/>
              </w:rPr>
            </w:pPr>
            <w:r w:rsidRPr="0048469F">
              <w:rPr>
                <w:rFonts w:cs="Calibri"/>
                <w:color w:val="000000"/>
                <w:szCs w:val="17"/>
              </w:rPr>
              <w:t>4</w:t>
            </w:r>
          </w:p>
        </w:tc>
        <w:tc>
          <w:tcPr>
            <w:tcW w:w="1224" w:type="dxa"/>
            <w:shd w:val="clear" w:color="auto" w:fill="FFC000"/>
            <w:noWrap/>
            <w:vAlign w:val="center"/>
          </w:tcPr>
          <w:p w14:paraId="1DB0D4E1" w14:textId="77777777" w:rsidR="009B3BF0" w:rsidRPr="0048469F" w:rsidRDefault="009B3BF0" w:rsidP="009B3BF0">
            <w:pPr>
              <w:jc w:val="center"/>
              <w:rPr>
                <w:rFonts w:cs="Calibri"/>
                <w:color w:val="000000"/>
                <w:szCs w:val="17"/>
              </w:rPr>
            </w:pPr>
            <w:r w:rsidRPr="0048469F">
              <w:rPr>
                <w:rFonts w:cs="Calibri"/>
                <w:color w:val="000000"/>
                <w:szCs w:val="17"/>
              </w:rPr>
              <w:t>3</w:t>
            </w:r>
          </w:p>
        </w:tc>
        <w:tc>
          <w:tcPr>
            <w:tcW w:w="1215" w:type="dxa"/>
            <w:shd w:val="clear" w:color="auto" w:fill="92D050"/>
            <w:vAlign w:val="center"/>
          </w:tcPr>
          <w:p w14:paraId="23E36E04" w14:textId="77777777" w:rsidR="009B3BF0" w:rsidRPr="0048469F" w:rsidRDefault="009B3BF0" w:rsidP="009B3BF0">
            <w:pPr>
              <w:pStyle w:val="TableTextEntries"/>
              <w:spacing w:before="0" w:after="0" w:line="240" w:lineRule="auto"/>
              <w:jc w:val="center"/>
            </w:pPr>
            <w:r w:rsidRPr="0048469F">
              <w:rPr>
                <w:rFonts w:cs="Calibri"/>
                <w:color w:val="000000"/>
              </w:rPr>
              <w:t>5</w:t>
            </w:r>
          </w:p>
        </w:tc>
      </w:tr>
      <w:tr w:rsidR="009B3BF0" w:rsidRPr="00C61187" w14:paraId="6F50A062" w14:textId="77777777" w:rsidTr="00D85A5F">
        <w:trPr>
          <w:cnfStyle w:val="000000010000" w:firstRow="0" w:lastRow="0" w:firstColumn="0" w:lastColumn="0" w:oddVBand="0" w:evenVBand="0" w:oddHBand="0" w:evenHBand="1" w:firstRowFirstColumn="0" w:firstRowLastColumn="0" w:lastRowFirstColumn="0" w:lastRowLastColumn="0"/>
          <w:trHeight w:val="284"/>
        </w:trPr>
        <w:tc>
          <w:tcPr>
            <w:tcW w:w="2787" w:type="dxa"/>
            <w:vAlign w:val="center"/>
          </w:tcPr>
          <w:p w14:paraId="1524DBCF" w14:textId="77777777" w:rsidR="009B3BF0" w:rsidRPr="0048469F" w:rsidRDefault="009B3BF0" w:rsidP="009B3BF0">
            <w:pPr>
              <w:pStyle w:val="TableTextEntries"/>
              <w:spacing w:before="0" w:after="0" w:line="240" w:lineRule="auto"/>
            </w:pPr>
            <w:r w:rsidRPr="0048469F">
              <w:lastRenderedPageBreak/>
              <w:t>INH947 - Basic Education Assistance for ARMM</w:t>
            </w:r>
          </w:p>
        </w:tc>
        <w:tc>
          <w:tcPr>
            <w:tcW w:w="1941" w:type="dxa"/>
            <w:vAlign w:val="center"/>
          </w:tcPr>
          <w:p w14:paraId="42115C6E" w14:textId="77777777" w:rsidR="009B3BF0" w:rsidRPr="0048469F" w:rsidRDefault="009B3BF0" w:rsidP="009B3BF0">
            <w:pPr>
              <w:pStyle w:val="TableTextEntries"/>
              <w:spacing w:before="0" w:after="0" w:line="240" w:lineRule="auto"/>
              <w:jc w:val="center"/>
            </w:pPr>
            <w:r>
              <w:t>AUD97,899,830.33</w:t>
            </w:r>
          </w:p>
          <w:p w14:paraId="2F13C5B3" w14:textId="77777777" w:rsidR="009B3BF0" w:rsidRPr="0048469F" w:rsidRDefault="009B3BF0" w:rsidP="009B3BF0">
            <w:pPr>
              <w:pStyle w:val="TableTextEntries"/>
              <w:spacing w:before="0" w:after="0" w:line="240" w:lineRule="auto"/>
              <w:jc w:val="center"/>
            </w:pPr>
            <w:r w:rsidRPr="0048469F">
              <w:t>1/09/09 - 30/06/17</w:t>
            </w:r>
          </w:p>
        </w:tc>
        <w:tc>
          <w:tcPr>
            <w:tcW w:w="1226" w:type="dxa"/>
            <w:vAlign w:val="center"/>
          </w:tcPr>
          <w:p w14:paraId="2494206C" w14:textId="77777777" w:rsidR="009B3BF0" w:rsidRPr="00CF04F7" w:rsidRDefault="009B3BF0" w:rsidP="009B3BF0">
            <w:pPr>
              <w:pStyle w:val="TableTextEntries"/>
              <w:spacing w:before="0" w:after="0" w:line="240" w:lineRule="auto"/>
              <w:jc w:val="center"/>
              <w:rPr>
                <w:sz w:val="16"/>
                <w:szCs w:val="16"/>
              </w:rPr>
            </w:pPr>
            <w:r w:rsidRPr="00CF04F7">
              <w:rPr>
                <w:sz w:val="16"/>
                <w:szCs w:val="16"/>
              </w:rPr>
              <w:t>2015-16</w:t>
            </w:r>
          </w:p>
        </w:tc>
        <w:tc>
          <w:tcPr>
            <w:tcW w:w="1232" w:type="dxa"/>
            <w:shd w:val="clear" w:color="auto" w:fill="92D050"/>
            <w:noWrap/>
            <w:vAlign w:val="center"/>
          </w:tcPr>
          <w:p w14:paraId="61AC9225" w14:textId="77777777" w:rsidR="009B3BF0" w:rsidRPr="0048469F" w:rsidRDefault="009B3BF0" w:rsidP="009B3BF0">
            <w:pPr>
              <w:jc w:val="center"/>
              <w:rPr>
                <w:rFonts w:cs="Calibri"/>
                <w:color w:val="000000"/>
                <w:szCs w:val="17"/>
              </w:rPr>
            </w:pPr>
            <w:r>
              <w:rPr>
                <w:rFonts w:cs="Calibri"/>
                <w:color w:val="000000"/>
                <w:szCs w:val="17"/>
              </w:rPr>
              <w:t>5</w:t>
            </w:r>
          </w:p>
        </w:tc>
        <w:tc>
          <w:tcPr>
            <w:tcW w:w="1223" w:type="dxa"/>
            <w:shd w:val="clear" w:color="auto" w:fill="FFFF00"/>
            <w:noWrap/>
            <w:vAlign w:val="center"/>
          </w:tcPr>
          <w:p w14:paraId="346F7726" w14:textId="77777777" w:rsidR="009B3BF0" w:rsidRPr="0048469F" w:rsidRDefault="009B3BF0" w:rsidP="009B3BF0">
            <w:pPr>
              <w:jc w:val="center"/>
              <w:rPr>
                <w:rFonts w:cs="Calibri"/>
                <w:color w:val="000000"/>
                <w:szCs w:val="17"/>
              </w:rPr>
            </w:pPr>
            <w:r>
              <w:rPr>
                <w:rFonts w:cs="Calibri"/>
                <w:color w:val="000000"/>
                <w:szCs w:val="17"/>
              </w:rPr>
              <w:t>4</w:t>
            </w:r>
          </w:p>
        </w:tc>
        <w:tc>
          <w:tcPr>
            <w:tcW w:w="1232" w:type="dxa"/>
            <w:shd w:val="clear" w:color="auto" w:fill="FFFF00"/>
            <w:noWrap/>
            <w:vAlign w:val="center"/>
          </w:tcPr>
          <w:p w14:paraId="333AC140" w14:textId="77777777" w:rsidR="009B3BF0" w:rsidRPr="0048469F" w:rsidRDefault="009B3BF0" w:rsidP="009B3BF0">
            <w:pPr>
              <w:jc w:val="center"/>
              <w:rPr>
                <w:rFonts w:cs="Calibri"/>
                <w:color w:val="000000"/>
                <w:szCs w:val="17"/>
              </w:rPr>
            </w:pPr>
            <w:r>
              <w:rPr>
                <w:rFonts w:cs="Calibri"/>
                <w:color w:val="000000"/>
                <w:szCs w:val="17"/>
              </w:rPr>
              <w:t>4</w:t>
            </w:r>
          </w:p>
        </w:tc>
        <w:tc>
          <w:tcPr>
            <w:tcW w:w="1223" w:type="dxa"/>
            <w:shd w:val="clear" w:color="auto" w:fill="92D050"/>
            <w:noWrap/>
            <w:vAlign w:val="center"/>
          </w:tcPr>
          <w:p w14:paraId="701482EC" w14:textId="77777777" w:rsidR="009B3BF0" w:rsidRPr="0048469F" w:rsidRDefault="009B3BF0" w:rsidP="009B3BF0">
            <w:pPr>
              <w:jc w:val="center"/>
              <w:rPr>
                <w:rFonts w:cs="Calibri"/>
                <w:color w:val="000000"/>
                <w:szCs w:val="17"/>
              </w:rPr>
            </w:pPr>
            <w:r>
              <w:rPr>
                <w:rFonts w:cs="Calibri"/>
                <w:color w:val="000000"/>
                <w:szCs w:val="17"/>
              </w:rPr>
              <w:t>5</w:t>
            </w:r>
          </w:p>
        </w:tc>
        <w:tc>
          <w:tcPr>
            <w:tcW w:w="1233" w:type="dxa"/>
            <w:shd w:val="clear" w:color="auto" w:fill="92D050"/>
            <w:noWrap/>
            <w:vAlign w:val="center"/>
          </w:tcPr>
          <w:p w14:paraId="5DEF8D4C" w14:textId="77777777" w:rsidR="009B3BF0" w:rsidRPr="0048469F" w:rsidRDefault="009B3BF0" w:rsidP="009B3BF0">
            <w:pPr>
              <w:jc w:val="center"/>
              <w:rPr>
                <w:rFonts w:cs="Calibri"/>
                <w:color w:val="000000"/>
                <w:szCs w:val="17"/>
              </w:rPr>
            </w:pPr>
            <w:r>
              <w:rPr>
                <w:rFonts w:cs="Calibri"/>
                <w:color w:val="000000"/>
                <w:szCs w:val="17"/>
              </w:rPr>
              <w:t>5</w:t>
            </w:r>
          </w:p>
        </w:tc>
        <w:tc>
          <w:tcPr>
            <w:tcW w:w="1224" w:type="dxa"/>
            <w:shd w:val="clear" w:color="auto" w:fill="FFFF00"/>
            <w:noWrap/>
            <w:vAlign w:val="center"/>
          </w:tcPr>
          <w:p w14:paraId="4A0C764C" w14:textId="77777777" w:rsidR="009B3BF0" w:rsidRPr="0048469F" w:rsidRDefault="009B3BF0" w:rsidP="009B3BF0">
            <w:pPr>
              <w:jc w:val="center"/>
              <w:rPr>
                <w:rFonts w:cs="Calibri"/>
                <w:color w:val="000000"/>
                <w:szCs w:val="17"/>
              </w:rPr>
            </w:pPr>
            <w:r>
              <w:rPr>
                <w:rFonts w:cs="Calibri"/>
                <w:color w:val="000000"/>
                <w:szCs w:val="17"/>
              </w:rPr>
              <w:t>4</w:t>
            </w:r>
          </w:p>
        </w:tc>
        <w:tc>
          <w:tcPr>
            <w:tcW w:w="1215" w:type="dxa"/>
            <w:shd w:val="clear" w:color="auto" w:fill="92D050"/>
            <w:vAlign w:val="center"/>
          </w:tcPr>
          <w:p w14:paraId="5B232BB5" w14:textId="77777777" w:rsidR="009B3BF0" w:rsidRPr="0048469F" w:rsidRDefault="009B3BF0" w:rsidP="009B3BF0">
            <w:pPr>
              <w:jc w:val="center"/>
              <w:rPr>
                <w:rFonts w:cs="Calibri"/>
                <w:color w:val="000000"/>
                <w:szCs w:val="17"/>
              </w:rPr>
            </w:pPr>
            <w:r>
              <w:rPr>
                <w:rFonts w:cs="Calibri"/>
                <w:color w:val="000000"/>
                <w:szCs w:val="17"/>
              </w:rPr>
              <w:t>6</w:t>
            </w:r>
          </w:p>
        </w:tc>
      </w:tr>
      <w:tr w:rsidR="009B3BF0" w:rsidRPr="00C61187" w14:paraId="3A9422F5" w14:textId="77777777" w:rsidTr="00D85A5F">
        <w:trPr>
          <w:cnfStyle w:val="000000010000" w:firstRow="0" w:lastRow="0" w:firstColumn="0" w:lastColumn="0" w:oddVBand="0" w:evenVBand="0" w:oddHBand="0" w:evenHBand="1" w:firstRowFirstColumn="0" w:firstRowLastColumn="0" w:lastRowFirstColumn="0" w:lastRowLastColumn="0"/>
          <w:trHeight w:val="284"/>
        </w:trPr>
        <w:tc>
          <w:tcPr>
            <w:tcW w:w="2787" w:type="dxa"/>
            <w:vAlign w:val="center"/>
          </w:tcPr>
          <w:p w14:paraId="0325C372" w14:textId="77777777" w:rsidR="009B3BF0" w:rsidRPr="0048469F" w:rsidRDefault="009B3BF0" w:rsidP="009B3BF0">
            <w:pPr>
              <w:pStyle w:val="TableTextEntries"/>
              <w:spacing w:before="0" w:after="0" w:line="240" w:lineRule="auto"/>
            </w:pPr>
          </w:p>
        </w:tc>
        <w:tc>
          <w:tcPr>
            <w:tcW w:w="1941" w:type="dxa"/>
            <w:vAlign w:val="center"/>
          </w:tcPr>
          <w:p w14:paraId="5AC798FF" w14:textId="77777777" w:rsidR="009B3BF0" w:rsidRPr="0048469F" w:rsidRDefault="009B3BF0" w:rsidP="009B3BF0">
            <w:pPr>
              <w:pStyle w:val="TableTextEntries"/>
              <w:spacing w:before="0" w:after="0" w:line="240" w:lineRule="auto"/>
              <w:jc w:val="center"/>
            </w:pPr>
          </w:p>
        </w:tc>
        <w:tc>
          <w:tcPr>
            <w:tcW w:w="1226" w:type="dxa"/>
            <w:vAlign w:val="center"/>
          </w:tcPr>
          <w:p w14:paraId="36454B67" w14:textId="77777777" w:rsidR="009B3BF0" w:rsidRPr="00CF04F7" w:rsidRDefault="009B3BF0" w:rsidP="009B3BF0">
            <w:pPr>
              <w:pStyle w:val="TableTextEntries"/>
              <w:spacing w:before="0" w:after="0" w:line="240" w:lineRule="auto"/>
              <w:jc w:val="center"/>
              <w:rPr>
                <w:sz w:val="16"/>
                <w:szCs w:val="16"/>
              </w:rPr>
            </w:pPr>
            <w:r w:rsidRPr="00CF04F7">
              <w:rPr>
                <w:sz w:val="16"/>
                <w:szCs w:val="16"/>
              </w:rPr>
              <w:t>2014-15</w:t>
            </w:r>
          </w:p>
        </w:tc>
        <w:tc>
          <w:tcPr>
            <w:tcW w:w="1232" w:type="dxa"/>
            <w:shd w:val="clear" w:color="auto" w:fill="92D050"/>
            <w:noWrap/>
            <w:vAlign w:val="center"/>
          </w:tcPr>
          <w:p w14:paraId="1B6A73F4" w14:textId="77777777" w:rsidR="009B3BF0" w:rsidRPr="0048469F" w:rsidRDefault="009B3BF0" w:rsidP="009B3BF0">
            <w:pPr>
              <w:jc w:val="center"/>
              <w:rPr>
                <w:rFonts w:cs="Calibri"/>
                <w:color w:val="000000"/>
                <w:szCs w:val="17"/>
              </w:rPr>
            </w:pPr>
            <w:r w:rsidRPr="0048469F">
              <w:rPr>
                <w:rFonts w:cs="Calibri"/>
                <w:color w:val="000000"/>
                <w:szCs w:val="17"/>
              </w:rPr>
              <w:t>6</w:t>
            </w:r>
          </w:p>
        </w:tc>
        <w:tc>
          <w:tcPr>
            <w:tcW w:w="1223" w:type="dxa"/>
            <w:shd w:val="clear" w:color="auto" w:fill="FFFF00"/>
            <w:noWrap/>
            <w:vAlign w:val="center"/>
          </w:tcPr>
          <w:p w14:paraId="5DEF20B2" w14:textId="77777777" w:rsidR="009B3BF0" w:rsidRPr="0048469F" w:rsidRDefault="009B3BF0" w:rsidP="009B3BF0">
            <w:pPr>
              <w:jc w:val="center"/>
              <w:rPr>
                <w:rFonts w:cs="Calibri"/>
                <w:color w:val="000000"/>
                <w:szCs w:val="17"/>
              </w:rPr>
            </w:pPr>
            <w:r w:rsidRPr="0048469F">
              <w:rPr>
                <w:rFonts w:cs="Calibri"/>
                <w:color w:val="000000"/>
                <w:szCs w:val="17"/>
              </w:rPr>
              <w:t>4</w:t>
            </w:r>
          </w:p>
        </w:tc>
        <w:tc>
          <w:tcPr>
            <w:tcW w:w="1232" w:type="dxa"/>
            <w:shd w:val="clear" w:color="auto" w:fill="FFFF00"/>
            <w:noWrap/>
            <w:vAlign w:val="center"/>
          </w:tcPr>
          <w:p w14:paraId="39C62A53" w14:textId="77777777" w:rsidR="009B3BF0" w:rsidRPr="0048469F" w:rsidRDefault="009B3BF0" w:rsidP="009B3BF0">
            <w:pPr>
              <w:jc w:val="center"/>
              <w:rPr>
                <w:rFonts w:cs="Calibri"/>
                <w:color w:val="000000"/>
                <w:szCs w:val="17"/>
              </w:rPr>
            </w:pPr>
            <w:r w:rsidRPr="0048469F">
              <w:rPr>
                <w:rFonts w:cs="Calibri"/>
                <w:color w:val="000000"/>
                <w:szCs w:val="17"/>
              </w:rPr>
              <w:t>4</w:t>
            </w:r>
          </w:p>
        </w:tc>
        <w:tc>
          <w:tcPr>
            <w:tcW w:w="1223" w:type="dxa"/>
            <w:shd w:val="clear" w:color="auto" w:fill="FFFF00"/>
            <w:noWrap/>
            <w:vAlign w:val="center"/>
          </w:tcPr>
          <w:p w14:paraId="02528DF2" w14:textId="77777777" w:rsidR="009B3BF0" w:rsidRPr="0048469F" w:rsidRDefault="009B3BF0" w:rsidP="009B3BF0">
            <w:pPr>
              <w:jc w:val="center"/>
              <w:rPr>
                <w:rFonts w:cs="Calibri"/>
                <w:color w:val="000000"/>
                <w:szCs w:val="17"/>
              </w:rPr>
            </w:pPr>
            <w:r w:rsidRPr="0048469F">
              <w:rPr>
                <w:rFonts w:cs="Calibri"/>
                <w:color w:val="000000"/>
                <w:szCs w:val="17"/>
              </w:rPr>
              <w:t>4</w:t>
            </w:r>
          </w:p>
        </w:tc>
        <w:tc>
          <w:tcPr>
            <w:tcW w:w="1233" w:type="dxa"/>
            <w:shd w:val="clear" w:color="auto" w:fill="FFFF00"/>
            <w:noWrap/>
            <w:vAlign w:val="center"/>
          </w:tcPr>
          <w:p w14:paraId="341C1D95" w14:textId="77777777" w:rsidR="009B3BF0" w:rsidRPr="0048469F" w:rsidRDefault="009B3BF0" w:rsidP="009B3BF0">
            <w:pPr>
              <w:jc w:val="center"/>
              <w:rPr>
                <w:rFonts w:cs="Calibri"/>
                <w:color w:val="000000"/>
                <w:szCs w:val="17"/>
              </w:rPr>
            </w:pPr>
            <w:r w:rsidRPr="0048469F">
              <w:rPr>
                <w:rFonts w:cs="Calibri"/>
                <w:color w:val="000000"/>
                <w:szCs w:val="17"/>
              </w:rPr>
              <w:t>4</w:t>
            </w:r>
          </w:p>
        </w:tc>
        <w:tc>
          <w:tcPr>
            <w:tcW w:w="1224" w:type="dxa"/>
            <w:shd w:val="clear" w:color="auto" w:fill="FFFF00"/>
            <w:noWrap/>
            <w:vAlign w:val="center"/>
          </w:tcPr>
          <w:p w14:paraId="35A7BE77" w14:textId="77777777" w:rsidR="009B3BF0" w:rsidRPr="0048469F" w:rsidRDefault="009B3BF0" w:rsidP="009B3BF0">
            <w:pPr>
              <w:jc w:val="center"/>
              <w:rPr>
                <w:rFonts w:cs="Calibri"/>
                <w:color w:val="000000"/>
                <w:szCs w:val="17"/>
              </w:rPr>
            </w:pPr>
            <w:r w:rsidRPr="0048469F">
              <w:rPr>
                <w:rFonts w:cs="Calibri"/>
                <w:color w:val="000000"/>
                <w:szCs w:val="17"/>
              </w:rPr>
              <w:t>4</w:t>
            </w:r>
          </w:p>
        </w:tc>
        <w:tc>
          <w:tcPr>
            <w:tcW w:w="1215" w:type="dxa"/>
            <w:shd w:val="clear" w:color="auto" w:fill="92D050"/>
            <w:vAlign w:val="center"/>
          </w:tcPr>
          <w:p w14:paraId="7F42A3D5" w14:textId="77777777" w:rsidR="009B3BF0" w:rsidRPr="0048469F" w:rsidRDefault="009B3BF0" w:rsidP="009B3BF0">
            <w:pPr>
              <w:pStyle w:val="TableTextEntries"/>
              <w:spacing w:before="0" w:after="0" w:line="240" w:lineRule="auto"/>
              <w:jc w:val="center"/>
            </w:pPr>
            <w:r w:rsidRPr="0048469F">
              <w:rPr>
                <w:rFonts w:cs="Calibri"/>
                <w:color w:val="000000"/>
              </w:rPr>
              <w:t>5</w:t>
            </w:r>
          </w:p>
        </w:tc>
      </w:tr>
      <w:tr w:rsidR="009B3BF0" w:rsidRPr="00C61187" w14:paraId="4E69BF13" w14:textId="77777777" w:rsidTr="00D85A5F">
        <w:trPr>
          <w:cnfStyle w:val="000000010000" w:firstRow="0" w:lastRow="0" w:firstColumn="0" w:lastColumn="0" w:oddVBand="0" w:evenVBand="0" w:oddHBand="0" w:evenHBand="1" w:firstRowFirstColumn="0" w:firstRowLastColumn="0" w:lastRowFirstColumn="0" w:lastRowLastColumn="0"/>
          <w:trHeight w:val="284"/>
        </w:trPr>
        <w:tc>
          <w:tcPr>
            <w:tcW w:w="2787" w:type="dxa"/>
            <w:vAlign w:val="center"/>
          </w:tcPr>
          <w:p w14:paraId="600DDF27" w14:textId="77777777" w:rsidR="009B3BF0" w:rsidRPr="0048469F" w:rsidRDefault="009B3BF0" w:rsidP="009B3BF0">
            <w:pPr>
              <w:pStyle w:val="TableTextEntries"/>
              <w:spacing w:before="0" w:after="0" w:line="240" w:lineRule="auto"/>
            </w:pPr>
            <w:r w:rsidRPr="0048469F">
              <w:t>INI632 - Australia-WB Philippines Development Trust Fund</w:t>
            </w:r>
          </w:p>
        </w:tc>
        <w:tc>
          <w:tcPr>
            <w:tcW w:w="1941" w:type="dxa"/>
            <w:vAlign w:val="center"/>
          </w:tcPr>
          <w:p w14:paraId="0F36C652" w14:textId="77777777" w:rsidR="009B3BF0" w:rsidRPr="0048469F" w:rsidRDefault="009B3BF0" w:rsidP="009B3BF0">
            <w:pPr>
              <w:pStyle w:val="TableTextEntries"/>
              <w:spacing w:before="0" w:after="0" w:line="240" w:lineRule="auto"/>
              <w:jc w:val="center"/>
            </w:pPr>
            <w:r>
              <w:t>AUD47,094,288.00</w:t>
            </w:r>
          </w:p>
          <w:p w14:paraId="4362E186" w14:textId="77777777" w:rsidR="009B3BF0" w:rsidRPr="0048469F" w:rsidRDefault="009B3BF0" w:rsidP="009B3BF0">
            <w:pPr>
              <w:pStyle w:val="TableTextEntries"/>
              <w:spacing w:before="0" w:after="0" w:line="240" w:lineRule="auto"/>
              <w:jc w:val="center"/>
            </w:pPr>
            <w:r w:rsidRPr="0048469F">
              <w:t>1/06/09 - 30/06/16</w:t>
            </w:r>
          </w:p>
        </w:tc>
        <w:tc>
          <w:tcPr>
            <w:tcW w:w="1226" w:type="dxa"/>
            <w:vAlign w:val="center"/>
          </w:tcPr>
          <w:p w14:paraId="4372B230" w14:textId="77777777" w:rsidR="009B3BF0" w:rsidRPr="00CF04F7" w:rsidRDefault="009B3BF0" w:rsidP="009B3BF0">
            <w:pPr>
              <w:pStyle w:val="TableTextEntries"/>
              <w:spacing w:before="0" w:after="0" w:line="240" w:lineRule="auto"/>
              <w:jc w:val="center"/>
              <w:rPr>
                <w:sz w:val="16"/>
                <w:szCs w:val="16"/>
              </w:rPr>
            </w:pPr>
            <w:r w:rsidRPr="00CF04F7">
              <w:rPr>
                <w:sz w:val="16"/>
                <w:szCs w:val="16"/>
              </w:rPr>
              <w:t>2015-16</w:t>
            </w:r>
          </w:p>
        </w:tc>
        <w:tc>
          <w:tcPr>
            <w:tcW w:w="1232" w:type="dxa"/>
            <w:shd w:val="clear" w:color="auto" w:fill="92D050"/>
            <w:noWrap/>
            <w:vAlign w:val="center"/>
          </w:tcPr>
          <w:p w14:paraId="222AB37B" w14:textId="77777777" w:rsidR="009B3BF0" w:rsidRPr="0048469F" w:rsidRDefault="009B3BF0" w:rsidP="009B3BF0">
            <w:pPr>
              <w:jc w:val="center"/>
              <w:rPr>
                <w:rFonts w:cs="Calibri"/>
                <w:color w:val="000000"/>
                <w:szCs w:val="17"/>
              </w:rPr>
            </w:pPr>
            <w:r>
              <w:rPr>
                <w:rFonts w:cs="Calibri"/>
                <w:color w:val="000000"/>
                <w:szCs w:val="17"/>
              </w:rPr>
              <w:t>5</w:t>
            </w:r>
          </w:p>
        </w:tc>
        <w:tc>
          <w:tcPr>
            <w:tcW w:w="1223" w:type="dxa"/>
            <w:shd w:val="clear" w:color="auto" w:fill="FFFF00"/>
            <w:noWrap/>
            <w:vAlign w:val="center"/>
          </w:tcPr>
          <w:p w14:paraId="5B343991" w14:textId="77777777" w:rsidR="009B3BF0" w:rsidRPr="0048469F" w:rsidRDefault="009B3BF0" w:rsidP="009B3BF0">
            <w:pPr>
              <w:jc w:val="center"/>
              <w:rPr>
                <w:rFonts w:cs="Calibri"/>
                <w:color w:val="000000"/>
                <w:szCs w:val="17"/>
              </w:rPr>
            </w:pPr>
            <w:r>
              <w:rPr>
                <w:rFonts w:cs="Calibri"/>
                <w:color w:val="000000"/>
                <w:szCs w:val="17"/>
              </w:rPr>
              <w:t>4</w:t>
            </w:r>
          </w:p>
        </w:tc>
        <w:tc>
          <w:tcPr>
            <w:tcW w:w="1232" w:type="dxa"/>
            <w:shd w:val="clear" w:color="auto" w:fill="FFFF00"/>
            <w:noWrap/>
            <w:vAlign w:val="center"/>
          </w:tcPr>
          <w:p w14:paraId="7D915F3E" w14:textId="77777777" w:rsidR="009B3BF0" w:rsidRPr="0048469F" w:rsidRDefault="009B3BF0" w:rsidP="009B3BF0">
            <w:pPr>
              <w:jc w:val="center"/>
              <w:rPr>
                <w:rFonts w:cs="Calibri"/>
                <w:color w:val="000000"/>
                <w:szCs w:val="17"/>
              </w:rPr>
            </w:pPr>
            <w:r>
              <w:rPr>
                <w:rFonts w:cs="Calibri"/>
                <w:color w:val="000000"/>
                <w:szCs w:val="17"/>
              </w:rPr>
              <w:t>4</w:t>
            </w:r>
          </w:p>
        </w:tc>
        <w:tc>
          <w:tcPr>
            <w:tcW w:w="1223" w:type="dxa"/>
            <w:shd w:val="clear" w:color="auto" w:fill="FFC000"/>
            <w:noWrap/>
            <w:vAlign w:val="center"/>
          </w:tcPr>
          <w:p w14:paraId="4CFFB91F" w14:textId="77777777" w:rsidR="009B3BF0" w:rsidRPr="0048469F" w:rsidRDefault="009B3BF0" w:rsidP="009B3BF0">
            <w:pPr>
              <w:jc w:val="center"/>
              <w:rPr>
                <w:rFonts w:cs="Calibri"/>
                <w:color w:val="000000"/>
                <w:szCs w:val="17"/>
              </w:rPr>
            </w:pPr>
            <w:r>
              <w:rPr>
                <w:rFonts w:cs="Calibri"/>
                <w:color w:val="000000"/>
                <w:szCs w:val="17"/>
              </w:rPr>
              <w:t>3</w:t>
            </w:r>
          </w:p>
        </w:tc>
        <w:tc>
          <w:tcPr>
            <w:tcW w:w="1233" w:type="dxa"/>
            <w:shd w:val="clear" w:color="auto" w:fill="FFFF00"/>
            <w:noWrap/>
            <w:vAlign w:val="center"/>
          </w:tcPr>
          <w:p w14:paraId="096DADCF" w14:textId="77777777" w:rsidR="009B3BF0" w:rsidRPr="0048469F" w:rsidRDefault="009B3BF0" w:rsidP="009B3BF0">
            <w:pPr>
              <w:jc w:val="center"/>
              <w:rPr>
                <w:rFonts w:cs="Calibri"/>
                <w:color w:val="000000"/>
                <w:szCs w:val="17"/>
              </w:rPr>
            </w:pPr>
            <w:r>
              <w:rPr>
                <w:rFonts w:cs="Calibri"/>
                <w:color w:val="000000"/>
                <w:szCs w:val="17"/>
              </w:rPr>
              <w:t>4</w:t>
            </w:r>
          </w:p>
        </w:tc>
        <w:tc>
          <w:tcPr>
            <w:tcW w:w="1224" w:type="dxa"/>
            <w:shd w:val="clear" w:color="auto" w:fill="FFFF00"/>
            <w:noWrap/>
            <w:vAlign w:val="center"/>
          </w:tcPr>
          <w:p w14:paraId="4FB1A5FB" w14:textId="77777777" w:rsidR="009B3BF0" w:rsidRPr="0048469F" w:rsidRDefault="009B3BF0" w:rsidP="009B3BF0">
            <w:pPr>
              <w:jc w:val="center"/>
              <w:rPr>
                <w:rFonts w:cs="Calibri"/>
                <w:color w:val="000000"/>
                <w:szCs w:val="17"/>
              </w:rPr>
            </w:pPr>
            <w:r>
              <w:rPr>
                <w:rFonts w:cs="Calibri"/>
                <w:color w:val="000000"/>
                <w:szCs w:val="17"/>
              </w:rPr>
              <w:t>4</w:t>
            </w:r>
          </w:p>
        </w:tc>
        <w:tc>
          <w:tcPr>
            <w:tcW w:w="1215" w:type="dxa"/>
            <w:shd w:val="clear" w:color="auto" w:fill="FFFF00"/>
            <w:vAlign w:val="center"/>
          </w:tcPr>
          <w:p w14:paraId="6D396878" w14:textId="77777777" w:rsidR="009B3BF0" w:rsidRPr="0048469F" w:rsidRDefault="009B3BF0" w:rsidP="009B3BF0">
            <w:pPr>
              <w:jc w:val="center"/>
              <w:rPr>
                <w:rFonts w:cs="Calibri"/>
                <w:color w:val="000000"/>
                <w:szCs w:val="17"/>
              </w:rPr>
            </w:pPr>
            <w:r>
              <w:rPr>
                <w:rFonts w:cs="Calibri"/>
                <w:color w:val="000000"/>
                <w:szCs w:val="17"/>
              </w:rPr>
              <w:t>4</w:t>
            </w:r>
          </w:p>
        </w:tc>
      </w:tr>
      <w:tr w:rsidR="009B3BF0" w:rsidRPr="00C61187" w14:paraId="2360C0D9" w14:textId="77777777" w:rsidTr="00D85A5F">
        <w:trPr>
          <w:cnfStyle w:val="000000010000" w:firstRow="0" w:lastRow="0" w:firstColumn="0" w:lastColumn="0" w:oddVBand="0" w:evenVBand="0" w:oddHBand="0" w:evenHBand="1" w:firstRowFirstColumn="0" w:firstRowLastColumn="0" w:lastRowFirstColumn="0" w:lastRowLastColumn="0"/>
          <w:trHeight w:val="284"/>
        </w:trPr>
        <w:tc>
          <w:tcPr>
            <w:tcW w:w="2787" w:type="dxa"/>
            <w:vAlign w:val="center"/>
          </w:tcPr>
          <w:p w14:paraId="49D422EE" w14:textId="77777777" w:rsidR="009B3BF0" w:rsidRPr="0048469F" w:rsidRDefault="009B3BF0" w:rsidP="009B3BF0">
            <w:pPr>
              <w:pStyle w:val="TableTextEntries"/>
              <w:spacing w:before="0" w:after="0" w:line="240" w:lineRule="auto"/>
            </w:pPr>
          </w:p>
        </w:tc>
        <w:tc>
          <w:tcPr>
            <w:tcW w:w="1941" w:type="dxa"/>
            <w:vAlign w:val="center"/>
          </w:tcPr>
          <w:p w14:paraId="6A4CD4EF" w14:textId="77777777" w:rsidR="009B3BF0" w:rsidRPr="0048469F" w:rsidRDefault="009B3BF0" w:rsidP="009B3BF0">
            <w:pPr>
              <w:pStyle w:val="TableTextEntries"/>
              <w:spacing w:before="0" w:after="0" w:line="240" w:lineRule="auto"/>
              <w:jc w:val="center"/>
            </w:pPr>
          </w:p>
        </w:tc>
        <w:tc>
          <w:tcPr>
            <w:tcW w:w="1226" w:type="dxa"/>
            <w:vAlign w:val="center"/>
          </w:tcPr>
          <w:p w14:paraId="2091B1D0" w14:textId="77777777" w:rsidR="009B3BF0" w:rsidRPr="00CF04F7" w:rsidRDefault="009B3BF0" w:rsidP="009B3BF0">
            <w:pPr>
              <w:pStyle w:val="TableTextEntries"/>
              <w:spacing w:before="0" w:after="0" w:line="240" w:lineRule="auto"/>
              <w:jc w:val="center"/>
              <w:rPr>
                <w:sz w:val="16"/>
                <w:szCs w:val="16"/>
              </w:rPr>
            </w:pPr>
            <w:r w:rsidRPr="00CF04F7">
              <w:rPr>
                <w:sz w:val="16"/>
                <w:szCs w:val="16"/>
              </w:rPr>
              <w:t>2014-15</w:t>
            </w:r>
          </w:p>
        </w:tc>
        <w:tc>
          <w:tcPr>
            <w:tcW w:w="1232" w:type="dxa"/>
            <w:shd w:val="clear" w:color="auto" w:fill="FFFF00"/>
            <w:noWrap/>
            <w:vAlign w:val="center"/>
          </w:tcPr>
          <w:p w14:paraId="105F3C00" w14:textId="77777777" w:rsidR="009B3BF0" w:rsidRPr="0048469F" w:rsidRDefault="009B3BF0" w:rsidP="009B3BF0">
            <w:pPr>
              <w:jc w:val="center"/>
              <w:rPr>
                <w:rFonts w:cs="Calibri"/>
                <w:color w:val="000000"/>
                <w:szCs w:val="17"/>
              </w:rPr>
            </w:pPr>
            <w:r w:rsidRPr="0048469F">
              <w:rPr>
                <w:rFonts w:cs="Calibri"/>
                <w:color w:val="000000"/>
                <w:szCs w:val="17"/>
              </w:rPr>
              <w:t>4</w:t>
            </w:r>
          </w:p>
        </w:tc>
        <w:tc>
          <w:tcPr>
            <w:tcW w:w="1223" w:type="dxa"/>
            <w:shd w:val="clear" w:color="auto" w:fill="FFFF00"/>
            <w:noWrap/>
            <w:vAlign w:val="center"/>
          </w:tcPr>
          <w:p w14:paraId="308D91C2" w14:textId="77777777" w:rsidR="009B3BF0" w:rsidRPr="0048469F" w:rsidRDefault="009B3BF0" w:rsidP="009B3BF0">
            <w:pPr>
              <w:jc w:val="center"/>
              <w:rPr>
                <w:rFonts w:cs="Calibri"/>
                <w:color w:val="000000"/>
                <w:szCs w:val="17"/>
              </w:rPr>
            </w:pPr>
            <w:r w:rsidRPr="0048469F">
              <w:rPr>
                <w:rFonts w:cs="Calibri"/>
                <w:color w:val="000000"/>
                <w:szCs w:val="17"/>
              </w:rPr>
              <w:t>4</w:t>
            </w:r>
          </w:p>
        </w:tc>
        <w:tc>
          <w:tcPr>
            <w:tcW w:w="1232" w:type="dxa"/>
            <w:shd w:val="clear" w:color="auto" w:fill="FFFF00"/>
            <w:noWrap/>
            <w:vAlign w:val="center"/>
          </w:tcPr>
          <w:p w14:paraId="421D9D70" w14:textId="77777777" w:rsidR="009B3BF0" w:rsidRPr="0048469F" w:rsidRDefault="009B3BF0" w:rsidP="009B3BF0">
            <w:pPr>
              <w:jc w:val="center"/>
              <w:rPr>
                <w:rFonts w:cs="Calibri"/>
                <w:color w:val="000000"/>
                <w:szCs w:val="17"/>
              </w:rPr>
            </w:pPr>
            <w:r w:rsidRPr="0048469F">
              <w:rPr>
                <w:rFonts w:cs="Calibri"/>
                <w:color w:val="000000"/>
                <w:szCs w:val="17"/>
              </w:rPr>
              <w:t>4</w:t>
            </w:r>
          </w:p>
        </w:tc>
        <w:tc>
          <w:tcPr>
            <w:tcW w:w="1223" w:type="dxa"/>
            <w:shd w:val="clear" w:color="auto" w:fill="FFC000"/>
            <w:noWrap/>
            <w:vAlign w:val="center"/>
          </w:tcPr>
          <w:p w14:paraId="052DA2FD" w14:textId="77777777" w:rsidR="009B3BF0" w:rsidRPr="0048469F" w:rsidRDefault="009B3BF0" w:rsidP="009B3BF0">
            <w:pPr>
              <w:jc w:val="center"/>
              <w:rPr>
                <w:rFonts w:cs="Calibri"/>
                <w:color w:val="000000"/>
                <w:szCs w:val="17"/>
              </w:rPr>
            </w:pPr>
            <w:r w:rsidRPr="0048469F">
              <w:rPr>
                <w:rFonts w:cs="Calibri"/>
                <w:color w:val="000000"/>
                <w:szCs w:val="17"/>
              </w:rPr>
              <w:t>3</w:t>
            </w:r>
          </w:p>
        </w:tc>
        <w:tc>
          <w:tcPr>
            <w:tcW w:w="1233" w:type="dxa"/>
            <w:shd w:val="clear" w:color="auto" w:fill="FFFF00"/>
            <w:noWrap/>
            <w:vAlign w:val="center"/>
          </w:tcPr>
          <w:p w14:paraId="42D27A75" w14:textId="77777777" w:rsidR="009B3BF0" w:rsidRPr="0048469F" w:rsidRDefault="009B3BF0" w:rsidP="009B3BF0">
            <w:pPr>
              <w:jc w:val="center"/>
              <w:rPr>
                <w:rFonts w:cs="Calibri"/>
                <w:color w:val="000000"/>
                <w:szCs w:val="17"/>
              </w:rPr>
            </w:pPr>
            <w:r w:rsidRPr="0048469F">
              <w:rPr>
                <w:rFonts w:cs="Calibri"/>
                <w:color w:val="000000"/>
                <w:szCs w:val="17"/>
              </w:rPr>
              <w:t>4</w:t>
            </w:r>
          </w:p>
        </w:tc>
        <w:tc>
          <w:tcPr>
            <w:tcW w:w="1224" w:type="dxa"/>
            <w:shd w:val="clear" w:color="auto" w:fill="FFC000"/>
            <w:noWrap/>
            <w:vAlign w:val="center"/>
          </w:tcPr>
          <w:p w14:paraId="1FB0BD56" w14:textId="77777777" w:rsidR="009B3BF0" w:rsidRPr="0048469F" w:rsidRDefault="009B3BF0" w:rsidP="009B3BF0">
            <w:pPr>
              <w:jc w:val="center"/>
              <w:rPr>
                <w:rFonts w:cs="Calibri"/>
                <w:color w:val="000000"/>
                <w:szCs w:val="17"/>
              </w:rPr>
            </w:pPr>
            <w:r w:rsidRPr="0048469F">
              <w:rPr>
                <w:rFonts w:cs="Calibri"/>
                <w:color w:val="000000"/>
                <w:szCs w:val="17"/>
              </w:rPr>
              <w:t>3</w:t>
            </w:r>
          </w:p>
        </w:tc>
        <w:tc>
          <w:tcPr>
            <w:tcW w:w="1215" w:type="dxa"/>
            <w:shd w:val="clear" w:color="auto" w:fill="FFFF00"/>
            <w:vAlign w:val="center"/>
          </w:tcPr>
          <w:p w14:paraId="5A5C561F" w14:textId="77777777" w:rsidR="009B3BF0" w:rsidRPr="0048469F" w:rsidRDefault="009B3BF0" w:rsidP="009B3BF0">
            <w:pPr>
              <w:pStyle w:val="TableTextEntries"/>
              <w:spacing w:before="0" w:after="0" w:line="240" w:lineRule="auto"/>
              <w:jc w:val="center"/>
            </w:pPr>
            <w:r w:rsidRPr="0048469F">
              <w:rPr>
                <w:rFonts w:cs="Calibri"/>
                <w:color w:val="000000"/>
              </w:rPr>
              <w:t>4</w:t>
            </w:r>
          </w:p>
        </w:tc>
      </w:tr>
      <w:tr w:rsidR="009B3BF0" w:rsidRPr="00C61187" w14:paraId="173A8B29" w14:textId="77777777" w:rsidTr="00D85A5F">
        <w:trPr>
          <w:cnfStyle w:val="000000010000" w:firstRow="0" w:lastRow="0" w:firstColumn="0" w:lastColumn="0" w:oddVBand="0" w:evenVBand="0" w:oddHBand="0" w:evenHBand="1" w:firstRowFirstColumn="0" w:firstRowLastColumn="0" w:lastRowFirstColumn="0" w:lastRowLastColumn="0"/>
          <w:trHeight w:val="284"/>
        </w:trPr>
        <w:tc>
          <w:tcPr>
            <w:tcW w:w="2787" w:type="dxa"/>
            <w:vAlign w:val="center"/>
          </w:tcPr>
          <w:p w14:paraId="51D319A6" w14:textId="77777777" w:rsidR="009B3BF0" w:rsidRPr="00061443" w:rsidRDefault="009B3BF0" w:rsidP="009B3BF0">
            <w:pPr>
              <w:pStyle w:val="TableTextEntries"/>
              <w:spacing w:before="0" w:after="0" w:line="240" w:lineRule="auto"/>
              <w:rPr>
                <w:highlight w:val="yellow"/>
              </w:rPr>
            </w:pPr>
            <w:r w:rsidRPr="00061443">
              <w:t>INJ839 - The Asia Foundation Partnership Philippines</w:t>
            </w:r>
          </w:p>
        </w:tc>
        <w:tc>
          <w:tcPr>
            <w:tcW w:w="1941" w:type="dxa"/>
            <w:vAlign w:val="center"/>
          </w:tcPr>
          <w:p w14:paraId="2A8BE6D3" w14:textId="77777777" w:rsidR="009B3BF0" w:rsidRPr="0048469F" w:rsidRDefault="009B3BF0" w:rsidP="009B3BF0">
            <w:pPr>
              <w:pStyle w:val="TableTextEntries"/>
              <w:spacing w:before="0" w:after="0" w:line="240" w:lineRule="auto"/>
              <w:jc w:val="center"/>
            </w:pPr>
            <w:r>
              <w:t>AUD33,920,000.92</w:t>
            </w:r>
          </w:p>
          <w:p w14:paraId="5422E73F" w14:textId="77777777" w:rsidR="009B3BF0" w:rsidRPr="0048469F" w:rsidRDefault="009B3BF0" w:rsidP="009B3BF0">
            <w:pPr>
              <w:pStyle w:val="TableTextEntries"/>
              <w:spacing w:before="0" w:after="0" w:line="240" w:lineRule="auto"/>
              <w:jc w:val="center"/>
            </w:pPr>
            <w:r w:rsidRPr="0048469F">
              <w:t>1/07/11 - 30/06/17</w:t>
            </w:r>
          </w:p>
        </w:tc>
        <w:tc>
          <w:tcPr>
            <w:tcW w:w="1226" w:type="dxa"/>
            <w:vAlign w:val="center"/>
          </w:tcPr>
          <w:p w14:paraId="5A0E375F" w14:textId="77777777" w:rsidR="009B3BF0" w:rsidRPr="00CF04F7" w:rsidRDefault="009B3BF0" w:rsidP="009B3BF0">
            <w:pPr>
              <w:pStyle w:val="TableTextEntries"/>
              <w:spacing w:before="0" w:after="0" w:line="240" w:lineRule="auto"/>
              <w:jc w:val="center"/>
              <w:rPr>
                <w:sz w:val="16"/>
                <w:szCs w:val="16"/>
              </w:rPr>
            </w:pPr>
            <w:r w:rsidRPr="00CF04F7">
              <w:rPr>
                <w:sz w:val="16"/>
                <w:szCs w:val="16"/>
              </w:rPr>
              <w:t>2015-16</w:t>
            </w:r>
          </w:p>
        </w:tc>
        <w:tc>
          <w:tcPr>
            <w:tcW w:w="1232" w:type="dxa"/>
            <w:shd w:val="clear" w:color="auto" w:fill="92D050"/>
            <w:noWrap/>
            <w:vAlign w:val="center"/>
          </w:tcPr>
          <w:p w14:paraId="6E6F2F65" w14:textId="77777777" w:rsidR="009B3BF0" w:rsidRPr="0048469F" w:rsidRDefault="009B3BF0" w:rsidP="009B3BF0">
            <w:pPr>
              <w:jc w:val="center"/>
              <w:rPr>
                <w:rFonts w:cs="Calibri"/>
                <w:color w:val="000000"/>
                <w:szCs w:val="17"/>
              </w:rPr>
            </w:pPr>
            <w:r>
              <w:rPr>
                <w:rFonts w:cs="Calibri"/>
                <w:color w:val="000000"/>
                <w:szCs w:val="17"/>
              </w:rPr>
              <w:t>5</w:t>
            </w:r>
          </w:p>
        </w:tc>
        <w:tc>
          <w:tcPr>
            <w:tcW w:w="1223" w:type="dxa"/>
            <w:shd w:val="clear" w:color="auto" w:fill="92D050"/>
            <w:noWrap/>
            <w:vAlign w:val="center"/>
          </w:tcPr>
          <w:p w14:paraId="3A7A2782" w14:textId="77777777" w:rsidR="009B3BF0" w:rsidRPr="0048469F" w:rsidRDefault="009B3BF0" w:rsidP="009B3BF0">
            <w:pPr>
              <w:jc w:val="center"/>
              <w:rPr>
                <w:rFonts w:cs="Calibri"/>
                <w:color w:val="000000"/>
                <w:szCs w:val="17"/>
              </w:rPr>
            </w:pPr>
            <w:r>
              <w:rPr>
                <w:rFonts w:cs="Calibri"/>
                <w:color w:val="000000"/>
                <w:szCs w:val="17"/>
              </w:rPr>
              <w:t>5</w:t>
            </w:r>
          </w:p>
        </w:tc>
        <w:tc>
          <w:tcPr>
            <w:tcW w:w="1232" w:type="dxa"/>
            <w:shd w:val="clear" w:color="auto" w:fill="FFFF00"/>
            <w:noWrap/>
            <w:vAlign w:val="center"/>
          </w:tcPr>
          <w:p w14:paraId="7B4A7CC4" w14:textId="77777777" w:rsidR="009B3BF0" w:rsidRPr="0048469F" w:rsidRDefault="009B3BF0" w:rsidP="009B3BF0">
            <w:pPr>
              <w:jc w:val="center"/>
              <w:rPr>
                <w:rFonts w:cs="Calibri"/>
                <w:color w:val="000000"/>
                <w:szCs w:val="17"/>
              </w:rPr>
            </w:pPr>
            <w:r>
              <w:rPr>
                <w:rFonts w:cs="Calibri"/>
                <w:color w:val="000000"/>
                <w:szCs w:val="17"/>
              </w:rPr>
              <w:t>4</w:t>
            </w:r>
          </w:p>
        </w:tc>
        <w:tc>
          <w:tcPr>
            <w:tcW w:w="1223" w:type="dxa"/>
            <w:shd w:val="clear" w:color="auto" w:fill="FFFF00"/>
            <w:noWrap/>
            <w:vAlign w:val="center"/>
          </w:tcPr>
          <w:p w14:paraId="73A16389" w14:textId="77777777" w:rsidR="009B3BF0" w:rsidRPr="0048469F" w:rsidRDefault="009B3BF0" w:rsidP="009B3BF0">
            <w:pPr>
              <w:jc w:val="center"/>
              <w:rPr>
                <w:rFonts w:cs="Calibri"/>
                <w:color w:val="000000"/>
                <w:szCs w:val="17"/>
              </w:rPr>
            </w:pPr>
            <w:r>
              <w:rPr>
                <w:rFonts w:cs="Calibri"/>
                <w:color w:val="000000"/>
                <w:szCs w:val="17"/>
              </w:rPr>
              <w:t>4</w:t>
            </w:r>
          </w:p>
        </w:tc>
        <w:tc>
          <w:tcPr>
            <w:tcW w:w="1233" w:type="dxa"/>
            <w:shd w:val="clear" w:color="auto" w:fill="92D050"/>
            <w:noWrap/>
            <w:vAlign w:val="center"/>
          </w:tcPr>
          <w:p w14:paraId="1174742F" w14:textId="77777777" w:rsidR="009B3BF0" w:rsidRPr="0048469F" w:rsidRDefault="009B3BF0" w:rsidP="009B3BF0">
            <w:pPr>
              <w:jc w:val="center"/>
              <w:rPr>
                <w:rFonts w:cs="Calibri"/>
                <w:color w:val="000000"/>
                <w:szCs w:val="17"/>
              </w:rPr>
            </w:pPr>
            <w:r>
              <w:rPr>
                <w:rFonts w:cs="Calibri"/>
                <w:color w:val="000000"/>
                <w:szCs w:val="17"/>
              </w:rPr>
              <w:t>5</w:t>
            </w:r>
          </w:p>
        </w:tc>
        <w:tc>
          <w:tcPr>
            <w:tcW w:w="1224" w:type="dxa"/>
            <w:shd w:val="clear" w:color="auto" w:fill="FFFF00"/>
            <w:noWrap/>
            <w:vAlign w:val="center"/>
          </w:tcPr>
          <w:p w14:paraId="3B99FAD4" w14:textId="77777777" w:rsidR="009B3BF0" w:rsidRPr="0048469F" w:rsidRDefault="009B3BF0" w:rsidP="009B3BF0">
            <w:pPr>
              <w:jc w:val="center"/>
              <w:rPr>
                <w:rFonts w:cs="Calibri"/>
                <w:color w:val="000000"/>
                <w:szCs w:val="17"/>
              </w:rPr>
            </w:pPr>
            <w:r>
              <w:rPr>
                <w:rFonts w:cs="Calibri"/>
                <w:color w:val="000000"/>
                <w:szCs w:val="17"/>
              </w:rPr>
              <w:t>4</w:t>
            </w:r>
          </w:p>
        </w:tc>
        <w:tc>
          <w:tcPr>
            <w:tcW w:w="1215" w:type="dxa"/>
            <w:shd w:val="clear" w:color="auto" w:fill="FFFF00"/>
            <w:vAlign w:val="center"/>
          </w:tcPr>
          <w:p w14:paraId="1D3862FF" w14:textId="77777777" w:rsidR="009B3BF0" w:rsidRPr="0048469F" w:rsidRDefault="009B3BF0" w:rsidP="009B3BF0">
            <w:pPr>
              <w:jc w:val="center"/>
              <w:rPr>
                <w:rFonts w:cs="Calibri"/>
                <w:color w:val="000000"/>
                <w:szCs w:val="17"/>
              </w:rPr>
            </w:pPr>
            <w:r>
              <w:rPr>
                <w:rFonts w:cs="Calibri"/>
                <w:color w:val="000000"/>
                <w:szCs w:val="17"/>
              </w:rPr>
              <w:t>5</w:t>
            </w:r>
          </w:p>
        </w:tc>
      </w:tr>
      <w:tr w:rsidR="009B3BF0" w:rsidRPr="00C61187" w14:paraId="0FD52706" w14:textId="77777777" w:rsidTr="00D85A5F">
        <w:trPr>
          <w:cnfStyle w:val="000000010000" w:firstRow="0" w:lastRow="0" w:firstColumn="0" w:lastColumn="0" w:oddVBand="0" w:evenVBand="0" w:oddHBand="0" w:evenHBand="1" w:firstRowFirstColumn="0" w:firstRowLastColumn="0" w:lastRowFirstColumn="0" w:lastRowLastColumn="0"/>
          <w:trHeight w:val="284"/>
        </w:trPr>
        <w:tc>
          <w:tcPr>
            <w:tcW w:w="2787" w:type="dxa"/>
            <w:vAlign w:val="center"/>
          </w:tcPr>
          <w:p w14:paraId="3BF9520D" w14:textId="77777777" w:rsidR="009B3BF0" w:rsidRPr="0048469F" w:rsidRDefault="009B3BF0" w:rsidP="009B3BF0">
            <w:pPr>
              <w:pStyle w:val="TableTextEntries"/>
              <w:spacing w:before="0" w:after="0" w:line="240" w:lineRule="auto"/>
            </w:pPr>
          </w:p>
        </w:tc>
        <w:tc>
          <w:tcPr>
            <w:tcW w:w="1941" w:type="dxa"/>
            <w:vAlign w:val="center"/>
          </w:tcPr>
          <w:p w14:paraId="66CD925D" w14:textId="77777777" w:rsidR="009B3BF0" w:rsidRPr="0048469F" w:rsidRDefault="009B3BF0" w:rsidP="009B3BF0">
            <w:pPr>
              <w:pStyle w:val="TableTextEntries"/>
              <w:spacing w:before="0" w:after="0" w:line="240" w:lineRule="auto"/>
              <w:jc w:val="center"/>
            </w:pPr>
          </w:p>
        </w:tc>
        <w:tc>
          <w:tcPr>
            <w:tcW w:w="1226" w:type="dxa"/>
            <w:vAlign w:val="center"/>
          </w:tcPr>
          <w:p w14:paraId="7774EB39" w14:textId="77777777" w:rsidR="009B3BF0" w:rsidRPr="00CF04F7" w:rsidRDefault="009B3BF0" w:rsidP="009B3BF0">
            <w:pPr>
              <w:pStyle w:val="TableTextEntries"/>
              <w:spacing w:before="0" w:after="0" w:line="240" w:lineRule="auto"/>
              <w:jc w:val="center"/>
              <w:rPr>
                <w:sz w:val="16"/>
                <w:szCs w:val="16"/>
              </w:rPr>
            </w:pPr>
            <w:r w:rsidRPr="00CF04F7">
              <w:rPr>
                <w:sz w:val="16"/>
                <w:szCs w:val="16"/>
              </w:rPr>
              <w:t>2014-15</w:t>
            </w:r>
          </w:p>
        </w:tc>
        <w:tc>
          <w:tcPr>
            <w:tcW w:w="1232" w:type="dxa"/>
            <w:shd w:val="clear" w:color="auto" w:fill="92D050"/>
            <w:noWrap/>
            <w:vAlign w:val="center"/>
          </w:tcPr>
          <w:p w14:paraId="5B70EA0F" w14:textId="77777777" w:rsidR="009B3BF0" w:rsidRPr="0048469F" w:rsidRDefault="009B3BF0" w:rsidP="009B3BF0">
            <w:pPr>
              <w:jc w:val="center"/>
              <w:rPr>
                <w:rFonts w:cs="Calibri"/>
                <w:color w:val="000000"/>
                <w:szCs w:val="17"/>
              </w:rPr>
            </w:pPr>
            <w:r>
              <w:rPr>
                <w:rFonts w:cs="Calibri"/>
                <w:color w:val="000000"/>
                <w:szCs w:val="17"/>
              </w:rPr>
              <w:t>6</w:t>
            </w:r>
          </w:p>
        </w:tc>
        <w:tc>
          <w:tcPr>
            <w:tcW w:w="1223" w:type="dxa"/>
            <w:shd w:val="clear" w:color="auto" w:fill="FFFF00"/>
            <w:noWrap/>
            <w:vAlign w:val="center"/>
          </w:tcPr>
          <w:p w14:paraId="15D02123" w14:textId="77777777" w:rsidR="009B3BF0" w:rsidRPr="0048469F" w:rsidRDefault="009B3BF0" w:rsidP="009B3BF0">
            <w:pPr>
              <w:jc w:val="center"/>
              <w:rPr>
                <w:rFonts w:cs="Calibri"/>
                <w:color w:val="000000"/>
                <w:szCs w:val="17"/>
              </w:rPr>
            </w:pPr>
            <w:r>
              <w:rPr>
                <w:rFonts w:cs="Calibri"/>
                <w:color w:val="000000"/>
                <w:szCs w:val="17"/>
              </w:rPr>
              <w:t>4</w:t>
            </w:r>
          </w:p>
        </w:tc>
        <w:tc>
          <w:tcPr>
            <w:tcW w:w="1232" w:type="dxa"/>
            <w:shd w:val="clear" w:color="auto" w:fill="FFFF00"/>
            <w:noWrap/>
            <w:vAlign w:val="center"/>
          </w:tcPr>
          <w:p w14:paraId="6C93ED77" w14:textId="77777777" w:rsidR="009B3BF0" w:rsidRPr="0048469F" w:rsidRDefault="009B3BF0" w:rsidP="009B3BF0">
            <w:pPr>
              <w:jc w:val="center"/>
              <w:rPr>
                <w:rFonts w:cs="Calibri"/>
                <w:color w:val="000000"/>
                <w:szCs w:val="17"/>
              </w:rPr>
            </w:pPr>
            <w:r w:rsidRPr="0048469F">
              <w:rPr>
                <w:rFonts w:cs="Calibri"/>
                <w:color w:val="000000"/>
                <w:szCs w:val="17"/>
              </w:rPr>
              <w:t>4</w:t>
            </w:r>
          </w:p>
        </w:tc>
        <w:tc>
          <w:tcPr>
            <w:tcW w:w="1223" w:type="dxa"/>
            <w:shd w:val="clear" w:color="auto" w:fill="FFFF00"/>
            <w:noWrap/>
            <w:vAlign w:val="center"/>
          </w:tcPr>
          <w:p w14:paraId="0209DF74" w14:textId="77777777" w:rsidR="009B3BF0" w:rsidRPr="0048469F" w:rsidRDefault="009B3BF0" w:rsidP="009B3BF0">
            <w:pPr>
              <w:jc w:val="center"/>
              <w:rPr>
                <w:rFonts w:cs="Calibri"/>
                <w:color w:val="000000"/>
                <w:szCs w:val="17"/>
              </w:rPr>
            </w:pPr>
            <w:r w:rsidRPr="0048469F">
              <w:rPr>
                <w:rFonts w:cs="Calibri"/>
                <w:color w:val="000000"/>
                <w:szCs w:val="17"/>
              </w:rPr>
              <w:t>4</w:t>
            </w:r>
          </w:p>
        </w:tc>
        <w:tc>
          <w:tcPr>
            <w:tcW w:w="1233" w:type="dxa"/>
            <w:shd w:val="clear" w:color="auto" w:fill="92D050"/>
            <w:noWrap/>
            <w:vAlign w:val="center"/>
          </w:tcPr>
          <w:p w14:paraId="4FCE03EF" w14:textId="77777777" w:rsidR="009B3BF0" w:rsidRPr="0048469F" w:rsidRDefault="009B3BF0" w:rsidP="009B3BF0">
            <w:pPr>
              <w:jc w:val="center"/>
              <w:rPr>
                <w:rFonts w:cs="Calibri"/>
                <w:color w:val="000000"/>
                <w:szCs w:val="17"/>
              </w:rPr>
            </w:pPr>
            <w:r w:rsidRPr="0048469F">
              <w:rPr>
                <w:rFonts w:cs="Calibri"/>
                <w:color w:val="000000"/>
                <w:szCs w:val="17"/>
              </w:rPr>
              <w:t>5</w:t>
            </w:r>
          </w:p>
        </w:tc>
        <w:tc>
          <w:tcPr>
            <w:tcW w:w="1224" w:type="dxa"/>
            <w:shd w:val="clear" w:color="auto" w:fill="FFC000"/>
            <w:noWrap/>
            <w:vAlign w:val="center"/>
          </w:tcPr>
          <w:p w14:paraId="2D79DAC5" w14:textId="77777777" w:rsidR="009B3BF0" w:rsidRPr="0048469F" w:rsidRDefault="009B3BF0" w:rsidP="009B3BF0">
            <w:pPr>
              <w:jc w:val="center"/>
              <w:rPr>
                <w:rFonts w:cs="Calibri"/>
                <w:color w:val="000000"/>
                <w:szCs w:val="17"/>
              </w:rPr>
            </w:pPr>
            <w:r>
              <w:rPr>
                <w:rFonts w:cs="Calibri"/>
                <w:color w:val="000000"/>
                <w:szCs w:val="17"/>
              </w:rPr>
              <w:t>3</w:t>
            </w:r>
          </w:p>
        </w:tc>
        <w:tc>
          <w:tcPr>
            <w:tcW w:w="1215" w:type="dxa"/>
            <w:shd w:val="clear" w:color="auto" w:fill="FFFF00"/>
            <w:vAlign w:val="center"/>
          </w:tcPr>
          <w:p w14:paraId="36CA741C" w14:textId="77777777" w:rsidR="009B3BF0" w:rsidRPr="0048469F" w:rsidRDefault="009B3BF0" w:rsidP="009B3BF0">
            <w:pPr>
              <w:pStyle w:val="TableTextEntries"/>
              <w:spacing w:before="0" w:after="0" w:line="240" w:lineRule="auto"/>
              <w:jc w:val="center"/>
            </w:pPr>
            <w:r w:rsidRPr="0048469F">
              <w:rPr>
                <w:rFonts w:cs="Calibri"/>
                <w:color w:val="000000"/>
              </w:rPr>
              <w:t>5</w:t>
            </w:r>
          </w:p>
        </w:tc>
      </w:tr>
      <w:tr w:rsidR="009B3BF0" w:rsidRPr="00C61187" w14:paraId="5463ACB4" w14:textId="77777777" w:rsidTr="00D85A5F">
        <w:trPr>
          <w:cnfStyle w:val="000000010000" w:firstRow="0" w:lastRow="0" w:firstColumn="0" w:lastColumn="0" w:oddVBand="0" w:evenVBand="0" w:oddHBand="0" w:evenHBand="1" w:firstRowFirstColumn="0" w:firstRowLastColumn="0" w:lastRowFirstColumn="0" w:lastRowLastColumn="0"/>
          <w:trHeight w:val="284"/>
        </w:trPr>
        <w:tc>
          <w:tcPr>
            <w:tcW w:w="2787" w:type="dxa"/>
            <w:vAlign w:val="center"/>
          </w:tcPr>
          <w:p w14:paraId="7F46C447" w14:textId="77777777" w:rsidR="009B3BF0" w:rsidRPr="00061443" w:rsidRDefault="009B3BF0" w:rsidP="009B3BF0">
            <w:pPr>
              <w:pStyle w:val="TableTextEntries"/>
              <w:spacing w:before="0" w:after="0" w:line="240" w:lineRule="auto"/>
            </w:pPr>
            <w:r w:rsidRPr="00061443">
              <w:t>INL343 - Peacebuilding in Conflict</w:t>
            </w:r>
            <w:r w:rsidRPr="00061443">
              <w:noBreakHyphen/>
              <w:t>Affected Mindanao</w:t>
            </w:r>
          </w:p>
        </w:tc>
        <w:tc>
          <w:tcPr>
            <w:tcW w:w="1941" w:type="dxa"/>
            <w:vAlign w:val="center"/>
          </w:tcPr>
          <w:p w14:paraId="58E4D359" w14:textId="77777777" w:rsidR="009B3BF0" w:rsidRPr="00061443" w:rsidRDefault="009B3BF0" w:rsidP="009B3BF0">
            <w:pPr>
              <w:pStyle w:val="TableTextEntries"/>
              <w:spacing w:before="0" w:after="0" w:line="240" w:lineRule="auto"/>
              <w:jc w:val="center"/>
            </w:pPr>
            <w:r w:rsidRPr="00061443">
              <w:t>AUD</w:t>
            </w:r>
            <w:r>
              <w:t>22,401,639.26</w:t>
            </w:r>
          </w:p>
          <w:p w14:paraId="5D8CEB66" w14:textId="77777777" w:rsidR="009B3BF0" w:rsidRPr="00061443" w:rsidRDefault="009B3BF0" w:rsidP="009B3BF0">
            <w:pPr>
              <w:pStyle w:val="TableTextEntries"/>
              <w:spacing w:before="0" w:after="0" w:line="240" w:lineRule="auto"/>
              <w:jc w:val="center"/>
            </w:pPr>
            <w:r w:rsidRPr="00061443">
              <w:t>1/04/14 - 30/06/17</w:t>
            </w:r>
          </w:p>
        </w:tc>
        <w:tc>
          <w:tcPr>
            <w:tcW w:w="1226" w:type="dxa"/>
            <w:vAlign w:val="center"/>
          </w:tcPr>
          <w:p w14:paraId="022FA1BE" w14:textId="77777777" w:rsidR="009B3BF0" w:rsidRPr="00CF04F7" w:rsidRDefault="009B3BF0" w:rsidP="009B3BF0">
            <w:pPr>
              <w:pStyle w:val="TableTextEntries"/>
              <w:spacing w:before="0" w:after="0" w:line="240" w:lineRule="auto"/>
              <w:jc w:val="center"/>
              <w:rPr>
                <w:sz w:val="16"/>
                <w:szCs w:val="16"/>
              </w:rPr>
            </w:pPr>
            <w:r w:rsidRPr="00CF04F7">
              <w:rPr>
                <w:sz w:val="16"/>
                <w:szCs w:val="16"/>
              </w:rPr>
              <w:t>2015-16</w:t>
            </w:r>
          </w:p>
        </w:tc>
        <w:tc>
          <w:tcPr>
            <w:tcW w:w="1232" w:type="dxa"/>
            <w:shd w:val="clear" w:color="auto" w:fill="92D050"/>
            <w:noWrap/>
            <w:vAlign w:val="center"/>
          </w:tcPr>
          <w:p w14:paraId="785CA8E6" w14:textId="77777777" w:rsidR="009B3BF0" w:rsidRPr="0048469F" w:rsidRDefault="009B3BF0" w:rsidP="009B3BF0">
            <w:pPr>
              <w:jc w:val="center"/>
              <w:rPr>
                <w:rFonts w:cs="Calibri"/>
                <w:color w:val="000000"/>
                <w:szCs w:val="17"/>
              </w:rPr>
            </w:pPr>
            <w:r>
              <w:rPr>
                <w:rFonts w:cs="Calibri"/>
                <w:color w:val="000000"/>
                <w:szCs w:val="17"/>
              </w:rPr>
              <w:t>5</w:t>
            </w:r>
          </w:p>
        </w:tc>
        <w:tc>
          <w:tcPr>
            <w:tcW w:w="1223" w:type="dxa"/>
            <w:shd w:val="clear" w:color="auto" w:fill="92D050"/>
            <w:noWrap/>
            <w:vAlign w:val="center"/>
          </w:tcPr>
          <w:p w14:paraId="15C86636" w14:textId="77777777" w:rsidR="009B3BF0" w:rsidRPr="0048469F" w:rsidRDefault="009B3BF0" w:rsidP="009B3BF0">
            <w:pPr>
              <w:jc w:val="center"/>
              <w:rPr>
                <w:rFonts w:cs="Calibri"/>
                <w:color w:val="000000"/>
                <w:szCs w:val="17"/>
              </w:rPr>
            </w:pPr>
            <w:r>
              <w:rPr>
                <w:rFonts w:cs="Calibri"/>
                <w:color w:val="000000"/>
                <w:szCs w:val="17"/>
              </w:rPr>
              <w:t>5</w:t>
            </w:r>
          </w:p>
        </w:tc>
        <w:tc>
          <w:tcPr>
            <w:tcW w:w="1232" w:type="dxa"/>
            <w:shd w:val="clear" w:color="auto" w:fill="92D050"/>
            <w:noWrap/>
            <w:vAlign w:val="center"/>
          </w:tcPr>
          <w:p w14:paraId="4405EA54" w14:textId="77777777" w:rsidR="009B3BF0" w:rsidRPr="0048469F" w:rsidRDefault="009B3BF0" w:rsidP="009B3BF0">
            <w:pPr>
              <w:jc w:val="center"/>
              <w:rPr>
                <w:rFonts w:cs="Calibri"/>
                <w:color w:val="000000"/>
                <w:szCs w:val="17"/>
              </w:rPr>
            </w:pPr>
            <w:r>
              <w:rPr>
                <w:rFonts w:cs="Calibri"/>
                <w:color w:val="000000"/>
                <w:szCs w:val="17"/>
              </w:rPr>
              <w:t>5</w:t>
            </w:r>
          </w:p>
        </w:tc>
        <w:tc>
          <w:tcPr>
            <w:tcW w:w="1223" w:type="dxa"/>
            <w:shd w:val="clear" w:color="auto" w:fill="92D050"/>
            <w:noWrap/>
            <w:vAlign w:val="center"/>
          </w:tcPr>
          <w:p w14:paraId="31FB61A6" w14:textId="77777777" w:rsidR="009B3BF0" w:rsidRPr="0048469F" w:rsidRDefault="009B3BF0" w:rsidP="009B3BF0">
            <w:pPr>
              <w:jc w:val="center"/>
              <w:rPr>
                <w:rFonts w:cs="Calibri"/>
                <w:color w:val="000000"/>
                <w:szCs w:val="17"/>
              </w:rPr>
            </w:pPr>
            <w:r>
              <w:rPr>
                <w:rFonts w:cs="Calibri"/>
                <w:color w:val="000000"/>
                <w:szCs w:val="17"/>
              </w:rPr>
              <w:t>5</w:t>
            </w:r>
          </w:p>
        </w:tc>
        <w:tc>
          <w:tcPr>
            <w:tcW w:w="1233" w:type="dxa"/>
            <w:shd w:val="clear" w:color="auto" w:fill="92D050"/>
            <w:noWrap/>
            <w:vAlign w:val="center"/>
          </w:tcPr>
          <w:p w14:paraId="13DDDB93" w14:textId="77777777" w:rsidR="009B3BF0" w:rsidRPr="0048469F" w:rsidRDefault="009B3BF0" w:rsidP="009B3BF0">
            <w:pPr>
              <w:jc w:val="center"/>
              <w:rPr>
                <w:rFonts w:cs="Calibri"/>
                <w:color w:val="000000"/>
                <w:szCs w:val="17"/>
              </w:rPr>
            </w:pPr>
            <w:r>
              <w:rPr>
                <w:rFonts w:cs="Calibri"/>
                <w:color w:val="000000"/>
                <w:szCs w:val="17"/>
              </w:rPr>
              <w:t>5</w:t>
            </w:r>
          </w:p>
        </w:tc>
        <w:tc>
          <w:tcPr>
            <w:tcW w:w="1224" w:type="dxa"/>
            <w:shd w:val="clear" w:color="auto" w:fill="FFFF00"/>
            <w:noWrap/>
            <w:vAlign w:val="center"/>
          </w:tcPr>
          <w:p w14:paraId="413D47B5" w14:textId="77777777" w:rsidR="009B3BF0" w:rsidRPr="0048469F" w:rsidRDefault="009B3BF0" w:rsidP="009B3BF0">
            <w:pPr>
              <w:jc w:val="center"/>
              <w:rPr>
                <w:rFonts w:cs="Calibri"/>
                <w:color w:val="000000"/>
                <w:szCs w:val="17"/>
              </w:rPr>
            </w:pPr>
            <w:r>
              <w:rPr>
                <w:rFonts w:cs="Calibri"/>
                <w:color w:val="000000"/>
                <w:szCs w:val="17"/>
              </w:rPr>
              <w:t>4</w:t>
            </w:r>
          </w:p>
        </w:tc>
        <w:tc>
          <w:tcPr>
            <w:tcW w:w="1215" w:type="dxa"/>
            <w:shd w:val="clear" w:color="auto" w:fill="92D050"/>
            <w:vAlign w:val="center"/>
          </w:tcPr>
          <w:p w14:paraId="66F4B229" w14:textId="77777777" w:rsidR="009B3BF0" w:rsidRPr="0048469F" w:rsidRDefault="009B3BF0" w:rsidP="009B3BF0">
            <w:pPr>
              <w:jc w:val="center"/>
              <w:rPr>
                <w:rFonts w:cs="Calibri"/>
                <w:color w:val="000000"/>
                <w:szCs w:val="17"/>
              </w:rPr>
            </w:pPr>
            <w:r>
              <w:rPr>
                <w:rFonts w:cs="Calibri"/>
                <w:color w:val="000000"/>
                <w:szCs w:val="17"/>
              </w:rPr>
              <w:t>5</w:t>
            </w:r>
          </w:p>
        </w:tc>
      </w:tr>
      <w:tr w:rsidR="009B3BF0" w:rsidRPr="00C61187" w14:paraId="51738056" w14:textId="77777777" w:rsidTr="00D85A5F">
        <w:trPr>
          <w:cnfStyle w:val="000000010000" w:firstRow="0" w:lastRow="0" w:firstColumn="0" w:lastColumn="0" w:oddVBand="0" w:evenVBand="0" w:oddHBand="0" w:evenHBand="1" w:firstRowFirstColumn="0" w:firstRowLastColumn="0" w:lastRowFirstColumn="0" w:lastRowLastColumn="0"/>
          <w:trHeight w:val="284"/>
        </w:trPr>
        <w:tc>
          <w:tcPr>
            <w:tcW w:w="2787" w:type="dxa"/>
          </w:tcPr>
          <w:p w14:paraId="0EE55F1E" w14:textId="77777777" w:rsidR="009B3BF0" w:rsidRPr="00061443" w:rsidRDefault="009B3BF0" w:rsidP="009B3BF0">
            <w:pPr>
              <w:pStyle w:val="TableTextEntries"/>
              <w:spacing w:before="0" w:after="0" w:line="240" w:lineRule="auto"/>
            </w:pPr>
          </w:p>
        </w:tc>
        <w:tc>
          <w:tcPr>
            <w:tcW w:w="1941" w:type="dxa"/>
            <w:vAlign w:val="center"/>
          </w:tcPr>
          <w:p w14:paraId="107EC0B1" w14:textId="77777777" w:rsidR="009B3BF0" w:rsidRPr="00061443" w:rsidRDefault="009B3BF0" w:rsidP="009B3BF0">
            <w:pPr>
              <w:pStyle w:val="TableTextEntries"/>
              <w:spacing w:before="0" w:after="0" w:line="240" w:lineRule="auto"/>
              <w:jc w:val="center"/>
            </w:pPr>
          </w:p>
        </w:tc>
        <w:tc>
          <w:tcPr>
            <w:tcW w:w="1226" w:type="dxa"/>
            <w:vAlign w:val="center"/>
          </w:tcPr>
          <w:p w14:paraId="69B30204" w14:textId="77777777" w:rsidR="009B3BF0" w:rsidRPr="00CF04F7" w:rsidRDefault="009B3BF0" w:rsidP="009B3BF0">
            <w:pPr>
              <w:pStyle w:val="TableTextEntries"/>
              <w:spacing w:before="0" w:after="0" w:line="240" w:lineRule="auto"/>
              <w:jc w:val="center"/>
              <w:rPr>
                <w:sz w:val="16"/>
                <w:szCs w:val="16"/>
              </w:rPr>
            </w:pPr>
            <w:r w:rsidRPr="00CF04F7">
              <w:rPr>
                <w:sz w:val="16"/>
                <w:szCs w:val="16"/>
              </w:rPr>
              <w:t>2014-15</w:t>
            </w:r>
          </w:p>
        </w:tc>
        <w:tc>
          <w:tcPr>
            <w:tcW w:w="1232" w:type="dxa"/>
            <w:tcBorders>
              <w:bottom w:val="single" w:sz="12" w:space="0" w:color="000000" w:themeColor="text1"/>
            </w:tcBorders>
            <w:shd w:val="clear" w:color="auto" w:fill="92D050"/>
            <w:noWrap/>
            <w:vAlign w:val="center"/>
          </w:tcPr>
          <w:p w14:paraId="13614ABE" w14:textId="77777777" w:rsidR="009B3BF0" w:rsidRPr="0048469F" w:rsidRDefault="009B3BF0" w:rsidP="009B3BF0">
            <w:pPr>
              <w:pStyle w:val="TableTextEntries"/>
              <w:spacing w:before="0" w:after="0" w:line="240" w:lineRule="auto"/>
              <w:jc w:val="center"/>
            </w:pPr>
            <w:r w:rsidRPr="0048469F">
              <w:rPr>
                <w:rFonts w:cs="Calibri"/>
                <w:color w:val="000000"/>
              </w:rPr>
              <w:t>5</w:t>
            </w:r>
          </w:p>
        </w:tc>
        <w:tc>
          <w:tcPr>
            <w:tcW w:w="1223" w:type="dxa"/>
            <w:tcBorders>
              <w:bottom w:val="single" w:sz="12" w:space="0" w:color="000000" w:themeColor="text1"/>
            </w:tcBorders>
            <w:shd w:val="clear" w:color="auto" w:fill="92D050"/>
            <w:noWrap/>
            <w:vAlign w:val="center"/>
          </w:tcPr>
          <w:p w14:paraId="167D1519" w14:textId="77777777" w:rsidR="009B3BF0" w:rsidRPr="0048469F" w:rsidRDefault="009B3BF0" w:rsidP="009B3BF0">
            <w:pPr>
              <w:pStyle w:val="TableTextEntries"/>
              <w:spacing w:before="0" w:after="0" w:line="240" w:lineRule="auto"/>
              <w:jc w:val="center"/>
            </w:pPr>
            <w:r w:rsidRPr="0048469F">
              <w:rPr>
                <w:rFonts w:cs="Calibri"/>
                <w:color w:val="000000"/>
              </w:rPr>
              <w:t>5</w:t>
            </w:r>
          </w:p>
        </w:tc>
        <w:tc>
          <w:tcPr>
            <w:tcW w:w="1232" w:type="dxa"/>
            <w:tcBorders>
              <w:bottom w:val="single" w:sz="12" w:space="0" w:color="000000" w:themeColor="text1"/>
            </w:tcBorders>
            <w:shd w:val="clear" w:color="auto" w:fill="92D050"/>
            <w:noWrap/>
            <w:vAlign w:val="center"/>
          </w:tcPr>
          <w:p w14:paraId="579F0ACA" w14:textId="77777777" w:rsidR="009B3BF0" w:rsidRPr="0048469F" w:rsidRDefault="009B3BF0" w:rsidP="009B3BF0">
            <w:pPr>
              <w:pStyle w:val="TableTextEntries"/>
              <w:spacing w:before="0" w:after="0" w:line="240" w:lineRule="auto"/>
              <w:jc w:val="center"/>
            </w:pPr>
            <w:r w:rsidRPr="0048469F">
              <w:rPr>
                <w:rFonts w:cs="Calibri"/>
                <w:color w:val="000000"/>
              </w:rPr>
              <w:t>5</w:t>
            </w:r>
          </w:p>
        </w:tc>
        <w:tc>
          <w:tcPr>
            <w:tcW w:w="1223" w:type="dxa"/>
            <w:tcBorders>
              <w:bottom w:val="single" w:sz="12" w:space="0" w:color="000000" w:themeColor="text1"/>
            </w:tcBorders>
            <w:shd w:val="clear" w:color="auto" w:fill="92D050"/>
            <w:noWrap/>
            <w:vAlign w:val="center"/>
          </w:tcPr>
          <w:p w14:paraId="0B6DD5C1" w14:textId="77777777" w:rsidR="009B3BF0" w:rsidRPr="0048469F" w:rsidRDefault="009B3BF0" w:rsidP="009B3BF0">
            <w:pPr>
              <w:pStyle w:val="TableTextEntries"/>
              <w:spacing w:before="0" w:after="0" w:line="240" w:lineRule="auto"/>
              <w:jc w:val="center"/>
            </w:pPr>
            <w:r w:rsidRPr="0048469F">
              <w:rPr>
                <w:rFonts w:cs="Calibri"/>
                <w:color w:val="000000"/>
              </w:rPr>
              <w:t>5</w:t>
            </w:r>
          </w:p>
        </w:tc>
        <w:tc>
          <w:tcPr>
            <w:tcW w:w="1233" w:type="dxa"/>
            <w:tcBorders>
              <w:bottom w:val="single" w:sz="12" w:space="0" w:color="000000" w:themeColor="text1"/>
            </w:tcBorders>
            <w:shd w:val="clear" w:color="auto" w:fill="92D050"/>
            <w:noWrap/>
            <w:vAlign w:val="center"/>
          </w:tcPr>
          <w:p w14:paraId="0FAE15F2" w14:textId="77777777" w:rsidR="009B3BF0" w:rsidRPr="0048469F" w:rsidRDefault="009B3BF0" w:rsidP="009B3BF0">
            <w:pPr>
              <w:pStyle w:val="TableTextEntries"/>
              <w:spacing w:before="0" w:after="0" w:line="240" w:lineRule="auto"/>
              <w:jc w:val="center"/>
            </w:pPr>
            <w:r w:rsidRPr="0048469F">
              <w:rPr>
                <w:rFonts w:cs="Calibri"/>
                <w:color w:val="000000"/>
              </w:rPr>
              <w:t>5</w:t>
            </w:r>
          </w:p>
        </w:tc>
        <w:tc>
          <w:tcPr>
            <w:tcW w:w="1224" w:type="dxa"/>
            <w:tcBorders>
              <w:bottom w:val="single" w:sz="12" w:space="0" w:color="000000" w:themeColor="text1"/>
            </w:tcBorders>
            <w:shd w:val="clear" w:color="auto" w:fill="92D050"/>
            <w:noWrap/>
            <w:vAlign w:val="center"/>
          </w:tcPr>
          <w:p w14:paraId="248CADAC" w14:textId="77777777" w:rsidR="009B3BF0" w:rsidRPr="0048469F" w:rsidRDefault="009B3BF0" w:rsidP="009B3BF0">
            <w:pPr>
              <w:pStyle w:val="TableTextEntries"/>
              <w:spacing w:before="0" w:after="0" w:line="240" w:lineRule="auto"/>
              <w:jc w:val="center"/>
            </w:pPr>
            <w:r w:rsidRPr="0048469F">
              <w:rPr>
                <w:rFonts w:cs="Calibri"/>
                <w:color w:val="000000"/>
              </w:rPr>
              <w:t>5</w:t>
            </w:r>
          </w:p>
        </w:tc>
        <w:tc>
          <w:tcPr>
            <w:tcW w:w="1215" w:type="dxa"/>
            <w:tcBorders>
              <w:bottom w:val="single" w:sz="12" w:space="0" w:color="000000" w:themeColor="text1"/>
            </w:tcBorders>
            <w:shd w:val="clear" w:color="auto" w:fill="92D050"/>
            <w:vAlign w:val="center"/>
          </w:tcPr>
          <w:p w14:paraId="43EF6146" w14:textId="77777777" w:rsidR="009B3BF0" w:rsidRPr="0048469F" w:rsidRDefault="009B3BF0" w:rsidP="009B3BF0">
            <w:pPr>
              <w:pStyle w:val="TableTextEntries"/>
              <w:spacing w:before="0" w:after="0" w:line="240" w:lineRule="auto"/>
              <w:jc w:val="center"/>
            </w:pPr>
            <w:r>
              <w:t>5</w:t>
            </w:r>
          </w:p>
        </w:tc>
      </w:tr>
    </w:tbl>
    <w:p w14:paraId="570F4F23" w14:textId="304C3DF7" w:rsidR="00400B0F" w:rsidRPr="00A02542" w:rsidRDefault="00400B0F" w:rsidP="00D85A5F">
      <w:pPr>
        <w:keepNext/>
        <w:numPr>
          <w:ilvl w:val="2"/>
          <w:numId w:val="0"/>
        </w:numPr>
        <w:spacing w:after="120"/>
        <w:outlineLvl w:val="2"/>
        <w:rPr>
          <w:rFonts w:ascii="Helvetica" w:eastAsia="Times New Roman" w:hAnsi="Helvetica" w:cs="Arial"/>
          <w:b/>
          <w:color w:val="auto"/>
          <w:kern w:val="28"/>
          <w:lang w:eastAsia="zh-CN"/>
        </w:rPr>
      </w:pPr>
      <w:r w:rsidRPr="00A02542">
        <w:rPr>
          <w:rFonts w:asciiTheme="majorHAnsi" w:eastAsiaTheme="majorEastAsia" w:hAnsiTheme="majorHAnsi" w:cstheme="majorBidi"/>
          <w:caps/>
          <w:color w:val="auto"/>
          <w:sz w:val="38"/>
          <w:szCs w:val="26"/>
        </w:rPr>
        <w:t>FAQC ratings</w:t>
      </w:r>
      <w:r w:rsidRPr="00A02542">
        <w:rPr>
          <w:rFonts w:ascii="Helvetica" w:eastAsia="Times New Roman" w:hAnsi="Helvetica" w:cs="Arial"/>
          <w:b/>
          <w:color w:val="auto"/>
          <w:kern w:val="28"/>
          <w:lang w:eastAsia="zh-CN"/>
        </w:rPr>
        <w:t xml:space="preserve"> </w:t>
      </w:r>
    </w:p>
    <w:p w14:paraId="015BE123" w14:textId="77777777" w:rsidR="00400B0F" w:rsidRPr="00A02542" w:rsidRDefault="00400B0F" w:rsidP="00D85A5F">
      <w:pPr>
        <w:spacing w:before="0"/>
        <w:rPr>
          <w:color w:val="auto"/>
        </w:rPr>
      </w:pPr>
      <w:r w:rsidRPr="00A02542">
        <w:rPr>
          <w:color w:val="auto"/>
        </w:rPr>
        <w:t>Final AQCs assess performance over the lifetime of the investment (ratings are not compared to previous years).</w:t>
      </w:r>
    </w:p>
    <w:tbl>
      <w:tblPr>
        <w:tblStyle w:val="APPR"/>
        <w:tblW w:w="5000" w:type="pct"/>
        <w:tblLook w:val="0000" w:firstRow="0" w:lastRow="0" w:firstColumn="0" w:lastColumn="0" w:noHBand="0" w:noVBand="0"/>
      </w:tblPr>
      <w:tblGrid>
        <w:gridCol w:w="2714"/>
        <w:gridCol w:w="1970"/>
        <w:gridCol w:w="1258"/>
        <w:gridCol w:w="1254"/>
        <w:gridCol w:w="1257"/>
        <w:gridCol w:w="1254"/>
        <w:gridCol w:w="1257"/>
        <w:gridCol w:w="1254"/>
        <w:gridCol w:w="1257"/>
        <w:gridCol w:w="1257"/>
      </w:tblGrid>
      <w:tr w:rsidR="00400B0F" w:rsidRPr="00A02542" w14:paraId="6AA6BB50" w14:textId="77777777" w:rsidTr="00F4079D">
        <w:trPr>
          <w:cnfStyle w:val="000000010000" w:firstRow="0" w:lastRow="0" w:firstColumn="0" w:lastColumn="0" w:oddVBand="0" w:evenVBand="0" w:oddHBand="0" w:evenHBand="1" w:firstRowFirstColumn="0" w:firstRowLastColumn="0" w:lastRowFirstColumn="0" w:lastRowLastColumn="0"/>
          <w:trHeight w:val="1505"/>
        </w:trPr>
        <w:tc>
          <w:tcPr>
            <w:tcW w:w="906" w:type="pct"/>
          </w:tcPr>
          <w:p w14:paraId="3CD8B303" w14:textId="77777777" w:rsidR="00400B0F" w:rsidRPr="00A02542" w:rsidRDefault="00400B0F" w:rsidP="006F27B1">
            <w:pPr>
              <w:keepLines/>
              <w:spacing w:before="80" w:after="80" w:line="200" w:lineRule="atLeast"/>
              <w:rPr>
                <w:rFonts w:asciiTheme="minorHAnsi" w:eastAsia="Times New Roman" w:hAnsiTheme="minorHAnsi"/>
                <w:b/>
                <w:iCs/>
                <w:color w:val="auto"/>
                <w:szCs w:val="17"/>
                <w:lang w:eastAsia="en-US"/>
              </w:rPr>
            </w:pPr>
            <w:r w:rsidRPr="00A02542">
              <w:rPr>
                <w:rFonts w:eastAsia="Times New Roman"/>
                <w:b/>
                <w:iCs/>
                <w:noProof/>
                <w:color w:val="auto"/>
                <w:szCs w:val="17"/>
                <w:lang w:val="en-AU"/>
              </w:rPr>
              <w:drawing>
                <wp:anchor distT="0" distB="0" distL="114300" distR="114300" simplePos="0" relativeHeight="251679744" behindDoc="0" locked="0" layoutInCell="1" allowOverlap="1" wp14:anchorId="10CF6846" wp14:editId="7FE007BD">
                  <wp:simplePos x="0" y="0"/>
                  <wp:positionH relativeFrom="column">
                    <wp:posOffset>0</wp:posOffset>
                  </wp:positionH>
                  <wp:positionV relativeFrom="paragraph">
                    <wp:posOffset>0</wp:posOffset>
                  </wp:positionV>
                  <wp:extent cx="1857375" cy="228600"/>
                  <wp:effectExtent l="0" t="0" r="9525" b="0"/>
                  <wp:wrapNone/>
                  <wp:docPr id="5" name="Picture 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2542">
              <w:rPr>
                <w:rFonts w:asciiTheme="minorHAnsi" w:eastAsia="Times New Roman" w:hAnsiTheme="minorHAnsi"/>
                <w:b/>
                <w:iCs/>
                <w:color w:val="auto"/>
                <w:szCs w:val="17"/>
                <w:lang w:eastAsia="en-US"/>
              </w:rPr>
              <w:t>Investment name</w:t>
            </w:r>
          </w:p>
        </w:tc>
        <w:tc>
          <w:tcPr>
            <w:tcW w:w="659" w:type="pct"/>
            <w:textDirection w:val="btLr"/>
          </w:tcPr>
          <w:p w14:paraId="605855E0" w14:textId="77777777" w:rsidR="00400B0F" w:rsidRPr="00A02542" w:rsidRDefault="00400B0F" w:rsidP="006F27B1">
            <w:pPr>
              <w:keepLines/>
              <w:spacing w:before="80" w:after="80" w:line="200" w:lineRule="atLeast"/>
              <w:rPr>
                <w:rFonts w:asciiTheme="minorHAnsi" w:eastAsia="Times New Roman" w:hAnsiTheme="minorHAnsi"/>
                <w:b/>
                <w:iCs/>
                <w:color w:val="auto"/>
                <w:szCs w:val="17"/>
                <w:lang w:eastAsia="en-US"/>
              </w:rPr>
            </w:pPr>
            <w:r w:rsidRPr="00A02542">
              <w:rPr>
                <w:rFonts w:asciiTheme="minorHAnsi" w:eastAsia="Times New Roman" w:hAnsiTheme="minorHAnsi"/>
                <w:b/>
                <w:iCs/>
                <w:color w:val="auto"/>
                <w:szCs w:val="17"/>
                <w:lang w:eastAsia="en-US"/>
              </w:rPr>
              <w:t>Approved budget and duration</w:t>
            </w:r>
          </w:p>
        </w:tc>
        <w:tc>
          <w:tcPr>
            <w:tcW w:w="417" w:type="pct"/>
            <w:noWrap/>
            <w:textDirection w:val="btLr"/>
          </w:tcPr>
          <w:p w14:paraId="37E36B3C" w14:textId="77777777" w:rsidR="00400B0F" w:rsidRPr="00A02542" w:rsidRDefault="00400B0F" w:rsidP="006F27B1">
            <w:pPr>
              <w:keepLines/>
              <w:spacing w:before="80" w:after="80" w:line="200" w:lineRule="atLeast"/>
              <w:rPr>
                <w:rFonts w:asciiTheme="minorHAnsi" w:eastAsia="Times New Roman" w:hAnsiTheme="minorHAnsi"/>
                <w:b/>
                <w:iCs/>
                <w:color w:val="auto"/>
                <w:szCs w:val="17"/>
                <w:lang w:eastAsia="en-US"/>
              </w:rPr>
            </w:pPr>
            <w:r w:rsidRPr="00A02542">
              <w:rPr>
                <w:rFonts w:asciiTheme="minorHAnsi" w:eastAsia="Times New Roman" w:hAnsiTheme="minorHAnsi"/>
                <w:b/>
                <w:iCs/>
                <w:color w:val="auto"/>
                <w:szCs w:val="17"/>
                <w:lang w:eastAsia="en-US"/>
              </w:rPr>
              <w:t>Overall rating</w:t>
            </w:r>
          </w:p>
        </w:tc>
        <w:tc>
          <w:tcPr>
            <w:tcW w:w="416" w:type="pct"/>
            <w:noWrap/>
            <w:textDirection w:val="btLr"/>
          </w:tcPr>
          <w:p w14:paraId="2A95B61D" w14:textId="77777777" w:rsidR="00400B0F" w:rsidRPr="00A02542" w:rsidRDefault="00400B0F" w:rsidP="006F27B1">
            <w:pPr>
              <w:keepLines/>
              <w:spacing w:before="80" w:after="80" w:line="200" w:lineRule="atLeast"/>
              <w:rPr>
                <w:rFonts w:asciiTheme="minorHAnsi" w:eastAsia="Times New Roman" w:hAnsiTheme="minorHAnsi"/>
                <w:b/>
                <w:iCs/>
                <w:color w:val="auto"/>
                <w:szCs w:val="17"/>
                <w:lang w:eastAsia="en-US"/>
              </w:rPr>
            </w:pPr>
            <w:r w:rsidRPr="00A02542">
              <w:rPr>
                <w:rFonts w:asciiTheme="minorHAnsi" w:eastAsia="Times New Roman" w:hAnsiTheme="minorHAnsi"/>
                <w:b/>
                <w:iCs/>
                <w:color w:val="auto"/>
                <w:szCs w:val="17"/>
                <w:lang w:eastAsia="en-US"/>
              </w:rPr>
              <w:t>Relevance</w:t>
            </w:r>
          </w:p>
        </w:tc>
        <w:tc>
          <w:tcPr>
            <w:tcW w:w="417" w:type="pct"/>
            <w:noWrap/>
            <w:textDirection w:val="btLr"/>
          </w:tcPr>
          <w:p w14:paraId="4C783DCB" w14:textId="77777777" w:rsidR="00400B0F" w:rsidRPr="00A02542" w:rsidRDefault="00400B0F" w:rsidP="006F27B1">
            <w:pPr>
              <w:keepLines/>
              <w:spacing w:before="80" w:after="80" w:line="200" w:lineRule="atLeast"/>
              <w:rPr>
                <w:rFonts w:asciiTheme="minorHAnsi" w:eastAsia="Times New Roman" w:hAnsiTheme="minorHAnsi"/>
                <w:b/>
                <w:iCs/>
                <w:color w:val="auto"/>
                <w:szCs w:val="17"/>
                <w:lang w:eastAsia="en-US"/>
              </w:rPr>
            </w:pPr>
            <w:r w:rsidRPr="00A02542">
              <w:rPr>
                <w:rFonts w:asciiTheme="minorHAnsi" w:eastAsia="Times New Roman" w:hAnsiTheme="minorHAnsi"/>
                <w:b/>
                <w:iCs/>
                <w:color w:val="auto"/>
                <w:szCs w:val="17"/>
                <w:lang w:eastAsia="en-US"/>
              </w:rPr>
              <w:t>Effectiveness</w:t>
            </w:r>
          </w:p>
        </w:tc>
        <w:tc>
          <w:tcPr>
            <w:tcW w:w="416" w:type="pct"/>
            <w:noWrap/>
            <w:textDirection w:val="btLr"/>
          </w:tcPr>
          <w:p w14:paraId="3BE7649F" w14:textId="77777777" w:rsidR="00400B0F" w:rsidRPr="00A02542" w:rsidRDefault="00400B0F" w:rsidP="006F27B1">
            <w:pPr>
              <w:keepLines/>
              <w:spacing w:before="80" w:after="80" w:line="200" w:lineRule="atLeast"/>
              <w:rPr>
                <w:rFonts w:asciiTheme="minorHAnsi" w:eastAsia="Times New Roman" w:hAnsiTheme="minorHAnsi"/>
                <w:b/>
                <w:iCs/>
                <w:color w:val="auto"/>
                <w:szCs w:val="17"/>
                <w:lang w:eastAsia="en-US"/>
              </w:rPr>
            </w:pPr>
            <w:r w:rsidRPr="00A02542">
              <w:rPr>
                <w:rFonts w:asciiTheme="minorHAnsi" w:eastAsia="Times New Roman" w:hAnsiTheme="minorHAnsi"/>
                <w:b/>
                <w:iCs/>
                <w:color w:val="auto"/>
                <w:szCs w:val="17"/>
                <w:lang w:eastAsia="en-US"/>
              </w:rPr>
              <w:t>Efficiency</w:t>
            </w:r>
          </w:p>
        </w:tc>
        <w:tc>
          <w:tcPr>
            <w:tcW w:w="417" w:type="pct"/>
            <w:noWrap/>
            <w:textDirection w:val="btLr"/>
          </w:tcPr>
          <w:p w14:paraId="370BF35E" w14:textId="77777777" w:rsidR="00400B0F" w:rsidRPr="00A02542" w:rsidRDefault="00400B0F" w:rsidP="006F27B1">
            <w:pPr>
              <w:keepLines/>
              <w:spacing w:before="80" w:after="80" w:line="200" w:lineRule="atLeast"/>
              <w:rPr>
                <w:rFonts w:asciiTheme="minorHAnsi" w:eastAsia="Times New Roman" w:hAnsiTheme="minorHAnsi"/>
                <w:b/>
                <w:iCs/>
                <w:color w:val="auto"/>
                <w:szCs w:val="17"/>
                <w:lang w:eastAsia="en-US"/>
              </w:rPr>
            </w:pPr>
            <w:r w:rsidRPr="00A02542">
              <w:rPr>
                <w:rFonts w:asciiTheme="minorHAnsi" w:eastAsia="Times New Roman" w:hAnsiTheme="minorHAnsi"/>
                <w:b/>
                <w:iCs/>
                <w:color w:val="auto"/>
                <w:szCs w:val="17"/>
                <w:lang w:eastAsia="en-US"/>
              </w:rPr>
              <w:t>Monitoring and Evaluation</w:t>
            </w:r>
          </w:p>
        </w:tc>
        <w:tc>
          <w:tcPr>
            <w:tcW w:w="416" w:type="pct"/>
            <w:noWrap/>
            <w:textDirection w:val="btLr"/>
          </w:tcPr>
          <w:p w14:paraId="60841B30" w14:textId="77777777" w:rsidR="00400B0F" w:rsidRPr="00A02542" w:rsidRDefault="00400B0F" w:rsidP="006F27B1">
            <w:pPr>
              <w:keepLines/>
              <w:spacing w:before="80" w:after="80" w:line="200" w:lineRule="atLeast"/>
              <w:rPr>
                <w:rFonts w:asciiTheme="minorHAnsi" w:eastAsia="Times New Roman" w:hAnsiTheme="minorHAnsi"/>
                <w:b/>
                <w:iCs/>
                <w:color w:val="auto"/>
                <w:szCs w:val="17"/>
                <w:lang w:eastAsia="en-US"/>
              </w:rPr>
            </w:pPr>
            <w:r w:rsidRPr="00A02542">
              <w:rPr>
                <w:rFonts w:asciiTheme="minorHAnsi" w:eastAsia="Times New Roman" w:hAnsiTheme="minorHAnsi"/>
                <w:b/>
                <w:iCs/>
                <w:color w:val="auto"/>
                <w:szCs w:val="17"/>
                <w:lang w:eastAsia="en-US"/>
              </w:rPr>
              <w:t>Sustainability</w:t>
            </w:r>
          </w:p>
        </w:tc>
        <w:tc>
          <w:tcPr>
            <w:tcW w:w="417" w:type="pct"/>
            <w:textDirection w:val="btLr"/>
          </w:tcPr>
          <w:p w14:paraId="4713E990" w14:textId="77777777" w:rsidR="00400B0F" w:rsidRPr="00A02542" w:rsidRDefault="00400B0F" w:rsidP="006F27B1">
            <w:pPr>
              <w:keepLines/>
              <w:spacing w:before="80" w:after="80" w:line="200" w:lineRule="atLeast"/>
              <w:rPr>
                <w:rFonts w:asciiTheme="minorHAnsi" w:eastAsia="Times New Roman" w:hAnsiTheme="minorHAnsi"/>
                <w:b/>
                <w:iCs/>
                <w:color w:val="auto"/>
                <w:szCs w:val="17"/>
                <w:lang w:eastAsia="en-US"/>
              </w:rPr>
            </w:pPr>
            <w:r w:rsidRPr="00A02542">
              <w:rPr>
                <w:rFonts w:asciiTheme="minorHAnsi" w:eastAsia="Times New Roman" w:hAnsiTheme="minorHAnsi"/>
                <w:b/>
                <w:iCs/>
                <w:color w:val="auto"/>
                <w:szCs w:val="17"/>
                <w:lang w:eastAsia="en-US"/>
              </w:rPr>
              <w:t>Gender equality</w:t>
            </w:r>
          </w:p>
        </w:tc>
        <w:tc>
          <w:tcPr>
            <w:tcW w:w="412" w:type="pct"/>
            <w:textDirection w:val="btLr"/>
          </w:tcPr>
          <w:p w14:paraId="61F40D15" w14:textId="77777777" w:rsidR="00400B0F" w:rsidRPr="00A02542" w:rsidRDefault="00400B0F" w:rsidP="006F27B1">
            <w:pPr>
              <w:keepLines/>
              <w:spacing w:before="80" w:after="80" w:line="200" w:lineRule="atLeast"/>
              <w:rPr>
                <w:rFonts w:asciiTheme="minorHAnsi" w:eastAsia="Times New Roman" w:hAnsiTheme="minorHAnsi"/>
                <w:b/>
                <w:iCs/>
                <w:color w:val="auto"/>
                <w:szCs w:val="17"/>
                <w:lang w:eastAsia="en-US"/>
              </w:rPr>
            </w:pPr>
            <w:r w:rsidRPr="00A02542">
              <w:rPr>
                <w:rFonts w:asciiTheme="minorHAnsi" w:eastAsia="Times New Roman" w:hAnsiTheme="minorHAnsi"/>
                <w:b/>
                <w:iCs/>
                <w:color w:val="auto"/>
                <w:szCs w:val="17"/>
                <w:lang w:eastAsia="en-US"/>
              </w:rPr>
              <w:t>Risks  and Safeguards</w:t>
            </w:r>
          </w:p>
        </w:tc>
      </w:tr>
      <w:tr w:rsidR="00F4079D" w:rsidRPr="00C61187" w14:paraId="6F4D46DB" w14:textId="77777777" w:rsidTr="00F4079D">
        <w:trPr>
          <w:cnfStyle w:val="000000010000" w:firstRow="0" w:lastRow="0" w:firstColumn="0" w:lastColumn="0" w:oddVBand="0" w:evenVBand="0" w:oddHBand="0" w:evenHBand="1" w:firstRowFirstColumn="0" w:firstRowLastColumn="0" w:lastRowFirstColumn="0" w:lastRowLastColumn="0"/>
          <w:trHeight w:val="284"/>
        </w:trPr>
        <w:tc>
          <w:tcPr>
            <w:tcW w:w="906" w:type="pct"/>
            <w:tcBorders>
              <w:top w:val="single" w:sz="4" w:space="0" w:color="auto"/>
            </w:tcBorders>
            <w:vAlign w:val="center"/>
          </w:tcPr>
          <w:p w14:paraId="196CE05B" w14:textId="77777777" w:rsidR="00F4079D" w:rsidRPr="00F15162" w:rsidRDefault="00F4079D" w:rsidP="00537D7D">
            <w:pPr>
              <w:rPr>
                <w:rFonts w:cs="Calibri"/>
                <w:color w:val="000000"/>
                <w:szCs w:val="17"/>
              </w:rPr>
            </w:pPr>
            <w:r w:rsidRPr="00F15162">
              <w:rPr>
                <w:rFonts w:cs="Calibri"/>
                <w:color w:val="000000"/>
                <w:szCs w:val="17"/>
              </w:rPr>
              <w:t>INI171 - Provincial Road Management Facility (PRMF)</w:t>
            </w:r>
          </w:p>
        </w:tc>
        <w:tc>
          <w:tcPr>
            <w:tcW w:w="659" w:type="pct"/>
            <w:tcBorders>
              <w:top w:val="single" w:sz="4" w:space="0" w:color="auto"/>
            </w:tcBorders>
            <w:vAlign w:val="center"/>
          </w:tcPr>
          <w:p w14:paraId="00E7B2F1" w14:textId="77777777" w:rsidR="00F4079D" w:rsidRPr="00F15162" w:rsidRDefault="00F4079D" w:rsidP="00F4079D">
            <w:pPr>
              <w:spacing w:before="60"/>
              <w:jc w:val="center"/>
              <w:rPr>
                <w:rFonts w:cs="Calibri"/>
                <w:color w:val="000000"/>
                <w:szCs w:val="17"/>
              </w:rPr>
            </w:pPr>
            <w:r w:rsidRPr="00F15162">
              <w:rPr>
                <w:rFonts w:cs="Calibri"/>
                <w:color w:val="000000"/>
                <w:szCs w:val="17"/>
              </w:rPr>
              <w:t>AUD</w:t>
            </w:r>
            <w:r>
              <w:rPr>
                <w:rFonts w:cs="Calibri"/>
                <w:color w:val="000000"/>
                <w:szCs w:val="17"/>
              </w:rPr>
              <w:t>83,794,259.28</w:t>
            </w:r>
          </w:p>
          <w:p w14:paraId="53C87DA6" w14:textId="77777777" w:rsidR="00F4079D" w:rsidRPr="00F15162" w:rsidRDefault="00F4079D" w:rsidP="00F4079D">
            <w:pPr>
              <w:spacing w:before="60"/>
              <w:jc w:val="center"/>
              <w:rPr>
                <w:rFonts w:cs="Calibri"/>
                <w:color w:val="000000"/>
                <w:szCs w:val="17"/>
              </w:rPr>
            </w:pPr>
            <w:r w:rsidRPr="00F15162">
              <w:rPr>
                <w:rFonts w:cs="Calibri"/>
                <w:color w:val="000000"/>
                <w:szCs w:val="17"/>
              </w:rPr>
              <w:t>1/09/09 - 30/06/16</w:t>
            </w:r>
          </w:p>
        </w:tc>
        <w:tc>
          <w:tcPr>
            <w:tcW w:w="417" w:type="pct"/>
            <w:tcBorders>
              <w:top w:val="single" w:sz="4" w:space="0" w:color="auto"/>
            </w:tcBorders>
            <w:shd w:val="clear" w:color="auto" w:fill="92D050"/>
            <w:noWrap/>
            <w:vAlign w:val="center"/>
          </w:tcPr>
          <w:p w14:paraId="4D8928B0" w14:textId="77777777" w:rsidR="00F4079D" w:rsidRPr="00FB681C" w:rsidRDefault="00F4079D" w:rsidP="00537D7D">
            <w:pPr>
              <w:jc w:val="center"/>
              <w:rPr>
                <w:rFonts w:cs="Calibri"/>
                <w:color w:val="000000"/>
                <w:szCs w:val="17"/>
              </w:rPr>
            </w:pPr>
            <w:r w:rsidRPr="00FB681C">
              <w:rPr>
                <w:rFonts w:cs="Calibri"/>
                <w:color w:val="000000"/>
                <w:szCs w:val="17"/>
              </w:rPr>
              <w:t>5</w:t>
            </w:r>
          </w:p>
        </w:tc>
        <w:tc>
          <w:tcPr>
            <w:tcW w:w="416" w:type="pct"/>
            <w:tcBorders>
              <w:top w:val="single" w:sz="4" w:space="0" w:color="auto"/>
            </w:tcBorders>
            <w:shd w:val="clear" w:color="auto" w:fill="92D050"/>
            <w:noWrap/>
            <w:vAlign w:val="center"/>
          </w:tcPr>
          <w:p w14:paraId="21EAD602" w14:textId="77777777" w:rsidR="00F4079D" w:rsidRPr="00FB681C" w:rsidRDefault="00F4079D" w:rsidP="00537D7D">
            <w:pPr>
              <w:jc w:val="center"/>
              <w:rPr>
                <w:rFonts w:cs="Calibri"/>
                <w:color w:val="000000"/>
                <w:szCs w:val="17"/>
              </w:rPr>
            </w:pPr>
            <w:r>
              <w:rPr>
                <w:rFonts w:cs="Calibri"/>
                <w:color w:val="000000"/>
                <w:szCs w:val="17"/>
              </w:rPr>
              <w:t>5</w:t>
            </w:r>
          </w:p>
        </w:tc>
        <w:tc>
          <w:tcPr>
            <w:tcW w:w="417" w:type="pct"/>
            <w:tcBorders>
              <w:top w:val="single" w:sz="4" w:space="0" w:color="auto"/>
            </w:tcBorders>
            <w:shd w:val="clear" w:color="auto" w:fill="FFFF00"/>
            <w:noWrap/>
            <w:vAlign w:val="center"/>
          </w:tcPr>
          <w:p w14:paraId="4920DE0C" w14:textId="77777777" w:rsidR="00F4079D" w:rsidRPr="00FB681C" w:rsidRDefault="00F4079D" w:rsidP="00537D7D">
            <w:pPr>
              <w:jc w:val="center"/>
              <w:rPr>
                <w:rFonts w:cs="Calibri"/>
                <w:color w:val="000000"/>
                <w:szCs w:val="17"/>
              </w:rPr>
            </w:pPr>
            <w:r>
              <w:rPr>
                <w:rFonts w:cs="Calibri"/>
                <w:color w:val="000000"/>
                <w:szCs w:val="17"/>
              </w:rPr>
              <w:t>4</w:t>
            </w:r>
          </w:p>
        </w:tc>
        <w:tc>
          <w:tcPr>
            <w:tcW w:w="416" w:type="pct"/>
            <w:tcBorders>
              <w:top w:val="single" w:sz="4" w:space="0" w:color="auto"/>
            </w:tcBorders>
            <w:shd w:val="clear" w:color="auto" w:fill="92D050"/>
            <w:noWrap/>
            <w:vAlign w:val="center"/>
          </w:tcPr>
          <w:p w14:paraId="0CF34B9A" w14:textId="77777777" w:rsidR="00F4079D" w:rsidRPr="00FB681C" w:rsidRDefault="00F4079D" w:rsidP="00537D7D">
            <w:pPr>
              <w:jc w:val="center"/>
              <w:rPr>
                <w:rFonts w:cs="Calibri"/>
                <w:color w:val="000000"/>
                <w:szCs w:val="17"/>
              </w:rPr>
            </w:pPr>
            <w:r>
              <w:rPr>
                <w:rFonts w:cs="Calibri"/>
                <w:color w:val="000000"/>
                <w:szCs w:val="17"/>
              </w:rPr>
              <w:t>5</w:t>
            </w:r>
          </w:p>
        </w:tc>
        <w:tc>
          <w:tcPr>
            <w:tcW w:w="417" w:type="pct"/>
            <w:tcBorders>
              <w:top w:val="single" w:sz="4" w:space="0" w:color="auto"/>
            </w:tcBorders>
            <w:shd w:val="clear" w:color="auto" w:fill="92D050"/>
            <w:noWrap/>
            <w:vAlign w:val="center"/>
          </w:tcPr>
          <w:p w14:paraId="6CA8133B" w14:textId="77777777" w:rsidR="00F4079D" w:rsidRPr="00FB681C" w:rsidRDefault="00F4079D" w:rsidP="00537D7D">
            <w:pPr>
              <w:jc w:val="center"/>
              <w:rPr>
                <w:rFonts w:cs="Calibri"/>
                <w:color w:val="000000"/>
                <w:szCs w:val="17"/>
              </w:rPr>
            </w:pPr>
            <w:r w:rsidRPr="00FB681C">
              <w:rPr>
                <w:rFonts w:cs="Calibri"/>
                <w:color w:val="000000"/>
                <w:szCs w:val="17"/>
              </w:rPr>
              <w:t>5</w:t>
            </w:r>
          </w:p>
        </w:tc>
        <w:tc>
          <w:tcPr>
            <w:tcW w:w="416" w:type="pct"/>
            <w:tcBorders>
              <w:top w:val="single" w:sz="4" w:space="0" w:color="auto"/>
            </w:tcBorders>
            <w:shd w:val="clear" w:color="auto" w:fill="92D050"/>
            <w:noWrap/>
            <w:vAlign w:val="center"/>
          </w:tcPr>
          <w:p w14:paraId="06F6B8CC" w14:textId="77777777" w:rsidR="00F4079D" w:rsidRPr="00FB681C" w:rsidRDefault="00F4079D" w:rsidP="00537D7D">
            <w:pPr>
              <w:jc w:val="center"/>
              <w:rPr>
                <w:rFonts w:cs="Calibri"/>
                <w:color w:val="000000"/>
                <w:szCs w:val="17"/>
              </w:rPr>
            </w:pPr>
            <w:r w:rsidRPr="00FB681C">
              <w:rPr>
                <w:rFonts w:cs="Calibri"/>
                <w:color w:val="000000"/>
                <w:szCs w:val="17"/>
              </w:rPr>
              <w:t>5</w:t>
            </w:r>
          </w:p>
        </w:tc>
        <w:tc>
          <w:tcPr>
            <w:tcW w:w="417" w:type="pct"/>
            <w:tcBorders>
              <w:top w:val="single" w:sz="4" w:space="0" w:color="auto"/>
            </w:tcBorders>
            <w:shd w:val="clear" w:color="auto" w:fill="92D050"/>
            <w:vAlign w:val="center"/>
          </w:tcPr>
          <w:p w14:paraId="421C0F0D" w14:textId="77777777" w:rsidR="00F4079D" w:rsidRPr="00FB681C" w:rsidRDefault="00F4079D" w:rsidP="00537D7D">
            <w:pPr>
              <w:jc w:val="center"/>
              <w:rPr>
                <w:rFonts w:cs="Calibri"/>
                <w:color w:val="000000"/>
                <w:szCs w:val="17"/>
              </w:rPr>
            </w:pPr>
            <w:r>
              <w:rPr>
                <w:rFonts w:cs="Calibri"/>
                <w:color w:val="000000"/>
                <w:szCs w:val="17"/>
              </w:rPr>
              <w:t>5</w:t>
            </w:r>
          </w:p>
        </w:tc>
        <w:tc>
          <w:tcPr>
            <w:tcW w:w="412" w:type="pct"/>
            <w:tcBorders>
              <w:top w:val="single" w:sz="4" w:space="0" w:color="auto"/>
            </w:tcBorders>
            <w:shd w:val="clear" w:color="auto" w:fill="92D050"/>
            <w:vAlign w:val="center"/>
          </w:tcPr>
          <w:p w14:paraId="497A2E41" w14:textId="77777777" w:rsidR="00F4079D" w:rsidRPr="00FB681C" w:rsidRDefault="00F4079D" w:rsidP="00537D7D">
            <w:pPr>
              <w:jc w:val="center"/>
              <w:rPr>
                <w:rFonts w:cs="Calibri"/>
                <w:color w:val="000000"/>
                <w:szCs w:val="17"/>
              </w:rPr>
            </w:pPr>
            <w:r w:rsidRPr="00FB681C">
              <w:rPr>
                <w:rFonts w:cs="Calibri"/>
                <w:color w:val="000000"/>
                <w:szCs w:val="17"/>
              </w:rPr>
              <w:t>5</w:t>
            </w:r>
          </w:p>
        </w:tc>
      </w:tr>
      <w:tr w:rsidR="00F4079D" w:rsidRPr="00C61187" w14:paraId="1F582462" w14:textId="77777777" w:rsidTr="00F4079D">
        <w:trPr>
          <w:cnfStyle w:val="000000010000" w:firstRow="0" w:lastRow="0" w:firstColumn="0" w:lastColumn="0" w:oddVBand="0" w:evenVBand="0" w:oddHBand="0" w:evenHBand="1" w:firstRowFirstColumn="0" w:firstRowLastColumn="0" w:lastRowFirstColumn="0" w:lastRowLastColumn="0"/>
          <w:trHeight w:val="284"/>
        </w:trPr>
        <w:tc>
          <w:tcPr>
            <w:tcW w:w="906" w:type="pct"/>
            <w:vAlign w:val="center"/>
          </w:tcPr>
          <w:p w14:paraId="02A43832" w14:textId="77777777" w:rsidR="00F4079D" w:rsidRPr="00FB681C" w:rsidRDefault="00F4079D" w:rsidP="00537D7D">
            <w:pPr>
              <w:pStyle w:val="TableTextEntries"/>
            </w:pPr>
            <w:r w:rsidRPr="0048469F">
              <w:t>INJ251 - UN Maternal and Neonatal Mortality Reduction</w:t>
            </w:r>
          </w:p>
        </w:tc>
        <w:tc>
          <w:tcPr>
            <w:tcW w:w="659" w:type="pct"/>
            <w:vAlign w:val="center"/>
          </w:tcPr>
          <w:p w14:paraId="710C9AB9" w14:textId="77777777" w:rsidR="00F4079D" w:rsidRPr="0048469F" w:rsidRDefault="00F4079D" w:rsidP="00537D7D">
            <w:pPr>
              <w:pStyle w:val="TableTextEntries"/>
              <w:spacing w:before="0" w:after="0" w:line="240" w:lineRule="auto"/>
              <w:jc w:val="center"/>
            </w:pPr>
            <w:r>
              <w:t>AUD20,085</w:t>
            </w:r>
            <w:r w:rsidRPr="0048469F">
              <w:t>,</w:t>
            </w:r>
            <w:r>
              <w:t>457.31</w:t>
            </w:r>
          </w:p>
          <w:p w14:paraId="0B988CC5" w14:textId="77777777" w:rsidR="00F4079D" w:rsidRPr="00FB681C" w:rsidRDefault="00F4079D" w:rsidP="00537D7D">
            <w:pPr>
              <w:pStyle w:val="TableTextEntries"/>
              <w:jc w:val="center"/>
            </w:pPr>
            <w:r w:rsidRPr="0048469F">
              <w:t>30/05/10 - 30/06/16</w:t>
            </w:r>
          </w:p>
        </w:tc>
        <w:tc>
          <w:tcPr>
            <w:tcW w:w="417" w:type="pct"/>
            <w:tcBorders>
              <w:bottom w:val="single" w:sz="12" w:space="0" w:color="000000" w:themeColor="text1"/>
            </w:tcBorders>
            <w:shd w:val="clear" w:color="auto" w:fill="92D050"/>
            <w:noWrap/>
            <w:vAlign w:val="center"/>
          </w:tcPr>
          <w:p w14:paraId="765D18C9" w14:textId="77777777" w:rsidR="00F4079D" w:rsidRPr="00FB681C" w:rsidRDefault="00F4079D" w:rsidP="00537D7D">
            <w:pPr>
              <w:jc w:val="center"/>
              <w:rPr>
                <w:rFonts w:cs="Calibri"/>
                <w:color w:val="000000"/>
                <w:szCs w:val="17"/>
              </w:rPr>
            </w:pPr>
            <w:r w:rsidRPr="00FB681C">
              <w:rPr>
                <w:rFonts w:cs="Calibri"/>
                <w:color w:val="000000"/>
                <w:szCs w:val="17"/>
              </w:rPr>
              <w:t>5</w:t>
            </w:r>
          </w:p>
        </w:tc>
        <w:tc>
          <w:tcPr>
            <w:tcW w:w="416" w:type="pct"/>
            <w:tcBorders>
              <w:bottom w:val="single" w:sz="12" w:space="0" w:color="000000" w:themeColor="text1"/>
            </w:tcBorders>
            <w:shd w:val="clear" w:color="auto" w:fill="92D050"/>
            <w:noWrap/>
            <w:vAlign w:val="center"/>
          </w:tcPr>
          <w:p w14:paraId="6C8CD233" w14:textId="77777777" w:rsidR="00F4079D" w:rsidRPr="00FB681C" w:rsidRDefault="00F4079D" w:rsidP="00537D7D">
            <w:pPr>
              <w:jc w:val="center"/>
              <w:rPr>
                <w:rFonts w:cs="Calibri"/>
                <w:color w:val="000000"/>
                <w:szCs w:val="17"/>
              </w:rPr>
            </w:pPr>
            <w:r w:rsidRPr="00FB681C">
              <w:rPr>
                <w:rFonts w:cs="Calibri"/>
                <w:color w:val="000000"/>
                <w:szCs w:val="17"/>
              </w:rPr>
              <w:t>5</w:t>
            </w:r>
          </w:p>
        </w:tc>
        <w:tc>
          <w:tcPr>
            <w:tcW w:w="417" w:type="pct"/>
            <w:tcBorders>
              <w:bottom w:val="single" w:sz="12" w:space="0" w:color="000000" w:themeColor="text1"/>
            </w:tcBorders>
            <w:shd w:val="clear" w:color="auto" w:fill="92D050"/>
            <w:noWrap/>
            <w:vAlign w:val="center"/>
          </w:tcPr>
          <w:p w14:paraId="7168E00B" w14:textId="77777777" w:rsidR="00F4079D" w:rsidRPr="00FB681C" w:rsidRDefault="00F4079D" w:rsidP="00537D7D">
            <w:pPr>
              <w:jc w:val="center"/>
              <w:rPr>
                <w:rFonts w:cs="Calibri"/>
                <w:color w:val="000000"/>
                <w:szCs w:val="17"/>
              </w:rPr>
            </w:pPr>
            <w:r>
              <w:rPr>
                <w:rFonts w:cs="Calibri"/>
                <w:color w:val="000000"/>
                <w:szCs w:val="17"/>
              </w:rPr>
              <w:t>5</w:t>
            </w:r>
          </w:p>
        </w:tc>
        <w:tc>
          <w:tcPr>
            <w:tcW w:w="416" w:type="pct"/>
            <w:tcBorders>
              <w:bottom w:val="single" w:sz="12" w:space="0" w:color="000000" w:themeColor="text1"/>
            </w:tcBorders>
            <w:shd w:val="clear" w:color="auto" w:fill="FFFF00"/>
            <w:noWrap/>
            <w:vAlign w:val="center"/>
          </w:tcPr>
          <w:p w14:paraId="5F67E707" w14:textId="77777777" w:rsidR="00F4079D" w:rsidRPr="00FB681C" w:rsidRDefault="00F4079D" w:rsidP="00537D7D">
            <w:pPr>
              <w:jc w:val="center"/>
              <w:rPr>
                <w:rFonts w:cs="Calibri"/>
                <w:color w:val="000000"/>
                <w:szCs w:val="17"/>
              </w:rPr>
            </w:pPr>
            <w:r w:rsidRPr="00FB681C">
              <w:rPr>
                <w:rFonts w:cs="Calibri"/>
                <w:color w:val="000000"/>
                <w:szCs w:val="17"/>
              </w:rPr>
              <w:t>4</w:t>
            </w:r>
          </w:p>
        </w:tc>
        <w:tc>
          <w:tcPr>
            <w:tcW w:w="417" w:type="pct"/>
            <w:tcBorders>
              <w:bottom w:val="single" w:sz="12" w:space="0" w:color="000000" w:themeColor="text1"/>
            </w:tcBorders>
            <w:shd w:val="clear" w:color="auto" w:fill="92D050"/>
            <w:noWrap/>
            <w:vAlign w:val="center"/>
          </w:tcPr>
          <w:p w14:paraId="3016DA13" w14:textId="77777777" w:rsidR="00F4079D" w:rsidRPr="00FB681C" w:rsidRDefault="00F4079D" w:rsidP="00537D7D">
            <w:pPr>
              <w:jc w:val="center"/>
              <w:rPr>
                <w:rFonts w:cs="Calibri"/>
                <w:color w:val="000000"/>
                <w:szCs w:val="17"/>
              </w:rPr>
            </w:pPr>
            <w:r w:rsidRPr="00FB681C">
              <w:rPr>
                <w:rFonts w:cs="Calibri"/>
                <w:color w:val="000000"/>
                <w:szCs w:val="17"/>
              </w:rPr>
              <w:t>5</w:t>
            </w:r>
          </w:p>
        </w:tc>
        <w:tc>
          <w:tcPr>
            <w:tcW w:w="416" w:type="pct"/>
            <w:tcBorders>
              <w:bottom w:val="single" w:sz="12" w:space="0" w:color="000000" w:themeColor="text1"/>
            </w:tcBorders>
            <w:shd w:val="clear" w:color="auto" w:fill="92D050"/>
            <w:noWrap/>
            <w:vAlign w:val="center"/>
          </w:tcPr>
          <w:p w14:paraId="77B8DF45" w14:textId="77777777" w:rsidR="00F4079D" w:rsidRPr="00FB681C" w:rsidRDefault="00F4079D" w:rsidP="00537D7D">
            <w:pPr>
              <w:jc w:val="center"/>
              <w:rPr>
                <w:rFonts w:cs="Calibri"/>
                <w:color w:val="000000"/>
                <w:szCs w:val="17"/>
              </w:rPr>
            </w:pPr>
            <w:r w:rsidRPr="00FB681C">
              <w:rPr>
                <w:rFonts w:cs="Calibri"/>
                <w:color w:val="000000"/>
                <w:szCs w:val="17"/>
              </w:rPr>
              <w:t>5</w:t>
            </w:r>
          </w:p>
        </w:tc>
        <w:tc>
          <w:tcPr>
            <w:tcW w:w="417" w:type="pct"/>
            <w:tcBorders>
              <w:bottom w:val="single" w:sz="12" w:space="0" w:color="000000" w:themeColor="text1"/>
            </w:tcBorders>
            <w:shd w:val="clear" w:color="auto" w:fill="92D050"/>
            <w:vAlign w:val="center"/>
          </w:tcPr>
          <w:p w14:paraId="0A5A4824" w14:textId="77777777" w:rsidR="00F4079D" w:rsidRPr="00FB681C" w:rsidRDefault="00F4079D" w:rsidP="00537D7D">
            <w:pPr>
              <w:jc w:val="center"/>
              <w:rPr>
                <w:rFonts w:cs="Calibri"/>
                <w:color w:val="000000"/>
                <w:szCs w:val="17"/>
              </w:rPr>
            </w:pPr>
            <w:r>
              <w:rPr>
                <w:rFonts w:cs="Calibri"/>
                <w:color w:val="000000"/>
                <w:szCs w:val="17"/>
              </w:rPr>
              <w:t>5</w:t>
            </w:r>
          </w:p>
        </w:tc>
        <w:tc>
          <w:tcPr>
            <w:tcW w:w="412" w:type="pct"/>
            <w:tcBorders>
              <w:bottom w:val="single" w:sz="12" w:space="0" w:color="000000" w:themeColor="text1"/>
            </w:tcBorders>
            <w:shd w:val="clear" w:color="auto" w:fill="92D050"/>
            <w:vAlign w:val="center"/>
          </w:tcPr>
          <w:p w14:paraId="448E3A1C" w14:textId="77777777" w:rsidR="00F4079D" w:rsidRPr="00FB681C" w:rsidRDefault="00F4079D" w:rsidP="00537D7D">
            <w:pPr>
              <w:jc w:val="center"/>
              <w:rPr>
                <w:rFonts w:cs="Calibri"/>
                <w:color w:val="000000"/>
                <w:szCs w:val="17"/>
              </w:rPr>
            </w:pPr>
            <w:r w:rsidRPr="00FB681C">
              <w:rPr>
                <w:rFonts w:cs="Calibri"/>
                <w:color w:val="000000"/>
                <w:szCs w:val="17"/>
              </w:rPr>
              <w:t>5</w:t>
            </w:r>
          </w:p>
        </w:tc>
      </w:tr>
    </w:tbl>
    <w:p w14:paraId="13787FC6" w14:textId="77777777" w:rsidR="00400B0F" w:rsidRPr="00A20667" w:rsidRDefault="00400B0F" w:rsidP="00400B0F">
      <w:pPr>
        <w:spacing w:before="20" w:after="20" w:line="180" w:lineRule="atLeast"/>
        <w:jc w:val="both"/>
        <w:rPr>
          <w:rFonts w:eastAsia="Times New Roman"/>
          <w:b/>
          <w:color w:val="auto"/>
          <w:sz w:val="16"/>
          <w:szCs w:val="14"/>
        </w:rPr>
      </w:pPr>
      <w:r w:rsidRPr="00A20667">
        <w:rPr>
          <w:rFonts w:eastAsia="Times New Roman"/>
          <w:b/>
          <w:color w:val="auto"/>
          <w:sz w:val="16"/>
          <w:szCs w:val="14"/>
        </w:rPr>
        <w:t>Definitions of rating scale:</w:t>
      </w:r>
      <w:r w:rsidRPr="00A20667">
        <w:rPr>
          <w:rFonts w:eastAsia="Times New Roman"/>
          <w:b/>
          <w:color w:val="auto"/>
          <w:sz w:val="16"/>
          <w:szCs w:val="14"/>
        </w:rPr>
        <w:tab/>
        <w:t>Satisfactory (4, 5 and 6)</w:t>
      </w:r>
    </w:p>
    <w:p w14:paraId="10CA7CF0" w14:textId="77777777"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xml:space="preserve"> </w:t>
      </w:r>
      <w:r w:rsidRPr="00A20667">
        <w:rPr>
          <w:rFonts w:eastAsia="Times New Roman"/>
          <w:b/>
          <w:color w:val="auto"/>
          <w:sz w:val="16"/>
          <w:szCs w:val="14"/>
        </w:rPr>
        <w:t>6 = Very good; satisfies criteria in all areas.</w:t>
      </w:r>
      <w:r w:rsidRPr="00880004">
        <w:rPr>
          <w:rFonts w:eastAsia="Times New Roman"/>
          <w:b/>
          <w:sz w:val="16"/>
          <w:szCs w:val="14"/>
        </w:rPr>
        <w:t xml:space="preserve">  </w:t>
      </w:r>
      <w:r w:rsidRPr="00880004">
        <w:rPr>
          <w:rFonts w:eastAsia="Times New Roman"/>
          <w:b/>
          <w:color w:val="72AF2F"/>
          <w:sz w:val="16"/>
          <w:szCs w:val="14"/>
        </w:rPr>
        <w:sym w:font="Webdings" w:char="F067"/>
      </w:r>
      <w:r w:rsidRPr="00880004">
        <w:rPr>
          <w:rFonts w:eastAsia="Times New Roman"/>
          <w:b/>
          <w:sz w:val="16"/>
          <w:szCs w:val="14"/>
        </w:rPr>
        <w:t xml:space="preserve"> </w:t>
      </w:r>
      <w:r w:rsidRPr="00A20667">
        <w:rPr>
          <w:rFonts w:eastAsia="Times New Roman"/>
          <w:b/>
          <w:color w:val="auto"/>
          <w:sz w:val="16"/>
          <w:szCs w:val="14"/>
        </w:rPr>
        <w:t>5 = Good; satisfies criteria in almost all areas.</w:t>
      </w:r>
    </w:p>
    <w:p w14:paraId="4327CAE5" w14:textId="77777777" w:rsidR="00400B0F" w:rsidRPr="00A20667" w:rsidRDefault="00400B0F" w:rsidP="00400B0F">
      <w:pPr>
        <w:spacing w:before="20" w:after="20" w:line="180" w:lineRule="atLeast"/>
        <w:jc w:val="both"/>
        <w:rPr>
          <w:rFonts w:eastAsia="Times New Roman"/>
          <w:b/>
          <w:color w:val="auto"/>
          <w:sz w:val="16"/>
          <w:szCs w:val="14"/>
        </w:rPr>
      </w:pPr>
      <w:r w:rsidRPr="00880004">
        <w:rPr>
          <w:rFonts w:eastAsia="Times New Roman"/>
          <w:b/>
          <w:color w:val="FFFF00"/>
          <w:sz w:val="16"/>
          <w:szCs w:val="14"/>
        </w:rPr>
        <w:sym w:font="Webdings" w:char="F067"/>
      </w:r>
      <w:r w:rsidRPr="00880004">
        <w:rPr>
          <w:rFonts w:eastAsia="Times New Roman"/>
          <w:b/>
          <w:sz w:val="16"/>
          <w:szCs w:val="14"/>
        </w:rPr>
        <w:t xml:space="preserve"> </w:t>
      </w:r>
      <w:r w:rsidRPr="00A20667">
        <w:rPr>
          <w:rFonts w:eastAsia="Times New Roman"/>
          <w:b/>
          <w:color w:val="auto"/>
          <w:sz w:val="16"/>
          <w:szCs w:val="14"/>
        </w:rPr>
        <w:t>4 = Adequate; on balance, satisfies criteria; does not fail in any major area.</w:t>
      </w:r>
    </w:p>
    <w:p w14:paraId="689F8682" w14:textId="77777777" w:rsidR="00400B0F" w:rsidRPr="00A20667" w:rsidRDefault="00400B0F" w:rsidP="00400B0F">
      <w:pPr>
        <w:spacing w:before="20" w:after="20" w:line="180" w:lineRule="atLeast"/>
        <w:jc w:val="both"/>
        <w:rPr>
          <w:rFonts w:eastAsia="Times New Roman"/>
          <w:b/>
          <w:color w:val="auto"/>
          <w:sz w:val="16"/>
          <w:szCs w:val="14"/>
        </w:rPr>
      </w:pPr>
      <w:r w:rsidRPr="00A20667">
        <w:rPr>
          <w:rFonts w:eastAsia="Times New Roman"/>
          <w:b/>
          <w:color w:val="auto"/>
          <w:sz w:val="16"/>
          <w:szCs w:val="14"/>
        </w:rPr>
        <w:t>Less than satisfactory (1, 2 and 3)</w:t>
      </w:r>
    </w:p>
    <w:p w14:paraId="4AF828D4" w14:textId="77777777" w:rsidR="00400B0F" w:rsidRPr="00A20667" w:rsidRDefault="00400B0F" w:rsidP="00400B0F">
      <w:pPr>
        <w:spacing w:before="20" w:after="20" w:line="180" w:lineRule="atLeast"/>
        <w:jc w:val="both"/>
        <w:rPr>
          <w:rFonts w:eastAsia="Times New Roman"/>
          <w:b/>
          <w:color w:val="auto"/>
          <w:sz w:val="16"/>
          <w:szCs w:val="14"/>
        </w:rPr>
      </w:pPr>
      <w:r w:rsidRPr="00880004">
        <w:rPr>
          <w:rFonts w:eastAsia="Times New Roman"/>
          <w:b/>
          <w:color w:val="E36C0A"/>
          <w:sz w:val="16"/>
          <w:szCs w:val="14"/>
        </w:rPr>
        <w:sym w:font="Webdings" w:char="F067"/>
      </w:r>
      <w:r w:rsidRPr="00880004">
        <w:rPr>
          <w:rFonts w:eastAsia="Times New Roman"/>
          <w:b/>
          <w:color w:val="E36C0A"/>
          <w:sz w:val="16"/>
          <w:szCs w:val="14"/>
        </w:rPr>
        <w:t xml:space="preserve"> </w:t>
      </w:r>
      <w:r w:rsidRPr="00A20667">
        <w:rPr>
          <w:rFonts w:eastAsia="Times New Roman"/>
          <w:b/>
          <w:color w:val="auto"/>
          <w:sz w:val="16"/>
          <w:szCs w:val="14"/>
        </w:rPr>
        <w:t>3 = Less than adequate; on balance does not satisfy criteria and/or fails in at least one major area.</w:t>
      </w:r>
    </w:p>
    <w:p w14:paraId="2D4333AB" w14:textId="09E6A3F6" w:rsidR="004E0264" w:rsidRPr="00A20667" w:rsidRDefault="00400B0F" w:rsidP="00784031">
      <w:pPr>
        <w:spacing w:before="20" w:after="20" w:line="180" w:lineRule="atLeast"/>
        <w:rPr>
          <w:rFonts w:eastAsia="Times New Roman"/>
          <w:b/>
          <w:color w:val="auto"/>
          <w:sz w:val="16"/>
          <w:szCs w:val="14"/>
        </w:rPr>
      </w:pPr>
      <w:r w:rsidRPr="00880004">
        <w:rPr>
          <w:rFonts w:eastAsia="Times New Roman"/>
          <w:b/>
          <w:color w:val="FF0000"/>
          <w:sz w:val="16"/>
          <w:szCs w:val="14"/>
        </w:rPr>
        <w:sym w:font="Webdings" w:char="F067"/>
      </w:r>
      <w:r w:rsidRPr="00880004">
        <w:rPr>
          <w:rFonts w:eastAsia="Times New Roman"/>
          <w:b/>
          <w:sz w:val="16"/>
          <w:szCs w:val="14"/>
        </w:rPr>
        <w:t xml:space="preserve"> </w:t>
      </w:r>
      <w:r w:rsidRPr="00A20667">
        <w:rPr>
          <w:rFonts w:eastAsia="Times New Roman"/>
          <w:b/>
          <w:color w:val="auto"/>
          <w:sz w:val="16"/>
          <w:szCs w:val="14"/>
        </w:rPr>
        <w:t xml:space="preserve">2 = Poor; does not satisfy criteria in major areas.  </w:t>
      </w:r>
      <w:r w:rsidRPr="00880004">
        <w:rPr>
          <w:rFonts w:eastAsia="Times New Roman"/>
          <w:b/>
          <w:color w:val="FF0000"/>
          <w:sz w:val="16"/>
          <w:szCs w:val="14"/>
        </w:rPr>
        <w:sym w:font="Webdings" w:char="F067"/>
      </w:r>
      <w:r w:rsidRPr="00880004">
        <w:rPr>
          <w:rFonts w:eastAsia="Times New Roman"/>
          <w:b/>
          <w:sz w:val="16"/>
          <w:szCs w:val="14"/>
        </w:rPr>
        <w:t xml:space="preserve"> </w:t>
      </w:r>
      <w:r w:rsidRPr="00A20667">
        <w:rPr>
          <w:rFonts w:eastAsia="Times New Roman"/>
          <w:b/>
          <w:color w:val="auto"/>
          <w:sz w:val="16"/>
          <w:szCs w:val="14"/>
        </w:rPr>
        <w:t>1 = Very poor; does not satisfy criteria in many major area</w:t>
      </w:r>
      <w:r w:rsidR="00A20667">
        <w:rPr>
          <w:rFonts w:eastAsia="Times New Roman"/>
          <w:b/>
          <w:color w:val="auto"/>
          <w:sz w:val="16"/>
          <w:szCs w:val="14"/>
        </w:rPr>
        <w:t>s</w:t>
      </w:r>
      <w:r w:rsidRPr="00A20667">
        <w:rPr>
          <w:rFonts w:eastAsia="Times New Roman"/>
          <w:b/>
          <w:color w:val="auto"/>
          <w:sz w:val="16"/>
          <w:szCs w:val="14"/>
        </w:rPr>
        <w:t>.</w:t>
      </w:r>
    </w:p>
    <w:p w14:paraId="0621FB1F" w14:textId="77777777" w:rsidR="004E0264" w:rsidRDefault="004E0264" w:rsidP="004E0264">
      <w:r>
        <w:br w:type="page"/>
      </w:r>
    </w:p>
    <w:p w14:paraId="1D0D830A" w14:textId="77777777" w:rsidR="00400B0F" w:rsidRPr="00A20667" w:rsidRDefault="00400B0F" w:rsidP="00784031">
      <w:pPr>
        <w:rPr>
          <w:color w:val="auto"/>
          <w:sz w:val="18"/>
          <w:szCs w:val="18"/>
        </w:rPr>
      </w:pPr>
    </w:p>
    <w:sectPr w:rsidR="00400B0F" w:rsidRPr="00A20667" w:rsidSect="0031491F">
      <w:headerReference w:type="default" r:id="rId22"/>
      <w:pgSz w:w="16838" w:h="11906" w:orient="landscape" w:code="9"/>
      <w:pgMar w:top="1134" w:right="1527" w:bottom="1134" w:left="851" w:header="1418" w:footer="267" w:gutter="0"/>
      <w:pgBorders w:offsetFrom="page">
        <w:top w:val="single" w:sz="4" w:space="24" w:color="auto"/>
      </w:pgBorders>
      <w:cols w:space="397"/>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E2E909" w15:done="0"/>
  <w15:commentEx w15:paraId="76892966" w15:done="0"/>
  <w15:commentEx w15:paraId="1EBACB9E" w15:done="0"/>
  <w15:commentEx w15:paraId="7A14D94B" w15:done="0"/>
  <w15:commentEx w15:paraId="71C1C158" w15:done="0"/>
  <w15:commentEx w15:paraId="6259AD6A" w15:done="0"/>
  <w15:commentEx w15:paraId="1263EE27" w15:done="0"/>
  <w15:commentEx w15:paraId="06A724CA" w15:done="0"/>
  <w15:commentEx w15:paraId="3432802F" w15:paraIdParent="06A724CA" w15:done="0"/>
  <w15:commentEx w15:paraId="7771F544" w15:done="0"/>
  <w15:commentEx w15:paraId="6EB6E7DC" w15:done="0"/>
  <w15:commentEx w15:paraId="6AD7EB0C" w15:done="0"/>
  <w15:commentEx w15:paraId="0C48C66D" w15:done="0"/>
  <w15:commentEx w15:paraId="25A1C1E2" w15:done="0"/>
  <w15:commentEx w15:paraId="2D7476D1" w15:done="0"/>
  <w15:commentEx w15:paraId="0C270155" w15:done="0"/>
  <w15:commentEx w15:paraId="6718F09F" w15:paraIdParent="0C270155" w15:done="0"/>
  <w15:commentEx w15:paraId="4E5AD8FB" w15:paraIdParent="0C270155" w15:done="0"/>
  <w15:commentEx w15:paraId="435367C8" w15:done="0"/>
  <w15:commentEx w15:paraId="29E9B6D6" w15:done="0"/>
  <w15:commentEx w15:paraId="17CF4FB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41CEEA" w14:textId="77777777" w:rsidR="00DD7513" w:rsidRDefault="00DD7513" w:rsidP="00EF4574">
      <w:pPr>
        <w:spacing w:before="0" w:after="0" w:line="240" w:lineRule="auto"/>
      </w:pPr>
      <w:r>
        <w:separator/>
      </w:r>
    </w:p>
  </w:endnote>
  <w:endnote w:type="continuationSeparator" w:id="0">
    <w:p w14:paraId="77BB57DA" w14:textId="77777777" w:rsidR="00DD7513" w:rsidRDefault="00DD7513" w:rsidP="00EF4574">
      <w:pPr>
        <w:spacing w:before="0" w:after="0" w:line="240" w:lineRule="auto"/>
      </w:pPr>
      <w:r>
        <w:continuationSeparator/>
      </w:r>
    </w:p>
  </w:endnote>
  <w:endnote w:type="continuationNotice" w:id="1">
    <w:p w14:paraId="79B2C80A" w14:textId="77777777" w:rsidR="00DD7513" w:rsidRDefault="00DD7513">
      <w:pPr>
        <w:spacing w:before="0" w:after="0" w:line="240" w:lineRule="auto"/>
      </w:pPr>
    </w:p>
  </w:endnote>
  <w:endnote w:id="2">
    <w:p w14:paraId="1667FA83" w14:textId="78E1BE06" w:rsidR="00DD7513" w:rsidRPr="002B64D3" w:rsidRDefault="00DD7513">
      <w:pPr>
        <w:pStyle w:val="EndnoteText"/>
        <w:rPr>
          <w:color w:val="auto"/>
          <w:lang w:val="en-AU"/>
        </w:rPr>
      </w:pPr>
      <w:r w:rsidRPr="002B64D3">
        <w:rPr>
          <w:rStyle w:val="EndnoteReference"/>
          <w:color w:val="auto"/>
        </w:rPr>
        <w:endnoteRef/>
      </w:r>
      <w:r w:rsidRPr="002B64D3">
        <w:rPr>
          <w:color w:val="auto"/>
        </w:rPr>
        <w:t xml:space="preserve"> ADB Philippines: Economy, </w:t>
      </w:r>
      <w:hyperlink r:id="rId1" w:history="1">
        <w:r w:rsidRPr="002B64D3">
          <w:rPr>
            <w:rStyle w:val="Hyperlink"/>
            <w:rFonts w:cstheme="minorBidi"/>
          </w:rPr>
          <w:t>http://www.adb.org/countries/philippines/economy</w:t>
        </w:r>
      </w:hyperlink>
    </w:p>
  </w:endnote>
  <w:endnote w:id="3">
    <w:p w14:paraId="6E6D0650" w14:textId="77777777" w:rsidR="00DD7513" w:rsidRPr="002B64D3" w:rsidRDefault="00DD7513" w:rsidP="003B705B">
      <w:pPr>
        <w:pStyle w:val="EndnoteText"/>
        <w:rPr>
          <w:color w:val="auto"/>
          <w:lang w:val="en-AU"/>
        </w:rPr>
      </w:pPr>
      <w:r w:rsidRPr="002B64D3">
        <w:rPr>
          <w:rStyle w:val="EndnoteReference"/>
          <w:color w:val="auto"/>
        </w:rPr>
        <w:endnoteRef/>
      </w:r>
      <w:r w:rsidRPr="002B64D3">
        <w:rPr>
          <w:color w:val="auto"/>
        </w:rPr>
        <w:t xml:space="preserve"> </w:t>
      </w:r>
      <w:r w:rsidRPr="002B64D3">
        <w:rPr>
          <w:color w:val="auto"/>
          <w:lang w:val="en-AU"/>
        </w:rPr>
        <w:t xml:space="preserve">Philippine Statistics Authority, March 2016  </w:t>
      </w:r>
      <w:hyperlink r:id="rId2" w:history="1">
        <w:r w:rsidRPr="002B64D3">
          <w:rPr>
            <w:rStyle w:val="Hyperlink"/>
            <w:rFonts w:cstheme="minorBidi"/>
            <w:lang w:val="en-AU"/>
          </w:rPr>
          <w:t>https://psa.gov.ph/content/poverty-incidence-among-filipinos-registered-263-first-semester-2015-psa</w:t>
        </w:r>
      </w:hyperlink>
      <w:r w:rsidRPr="002B64D3">
        <w:rPr>
          <w:color w:val="auto"/>
          <w:lang w:val="en-AU"/>
        </w:rPr>
        <w:t xml:space="preserve">  </w:t>
      </w:r>
    </w:p>
  </w:endnote>
  <w:endnote w:id="4">
    <w:p w14:paraId="60D987EC" w14:textId="77777777" w:rsidR="00DD7513" w:rsidRPr="002B64D3" w:rsidRDefault="00DD7513" w:rsidP="002B64D3">
      <w:pPr>
        <w:pStyle w:val="EndnoteText"/>
        <w:rPr>
          <w:rFonts w:ascii="Calibri" w:hAnsi="Calibri"/>
          <w:color w:val="auto"/>
        </w:rPr>
      </w:pPr>
      <w:r w:rsidRPr="002B64D3">
        <w:rPr>
          <w:rStyle w:val="EndnoteReference"/>
          <w:rFonts w:ascii="Calibri" w:hAnsi="Calibri"/>
          <w:color w:val="auto"/>
        </w:rPr>
        <w:endnoteRef/>
      </w:r>
      <w:r w:rsidRPr="002B64D3">
        <w:rPr>
          <w:color w:val="auto"/>
        </w:rPr>
        <w:t xml:space="preserve">  Accessed July 2014 for the Investing in DRR Strategy for Manila Post: </w:t>
      </w:r>
      <w:hyperlink r:id="rId3" w:history="1">
        <w:r w:rsidRPr="002B64D3">
          <w:rPr>
            <w:rStyle w:val="Hyperlink"/>
            <w:rFonts w:ascii="Calibri" w:hAnsi="Calibri"/>
            <w:sz w:val="18"/>
            <w:szCs w:val="18"/>
          </w:rPr>
          <w:t>http://www.emdat.be/result-country-profile?disgroup=natural&amp;country=phl&amp;period=1900$2014</w:t>
        </w:r>
      </w:hyperlink>
      <w:r w:rsidRPr="002B64D3">
        <w:rPr>
          <w:rFonts w:ascii="Times New Roman" w:hAnsi="Times New Roman"/>
          <w:color w:val="auto"/>
          <w:sz w:val="18"/>
          <w:szCs w:val="18"/>
        </w:rPr>
        <w:t>.</w:t>
      </w:r>
      <w:r w:rsidRPr="002B64D3">
        <w:rPr>
          <w:rFonts w:ascii="Segoe UI" w:hAnsi="Segoe UI" w:cs="Segoe UI"/>
          <w:color w:val="auto"/>
        </w:rPr>
        <w:t xml:space="preserve">  </w:t>
      </w:r>
    </w:p>
  </w:endnote>
  <w:endnote w:id="5">
    <w:p w14:paraId="10C8A092" w14:textId="7D155E4D" w:rsidR="00DD7513" w:rsidRPr="00562088" w:rsidRDefault="00DD7513">
      <w:pPr>
        <w:pStyle w:val="EndnoteText"/>
        <w:rPr>
          <w:lang w:val="en-AU"/>
        </w:rPr>
      </w:pPr>
      <w:r w:rsidRPr="002B64D3">
        <w:rPr>
          <w:rStyle w:val="EndnoteReference"/>
          <w:color w:val="auto"/>
        </w:rPr>
        <w:endnoteRef/>
      </w:r>
      <w:r w:rsidRPr="002B64D3">
        <w:rPr>
          <w:color w:val="auto"/>
        </w:rPr>
        <w:t xml:space="preserve"> </w:t>
      </w:r>
      <w:r w:rsidRPr="002B64D3">
        <w:rPr>
          <w:color w:val="auto"/>
          <w:lang w:val="en-AU"/>
        </w:rPr>
        <w:t>The previous year’s aid investment objectives in the Philippines were partnering on education reforms; enhancing the foundations for sustained economic growth; promoting better disaster preparedness and response; improving conditions for peace and security; and building stronger institutions for accountable and inclusive governance. Rating for these objectives last year were all rated green. With the change of objectives in this year, the objective ratings for this year are not directly comparable with that for the previous year, the priorities covered by the objectives for both years are broadly comparable. The first three objectives from last year outlined above are now captured under the current AIP objective one of “enhancing</w:t>
      </w:r>
      <w:r w:rsidRPr="002B64D3">
        <w:rPr>
          <w:bCs/>
          <w:color w:val="auto"/>
        </w:rPr>
        <w:t xml:space="preserve"> the foundations for economic growth”.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Webdings">
    <w:panose1 w:val="05030102010509060703"/>
    <w:charset w:val="02"/>
    <w:family w:val="roman"/>
    <w:pitch w:val="variable"/>
    <w:sig w:usb0="00000000" w:usb1="10000000" w:usb2="00000000" w:usb3="00000000" w:csb0="80000000" w:csb1="00000000"/>
  </w:font>
  <w:font w:name="Source Sans Pr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593E7" w14:textId="77777777" w:rsidR="00BC490F" w:rsidRDefault="00BC49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BB919" w14:textId="77777777" w:rsidR="00DD7513" w:rsidRPr="00CD0E4B" w:rsidRDefault="00DD7513" w:rsidP="00C406F0">
    <w:pPr>
      <w:pStyle w:val="Footer"/>
    </w:pPr>
    <w:r w:rsidRPr="00CD0E4B">
      <w:rPr>
        <w:noProof/>
        <w:lang w:val="en-AU" w:eastAsia="en-AU"/>
      </w:rPr>
      <w:drawing>
        <wp:inline distT="0" distB="0" distL="0" distR="0" wp14:anchorId="1C10C906" wp14:editId="4AFCB489">
          <wp:extent cx="90000" cy="74520"/>
          <wp:effectExtent l="0" t="0" r="571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14:paraId="4F98EE5D" w14:textId="77777777" w:rsidR="00DD7513" w:rsidRDefault="00DD7513">
    <w:pPr>
      <w:pStyle w:val="Footer"/>
    </w:pPr>
    <w:r w:rsidRPr="00CD0E4B">
      <w:rPr>
        <w:color w:val="ACD08C" w:themeColor="accent3"/>
      </w:rPr>
      <w:t>DFAT.GOV.AU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2B67A" w14:textId="77777777" w:rsidR="00BC490F" w:rsidRDefault="00BC490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0144E" w14:textId="77777777" w:rsidR="00DD7513" w:rsidRPr="00CD0E4B" w:rsidRDefault="00DD7513" w:rsidP="00784031">
    <w:pPr>
      <w:pStyle w:val="Footer"/>
    </w:pPr>
    <w:r w:rsidRPr="00CD0E4B">
      <w:rPr>
        <w:noProof/>
        <w:lang w:val="en-AU" w:eastAsia="en-AU"/>
      </w:rPr>
      <w:drawing>
        <wp:inline distT="0" distB="0" distL="0" distR="0" wp14:anchorId="60928737" wp14:editId="705A33E7">
          <wp:extent cx="90000" cy="74520"/>
          <wp:effectExtent l="0" t="0" r="5715"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14:paraId="42E7DAC3" w14:textId="77777777" w:rsidR="00DD7513" w:rsidRPr="00CD0E4B" w:rsidRDefault="00DD7513" w:rsidP="00784031">
    <w:pPr>
      <w:pStyle w:val="Footer"/>
      <w:rPr>
        <w:color w:val="ACD08C" w:themeColor="accent3"/>
      </w:rPr>
    </w:pPr>
    <w:r w:rsidRPr="00CD0E4B">
      <w:rPr>
        <w:color w:val="ACD08C" w:themeColor="accent3"/>
      </w:rPr>
      <w:t>DFAT.GOV.AU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91D1B3" w14:textId="77777777" w:rsidR="00DD7513" w:rsidRPr="008C5A0E" w:rsidRDefault="00DD7513" w:rsidP="001D663E">
      <w:pPr>
        <w:pStyle w:val="Footer"/>
        <w:pBdr>
          <w:top w:val="single" w:sz="4" w:space="1" w:color="495965" w:themeColor="text2"/>
        </w:pBdr>
      </w:pPr>
    </w:p>
  </w:footnote>
  <w:footnote w:type="continuationSeparator" w:id="0">
    <w:p w14:paraId="4781AD72" w14:textId="77777777" w:rsidR="00DD7513" w:rsidRDefault="00DD7513" w:rsidP="00EF4574">
      <w:pPr>
        <w:spacing w:before="0" w:after="0" w:line="240" w:lineRule="auto"/>
      </w:pPr>
      <w:r>
        <w:continuationSeparator/>
      </w:r>
    </w:p>
  </w:footnote>
  <w:footnote w:type="continuationNotice" w:id="1">
    <w:p w14:paraId="5BFA0BC6" w14:textId="77777777" w:rsidR="00DD7513" w:rsidRDefault="00DD7513">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7CE28" w14:textId="77777777" w:rsidR="00BC490F" w:rsidRDefault="00BC49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633721"/>
      <w:docPartObj>
        <w:docPartGallery w:val="Page Numbers (Top of Page)"/>
        <w:docPartUnique/>
      </w:docPartObj>
    </w:sdtPr>
    <w:sdtEndPr>
      <w:rPr>
        <w:noProof/>
      </w:rPr>
    </w:sdtEndPr>
    <w:sdtContent>
      <w:p w14:paraId="52DB5E84" w14:textId="1E90F559" w:rsidR="00DD7513" w:rsidRPr="00333501" w:rsidRDefault="00DD7513" w:rsidP="008B080B">
        <w:pPr>
          <w:pStyle w:val="Header"/>
        </w:pPr>
        <w:r w:rsidRPr="008724C7">
          <w:rPr>
            <w:color w:val="auto"/>
          </w:rPr>
          <w:fldChar w:fldCharType="begin"/>
        </w:r>
        <w:r w:rsidRPr="008724C7">
          <w:rPr>
            <w:color w:val="auto"/>
          </w:rPr>
          <w:instrText xml:space="preserve"> PAGE   \* MERGEFORMAT </w:instrText>
        </w:r>
        <w:r w:rsidRPr="008724C7">
          <w:rPr>
            <w:color w:val="auto"/>
          </w:rPr>
          <w:fldChar w:fldCharType="separate"/>
        </w:r>
        <w:r w:rsidR="00BC490F">
          <w:rPr>
            <w:noProof/>
            <w:color w:val="auto"/>
          </w:rPr>
          <w:t>1</w:t>
        </w:r>
        <w:r w:rsidRPr="008724C7">
          <w:rPr>
            <w:noProof/>
            <w:color w:val="auto"/>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440A2" w14:textId="77777777" w:rsidR="00BC490F" w:rsidRDefault="00BC490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291D3" w14:textId="77777777" w:rsidR="00DD7513" w:rsidRDefault="00DD751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AA726" w14:textId="77777777" w:rsidR="00DD7513" w:rsidRPr="00333501" w:rsidRDefault="00DD7513" w:rsidP="008F56A8">
    <w:pPr>
      <w:pStyle w:val="Header"/>
      <w:jc w:val="left"/>
    </w:pPr>
    <w:r>
      <w:rPr>
        <w:noProof/>
        <w:lang w:val="en-AU" w:eastAsia="en-AU"/>
      </w:rPr>
      <w:drawing>
        <wp:anchor distT="0" distB="0" distL="114300" distR="114300" simplePos="0" relativeHeight="251697152" behindDoc="1" locked="1" layoutInCell="1" allowOverlap="1" wp14:anchorId="5BA6BEF0" wp14:editId="26F7EEDB">
          <wp:simplePos x="0" y="0"/>
          <wp:positionH relativeFrom="page">
            <wp:posOffset>160020</wp:posOffset>
          </wp:positionH>
          <wp:positionV relativeFrom="page">
            <wp:posOffset>160020</wp:posOffset>
          </wp:positionV>
          <wp:extent cx="10662285" cy="7545705"/>
          <wp:effectExtent l="0" t="0" r="5715" b="0"/>
          <wp:wrapNone/>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3E72C" w14:textId="77777777" w:rsidR="00DD7513" w:rsidRPr="003D352D" w:rsidRDefault="00DD7513" w:rsidP="003D352D">
    <w:pPr>
      <w:pStyle w:val="Header"/>
      <w:jc w:val="left"/>
    </w:pPr>
    <w:r>
      <w:rPr>
        <w:noProof/>
        <w:lang w:val="en-AU" w:eastAsia="en-AU"/>
      </w:rPr>
      <w:drawing>
        <wp:anchor distT="0" distB="0" distL="114300" distR="114300" simplePos="0" relativeHeight="251695104" behindDoc="1" locked="1" layoutInCell="1" allowOverlap="1" wp14:anchorId="10931018" wp14:editId="74DD1599">
          <wp:simplePos x="0" y="0"/>
          <wp:positionH relativeFrom="page">
            <wp:posOffset>7620</wp:posOffset>
          </wp:positionH>
          <wp:positionV relativeFrom="page">
            <wp:posOffset>7620</wp:posOffset>
          </wp:positionV>
          <wp:extent cx="10662285" cy="7545705"/>
          <wp:effectExtent l="0" t="0" r="5715" b="0"/>
          <wp:wrapNone/>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524D7" w14:textId="77777777" w:rsidR="00DD7513" w:rsidRPr="00333501" w:rsidRDefault="00DD7513" w:rsidP="008F56A8">
    <w:pPr>
      <w:pStyle w:val="Header"/>
      <w:jc w:val="left"/>
    </w:pPr>
    <w:r>
      <w:rPr>
        <w:noProof/>
        <w:lang w:val="en-AU" w:eastAsia="en-AU"/>
      </w:rPr>
      <w:drawing>
        <wp:anchor distT="0" distB="0" distL="114300" distR="114300" simplePos="0" relativeHeight="251683840" behindDoc="1" locked="1" layoutInCell="1" allowOverlap="1" wp14:anchorId="4F860679" wp14:editId="63B33CFA">
          <wp:simplePos x="0" y="0"/>
          <wp:positionH relativeFrom="page">
            <wp:posOffset>7620</wp:posOffset>
          </wp:positionH>
          <wp:positionV relativeFrom="page">
            <wp:posOffset>57785</wp:posOffset>
          </wp:positionV>
          <wp:extent cx="10800000" cy="7560000"/>
          <wp:effectExtent l="0" t="0" r="1905" b="3175"/>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800000" cy="75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nsid w:val="107C05B6"/>
    <w:multiLevelType w:val="hybridMultilevel"/>
    <w:tmpl w:val="A8B6B9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B874A31"/>
    <w:multiLevelType w:val="hybridMultilevel"/>
    <w:tmpl w:val="DCE0218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F110ED5"/>
    <w:multiLevelType w:val="hybridMultilevel"/>
    <w:tmpl w:val="68865E9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nsid w:val="2FFB68D2"/>
    <w:multiLevelType w:val="hybridMultilevel"/>
    <w:tmpl w:val="0FA47050"/>
    <w:lvl w:ilvl="0" w:tplc="C624EEFC">
      <w:start w:val="2015"/>
      <w:numFmt w:val="bullet"/>
      <w:lvlText w:val="-"/>
      <w:lvlJc w:val="left"/>
      <w:pPr>
        <w:ind w:left="2160" w:hanging="360"/>
      </w:pPr>
      <w:rPr>
        <w:rFonts w:ascii="Calibri" w:eastAsiaTheme="minorHAnsi" w:hAnsi="Calibri" w:cstheme="minorBidi"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7">
    <w:nsid w:val="2FFC2031"/>
    <w:multiLevelType w:val="hybridMultilevel"/>
    <w:tmpl w:val="3B00F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83348E7"/>
    <w:multiLevelType w:val="hybridMultilevel"/>
    <w:tmpl w:val="06568EC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1E06032"/>
    <w:multiLevelType w:val="hybridMultilevel"/>
    <w:tmpl w:val="63BA3212"/>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10">
    <w:nsid w:val="456D2601"/>
    <w:multiLevelType w:val="hybridMultilevel"/>
    <w:tmpl w:val="766C808A"/>
    <w:lvl w:ilvl="0" w:tplc="31F6F256">
      <w:numFmt w:val="bullet"/>
      <w:lvlText w:val=""/>
      <w:lvlJc w:val="left"/>
      <w:pPr>
        <w:ind w:left="1080" w:hanging="720"/>
      </w:pPr>
      <w:rPr>
        <w:rFonts w:ascii="Symbol" w:eastAsia="Times New Roman"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1">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83F58EB"/>
    <w:multiLevelType w:val="hybridMultilevel"/>
    <w:tmpl w:val="F4669D4C"/>
    <w:lvl w:ilvl="0" w:tplc="3D74DCC4">
      <w:start w:val="2"/>
      <w:numFmt w:val="bullet"/>
      <w:lvlText w:val="-"/>
      <w:lvlJc w:val="left"/>
      <w:pPr>
        <w:ind w:left="720" w:hanging="360"/>
      </w:pPr>
      <w:rPr>
        <w:rFonts w:ascii="Calibri Light" w:eastAsiaTheme="minorHAnsi"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4587B72"/>
    <w:multiLevelType w:val="hybridMultilevel"/>
    <w:tmpl w:val="4EBC05BC"/>
    <w:lvl w:ilvl="0" w:tplc="0C09000B">
      <w:start w:val="1"/>
      <w:numFmt w:val="bullet"/>
      <w:lvlText w:val=""/>
      <w:lvlJc w:val="left"/>
      <w:pPr>
        <w:ind w:left="820" w:hanging="360"/>
      </w:pPr>
      <w:rPr>
        <w:rFonts w:ascii="Wingdings" w:hAnsi="Wingdings"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14">
    <w:nsid w:val="55A611FD"/>
    <w:multiLevelType w:val="hybridMultilevel"/>
    <w:tmpl w:val="B2945EA0"/>
    <w:lvl w:ilvl="0" w:tplc="0C09000B">
      <w:start w:val="1"/>
      <w:numFmt w:val="bullet"/>
      <w:lvlText w:val=""/>
      <w:lvlJc w:val="left"/>
      <w:pPr>
        <w:ind w:left="770" w:hanging="360"/>
      </w:pPr>
      <w:rPr>
        <w:rFonts w:ascii="Wingdings" w:hAnsi="Wingding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5">
    <w:nsid w:val="56233883"/>
    <w:multiLevelType w:val="hybridMultilevel"/>
    <w:tmpl w:val="0EE01C7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746574A"/>
    <w:multiLevelType w:val="hybridMultilevel"/>
    <w:tmpl w:val="60C04174"/>
    <w:lvl w:ilvl="0" w:tplc="0C090001">
      <w:start w:val="1"/>
      <w:numFmt w:val="bullet"/>
      <w:lvlText w:val=""/>
      <w:lvlJc w:val="left"/>
      <w:pPr>
        <w:ind w:left="720" w:hanging="360"/>
      </w:pPr>
      <w:rPr>
        <w:rFonts w:ascii="Symbol" w:hAnsi="Symbol" w:hint="default"/>
      </w:rPr>
    </w:lvl>
    <w:lvl w:ilvl="1" w:tplc="0C09000B">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nsid w:val="5D3C1EA7"/>
    <w:multiLevelType w:val="multilevel"/>
    <w:tmpl w:val="43428892"/>
    <w:numStyleLink w:val="BulletsList"/>
  </w:abstractNum>
  <w:abstractNum w:abstractNumId="19">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nsid w:val="5EAD65A6"/>
    <w:multiLevelType w:val="hybridMultilevel"/>
    <w:tmpl w:val="CC289C6E"/>
    <w:lvl w:ilvl="0" w:tplc="5B60CB7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2A22F2B"/>
    <w:multiLevelType w:val="hybridMultilevel"/>
    <w:tmpl w:val="12DC037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C9C66374">
      <w:numFmt w:val="bullet"/>
      <w:lvlText w:val="•"/>
      <w:lvlJc w:val="left"/>
      <w:pPr>
        <w:ind w:left="2340" w:hanging="720"/>
      </w:pPr>
      <w:rPr>
        <w:rFonts w:ascii="Calibri" w:eastAsia="Times New Roman" w:hAnsi="Calibri" w:cs="Times New Roman"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67C1265C"/>
    <w:multiLevelType w:val="multilevel"/>
    <w:tmpl w:val="A5180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57455A"/>
    <w:multiLevelType w:val="hybridMultilevel"/>
    <w:tmpl w:val="97C61F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FE3356E"/>
    <w:multiLevelType w:val="hybridMultilevel"/>
    <w:tmpl w:val="11B46F00"/>
    <w:lvl w:ilvl="0" w:tplc="C624EEFC">
      <w:start w:val="2015"/>
      <w:numFmt w:val="bullet"/>
      <w:lvlText w:val="-"/>
      <w:lvlJc w:val="left"/>
      <w:pPr>
        <w:ind w:left="720" w:hanging="360"/>
      </w:pPr>
      <w:rPr>
        <w:rFonts w:ascii="Calibri" w:eastAsiaTheme="minorHAnsi" w:hAnsi="Calibri" w:cstheme="minorBidi"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6">
    <w:nsid w:val="77165FF1"/>
    <w:multiLevelType w:val="hybridMultilevel"/>
    <w:tmpl w:val="EF3C904E"/>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nsid w:val="794F2C11"/>
    <w:multiLevelType w:val="hybridMultilevel"/>
    <w:tmpl w:val="74C408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B0251F1"/>
    <w:multiLevelType w:val="hybridMultilevel"/>
    <w:tmpl w:val="6700098A"/>
    <w:lvl w:ilvl="0" w:tplc="3DFAF1CA">
      <w:start w:val="1"/>
      <w:numFmt w:val="bullet"/>
      <w:lvlText w:val="-"/>
      <w:lvlJc w:val="left"/>
      <w:pPr>
        <w:ind w:left="720" w:hanging="360"/>
      </w:pPr>
      <w:rPr>
        <w:rFonts w:ascii="Calibri Light" w:eastAsia="Times New Roman"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F912A88"/>
    <w:multiLevelType w:val="hybridMultilevel"/>
    <w:tmpl w:val="6554D6B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0"/>
  </w:num>
  <w:num w:numId="3">
    <w:abstractNumId w:val="5"/>
  </w:num>
  <w:num w:numId="4">
    <w:abstractNumId w:val="17"/>
  </w:num>
  <w:num w:numId="5">
    <w:abstractNumId w:val="19"/>
  </w:num>
  <w:num w:numId="6">
    <w:abstractNumId w:val="5"/>
  </w:num>
  <w:num w:numId="7">
    <w:abstractNumId w:val="18"/>
  </w:num>
  <w:num w:numId="8">
    <w:abstractNumId w:val="0"/>
  </w:num>
  <w:num w:numId="9">
    <w:abstractNumId w:val="11"/>
  </w:num>
  <w:num w:numId="10">
    <w:abstractNumId w:val="2"/>
  </w:num>
  <w:num w:numId="11">
    <w:abstractNumId w:val="21"/>
  </w:num>
  <w:num w:numId="12">
    <w:abstractNumId w:val="9"/>
  </w:num>
  <w:num w:numId="13">
    <w:abstractNumId w:val="1"/>
  </w:num>
  <w:num w:numId="14">
    <w:abstractNumId w:val="15"/>
  </w:num>
  <w:num w:numId="15">
    <w:abstractNumId w:val="24"/>
  </w:num>
  <w:num w:numId="16">
    <w:abstractNumId w:val="29"/>
  </w:num>
  <w:num w:numId="17">
    <w:abstractNumId w:val="16"/>
  </w:num>
  <w:num w:numId="18">
    <w:abstractNumId w:val="4"/>
  </w:num>
  <w:num w:numId="19">
    <w:abstractNumId w:val="6"/>
  </w:num>
  <w:num w:numId="20">
    <w:abstractNumId w:val="8"/>
  </w:num>
  <w:num w:numId="21">
    <w:abstractNumId w:val="13"/>
  </w:num>
  <w:num w:numId="22">
    <w:abstractNumId w:val="14"/>
  </w:num>
  <w:num w:numId="23">
    <w:abstractNumId w:val="22"/>
  </w:num>
  <w:num w:numId="24">
    <w:abstractNumId w:val="3"/>
  </w:num>
  <w:num w:numId="25">
    <w:abstractNumId w:val="27"/>
  </w:num>
  <w:num w:numId="26">
    <w:abstractNumId w:val="20"/>
  </w:num>
  <w:num w:numId="27">
    <w:abstractNumId w:val="28"/>
  </w:num>
  <w:num w:numId="28">
    <w:abstractNumId w:val="12"/>
  </w:num>
  <w:num w:numId="29">
    <w:abstractNumId w:val="23"/>
  </w:num>
  <w:num w:numId="30">
    <w:abstractNumId w:val="10"/>
  </w:num>
  <w:num w:numId="31">
    <w:abstractNumId w:val="26"/>
  </w:num>
  <w:num w:numId="32">
    <w:abstractNumId w:val="7"/>
  </w:num>
  <w:num w:numId="33">
    <w:abstractNumId w:val="6"/>
  </w:num>
  <w:num w:numId="34">
    <w:abstractNumId w:val="2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ri, Lea">
    <w15:presenceInfo w15:providerId="None" w15:userId="Neri, Lea"/>
  </w15:person>
  <w15:person w15:author="Lucero, Pablo">
    <w15:presenceInfo w15:providerId="None" w15:userId="Lucero, Pablo"/>
  </w15:person>
  <w15:person w15:author="Garcia, Ace">
    <w15:presenceInfo w15:providerId="None" w15:userId="Garcia, Ace"/>
  </w15:person>
  <w15:person w15:author="Fiona">
    <w15:presenceInfo w15:providerId="None" w15:userId="Fiona"/>
  </w15:person>
  <w15:person w15:author="Alikpala, John">
    <w15:presenceInfo w15:providerId="None" w15:userId="Alikpala, John"/>
  </w15:person>
  <w15:person w15:author="Borja, Grace">
    <w15:presenceInfo w15:providerId="None" w15:userId="Borja, Grace"/>
  </w15:person>
  <w15:person w15:author="Orquiza, Anne">
    <w15:presenceInfo w15:providerId="None" w15:userId="Orquiza, An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96C"/>
    <w:rsid w:val="00000FAC"/>
    <w:rsid w:val="00001DA8"/>
    <w:rsid w:val="00004E21"/>
    <w:rsid w:val="00015316"/>
    <w:rsid w:val="0001595B"/>
    <w:rsid w:val="000169BA"/>
    <w:rsid w:val="0002080A"/>
    <w:rsid w:val="000214EB"/>
    <w:rsid w:val="00022A8D"/>
    <w:rsid w:val="00025B82"/>
    <w:rsid w:val="0002782F"/>
    <w:rsid w:val="00027F29"/>
    <w:rsid w:val="00031512"/>
    <w:rsid w:val="00035DED"/>
    <w:rsid w:val="00041E17"/>
    <w:rsid w:val="00042E99"/>
    <w:rsid w:val="00053CC7"/>
    <w:rsid w:val="00054E4D"/>
    <w:rsid w:val="00057D46"/>
    <w:rsid w:val="00060073"/>
    <w:rsid w:val="00060268"/>
    <w:rsid w:val="00064888"/>
    <w:rsid w:val="0006583A"/>
    <w:rsid w:val="00071C9D"/>
    <w:rsid w:val="00075FCA"/>
    <w:rsid w:val="00080BA6"/>
    <w:rsid w:val="00082167"/>
    <w:rsid w:val="00084483"/>
    <w:rsid w:val="000873C6"/>
    <w:rsid w:val="00087EC5"/>
    <w:rsid w:val="00092C40"/>
    <w:rsid w:val="00095583"/>
    <w:rsid w:val="00097EA7"/>
    <w:rsid w:val="000A171E"/>
    <w:rsid w:val="000B55CA"/>
    <w:rsid w:val="000C6F4D"/>
    <w:rsid w:val="000D10B6"/>
    <w:rsid w:val="000D66D6"/>
    <w:rsid w:val="000D7CE6"/>
    <w:rsid w:val="000E1678"/>
    <w:rsid w:val="000E314A"/>
    <w:rsid w:val="000E3631"/>
    <w:rsid w:val="000E520B"/>
    <w:rsid w:val="000E6E92"/>
    <w:rsid w:val="000E709F"/>
    <w:rsid w:val="000E784A"/>
    <w:rsid w:val="000F0056"/>
    <w:rsid w:val="000F3681"/>
    <w:rsid w:val="000F63F0"/>
    <w:rsid w:val="0010048E"/>
    <w:rsid w:val="00103EAF"/>
    <w:rsid w:val="001066EF"/>
    <w:rsid w:val="00113136"/>
    <w:rsid w:val="001149F4"/>
    <w:rsid w:val="00115FE2"/>
    <w:rsid w:val="001164D7"/>
    <w:rsid w:val="001172CF"/>
    <w:rsid w:val="00120429"/>
    <w:rsid w:val="0012071E"/>
    <w:rsid w:val="00123F1D"/>
    <w:rsid w:val="00126A9D"/>
    <w:rsid w:val="00132486"/>
    <w:rsid w:val="00133B5D"/>
    <w:rsid w:val="001541EA"/>
    <w:rsid w:val="00155131"/>
    <w:rsid w:val="0018373D"/>
    <w:rsid w:val="001867B9"/>
    <w:rsid w:val="00187C95"/>
    <w:rsid w:val="00192A6B"/>
    <w:rsid w:val="00192F2B"/>
    <w:rsid w:val="001933DD"/>
    <w:rsid w:val="00193D53"/>
    <w:rsid w:val="001B6C97"/>
    <w:rsid w:val="001C0614"/>
    <w:rsid w:val="001C7CAB"/>
    <w:rsid w:val="001D06F2"/>
    <w:rsid w:val="001D1BD0"/>
    <w:rsid w:val="001D290A"/>
    <w:rsid w:val="001D663E"/>
    <w:rsid w:val="001E093F"/>
    <w:rsid w:val="001E1DC0"/>
    <w:rsid w:val="001F461F"/>
    <w:rsid w:val="001F6629"/>
    <w:rsid w:val="00201441"/>
    <w:rsid w:val="00203AC0"/>
    <w:rsid w:val="00204283"/>
    <w:rsid w:val="00204659"/>
    <w:rsid w:val="00207517"/>
    <w:rsid w:val="0021146D"/>
    <w:rsid w:val="002144AC"/>
    <w:rsid w:val="00221FCF"/>
    <w:rsid w:val="00222F9B"/>
    <w:rsid w:val="00223362"/>
    <w:rsid w:val="00226F46"/>
    <w:rsid w:val="002346BF"/>
    <w:rsid w:val="00234C55"/>
    <w:rsid w:val="00236A53"/>
    <w:rsid w:val="00246633"/>
    <w:rsid w:val="002547DC"/>
    <w:rsid w:val="00262080"/>
    <w:rsid w:val="0026367B"/>
    <w:rsid w:val="00263826"/>
    <w:rsid w:val="002726DE"/>
    <w:rsid w:val="00275DB7"/>
    <w:rsid w:val="00281760"/>
    <w:rsid w:val="00284957"/>
    <w:rsid w:val="002854EE"/>
    <w:rsid w:val="00285DEA"/>
    <w:rsid w:val="0028602A"/>
    <w:rsid w:val="00286D35"/>
    <w:rsid w:val="002952B1"/>
    <w:rsid w:val="00296D4C"/>
    <w:rsid w:val="002A3222"/>
    <w:rsid w:val="002A39E6"/>
    <w:rsid w:val="002A51CA"/>
    <w:rsid w:val="002A61E5"/>
    <w:rsid w:val="002B3E95"/>
    <w:rsid w:val="002B5E10"/>
    <w:rsid w:val="002B64D3"/>
    <w:rsid w:val="002C209A"/>
    <w:rsid w:val="002C2146"/>
    <w:rsid w:val="002D0916"/>
    <w:rsid w:val="002D5C7B"/>
    <w:rsid w:val="002E3358"/>
    <w:rsid w:val="002F1D6E"/>
    <w:rsid w:val="003002C0"/>
    <w:rsid w:val="00300D9B"/>
    <w:rsid w:val="00301144"/>
    <w:rsid w:val="003061B6"/>
    <w:rsid w:val="00306999"/>
    <w:rsid w:val="00311D44"/>
    <w:rsid w:val="003132F7"/>
    <w:rsid w:val="003148B7"/>
    <w:rsid w:val="0031491F"/>
    <w:rsid w:val="003158C3"/>
    <w:rsid w:val="0032080C"/>
    <w:rsid w:val="0032653C"/>
    <w:rsid w:val="00326BD4"/>
    <w:rsid w:val="003274CD"/>
    <w:rsid w:val="003325A5"/>
    <w:rsid w:val="00333501"/>
    <w:rsid w:val="003354BB"/>
    <w:rsid w:val="003402D0"/>
    <w:rsid w:val="003457C4"/>
    <w:rsid w:val="00347535"/>
    <w:rsid w:val="00350AB0"/>
    <w:rsid w:val="0035119D"/>
    <w:rsid w:val="0035353B"/>
    <w:rsid w:val="003553CC"/>
    <w:rsid w:val="003638E6"/>
    <w:rsid w:val="00372608"/>
    <w:rsid w:val="0039540A"/>
    <w:rsid w:val="003A112F"/>
    <w:rsid w:val="003A25A6"/>
    <w:rsid w:val="003B28BE"/>
    <w:rsid w:val="003B3434"/>
    <w:rsid w:val="003B4F12"/>
    <w:rsid w:val="003B705B"/>
    <w:rsid w:val="003C51A3"/>
    <w:rsid w:val="003C51B1"/>
    <w:rsid w:val="003D352D"/>
    <w:rsid w:val="003D6C8D"/>
    <w:rsid w:val="003D6D9F"/>
    <w:rsid w:val="003E4F69"/>
    <w:rsid w:val="003E583D"/>
    <w:rsid w:val="003F1B18"/>
    <w:rsid w:val="00400B0F"/>
    <w:rsid w:val="00401AAE"/>
    <w:rsid w:val="00402ACC"/>
    <w:rsid w:val="00405304"/>
    <w:rsid w:val="004120EC"/>
    <w:rsid w:val="004171CE"/>
    <w:rsid w:val="00423F31"/>
    <w:rsid w:val="00424EC1"/>
    <w:rsid w:val="00426DBB"/>
    <w:rsid w:val="00431899"/>
    <w:rsid w:val="0043451B"/>
    <w:rsid w:val="0043498E"/>
    <w:rsid w:val="004415CD"/>
    <w:rsid w:val="00442734"/>
    <w:rsid w:val="00454C68"/>
    <w:rsid w:val="00455BFA"/>
    <w:rsid w:val="00455DAC"/>
    <w:rsid w:val="0046548E"/>
    <w:rsid w:val="004678E7"/>
    <w:rsid w:val="00467F80"/>
    <w:rsid w:val="004747FA"/>
    <w:rsid w:val="00474D84"/>
    <w:rsid w:val="0047707C"/>
    <w:rsid w:val="00477118"/>
    <w:rsid w:val="00483724"/>
    <w:rsid w:val="00483978"/>
    <w:rsid w:val="00483FBB"/>
    <w:rsid w:val="00485D13"/>
    <w:rsid w:val="00486804"/>
    <w:rsid w:val="004873DC"/>
    <w:rsid w:val="00491220"/>
    <w:rsid w:val="0049504B"/>
    <w:rsid w:val="00496275"/>
    <w:rsid w:val="004967EA"/>
    <w:rsid w:val="00496B65"/>
    <w:rsid w:val="004977A1"/>
    <w:rsid w:val="004A5A71"/>
    <w:rsid w:val="004B105F"/>
    <w:rsid w:val="004B3775"/>
    <w:rsid w:val="004B5151"/>
    <w:rsid w:val="004B677F"/>
    <w:rsid w:val="004B713A"/>
    <w:rsid w:val="004C16F1"/>
    <w:rsid w:val="004C19D6"/>
    <w:rsid w:val="004C4211"/>
    <w:rsid w:val="004C6958"/>
    <w:rsid w:val="004D0BA0"/>
    <w:rsid w:val="004D17DB"/>
    <w:rsid w:val="004D1828"/>
    <w:rsid w:val="004D4044"/>
    <w:rsid w:val="004D6C61"/>
    <w:rsid w:val="004D7A0D"/>
    <w:rsid w:val="004E0264"/>
    <w:rsid w:val="004E058F"/>
    <w:rsid w:val="004E1035"/>
    <w:rsid w:val="004E267C"/>
    <w:rsid w:val="004E2DB2"/>
    <w:rsid w:val="004E35F0"/>
    <w:rsid w:val="004E3B87"/>
    <w:rsid w:val="004E41F1"/>
    <w:rsid w:val="004E5FB9"/>
    <w:rsid w:val="004F6FD6"/>
    <w:rsid w:val="0050378A"/>
    <w:rsid w:val="00503B71"/>
    <w:rsid w:val="00507CE4"/>
    <w:rsid w:val="00510921"/>
    <w:rsid w:val="00510AD3"/>
    <w:rsid w:val="00513348"/>
    <w:rsid w:val="0051432E"/>
    <w:rsid w:val="0051674B"/>
    <w:rsid w:val="00522B8B"/>
    <w:rsid w:val="0052473C"/>
    <w:rsid w:val="005317AB"/>
    <w:rsid w:val="00533B5D"/>
    <w:rsid w:val="00537D7D"/>
    <w:rsid w:val="00541012"/>
    <w:rsid w:val="005511BF"/>
    <w:rsid w:val="00553217"/>
    <w:rsid w:val="005546C0"/>
    <w:rsid w:val="00562088"/>
    <w:rsid w:val="005665C8"/>
    <w:rsid w:val="0057151E"/>
    <w:rsid w:val="00574FDA"/>
    <w:rsid w:val="00584BA8"/>
    <w:rsid w:val="0059146A"/>
    <w:rsid w:val="005962C8"/>
    <w:rsid w:val="0059797A"/>
    <w:rsid w:val="005A02A2"/>
    <w:rsid w:val="005A26F9"/>
    <w:rsid w:val="005B0631"/>
    <w:rsid w:val="005B0EF1"/>
    <w:rsid w:val="005B10A9"/>
    <w:rsid w:val="005B5769"/>
    <w:rsid w:val="005C36EA"/>
    <w:rsid w:val="005C7003"/>
    <w:rsid w:val="005C7BA6"/>
    <w:rsid w:val="005D300F"/>
    <w:rsid w:val="005D3655"/>
    <w:rsid w:val="005D6EB0"/>
    <w:rsid w:val="005E0A99"/>
    <w:rsid w:val="005E1DFB"/>
    <w:rsid w:val="005E41D4"/>
    <w:rsid w:val="005E5D4D"/>
    <w:rsid w:val="005E5FF7"/>
    <w:rsid w:val="005E606B"/>
    <w:rsid w:val="005E6FAE"/>
    <w:rsid w:val="005F1604"/>
    <w:rsid w:val="005F3124"/>
    <w:rsid w:val="005F49FF"/>
    <w:rsid w:val="005F626F"/>
    <w:rsid w:val="00603108"/>
    <w:rsid w:val="006031D8"/>
    <w:rsid w:val="0061234E"/>
    <w:rsid w:val="00616BE0"/>
    <w:rsid w:val="0061756F"/>
    <w:rsid w:val="00623BA1"/>
    <w:rsid w:val="00631BE6"/>
    <w:rsid w:val="006346BC"/>
    <w:rsid w:val="00641FE0"/>
    <w:rsid w:val="00643346"/>
    <w:rsid w:val="00655B77"/>
    <w:rsid w:val="00657B4F"/>
    <w:rsid w:val="006614DE"/>
    <w:rsid w:val="006625EA"/>
    <w:rsid w:val="006643DC"/>
    <w:rsid w:val="0066652A"/>
    <w:rsid w:val="00666618"/>
    <w:rsid w:val="00672653"/>
    <w:rsid w:val="00680522"/>
    <w:rsid w:val="00680B67"/>
    <w:rsid w:val="00681F08"/>
    <w:rsid w:val="00682167"/>
    <w:rsid w:val="00690303"/>
    <w:rsid w:val="006905BE"/>
    <w:rsid w:val="006945EA"/>
    <w:rsid w:val="00695B5A"/>
    <w:rsid w:val="00697D51"/>
    <w:rsid w:val="006A122B"/>
    <w:rsid w:val="006A2535"/>
    <w:rsid w:val="006A6D68"/>
    <w:rsid w:val="006B2DC3"/>
    <w:rsid w:val="006B3E4E"/>
    <w:rsid w:val="006B639D"/>
    <w:rsid w:val="006C0569"/>
    <w:rsid w:val="006C1646"/>
    <w:rsid w:val="006C1AC4"/>
    <w:rsid w:val="006C2AD7"/>
    <w:rsid w:val="006C42AF"/>
    <w:rsid w:val="006D01EB"/>
    <w:rsid w:val="006D29BE"/>
    <w:rsid w:val="006D66A9"/>
    <w:rsid w:val="006E3D91"/>
    <w:rsid w:val="006E41D0"/>
    <w:rsid w:val="006E4563"/>
    <w:rsid w:val="006E4E24"/>
    <w:rsid w:val="006E62EB"/>
    <w:rsid w:val="006E7690"/>
    <w:rsid w:val="006F1528"/>
    <w:rsid w:val="006F27B1"/>
    <w:rsid w:val="006F2AA1"/>
    <w:rsid w:val="006F3AF4"/>
    <w:rsid w:val="006F654B"/>
    <w:rsid w:val="00703249"/>
    <w:rsid w:val="00711D8E"/>
    <w:rsid w:val="00712672"/>
    <w:rsid w:val="00713F20"/>
    <w:rsid w:val="0071580D"/>
    <w:rsid w:val="00720FE9"/>
    <w:rsid w:val="007279B7"/>
    <w:rsid w:val="00730AF7"/>
    <w:rsid w:val="00733CFD"/>
    <w:rsid w:val="00734E3F"/>
    <w:rsid w:val="00735BBD"/>
    <w:rsid w:val="00736985"/>
    <w:rsid w:val="00745DF5"/>
    <w:rsid w:val="007572A7"/>
    <w:rsid w:val="0076250F"/>
    <w:rsid w:val="00762A43"/>
    <w:rsid w:val="0076768C"/>
    <w:rsid w:val="00771B53"/>
    <w:rsid w:val="00771D54"/>
    <w:rsid w:val="007747D3"/>
    <w:rsid w:val="00780D4A"/>
    <w:rsid w:val="00784031"/>
    <w:rsid w:val="007926BB"/>
    <w:rsid w:val="007A2031"/>
    <w:rsid w:val="007A6435"/>
    <w:rsid w:val="007A6F0E"/>
    <w:rsid w:val="007B40B8"/>
    <w:rsid w:val="007B46FD"/>
    <w:rsid w:val="007B6200"/>
    <w:rsid w:val="007C0592"/>
    <w:rsid w:val="007D1E7C"/>
    <w:rsid w:val="007D792C"/>
    <w:rsid w:val="007E24DB"/>
    <w:rsid w:val="007E3164"/>
    <w:rsid w:val="007F3395"/>
    <w:rsid w:val="007F392D"/>
    <w:rsid w:val="008019CE"/>
    <w:rsid w:val="00801B9F"/>
    <w:rsid w:val="008057FD"/>
    <w:rsid w:val="008103A8"/>
    <w:rsid w:val="00810A01"/>
    <w:rsid w:val="00810A23"/>
    <w:rsid w:val="008125EB"/>
    <w:rsid w:val="00822CE8"/>
    <w:rsid w:val="00822F41"/>
    <w:rsid w:val="0082336C"/>
    <w:rsid w:val="00831268"/>
    <w:rsid w:val="00832FD5"/>
    <w:rsid w:val="008361DB"/>
    <w:rsid w:val="00843650"/>
    <w:rsid w:val="0084417D"/>
    <w:rsid w:val="008475F0"/>
    <w:rsid w:val="008520BF"/>
    <w:rsid w:val="008528D3"/>
    <w:rsid w:val="00854FE8"/>
    <w:rsid w:val="00857D64"/>
    <w:rsid w:val="008634D5"/>
    <w:rsid w:val="00864210"/>
    <w:rsid w:val="00865646"/>
    <w:rsid w:val="008724C7"/>
    <w:rsid w:val="00872BBA"/>
    <w:rsid w:val="00872E79"/>
    <w:rsid w:val="008739BE"/>
    <w:rsid w:val="00874852"/>
    <w:rsid w:val="00880004"/>
    <w:rsid w:val="008808CB"/>
    <w:rsid w:val="00881E0F"/>
    <w:rsid w:val="008834AE"/>
    <w:rsid w:val="008A2117"/>
    <w:rsid w:val="008A32A8"/>
    <w:rsid w:val="008A5285"/>
    <w:rsid w:val="008A5AFE"/>
    <w:rsid w:val="008A6099"/>
    <w:rsid w:val="008A763A"/>
    <w:rsid w:val="008B080B"/>
    <w:rsid w:val="008B68D7"/>
    <w:rsid w:val="008B6BBC"/>
    <w:rsid w:val="008B7D42"/>
    <w:rsid w:val="008C1ED7"/>
    <w:rsid w:val="008C2F58"/>
    <w:rsid w:val="008C5A0E"/>
    <w:rsid w:val="008C73CD"/>
    <w:rsid w:val="008D1799"/>
    <w:rsid w:val="008D7C37"/>
    <w:rsid w:val="008E2748"/>
    <w:rsid w:val="008E3099"/>
    <w:rsid w:val="008F3FF0"/>
    <w:rsid w:val="008F56A8"/>
    <w:rsid w:val="008F7D48"/>
    <w:rsid w:val="009007A7"/>
    <w:rsid w:val="00917D4F"/>
    <w:rsid w:val="00924D4A"/>
    <w:rsid w:val="00934C34"/>
    <w:rsid w:val="0093532B"/>
    <w:rsid w:val="00945543"/>
    <w:rsid w:val="00955787"/>
    <w:rsid w:val="00960001"/>
    <w:rsid w:val="00960853"/>
    <w:rsid w:val="00961F5A"/>
    <w:rsid w:val="00962283"/>
    <w:rsid w:val="00963E6C"/>
    <w:rsid w:val="009670AC"/>
    <w:rsid w:val="009722CC"/>
    <w:rsid w:val="00980EED"/>
    <w:rsid w:val="009847A4"/>
    <w:rsid w:val="00984AC8"/>
    <w:rsid w:val="00985512"/>
    <w:rsid w:val="009870D5"/>
    <w:rsid w:val="009903F3"/>
    <w:rsid w:val="00991967"/>
    <w:rsid w:val="00992C76"/>
    <w:rsid w:val="00993A42"/>
    <w:rsid w:val="009976E7"/>
    <w:rsid w:val="009B3BF0"/>
    <w:rsid w:val="009B4D3B"/>
    <w:rsid w:val="009B715C"/>
    <w:rsid w:val="009D5C75"/>
    <w:rsid w:val="009D7407"/>
    <w:rsid w:val="009E0066"/>
    <w:rsid w:val="009E0866"/>
    <w:rsid w:val="009E3F8B"/>
    <w:rsid w:val="009E7BB8"/>
    <w:rsid w:val="009F5488"/>
    <w:rsid w:val="009F6423"/>
    <w:rsid w:val="00A01332"/>
    <w:rsid w:val="00A02542"/>
    <w:rsid w:val="00A0271C"/>
    <w:rsid w:val="00A03D28"/>
    <w:rsid w:val="00A0588E"/>
    <w:rsid w:val="00A06B71"/>
    <w:rsid w:val="00A114F8"/>
    <w:rsid w:val="00A139D0"/>
    <w:rsid w:val="00A15485"/>
    <w:rsid w:val="00A20667"/>
    <w:rsid w:val="00A213B5"/>
    <w:rsid w:val="00A222F3"/>
    <w:rsid w:val="00A24A62"/>
    <w:rsid w:val="00A31C9F"/>
    <w:rsid w:val="00A3248A"/>
    <w:rsid w:val="00A32ABB"/>
    <w:rsid w:val="00A332A7"/>
    <w:rsid w:val="00A3565C"/>
    <w:rsid w:val="00A3740A"/>
    <w:rsid w:val="00A4144F"/>
    <w:rsid w:val="00A462A8"/>
    <w:rsid w:val="00A5150C"/>
    <w:rsid w:val="00A56F14"/>
    <w:rsid w:val="00A601A4"/>
    <w:rsid w:val="00A62A03"/>
    <w:rsid w:val="00A63FB4"/>
    <w:rsid w:val="00A73AE3"/>
    <w:rsid w:val="00A80F95"/>
    <w:rsid w:val="00A8197B"/>
    <w:rsid w:val="00A8424A"/>
    <w:rsid w:val="00A854DC"/>
    <w:rsid w:val="00A865A2"/>
    <w:rsid w:val="00A872D4"/>
    <w:rsid w:val="00A9563C"/>
    <w:rsid w:val="00AA0190"/>
    <w:rsid w:val="00AA069A"/>
    <w:rsid w:val="00AA080D"/>
    <w:rsid w:val="00AA3657"/>
    <w:rsid w:val="00AA78DF"/>
    <w:rsid w:val="00AA7BE3"/>
    <w:rsid w:val="00AB41FC"/>
    <w:rsid w:val="00AB5E7F"/>
    <w:rsid w:val="00AC164A"/>
    <w:rsid w:val="00AC7665"/>
    <w:rsid w:val="00AD0863"/>
    <w:rsid w:val="00AD2645"/>
    <w:rsid w:val="00AD331C"/>
    <w:rsid w:val="00AD4B31"/>
    <w:rsid w:val="00AD74AF"/>
    <w:rsid w:val="00AE1A56"/>
    <w:rsid w:val="00AE2DA4"/>
    <w:rsid w:val="00AE2EA2"/>
    <w:rsid w:val="00AE3C81"/>
    <w:rsid w:val="00AE4887"/>
    <w:rsid w:val="00AF1679"/>
    <w:rsid w:val="00AF1B85"/>
    <w:rsid w:val="00AF2050"/>
    <w:rsid w:val="00AF38AF"/>
    <w:rsid w:val="00B03CA8"/>
    <w:rsid w:val="00B05247"/>
    <w:rsid w:val="00B14687"/>
    <w:rsid w:val="00B20C3A"/>
    <w:rsid w:val="00B25CE8"/>
    <w:rsid w:val="00B304E2"/>
    <w:rsid w:val="00B31F02"/>
    <w:rsid w:val="00B331DC"/>
    <w:rsid w:val="00B36ED7"/>
    <w:rsid w:val="00B41BB9"/>
    <w:rsid w:val="00B438D3"/>
    <w:rsid w:val="00B46093"/>
    <w:rsid w:val="00B5018E"/>
    <w:rsid w:val="00B50841"/>
    <w:rsid w:val="00B50B6D"/>
    <w:rsid w:val="00B53741"/>
    <w:rsid w:val="00B54952"/>
    <w:rsid w:val="00B54EB1"/>
    <w:rsid w:val="00B55E19"/>
    <w:rsid w:val="00B5611D"/>
    <w:rsid w:val="00B56A0A"/>
    <w:rsid w:val="00B57401"/>
    <w:rsid w:val="00B60A94"/>
    <w:rsid w:val="00B628DB"/>
    <w:rsid w:val="00B70A23"/>
    <w:rsid w:val="00BA4B6D"/>
    <w:rsid w:val="00BA6783"/>
    <w:rsid w:val="00BB26C5"/>
    <w:rsid w:val="00BB79C0"/>
    <w:rsid w:val="00BC337C"/>
    <w:rsid w:val="00BC36AD"/>
    <w:rsid w:val="00BC3B65"/>
    <w:rsid w:val="00BC490F"/>
    <w:rsid w:val="00BD3218"/>
    <w:rsid w:val="00BE33A7"/>
    <w:rsid w:val="00BE580B"/>
    <w:rsid w:val="00BE6C6D"/>
    <w:rsid w:val="00BF3DD9"/>
    <w:rsid w:val="00BF4C71"/>
    <w:rsid w:val="00BF4DE6"/>
    <w:rsid w:val="00BF69F3"/>
    <w:rsid w:val="00C021C6"/>
    <w:rsid w:val="00C0690D"/>
    <w:rsid w:val="00C07336"/>
    <w:rsid w:val="00C108AE"/>
    <w:rsid w:val="00C10928"/>
    <w:rsid w:val="00C13F02"/>
    <w:rsid w:val="00C1421F"/>
    <w:rsid w:val="00C1750A"/>
    <w:rsid w:val="00C17991"/>
    <w:rsid w:val="00C208AC"/>
    <w:rsid w:val="00C21E91"/>
    <w:rsid w:val="00C24771"/>
    <w:rsid w:val="00C31750"/>
    <w:rsid w:val="00C33840"/>
    <w:rsid w:val="00C3667E"/>
    <w:rsid w:val="00C403E9"/>
    <w:rsid w:val="00C406F0"/>
    <w:rsid w:val="00C42CDE"/>
    <w:rsid w:val="00C500D7"/>
    <w:rsid w:val="00C5182A"/>
    <w:rsid w:val="00C63EE9"/>
    <w:rsid w:val="00C6546E"/>
    <w:rsid w:val="00C6626C"/>
    <w:rsid w:val="00C74E38"/>
    <w:rsid w:val="00C75A76"/>
    <w:rsid w:val="00C77958"/>
    <w:rsid w:val="00C80543"/>
    <w:rsid w:val="00C81C25"/>
    <w:rsid w:val="00C8302B"/>
    <w:rsid w:val="00C87A0B"/>
    <w:rsid w:val="00C900E5"/>
    <w:rsid w:val="00C93ECA"/>
    <w:rsid w:val="00CA1910"/>
    <w:rsid w:val="00CA37B1"/>
    <w:rsid w:val="00CA64A0"/>
    <w:rsid w:val="00CA65C8"/>
    <w:rsid w:val="00CA6BB2"/>
    <w:rsid w:val="00CB1959"/>
    <w:rsid w:val="00CB6273"/>
    <w:rsid w:val="00CB7C8A"/>
    <w:rsid w:val="00CC089F"/>
    <w:rsid w:val="00CC2D07"/>
    <w:rsid w:val="00CC34D1"/>
    <w:rsid w:val="00CC5163"/>
    <w:rsid w:val="00CC697C"/>
    <w:rsid w:val="00CD0E4B"/>
    <w:rsid w:val="00CD4F7D"/>
    <w:rsid w:val="00CE0155"/>
    <w:rsid w:val="00CE1FB9"/>
    <w:rsid w:val="00CE3721"/>
    <w:rsid w:val="00CE4FDA"/>
    <w:rsid w:val="00CE56D7"/>
    <w:rsid w:val="00CE71E8"/>
    <w:rsid w:val="00CF00FE"/>
    <w:rsid w:val="00CF7B87"/>
    <w:rsid w:val="00D00802"/>
    <w:rsid w:val="00D02224"/>
    <w:rsid w:val="00D0296C"/>
    <w:rsid w:val="00D13E20"/>
    <w:rsid w:val="00D146A2"/>
    <w:rsid w:val="00D15A00"/>
    <w:rsid w:val="00D16652"/>
    <w:rsid w:val="00D1697C"/>
    <w:rsid w:val="00D25A09"/>
    <w:rsid w:val="00D27E7E"/>
    <w:rsid w:val="00D32AD2"/>
    <w:rsid w:val="00D40C7A"/>
    <w:rsid w:val="00D473F1"/>
    <w:rsid w:val="00D56CA1"/>
    <w:rsid w:val="00D61F18"/>
    <w:rsid w:val="00D64BD1"/>
    <w:rsid w:val="00D66C07"/>
    <w:rsid w:val="00D719AB"/>
    <w:rsid w:val="00D72760"/>
    <w:rsid w:val="00D7345B"/>
    <w:rsid w:val="00D756DD"/>
    <w:rsid w:val="00D762B7"/>
    <w:rsid w:val="00D807E9"/>
    <w:rsid w:val="00D85A5F"/>
    <w:rsid w:val="00D91D36"/>
    <w:rsid w:val="00D960FB"/>
    <w:rsid w:val="00DA0DD4"/>
    <w:rsid w:val="00DA521C"/>
    <w:rsid w:val="00DA5B7E"/>
    <w:rsid w:val="00DC20DD"/>
    <w:rsid w:val="00DC35EB"/>
    <w:rsid w:val="00DC7659"/>
    <w:rsid w:val="00DD1986"/>
    <w:rsid w:val="00DD7513"/>
    <w:rsid w:val="00DE084C"/>
    <w:rsid w:val="00DE088F"/>
    <w:rsid w:val="00DE175C"/>
    <w:rsid w:val="00DF547D"/>
    <w:rsid w:val="00DF7AB4"/>
    <w:rsid w:val="00E02FA9"/>
    <w:rsid w:val="00E05109"/>
    <w:rsid w:val="00E05D5A"/>
    <w:rsid w:val="00E06A01"/>
    <w:rsid w:val="00E10A7F"/>
    <w:rsid w:val="00E10C3F"/>
    <w:rsid w:val="00E208CF"/>
    <w:rsid w:val="00E210F5"/>
    <w:rsid w:val="00E22378"/>
    <w:rsid w:val="00E2249B"/>
    <w:rsid w:val="00E24489"/>
    <w:rsid w:val="00E25EB3"/>
    <w:rsid w:val="00E269EC"/>
    <w:rsid w:val="00E31502"/>
    <w:rsid w:val="00E31987"/>
    <w:rsid w:val="00E31DB0"/>
    <w:rsid w:val="00E330E9"/>
    <w:rsid w:val="00E339EA"/>
    <w:rsid w:val="00E357B7"/>
    <w:rsid w:val="00E414E3"/>
    <w:rsid w:val="00E41F83"/>
    <w:rsid w:val="00E46B83"/>
    <w:rsid w:val="00E47018"/>
    <w:rsid w:val="00E53800"/>
    <w:rsid w:val="00E57006"/>
    <w:rsid w:val="00E57702"/>
    <w:rsid w:val="00E6081F"/>
    <w:rsid w:val="00E613A0"/>
    <w:rsid w:val="00E621D2"/>
    <w:rsid w:val="00E6727F"/>
    <w:rsid w:val="00E6767D"/>
    <w:rsid w:val="00E72E9D"/>
    <w:rsid w:val="00E823E3"/>
    <w:rsid w:val="00E83DDF"/>
    <w:rsid w:val="00E85CA4"/>
    <w:rsid w:val="00E87F69"/>
    <w:rsid w:val="00E96C55"/>
    <w:rsid w:val="00EA04B2"/>
    <w:rsid w:val="00EA20F3"/>
    <w:rsid w:val="00EA7AB7"/>
    <w:rsid w:val="00EB1DD9"/>
    <w:rsid w:val="00EB345A"/>
    <w:rsid w:val="00EB4294"/>
    <w:rsid w:val="00EB4C06"/>
    <w:rsid w:val="00EB4F5D"/>
    <w:rsid w:val="00EC001B"/>
    <w:rsid w:val="00EC062A"/>
    <w:rsid w:val="00EC069E"/>
    <w:rsid w:val="00EC0BD5"/>
    <w:rsid w:val="00EC3E0B"/>
    <w:rsid w:val="00EC4C0D"/>
    <w:rsid w:val="00EC637F"/>
    <w:rsid w:val="00ED21E9"/>
    <w:rsid w:val="00ED2831"/>
    <w:rsid w:val="00ED43D1"/>
    <w:rsid w:val="00ED4E32"/>
    <w:rsid w:val="00EE307B"/>
    <w:rsid w:val="00EE4EE1"/>
    <w:rsid w:val="00EE6321"/>
    <w:rsid w:val="00EE7EF5"/>
    <w:rsid w:val="00EF4574"/>
    <w:rsid w:val="00EF6558"/>
    <w:rsid w:val="00F004BD"/>
    <w:rsid w:val="00F02247"/>
    <w:rsid w:val="00F04FFE"/>
    <w:rsid w:val="00F060C3"/>
    <w:rsid w:val="00F076D9"/>
    <w:rsid w:val="00F07E89"/>
    <w:rsid w:val="00F10F88"/>
    <w:rsid w:val="00F13C24"/>
    <w:rsid w:val="00F14370"/>
    <w:rsid w:val="00F15A66"/>
    <w:rsid w:val="00F17841"/>
    <w:rsid w:val="00F24A30"/>
    <w:rsid w:val="00F24BAB"/>
    <w:rsid w:val="00F255A3"/>
    <w:rsid w:val="00F2684E"/>
    <w:rsid w:val="00F26ED7"/>
    <w:rsid w:val="00F3376E"/>
    <w:rsid w:val="00F37392"/>
    <w:rsid w:val="00F40653"/>
    <w:rsid w:val="00F4079D"/>
    <w:rsid w:val="00F5404C"/>
    <w:rsid w:val="00F63C99"/>
    <w:rsid w:val="00F662E3"/>
    <w:rsid w:val="00F6684B"/>
    <w:rsid w:val="00F670BD"/>
    <w:rsid w:val="00F70792"/>
    <w:rsid w:val="00F71C1B"/>
    <w:rsid w:val="00F729EF"/>
    <w:rsid w:val="00F737C7"/>
    <w:rsid w:val="00F77CAE"/>
    <w:rsid w:val="00F80FDB"/>
    <w:rsid w:val="00F82271"/>
    <w:rsid w:val="00F82819"/>
    <w:rsid w:val="00F83428"/>
    <w:rsid w:val="00F85032"/>
    <w:rsid w:val="00F85230"/>
    <w:rsid w:val="00F87507"/>
    <w:rsid w:val="00F90AA1"/>
    <w:rsid w:val="00F94AD5"/>
    <w:rsid w:val="00F9561B"/>
    <w:rsid w:val="00F96BB9"/>
    <w:rsid w:val="00FA1789"/>
    <w:rsid w:val="00FA2300"/>
    <w:rsid w:val="00FB20BB"/>
    <w:rsid w:val="00FB2431"/>
    <w:rsid w:val="00FB60B3"/>
    <w:rsid w:val="00FB76B4"/>
    <w:rsid w:val="00FB79B8"/>
    <w:rsid w:val="00FC44FC"/>
    <w:rsid w:val="00FD4F7C"/>
    <w:rsid w:val="00FD7B25"/>
    <w:rsid w:val="00FE0859"/>
    <w:rsid w:val="00FE6D51"/>
    <w:rsid w:val="00FF09F3"/>
    <w:rsid w:val="00FF21F8"/>
    <w:rsid w:val="00FF37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9505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List Bullet" w:uiPriority="0" w:qFormat="1"/>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7"/>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8"/>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before="480"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5B5769"/>
    <w:pPr>
      <w:keepLines/>
      <w:suppressAutoHyphens w:val="0"/>
      <w:spacing w:before="80" w:after="80" w:line="200" w:lineRule="atLeast"/>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9"/>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Tahoma" w:hAnsi="Tahoma"/>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10"/>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paragraph" w:styleId="ListParagraph">
    <w:name w:val="List Paragraph"/>
    <w:basedOn w:val="Normal"/>
    <w:uiPriority w:val="34"/>
    <w:qFormat/>
    <w:rsid w:val="00854FE8"/>
    <w:pPr>
      <w:ind w:left="720"/>
      <w:contextualSpacing/>
    </w:pPr>
  </w:style>
  <w:style w:type="paragraph" w:styleId="EndnoteText">
    <w:name w:val="endnote text"/>
    <w:basedOn w:val="Normal"/>
    <w:link w:val="EndnoteTextChar"/>
    <w:uiPriority w:val="99"/>
    <w:unhideWhenUsed/>
    <w:rsid w:val="00562088"/>
    <w:pPr>
      <w:spacing w:before="0" w:after="0" w:line="240" w:lineRule="auto"/>
    </w:pPr>
    <w:rPr>
      <w:sz w:val="20"/>
      <w:szCs w:val="20"/>
    </w:rPr>
  </w:style>
  <w:style w:type="character" w:customStyle="1" w:styleId="EndnoteTextChar">
    <w:name w:val="Endnote Text Char"/>
    <w:basedOn w:val="DefaultParagraphFont"/>
    <w:link w:val="EndnoteText"/>
    <w:uiPriority w:val="99"/>
    <w:rsid w:val="00562088"/>
    <w:rPr>
      <w:color w:val="495965" w:themeColor="text2"/>
      <w:sz w:val="20"/>
      <w:szCs w:val="20"/>
      <w:lang w:val="en-GB"/>
    </w:rPr>
  </w:style>
  <w:style w:type="character" w:styleId="EndnoteReference">
    <w:name w:val="endnote reference"/>
    <w:basedOn w:val="DefaultParagraphFont"/>
    <w:uiPriority w:val="99"/>
    <w:unhideWhenUsed/>
    <w:rsid w:val="00562088"/>
    <w:rPr>
      <w:vertAlign w:val="superscript"/>
    </w:rPr>
  </w:style>
  <w:style w:type="character" w:styleId="CommentReference">
    <w:name w:val="annotation reference"/>
    <w:basedOn w:val="DefaultParagraphFont"/>
    <w:unhideWhenUsed/>
    <w:rsid w:val="00C21E91"/>
    <w:rPr>
      <w:sz w:val="16"/>
      <w:szCs w:val="16"/>
    </w:rPr>
  </w:style>
  <w:style w:type="paragraph" w:styleId="CommentText">
    <w:name w:val="annotation text"/>
    <w:basedOn w:val="Normal"/>
    <w:link w:val="CommentTextChar"/>
    <w:unhideWhenUsed/>
    <w:rsid w:val="00C21E91"/>
    <w:pPr>
      <w:spacing w:line="240" w:lineRule="auto"/>
    </w:pPr>
    <w:rPr>
      <w:sz w:val="20"/>
      <w:szCs w:val="20"/>
    </w:rPr>
  </w:style>
  <w:style w:type="character" w:customStyle="1" w:styleId="CommentTextChar">
    <w:name w:val="Comment Text Char"/>
    <w:basedOn w:val="DefaultParagraphFont"/>
    <w:link w:val="CommentText"/>
    <w:rsid w:val="00C21E91"/>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C21E91"/>
    <w:rPr>
      <w:b/>
      <w:bCs/>
    </w:rPr>
  </w:style>
  <w:style w:type="character" w:customStyle="1" w:styleId="CommentSubjectChar">
    <w:name w:val="Comment Subject Char"/>
    <w:basedOn w:val="CommentTextChar"/>
    <w:link w:val="CommentSubject"/>
    <w:uiPriority w:val="99"/>
    <w:semiHidden/>
    <w:rsid w:val="00C21E91"/>
    <w:rPr>
      <w:b/>
      <w:bCs/>
      <w:color w:val="495965" w:themeColor="text2"/>
      <w:sz w:val="20"/>
      <w:szCs w:val="20"/>
      <w:lang w:val="en-GB"/>
    </w:rPr>
  </w:style>
  <w:style w:type="paragraph" w:styleId="Revision">
    <w:name w:val="Revision"/>
    <w:hidden/>
    <w:uiPriority w:val="99"/>
    <w:semiHidden/>
    <w:rsid w:val="00A222F3"/>
    <w:pPr>
      <w:spacing w:after="0" w:line="240" w:lineRule="auto"/>
    </w:pPr>
    <w:rPr>
      <w:color w:val="495965" w:themeColor="text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List Bullet" w:uiPriority="0" w:qFormat="1"/>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7"/>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8"/>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before="480"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5B5769"/>
    <w:pPr>
      <w:keepLines/>
      <w:suppressAutoHyphens w:val="0"/>
      <w:spacing w:before="80" w:after="80" w:line="200" w:lineRule="atLeast"/>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9"/>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Tahoma" w:hAnsi="Tahoma"/>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10"/>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paragraph" w:styleId="ListParagraph">
    <w:name w:val="List Paragraph"/>
    <w:basedOn w:val="Normal"/>
    <w:uiPriority w:val="34"/>
    <w:qFormat/>
    <w:rsid w:val="00854FE8"/>
    <w:pPr>
      <w:ind w:left="720"/>
      <w:contextualSpacing/>
    </w:pPr>
  </w:style>
  <w:style w:type="paragraph" w:styleId="EndnoteText">
    <w:name w:val="endnote text"/>
    <w:basedOn w:val="Normal"/>
    <w:link w:val="EndnoteTextChar"/>
    <w:uiPriority w:val="99"/>
    <w:unhideWhenUsed/>
    <w:rsid w:val="00562088"/>
    <w:pPr>
      <w:spacing w:before="0" w:after="0" w:line="240" w:lineRule="auto"/>
    </w:pPr>
    <w:rPr>
      <w:sz w:val="20"/>
      <w:szCs w:val="20"/>
    </w:rPr>
  </w:style>
  <w:style w:type="character" w:customStyle="1" w:styleId="EndnoteTextChar">
    <w:name w:val="Endnote Text Char"/>
    <w:basedOn w:val="DefaultParagraphFont"/>
    <w:link w:val="EndnoteText"/>
    <w:uiPriority w:val="99"/>
    <w:rsid w:val="00562088"/>
    <w:rPr>
      <w:color w:val="495965" w:themeColor="text2"/>
      <w:sz w:val="20"/>
      <w:szCs w:val="20"/>
      <w:lang w:val="en-GB"/>
    </w:rPr>
  </w:style>
  <w:style w:type="character" w:styleId="EndnoteReference">
    <w:name w:val="endnote reference"/>
    <w:basedOn w:val="DefaultParagraphFont"/>
    <w:uiPriority w:val="99"/>
    <w:unhideWhenUsed/>
    <w:rsid w:val="00562088"/>
    <w:rPr>
      <w:vertAlign w:val="superscript"/>
    </w:rPr>
  </w:style>
  <w:style w:type="character" w:styleId="CommentReference">
    <w:name w:val="annotation reference"/>
    <w:basedOn w:val="DefaultParagraphFont"/>
    <w:unhideWhenUsed/>
    <w:rsid w:val="00C21E91"/>
    <w:rPr>
      <w:sz w:val="16"/>
      <w:szCs w:val="16"/>
    </w:rPr>
  </w:style>
  <w:style w:type="paragraph" w:styleId="CommentText">
    <w:name w:val="annotation text"/>
    <w:basedOn w:val="Normal"/>
    <w:link w:val="CommentTextChar"/>
    <w:unhideWhenUsed/>
    <w:rsid w:val="00C21E91"/>
    <w:pPr>
      <w:spacing w:line="240" w:lineRule="auto"/>
    </w:pPr>
    <w:rPr>
      <w:sz w:val="20"/>
      <w:szCs w:val="20"/>
    </w:rPr>
  </w:style>
  <w:style w:type="character" w:customStyle="1" w:styleId="CommentTextChar">
    <w:name w:val="Comment Text Char"/>
    <w:basedOn w:val="DefaultParagraphFont"/>
    <w:link w:val="CommentText"/>
    <w:rsid w:val="00C21E91"/>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C21E91"/>
    <w:rPr>
      <w:b/>
      <w:bCs/>
    </w:rPr>
  </w:style>
  <w:style w:type="character" w:customStyle="1" w:styleId="CommentSubjectChar">
    <w:name w:val="Comment Subject Char"/>
    <w:basedOn w:val="CommentTextChar"/>
    <w:link w:val="CommentSubject"/>
    <w:uiPriority w:val="99"/>
    <w:semiHidden/>
    <w:rsid w:val="00C21E91"/>
    <w:rPr>
      <w:b/>
      <w:bCs/>
      <w:color w:val="495965" w:themeColor="text2"/>
      <w:sz w:val="20"/>
      <w:szCs w:val="20"/>
      <w:lang w:val="en-GB"/>
    </w:rPr>
  </w:style>
  <w:style w:type="paragraph" w:styleId="Revision">
    <w:name w:val="Revision"/>
    <w:hidden/>
    <w:uiPriority w:val="99"/>
    <w:semiHidden/>
    <w:rsid w:val="00A222F3"/>
    <w:pPr>
      <w:spacing w:after="0" w:line="240" w:lineRule="auto"/>
    </w:pPr>
    <w:rPr>
      <w:color w:val="4959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308">
      <w:bodyDiv w:val="1"/>
      <w:marLeft w:val="0"/>
      <w:marRight w:val="0"/>
      <w:marTop w:val="0"/>
      <w:marBottom w:val="0"/>
      <w:divBdr>
        <w:top w:val="none" w:sz="0" w:space="0" w:color="auto"/>
        <w:left w:val="none" w:sz="0" w:space="0" w:color="auto"/>
        <w:bottom w:val="none" w:sz="0" w:space="0" w:color="auto"/>
        <w:right w:val="none" w:sz="0" w:space="0" w:color="auto"/>
      </w:divBdr>
    </w:div>
    <w:div w:id="575942761">
      <w:bodyDiv w:val="1"/>
      <w:marLeft w:val="0"/>
      <w:marRight w:val="0"/>
      <w:marTop w:val="0"/>
      <w:marBottom w:val="0"/>
      <w:divBdr>
        <w:top w:val="none" w:sz="0" w:space="0" w:color="auto"/>
        <w:left w:val="none" w:sz="0" w:space="0" w:color="auto"/>
        <w:bottom w:val="none" w:sz="0" w:space="0" w:color="auto"/>
        <w:right w:val="none" w:sz="0" w:space="0" w:color="auto"/>
      </w:divBdr>
    </w:div>
    <w:div w:id="650183055">
      <w:bodyDiv w:val="1"/>
      <w:marLeft w:val="0"/>
      <w:marRight w:val="0"/>
      <w:marTop w:val="0"/>
      <w:marBottom w:val="0"/>
      <w:divBdr>
        <w:top w:val="none" w:sz="0" w:space="0" w:color="auto"/>
        <w:left w:val="none" w:sz="0" w:space="0" w:color="auto"/>
        <w:bottom w:val="none" w:sz="0" w:space="0" w:color="auto"/>
        <w:right w:val="none" w:sz="0" w:space="0" w:color="auto"/>
      </w:divBdr>
    </w:div>
    <w:div w:id="746613940">
      <w:bodyDiv w:val="1"/>
      <w:marLeft w:val="0"/>
      <w:marRight w:val="0"/>
      <w:marTop w:val="0"/>
      <w:marBottom w:val="0"/>
      <w:divBdr>
        <w:top w:val="none" w:sz="0" w:space="0" w:color="auto"/>
        <w:left w:val="none" w:sz="0" w:space="0" w:color="auto"/>
        <w:bottom w:val="none" w:sz="0" w:space="0" w:color="auto"/>
        <w:right w:val="none" w:sz="0" w:space="0" w:color="auto"/>
      </w:divBdr>
    </w:div>
    <w:div w:id="1361128161">
      <w:bodyDiv w:val="1"/>
      <w:marLeft w:val="0"/>
      <w:marRight w:val="0"/>
      <w:marTop w:val="0"/>
      <w:marBottom w:val="0"/>
      <w:divBdr>
        <w:top w:val="none" w:sz="0" w:space="0" w:color="auto"/>
        <w:left w:val="none" w:sz="0" w:space="0" w:color="auto"/>
        <w:bottom w:val="none" w:sz="0" w:space="0" w:color="auto"/>
        <w:right w:val="none" w:sz="0" w:space="0" w:color="auto"/>
      </w:divBdr>
    </w:div>
    <w:div w:id="1394767028">
      <w:bodyDiv w:val="1"/>
      <w:marLeft w:val="0"/>
      <w:marRight w:val="0"/>
      <w:marTop w:val="0"/>
      <w:marBottom w:val="0"/>
      <w:divBdr>
        <w:top w:val="none" w:sz="0" w:space="0" w:color="auto"/>
        <w:left w:val="none" w:sz="0" w:space="0" w:color="auto"/>
        <w:bottom w:val="none" w:sz="0" w:space="0" w:color="auto"/>
        <w:right w:val="none" w:sz="0" w:space="0" w:color="auto"/>
      </w:divBdr>
    </w:div>
    <w:div w:id="1428428274">
      <w:bodyDiv w:val="1"/>
      <w:marLeft w:val="0"/>
      <w:marRight w:val="0"/>
      <w:marTop w:val="0"/>
      <w:marBottom w:val="0"/>
      <w:divBdr>
        <w:top w:val="none" w:sz="0" w:space="0" w:color="auto"/>
        <w:left w:val="none" w:sz="0" w:space="0" w:color="auto"/>
        <w:bottom w:val="none" w:sz="0" w:space="0" w:color="auto"/>
        <w:right w:val="none" w:sz="0" w:space="0" w:color="auto"/>
      </w:divBdr>
    </w:div>
    <w:div w:id="1444109546">
      <w:bodyDiv w:val="1"/>
      <w:marLeft w:val="0"/>
      <w:marRight w:val="0"/>
      <w:marTop w:val="0"/>
      <w:marBottom w:val="0"/>
      <w:divBdr>
        <w:top w:val="none" w:sz="0" w:space="0" w:color="auto"/>
        <w:left w:val="none" w:sz="0" w:space="0" w:color="auto"/>
        <w:bottom w:val="none" w:sz="0" w:space="0" w:color="auto"/>
        <w:right w:val="none" w:sz="0" w:space="0" w:color="auto"/>
      </w:divBdr>
    </w:div>
    <w:div w:id="1481848076">
      <w:bodyDiv w:val="1"/>
      <w:marLeft w:val="0"/>
      <w:marRight w:val="0"/>
      <w:marTop w:val="0"/>
      <w:marBottom w:val="0"/>
      <w:divBdr>
        <w:top w:val="none" w:sz="0" w:space="0" w:color="auto"/>
        <w:left w:val="none" w:sz="0" w:space="0" w:color="auto"/>
        <w:bottom w:val="none" w:sz="0" w:space="0" w:color="auto"/>
        <w:right w:val="none" w:sz="0" w:space="0" w:color="auto"/>
      </w:divBdr>
    </w:div>
    <w:div w:id="1543516786">
      <w:bodyDiv w:val="1"/>
      <w:marLeft w:val="0"/>
      <w:marRight w:val="0"/>
      <w:marTop w:val="0"/>
      <w:marBottom w:val="0"/>
      <w:divBdr>
        <w:top w:val="none" w:sz="0" w:space="0" w:color="auto"/>
        <w:left w:val="none" w:sz="0" w:space="0" w:color="auto"/>
        <w:bottom w:val="none" w:sz="0" w:space="0" w:color="auto"/>
        <w:right w:val="none" w:sz="0" w:space="0" w:color="auto"/>
      </w:divBdr>
    </w:div>
    <w:div w:id="1685664190">
      <w:bodyDiv w:val="1"/>
      <w:marLeft w:val="0"/>
      <w:marRight w:val="0"/>
      <w:marTop w:val="0"/>
      <w:marBottom w:val="0"/>
      <w:divBdr>
        <w:top w:val="none" w:sz="0" w:space="0" w:color="auto"/>
        <w:left w:val="none" w:sz="0" w:space="0" w:color="auto"/>
        <w:bottom w:val="none" w:sz="0" w:space="0" w:color="auto"/>
        <w:right w:val="none" w:sz="0" w:space="0" w:color="auto"/>
      </w:divBdr>
    </w:div>
    <w:div w:id="1701928972">
      <w:bodyDiv w:val="1"/>
      <w:marLeft w:val="0"/>
      <w:marRight w:val="0"/>
      <w:marTop w:val="0"/>
      <w:marBottom w:val="0"/>
      <w:divBdr>
        <w:top w:val="none" w:sz="0" w:space="0" w:color="auto"/>
        <w:left w:val="none" w:sz="0" w:space="0" w:color="auto"/>
        <w:bottom w:val="none" w:sz="0" w:space="0" w:color="auto"/>
        <w:right w:val="none" w:sz="0" w:space="0" w:color="auto"/>
      </w:divBdr>
    </w:div>
    <w:div w:id="1791390720">
      <w:bodyDiv w:val="1"/>
      <w:marLeft w:val="0"/>
      <w:marRight w:val="0"/>
      <w:marTop w:val="0"/>
      <w:marBottom w:val="0"/>
      <w:divBdr>
        <w:top w:val="none" w:sz="0" w:space="0" w:color="auto"/>
        <w:left w:val="none" w:sz="0" w:space="0" w:color="auto"/>
        <w:bottom w:val="none" w:sz="0" w:space="0" w:color="auto"/>
        <w:right w:val="none" w:sz="0" w:space="0" w:color="auto"/>
      </w:divBdr>
    </w:div>
    <w:div w:id="1825660754">
      <w:bodyDiv w:val="1"/>
      <w:marLeft w:val="0"/>
      <w:marRight w:val="0"/>
      <w:marTop w:val="0"/>
      <w:marBottom w:val="0"/>
      <w:divBdr>
        <w:top w:val="none" w:sz="0" w:space="0" w:color="auto"/>
        <w:left w:val="none" w:sz="0" w:space="0" w:color="auto"/>
        <w:bottom w:val="none" w:sz="0" w:space="0" w:color="auto"/>
        <w:right w:val="none" w:sz="0" w:space="0" w:color="auto"/>
      </w:divBdr>
    </w:div>
    <w:div w:id="1863283358">
      <w:bodyDiv w:val="1"/>
      <w:marLeft w:val="0"/>
      <w:marRight w:val="0"/>
      <w:marTop w:val="0"/>
      <w:marBottom w:val="0"/>
      <w:divBdr>
        <w:top w:val="none" w:sz="0" w:space="0" w:color="auto"/>
        <w:left w:val="none" w:sz="0" w:space="0" w:color="auto"/>
        <w:bottom w:val="none" w:sz="0" w:space="0" w:color="auto"/>
        <w:right w:val="none" w:sz="0" w:space="0" w:color="auto"/>
      </w:divBdr>
    </w:div>
    <w:div w:id="1980184586">
      <w:bodyDiv w:val="1"/>
      <w:marLeft w:val="0"/>
      <w:marRight w:val="0"/>
      <w:marTop w:val="0"/>
      <w:marBottom w:val="0"/>
      <w:divBdr>
        <w:top w:val="none" w:sz="0" w:space="0" w:color="auto"/>
        <w:left w:val="none" w:sz="0" w:space="0" w:color="auto"/>
        <w:bottom w:val="none" w:sz="0" w:space="0" w:color="auto"/>
        <w:right w:val="none" w:sz="0" w:space="0" w:color="auto"/>
      </w:divBdr>
    </w:div>
    <w:div w:id="210830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wmf"/><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28" Type="http://schemas.openxmlformats.org/officeDocument/2006/relationships/customXml" Target="../customXml/item3.xml"/><Relationship Id="rId10" Type="http://schemas.openxmlformats.org/officeDocument/2006/relationships/image" Target="media/image2.png"/><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customXml" Target="../customXml/item2.xml"/></Relationships>
</file>

<file path=word/_rels/endnotes.xml.rels><?xml version="1.0" encoding="UTF-8" standalone="yes"?>
<Relationships xmlns="http://schemas.openxmlformats.org/package/2006/relationships"><Relationship Id="rId3" Type="http://schemas.openxmlformats.org/officeDocument/2006/relationships/hyperlink" Target="http://www.emdat.be/result-country-profile?disgroup=natural&amp;country=phl&amp;period=1900$2014" TargetMode="External"/><Relationship Id="rId2" Type="http://schemas.openxmlformats.org/officeDocument/2006/relationships/hyperlink" Target="https://psa.gov.ph/content/poverty-incidence-among-filipinos-registered-263-first-semester-2015-psa" TargetMode="External"/><Relationship Id="rId1" Type="http://schemas.openxmlformats.org/officeDocument/2006/relationships/hyperlink" Target="http://www.adb.org/countries/philippines/econom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60A5794-173C-40EB-956A-6F2302316F8A}"/>
</file>

<file path=customXml/itemProps2.xml><?xml version="1.0" encoding="utf-8"?>
<ds:datastoreItem xmlns:ds="http://schemas.openxmlformats.org/officeDocument/2006/customXml" ds:itemID="{3FB7C74A-53C6-4FF7-9547-8B3E0CFF057C}"/>
</file>

<file path=customXml/itemProps3.xml><?xml version="1.0" encoding="utf-8"?>
<ds:datastoreItem xmlns:ds="http://schemas.openxmlformats.org/officeDocument/2006/customXml" ds:itemID="{5BC08BB7-DA65-4423-9E14-DF4804F5027A}"/>
</file>

<file path=customXml/itemProps4.xml><?xml version="1.0" encoding="utf-8"?>
<ds:datastoreItem xmlns:ds="http://schemas.openxmlformats.org/officeDocument/2006/customXml" ds:itemID="{D474575B-7FC8-44C7-BCE4-E383E8691DF4}"/>
</file>

<file path=docProps/app.xml><?xml version="1.0" encoding="utf-8"?>
<Properties xmlns="http://schemas.openxmlformats.org/officeDocument/2006/extended-properties" xmlns:vt="http://schemas.openxmlformats.org/officeDocument/2006/docPropsVTypes">
  <Template>1070D96E</Template>
  <TotalTime>0</TotalTime>
  <Pages>22</Pages>
  <Words>10350</Words>
  <Characters>58999</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2016-08-31T04:19:00Z</dcterms:created>
  <dcterms:modified xsi:type="dcterms:W3CDTF">2016-08-31T04:19:00Z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7601886a-59a3-4448-a518-c42bfa90786f</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1052600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