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AA9AC" w14:textId="77777777" w:rsidR="000D733F" w:rsidRDefault="000D733F" w:rsidP="007E11FA">
      <w:pPr>
        <w:tabs>
          <w:tab w:val="left" w:pos="2268"/>
        </w:tabs>
        <w:spacing w:after="200" w:line="276" w:lineRule="auto"/>
      </w:pPr>
    </w:p>
    <w:p w14:paraId="630BF450" w14:textId="77777777" w:rsidR="000D733F" w:rsidRDefault="000D733F" w:rsidP="009E79EC"/>
    <w:p w14:paraId="5CA8902E" w14:textId="77777777" w:rsidR="000D733F" w:rsidRDefault="000D733F">
      <w:pPr>
        <w:spacing w:after="200" w:line="276" w:lineRule="auto"/>
      </w:pPr>
    </w:p>
    <w:p w14:paraId="49B01CDC" w14:textId="77777777" w:rsidR="000D733F" w:rsidRDefault="000D733F">
      <w:pPr>
        <w:spacing w:after="200" w:line="276" w:lineRule="auto"/>
      </w:pPr>
    </w:p>
    <w:p w14:paraId="04501032" w14:textId="77777777" w:rsidR="001227C3" w:rsidRDefault="001227C3" w:rsidP="000D733F">
      <w:pPr>
        <w:pStyle w:val="Title"/>
        <w:ind w:left="2694" w:right="-624"/>
        <w:rPr>
          <w:noProof/>
          <w:color w:val="FFFFFF"/>
          <w:spacing w:val="0"/>
          <w:sz w:val="50"/>
          <w:szCs w:val="50"/>
          <w:lang w:val="en-US" w:eastAsia="en-US"/>
        </w:rPr>
      </w:pPr>
    </w:p>
    <w:p w14:paraId="0E8A13B3" w14:textId="77777777" w:rsidR="001227C3" w:rsidRDefault="001227C3" w:rsidP="000D733F">
      <w:pPr>
        <w:pStyle w:val="Title"/>
        <w:ind w:left="2694" w:right="-624"/>
        <w:rPr>
          <w:noProof/>
          <w:color w:val="FFFFFF"/>
          <w:spacing w:val="0"/>
          <w:sz w:val="50"/>
          <w:szCs w:val="50"/>
          <w:lang w:val="en-US" w:eastAsia="en-US"/>
        </w:rPr>
      </w:pPr>
    </w:p>
    <w:p w14:paraId="62228315" w14:textId="77777777" w:rsidR="001227C3" w:rsidRDefault="001227C3" w:rsidP="000D733F">
      <w:pPr>
        <w:pStyle w:val="Title"/>
        <w:ind w:left="2694" w:right="-624"/>
        <w:rPr>
          <w:noProof/>
          <w:color w:val="FFFFFF"/>
          <w:spacing w:val="0"/>
          <w:sz w:val="50"/>
          <w:szCs w:val="50"/>
          <w:lang w:val="en-US" w:eastAsia="en-US"/>
        </w:rPr>
      </w:pPr>
    </w:p>
    <w:p w14:paraId="610B9A4A" w14:textId="77777777" w:rsidR="001227C3" w:rsidRDefault="001227C3" w:rsidP="000D733F">
      <w:pPr>
        <w:pStyle w:val="Title"/>
        <w:ind w:left="2694" w:right="-624"/>
        <w:rPr>
          <w:noProof/>
          <w:color w:val="FFFFFF"/>
          <w:spacing w:val="0"/>
          <w:sz w:val="50"/>
          <w:szCs w:val="50"/>
          <w:lang w:val="en-US" w:eastAsia="en-US"/>
        </w:rPr>
      </w:pPr>
    </w:p>
    <w:p w14:paraId="152AE4AC" w14:textId="77777777" w:rsidR="001227C3" w:rsidRDefault="001227C3" w:rsidP="000D733F">
      <w:pPr>
        <w:pStyle w:val="Title"/>
        <w:ind w:left="2694" w:right="-624"/>
        <w:rPr>
          <w:noProof/>
          <w:color w:val="FFFFFF"/>
          <w:spacing w:val="0"/>
          <w:sz w:val="50"/>
          <w:szCs w:val="50"/>
          <w:lang w:val="en-US" w:eastAsia="en-US"/>
        </w:rPr>
      </w:pPr>
    </w:p>
    <w:p w14:paraId="29936185" w14:textId="77777777" w:rsidR="001227C3" w:rsidRDefault="001227C3" w:rsidP="000D733F">
      <w:pPr>
        <w:pStyle w:val="Title"/>
        <w:ind w:left="2694" w:right="-624"/>
        <w:rPr>
          <w:noProof/>
          <w:color w:val="FFFFFF"/>
          <w:spacing w:val="0"/>
          <w:sz w:val="50"/>
          <w:szCs w:val="50"/>
          <w:lang w:val="en-US" w:eastAsia="en-US"/>
        </w:rPr>
      </w:pPr>
    </w:p>
    <w:p w14:paraId="1610E64A" w14:textId="77777777" w:rsidR="001227C3" w:rsidRDefault="001227C3" w:rsidP="000D733F">
      <w:pPr>
        <w:pStyle w:val="Title"/>
        <w:ind w:left="2694" w:right="-624"/>
        <w:rPr>
          <w:noProof/>
          <w:color w:val="FFFFFF"/>
          <w:spacing w:val="0"/>
          <w:sz w:val="50"/>
          <w:szCs w:val="50"/>
          <w:lang w:val="en-US" w:eastAsia="en-US"/>
        </w:rPr>
      </w:pPr>
    </w:p>
    <w:p w14:paraId="215F567D" w14:textId="77777777" w:rsidR="001227C3" w:rsidRDefault="001227C3" w:rsidP="000D733F">
      <w:pPr>
        <w:pStyle w:val="Title"/>
        <w:ind w:left="2694" w:right="-624"/>
        <w:rPr>
          <w:noProof/>
          <w:color w:val="FFFFFF"/>
          <w:spacing w:val="0"/>
          <w:sz w:val="50"/>
          <w:szCs w:val="50"/>
          <w:lang w:val="en-US" w:eastAsia="en-US"/>
        </w:rPr>
      </w:pPr>
    </w:p>
    <w:p w14:paraId="6185B653" w14:textId="77777777" w:rsidR="001227C3" w:rsidRDefault="001227C3" w:rsidP="000D733F">
      <w:pPr>
        <w:pStyle w:val="Title"/>
        <w:ind w:left="2694" w:right="-624"/>
        <w:rPr>
          <w:noProof/>
          <w:color w:val="FFFFFF"/>
          <w:spacing w:val="0"/>
          <w:sz w:val="50"/>
          <w:szCs w:val="50"/>
          <w:lang w:val="en-US" w:eastAsia="en-US"/>
        </w:rPr>
      </w:pPr>
    </w:p>
    <w:p w14:paraId="61B081D7" w14:textId="77777777" w:rsidR="001227C3" w:rsidRDefault="001227C3" w:rsidP="000D733F">
      <w:pPr>
        <w:pStyle w:val="Title"/>
        <w:ind w:left="2694" w:right="-624"/>
        <w:rPr>
          <w:noProof/>
          <w:color w:val="FFFFFF"/>
          <w:spacing w:val="0"/>
          <w:sz w:val="50"/>
          <w:szCs w:val="50"/>
          <w:lang w:val="en-US" w:eastAsia="en-US"/>
        </w:rPr>
      </w:pPr>
    </w:p>
    <w:p w14:paraId="4B720054" w14:textId="77777777"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bookmarkStart w:id="0" w:name="_GoBack"/>
      <w:r w:rsidRPr="001227C3">
        <w:rPr>
          <w:noProof/>
          <w:color w:val="FFFFFF"/>
          <w:spacing w:val="0"/>
          <w:sz w:val="50"/>
          <w:szCs w:val="50"/>
        </w:rPr>
        <w:drawing>
          <wp:anchor distT="0" distB="0" distL="114300" distR="114300" simplePos="0" relativeHeight="251662336" behindDoc="1" locked="1" layoutInCell="1" allowOverlap="1" wp14:anchorId="161EF854" wp14:editId="42DA81DA">
            <wp:simplePos x="0" y="0"/>
            <wp:positionH relativeFrom="page">
              <wp:posOffset>-211455</wp:posOffset>
            </wp:positionH>
            <wp:positionV relativeFrom="page">
              <wp:posOffset>-201295</wp:posOffset>
            </wp:positionV>
            <wp:extent cx="7973060" cy="11278235"/>
            <wp:effectExtent l="0" t="0" r="8890"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73060" cy="112782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6F836D94" w14:textId="77777777" w:rsidR="000D733F" w:rsidRDefault="00F27E70"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Philippines</w:t>
      </w:r>
      <w:r w:rsidR="000D733F" w:rsidRPr="001227C3">
        <w:rPr>
          <w:noProof/>
          <w:color w:val="FFFFFF"/>
          <w:spacing w:val="0"/>
          <w:sz w:val="32"/>
          <w:szCs w:val="32"/>
          <w:lang w:val="en-US" w:eastAsia="en-US"/>
        </w:rPr>
        <w:t xml:space="preserve"> </w:t>
      </w:r>
    </w:p>
    <w:p w14:paraId="200FC985" w14:textId="77777777" w:rsidR="00CE1DFB" w:rsidRPr="00CE1DFB" w:rsidRDefault="00CE1DFB"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lang w:val="en-US" w:eastAsia="en-US"/>
        </w:rPr>
        <w:tab/>
      </w:r>
      <w:r>
        <w:rPr>
          <w:lang w:val="en-US" w:eastAsia="en-US"/>
        </w:rPr>
        <w:tab/>
      </w:r>
      <w:r>
        <w:rPr>
          <w:lang w:val="en-US" w:eastAsia="en-US"/>
        </w:rPr>
        <w:tab/>
      </w:r>
    </w:p>
    <w:p w14:paraId="18B2A572" w14:textId="77777777" w:rsidR="001D6059" w:rsidRPr="00CE1DFB" w:rsidRDefault="00125002"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Pr>
          <w:rFonts w:ascii="Helvetica" w:eastAsia="Times New Roman" w:hAnsi="Helvetica"/>
          <w:noProof/>
          <w:color w:val="FFFFFF"/>
          <w:kern w:val="28"/>
          <w:sz w:val="24"/>
          <w:lang w:val="en-US" w:eastAsia="en-US"/>
        </w:rPr>
        <w:t>5</w:t>
      </w:r>
    </w:p>
    <w:p w14:paraId="0F7CF775" w14:textId="77777777" w:rsidR="001A6BA5" w:rsidRPr="00440EBC" w:rsidRDefault="001A6BA5" w:rsidP="001A6BA5">
      <w:pPr>
        <w:pStyle w:val="Heading2"/>
        <w:rPr>
          <w:rStyle w:val="BodyTextChar"/>
          <w:color w:val="auto"/>
        </w:rPr>
      </w:pPr>
      <w:bookmarkStart w:id="1" w:name="_Toc373853205"/>
      <w:r w:rsidRPr="00440EBC">
        <w:rPr>
          <w:sz w:val="28"/>
        </w:rPr>
        <w:lastRenderedPageBreak/>
        <w:t>Key Messages</w:t>
      </w:r>
      <w:bookmarkEnd w:id="1"/>
      <w:r w:rsidRPr="00440EBC">
        <w:rPr>
          <w:sz w:val="28"/>
        </w:rPr>
        <w:tab/>
      </w:r>
      <w:r w:rsidRPr="00440EBC">
        <w:tab/>
      </w:r>
      <w:r w:rsidRPr="00440EBC">
        <w:rPr>
          <w:sz w:val="32"/>
          <w:szCs w:val="32"/>
        </w:rPr>
        <w:tab/>
      </w:r>
      <w:r w:rsidRPr="00440EBC">
        <w:rPr>
          <w:sz w:val="32"/>
          <w:szCs w:val="32"/>
        </w:rPr>
        <w:tab/>
      </w:r>
      <w:r w:rsidRPr="00440EBC">
        <w:rPr>
          <w:sz w:val="32"/>
          <w:szCs w:val="32"/>
        </w:rPr>
        <w:tab/>
      </w:r>
      <w:r w:rsidRPr="00440EBC">
        <w:rPr>
          <w:sz w:val="32"/>
          <w:szCs w:val="32"/>
        </w:rPr>
        <w:tab/>
      </w:r>
    </w:p>
    <w:p w14:paraId="749C14C4" w14:textId="2D48F863" w:rsidR="00F76E1D" w:rsidRPr="00440EBC" w:rsidRDefault="001A6BA5" w:rsidP="00272C7B">
      <w:pPr>
        <w:pStyle w:val="ListBullet"/>
        <w:numPr>
          <w:ilvl w:val="0"/>
          <w:numId w:val="0"/>
        </w:numPr>
        <w:tabs>
          <w:tab w:val="clear" w:pos="284"/>
        </w:tabs>
      </w:pPr>
      <w:r w:rsidRPr="00440EBC">
        <w:t xml:space="preserve">This report summarises the progress of Australia’s aid investments in the Philippines for the period July 2014 to June 2015. </w:t>
      </w:r>
      <w:r w:rsidR="002B2AC5" w:rsidRPr="00440EBC">
        <w:t xml:space="preserve">Our aid </w:t>
      </w:r>
      <w:r w:rsidR="008852FB" w:rsidRPr="00440EBC">
        <w:t>works</w:t>
      </w:r>
      <w:r w:rsidR="005A37FB" w:rsidRPr="00440EBC">
        <w:t xml:space="preserve"> </w:t>
      </w:r>
      <w:r w:rsidRPr="00440EBC">
        <w:t>toward the over-arching objective of ‘promoting prosperity, reducing poverty and enhancing political stability’</w:t>
      </w:r>
      <w:r w:rsidR="008852FB" w:rsidRPr="00440EBC">
        <w:t>. It closely aligns</w:t>
      </w:r>
      <w:r w:rsidR="00F76E1D" w:rsidRPr="00440EBC">
        <w:t xml:space="preserve"> with the priorities of the Philippine Government </w:t>
      </w:r>
      <w:r w:rsidR="008852FB" w:rsidRPr="00440EBC">
        <w:t xml:space="preserve">and </w:t>
      </w:r>
      <w:r w:rsidR="00184946" w:rsidRPr="00440EBC">
        <w:t>during the reporting period focussed</w:t>
      </w:r>
      <w:r w:rsidR="00D960DE" w:rsidRPr="00440EBC">
        <w:t xml:space="preserve"> on:</w:t>
      </w:r>
      <w:r w:rsidR="00272C7B" w:rsidRPr="00440EBC">
        <w:t xml:space="preserve"> </w:t>
      </w:r>
    </w:p>
    <w:p w14:paraId="75F98069" w14:textId="0F39F407" w:rsidR="00F76E1D" w:rsidRPr="00440EBC" w:rsidRDefault="001A6BA5" w:rsidP="00F76E1D">
      <w:pPr>
        <w:pStyle w:val="ListBullet"/>
        <w:ind w:left="284" w:hanging="284"/>
      </w:pPr>
      <w:r w:rsidRPr="00440EBC">
        <w:t>partnering on education reforms;</w:t>
      </w:r>
      <w:r w:rsidR="00272C7B" w:rsidRPr="00440EBC">
        <w:t xml:space="preserve"> </w:t>
      </w:r>
    </w:p>
    <w:p w14:paraId="08E70167" w14:textId="34E0C780" w:rsidR="00F76E1D" w:rsidRPr="00440EBC" w:rsidRDefault="001A6BA5" w:rsidP="00F76E1D">
      <w:pPr>
        <w:pStyle w:val="ListBullet"/>
        <w:ind w:left="284" w:hanging="284"/>
      </w:pPr>
      <w:r w:rsidRPr="00440EBC">
        <w:t>enhancing the foundations for sustained economic growth;</w:t>
      </w:r>
      <w:r w:rsidR="00272C7B" w:rsidRPr="00440EBC">
        <w:t xml:space="preserve"> </w:t>
      </w:r>
    </w:p>
    <w:p w14:paraId="620B9E17" w14:textId="4F98DFE4" w:rsidR="00F76E1D" w:rsidRPr="00440EBC" w:rsidRDefault="001A6BA5" w:rsidP="00F76E1D">
      <w:pPr>
        <w:pStyle w:val="ListBullet"/>
        <w:ind w:left="284" w:hanging="284"/>
      </w:pPr>
      <w:r w:rsidRPr="00440EBC">
        <w:t>promoting better disaster preparedness and response;</w:t>
      </w:r>
    </w:p>
    <w:p w14:paraId="4E827D83" w14:textId="48863FB1" w:rsidR="00F76E1D" w:rsidRPr="00440EBC" w:rsidRDefault="001A6BA5" w:rsidP="00F76E1D">
      <w:pPr>
        <w:pStyle w:val="ListBullet"/>
        <w:ind w:left="284" w:hanging="284"/>
      </w:pPr>
      <w:r w:rsidRPr="00440EBC">
        <w:t>improving conditions for peace and security; and</w:t>
      </w:r>
      <w:r w:rsidR="00272C7B" w:rsidRPr="00440EBC">
        <w:t xml:space="preserve"> </w:t>
      </w:r>
    </w:p>
    <w:p w14:paraId="2AD8D7E5" w14:textId="21033BB2" w:rsidR="001A6BA5" w:rsidRPr="00440EBC" w:rsidRDefault="001A6BA5" w:rsidP="00F76E1D">
      <w:pPr>
        <w:pStyle w:val="ListBullet"/>
        <w:ind w:left="284" w:hanging="284"/>
      </w:pPr>
      <w:r w:rsidRPr="00440EBC">
        <w:t>building stronger institutions for accountable and inclusive governance.</w:t>
      </w:r>
    </w:p>
    <w:p w14:paraId="29A96DDB" w14:textId="3F8CC179" w:rsidR="00FF0AAE" w:rsidRPr="00440EBC" w:rsidRDefault="00F76E1D" w:rsidP="00272C7B">
      <w:pPr>
        <w:pStyle w:val="ListBullet"/>
        <w:numPr>
          <w:ilvl w:val="0"/>
          <w:numId w:val="0"/>
        </w:numPr>
        <w:tabs>
          <w:tab w:val="clear" w:pos="284"/>
        </w:tabs>
      </w:pPr>
      <w:r w:rsidRPr="00440EBC">
        <w:t xml:space="preserve">The Philippine President’s </w:t>
      </w:r>
      <w:r w:rsidR="001A6BA5" w:rsidRPr="00440EBC">
        <w:t>2015 State of the Nation Address acknowledged key initiatives essential for the country’s long</w:t>
      </w:r>
      <w:r w:rsidR="001A6BA5" w:rsidRPr="00440EBC">
        <w:noBreakHyphen/>
        <w:t>t</w:t>
      </w:r>
      <w:r w:rsidR="00B437E1" w:rsidRPr="00440EBC">
        <w:t xml:space="preserve">erm development. Australia </w:t>
      </w:r>
      <w:r w:rsidR="008852FB" w:rsidRPr="00440EBC">
        <w:t xml:space="preserve">is </w:t>
      </w:r>
      <w:r w:rsidR="00570CD6">
        <w:t xml:space="preserve">working with </w:t>
      </w:r>
      <w:r w:rsidR="00B437E1" w:rsidRPr="00440EBC">
        <w:t xml:space="preserve">the </w:t>
      </w:r>
      <w:r w:rsidR="002B2AC5" w:rsidRPr="00440EBC">
        <w:t xml:space="preserve">Philippines in many of these </w:t>
      </w:r>
      <w:r w:rsidR="00B437E1" w:rsidRPr="00440EBC">
        <w:t>critical</w:t>
      </w:r>
      <w:r w:rsidRPr="00440EBC">
        <w:t xml:space="preserve"> </w:t>
      </w:r>
      <w:r w:rsidR="002B2AC5" w:rsidRPr="00440EBC">
        <w:t>initiatives</w:t>
      </w:r>
      <w:r w:rsidR="00570CD6">
        <w:t>,</w:t>
      </w:r>
      <w:r w:rsidR="002B2AC5" w:rsidRPr="00440EBC">
        <w:t xml:space="preserve"> </w:t>
      </w:r>
      <w:r w:rsidR="001A6BA5" w:rsidRPr="00440EBC">
        <w:t>including</w:t>
      </w:r>
      <w:r w:rsidR="002B2AC5" w:rsidRPr="00440EBC">
        <w:t xml:space="preserve"> to</w:t>
      </w:r>
      <w:r w:rsidRPr="00440EBC">
        <w:t xml:space="preserve"> build infrastructure</w:t>
      </w:r>
      <w:r w:rsidR="001A6BA5" w:rsidRPr="00440EBC">
        <w:t xml:space="preserve"> </w:t>
      </w:r>
      <w:r w:rsidR="00B437E1" w:rsidRPr="00440EBC">
        <w:t>with the private sector</w:t>
      </w:r>
      <w:r w:rsidR="001A6BA5" w:rsidRPr="00440EBC">
        <w:t>, reform its education system to international standards, implement the third largest conditional cash transfer program in the world, and build the foundations for peace in Mindanao.</w:t>
      </w:r>
    </w:p>
    <w:p w14:paraId="1A52EED9" w14:textId="7DAAB999" w:rsidR="001A6BA5" w:rsidRPr="00440EBC" w:rsidRDefault="001A6BA5" w:rsidP="00272C7B">
      <w:pPr>
        <w:pStyle w:val="ListBullet"/>
        <w:numPr>
          <w:ilvl w:val="0"/>
          <w:numId w:val="0"/>
        </w:numPr>
        <w:tabs>
          <w:tab w:val="clear" w:pos="284"/>
        </w:tabs>
      </w:pPr>
      <w:r w:rsidRPr="00440EBC">
        <w:t>Australia’s Aid prog</w:t>
      </w:r>
      <w:r w:rsidR="002F6CD5" w:rsidRPr="00440EBC">
        <w:t>ram in the Philippines continues</w:t>
      </w:r>
      <w:r w:rsidRPr="00440EBC">
        <w:t xml:space="preserve"> to deliver results. In 2014-15 Australia: </w:t>
      </w:r>
    </w:p>
    <w:p w14:paraId="7AA1B01A" w14:textId="3D55CDDC" w:rsidR="001A6BA5" w:rsidRPr="00440EBC" w:rsidRDefault="001A6BA5" w:rsidP="001A6BA5">
      <w:pPr>
        <w:pStyle w:val="ListBullet"/>
        <w:ind w:left="284" w:hanging="284"/>
      </w:pPr>
      <w:r w:rsidRPr="00440EBC">
        <w:t>Supported the Phili</w:t>
      </w:r>
      <w:r w:rsidR="00B437E1" w:rsidRPr="00440EBC">
        <w:t>ppine Public Private Partnership (PPP) p</w:t>
      </w:r>
      <w:r w:rsidRPr="00440EBC">
        <w:t xml:space="preserve">rogram </w:t>
      </w:r>
      <w:r w:rsidR="00A740E0" w:rsidRPr="00440EBC">
        <w:t xml:space="preserve">which awarded </w:t>
      </w:r>
      <w:r w:rsidR="00A32497" w:rsidRPr="00440EBC">
        <w:t>three</w:t>
      </w:r>
      <w:r w:rsidR="00A740E0" w:rsidRPr="00440EBC">
        <w:t xml:space="preserve"> </w:t>
      </w:r>
      <w:r w:rsidRPr="00440EBC">
        <w:t xml:space="preserve">infrastructure </w:t>
      </w:r>
      <w:r w:rsidR="00B42224" w:rsidRPr="00440EBC">
        <w:t>contracts</w:t>
      </w:r>
      <w:r w:rsidRPr="00440EBC">
        <w:t xml:space="preserve"> worth USD</w:t>
      </w:r>
      <w:r w:rsidR="00B42224" w:rsidRPr="00440EBC">
        <w:t>2.7</w:t>
      </w:r>
      <w:r w:rsidRPr="00440EBC">
        <w:t xml:space="preserve"> billion. The </w:t>
      </w:r>
      <w:r w:rsidR="00B437E1" w:rsidRPr="00440EBC">
        <w:t>country</w:t>
      </w:r>
      <w:r w:rsidRPr="00440EBC">
        <w:t xml:space="preserve"> was recognised by the Economist Intelligence Unit as the most improved country in the A</w:t>
      </w:r>
      <w:r w:rsidR="00B437E1" w:rsidRPr="00440EBC">
        <w:t>sia-Pacific for PPP readiness</w:t>
      </w:r>
      <w:r w:rsidRPr="00440EBC">
        <w:t>.</w:t>
      </w:r>
    </w:p>
    <w:p w14:paraId="70F9C852" w14:textId="522270D1" w:rsidR="00B72AF6" w:rsidRPr="00440EBC" w:rsidRDefault="00712F9C" w:rsidP="00B72AF6">
      <w:pPr>
        <w:pStyle w:val="ListBullet"/>
        <w:ind w:left="284" w:hanging="284"/>
      </w:pPr>
      <w:r w:rsidRPr="00440EBC">
        <w:t xml:space="preserve">Partnered with </w:t>
      </w:r>
      <w:r w:rsidR="00F75BD4" w:rsidRPr="00440EBC">
        <w:t>the Philippine G</w:t>
      </w:r>
      <w:r w:rsidR="004C0ECB" w:rsidRPr="00440EBC">
        <w:t xml:space="preserve">overnment </w:t>
      </w:r>
      <w:r w:rsidR="00F75BD4" w:rsidRPr="00440EBC">
        <w:t xml:space="preserve">on </w:t>
      </w:r>
      <w:r w:rsidR="004C0ECB" w:rsidRPr="00440EBC">
        <w:t xml:space="preserve">education reform. </w:t>
      </w:r>
      <w:r w:rsidRPr="00440EBC">
        <w:t xml:space="preserve">We helped </w:t>
      </w:r>
      <w:r w:rsidR="004C0ECB" w:rsidRPr="00440EBC">
        <w:t xml:space="preserve">in the </w:t>
      </w:r>
      <w:r w:rsidR="00B72AF6" w:rsidRPr="00440EBC">
        <w:t>design and deliver</w:t>
      </w:r>
      <w:r w:rsidR="004C0ECB" w:rsidRPr="00440EBC">
        <w:t>y of a</w:t>
      </w:r>
      <w:r w:rsidR="00E66764" w:rsidRPr="00440EBC">
        <w:t xml:space="preserve"> new education curriculum, </w:t>
      </w:r>
      <w:r w:rsidRPr="00440EBC">
        <w:t xml:space="preserve">reviewed </w:t>
      </w:r>
      <w:r w:rsidR="00272C7B" w:rsidRPr="00440EBC">
        <w:t>the development needs of teachers</w:t>
      </w:r>
      <w:r w:rsidR="00E66764" w:rsidRPr="00440EBC">
        <w:t>, and supported improvements in manageme</w:t>
      </w:r>
      <w:r w:rsidR="00CA3795" w:rsidRPr="00440EBC">
        <w:t xml:space="preserve">nt systems and organisational </w:t>
      </w:r>
      <w:r w:rsidR="00E66764" w:rsidRPr="00440EBC">
        <w:t>structure.</w:t>
      </w:r>
      <w:r w:rsidR="004C0ECB" w:rsidRPr="00440EBC">
        <w:t xml:space="preserve"> </w:t>
      </w:r>
      <w:r w:rsidR="00B72AF6" w:rsidRPr="00440EBC">
        <w:t xml:space="preserve">Australia provided 215 teacher scholarships and built/rehabilitated 1,170 classrooms. In Mindanao, one of the most impoverished regions in the Philippines, we trained </w:t>
      </w:r>
      <w:r w:rsidR="00595F17" w:rsidRPr="00440EBC">
        <w:t>4,200</w:t>
      </w:r>
      <w:r w:rsidR="00E849EE" w:rsidRPr="00440EBC">
        <w:t> </w:t>
      </w:r>
      <w:r w:rsidR="00B437E1" w:rsidRPr="00440EBC">
        <w:t>teachers/</w:t>
      </w:r>
      <w:r w:rsidR="00B72AF6" w:rsidRPr="00440EBC">
        <w:t xml:space="preserve">school administrators and </w:t>
      </w:r>
      <w:r w:rsidR="00855660" w:rsidRPr="00440EBC">
        <w:t>helped</w:t>
      </w:r>
      <w:r w:rsidR="001E6DF3" w:rsidRPr="00440EBC">
        <w:t xml:space="preserve"> educate </w:t>
      </w:r>
      <w:r w:rsidR="00595F17" w:rsidRPr="00440EBC">
        <w:t xml:space="preserve">45,000 </w:t>
      </w:r>
      <w:r w:rsidR="00B72AF6" w:rsidRPr="00440EBC">
        <w:t>children.</w:t>
      </w:r>
    </w:p>
    <w:p w14:paraId="6B01A946" w14:textId="061C426B" w:rsidR="001A6BA5" w:rsidRPr="00440EBC" w:rsidRDefault="00BD1790" w:rsidP="00841A1D">
      <w:pPr>
        <w:pStyle w:val="ListBullet"/>
        <w:ind w:left="284" w:hanging="284"/>
      </w:pPr>
      <w:r w:rsidRPr="00440EBC">
        <w:t xml:space="preserve">Responded within 48 hours to the </w:t>
      </w:r>
      <w:r w:rsidR="001E6DF3" w:rsidRPr="00440EBC">
        <w:t>Philippine Government’s</w:t>
      </w:r>
      <w:r w:rsidRPr="00440EBC">
        <w:t xml:space="preserve"> request for assistance </w:t>
      </w:r>
      <w:r w:rsidR="006023A1" w:rsidRPr="00440EBC">
        <w:t xml:space="preserve">after </w:t>
      </w:r>
      <w:r w:rsidR="00841A1D" w:rsidRPr="00440EBC">
        <w:t>Typhoons Rammasun and Hagupit</w:t>
      </w:r>
      <w:r w:rsidR="00272C7B" w:rsidRPr="00440EBC">
        <w:t xml:space="preserve"> hit the </w:t>
      </w:r>
      <w:r w:rsidR="00A32497" w:rsidRPr="00440EBC">
        <w:t>country</w:t>
      </w:r>
      <w:r w:rsidR="00841A1D" w:rsidRPr="00440EBC">
        <w:t xml:space="preserve">. </w:t>
      </w:r>
      <w:r w:rsidR="00A32497" w:rsidRPr="00440EBC">
        <w:t>Food and other lifesaving support was</w:t>
      </w:r>
      <w:r w:rsidR="00841A1D" w:rsidRPr="00440EBC">
        <w:t xml:space="preserve"> provided </w:t>
      </w:r>
      <w:r w:rsidR="00A32497" w:rsidRPr="00440EBC">
        <w:t xml:space="preserve">to </w:t>
      </w:r>
      <w:r w:rsidR="00841A1D" w:rsidRPr="00440EBC">
        <w:t xml:space="preserve">202,500 people. Australia also </w:t>
      </w:r>
      <w:r w:rsidR="001A6BA5" w:rsidRPr="00440EBC">
        <w:t>strengthen</w:t>
      </w:r>
      <w:r w:rsidR="001E6DF3" w:rsidRPr="00440EBC">
        <w:t>ed</w:t>
      </w:r>
      <w:r w:rsidR="001A6BA5" w:rsidRPr="00440EBC">
        <w:t xml:space="preserve"> </w:t>
      </w:r>
      <w:r w:rsidR="006023A1" w:rsidRPr="00440EBC">
        <w:t xml:space="preserve">Philippine </w:t>
      </w:r>
      <w:r w:rsidR="001E6DF3" w:rsidRPr="00440EBC">
        <w:t xml:space="preserve">cities </w:t>
      </w:r>
      <w:r w:rsidR="009C300B" w:rsidRPr="00440EBC">
        <w:t>to better cope</w:t>
      </w:r>
      <w:r w:rsidR="001E6DF3" w:rsidRPr="00440EBC">
        <w:t xml:space="preserve"> </w:t>
      </w:r>
      <w:r w:rsidR="009C300B" w:rsidRPr="00440EBC">
        <w:t xml:space="preserve">with </w:t>
      </w:r>
      <w:r w:rsidR="001E6DF3" w:rsidRPr="00440EBC">
        <w:t>natural disasters. We constructed</w:t>
      </w:r>
      <w:r w:rsidR="00264542" w:rsidRPr="00440EBC">
        <w:t xml:space="preserve"> </w:t>
      </w:r>
      <w:r w:rsidR="001A6BA5" w:rsidRPr="00440EBC">
        <w:t xml:space="preserve">1,440 safer homes for families living in </w:t>
      </w:r>
      <w:r w:rsidR="001E6DF3" w:rsidRPr="00440EBC">
        <w:t xml:space="preserve">flood-prone </w:t>
      </w:r>
      <w:r w:rsidR="001A6BA5" w:rsidRPr="00440EBC">
        <w:t>locations</w:t>
      </w:r>
      <w:r w:rsidR="00272C7B" w:rsidRPr="00440EBC">
        <w:t>, developed 51 hazard and risk maps for local government,</w:t>
      </w:r>
      <w:r w:rsidR="001E6DF3" w:rsidRPr="00440EBC">
        <w:t xml:space="preserve"> and improved</w:t>
      </w:r>
      <w:r w:rsidR="001A6BA5" w:rsidRPr="00440EBC">
        <w:t xml:space="preserve"> early wa</w:t>
      </w:r>
      <w:r w:rsidR="001A6BA5" w:rsidRPr="005C21D0">
        <w:t xml:space="preserve">rning systems </w:t>
      </w:r>
      <w:r w:rsidR="001E6DF3" w:rsidRPr="005C21D0">
        <w:t xml:space="preserve">for the benefit of over </w:t>
      </w:r>
      <w:r w:rsidR="00264542" w:rsidRPr="005C21D0">
        <w:t>one million people</w:t>
      </w:r>
      <w:r w:rsidR="001A6BA5" w:rsidRPr="005C21D0">
        <w:t xml:space="preserve">. These preparations </w:t>
      </w:r>
      <w:r w:rsidR="00A04025" w:rsidRPr="005C21D0">
        <w:t>helped prepare Metropolitan Manila which suffered</w:t>
      </w:r>
      <w:r w:rsidR="001A6BA5" w:rsidRPr="005C21D0">
        <w:t xml:space="preserve"> no </w:t>
      </w:r>
      <w:r w:rsidR="00A04025" w:rsidRPr="005C21D0">
        <w:t xml:space="preserve">casualties from flooding </w:t>
      </w:r>
      <w:r w:rsidR="00264542" w:rsidRPr="005C21D0">
        <w:t xml:space="preserve">in </w:t>
      </w:r>
      <w:r w:rsidR="001A6BA5" w:rsidRPr="005C21D0">
        <w:t>2014-15.</w:t>
      </w:r>
    </w:p>
    <w:p w14:paraId="39C7E003" w14:textId="3FF980C8" w:rsidR="001A6BA5" w:rsidRPr="00440EBC" w:rsidRDefault="002F0CE9" w:rsidP="001A6BA5">
      <w:pPr>
        <w:pStyle w:val="ListBullet"/>
        <w:ind w:left="284" w:hanging="284"/>
      </w:pPr>
      <w:r w:rsidRPr="00440EBC">
        <w:t>Supported</w:t>
      </w:r>
      <w:r w:rsidR="005A37FB" w:rsidRPr="00440EBC">
        <w:t xml:space="preserve">, in partnership with </w:t>
      </w:r>
      <w:r w:rsidRPr="00440EBC">
        <w:t xml:space="preserve">the World Bank, </w:t>
      </w:r>
      <w:r w:rsidR="005A37FB" w:rsidRPr="00440EBC">
        <w:t>development</w:t>
      </w:r>
      <w:r w:rsidR="001A6BA5" w:rsidRPr="00440EBC">
        <w:t xml:space="preserve"> </w:t>
      </w:r>
      <w:r w:rsidRPr="00440EBC">
        <w:t xml:space="preserve">of a </w:t>
      </w:r>
      <w:r w:rsidR="001A6BA5" w:rsidRPr="00440EBC">
        <w:t xml:space="preserve">plan for the Bangsamoro which </w:t>
      </w:r>
      <w:r w:rsidRPr="00440EBC">
        <w:t xml:space="preserve">aims to </w:t>
      </w:r>
      <w:r w:rsidR="00440CF7" w:rsidRPr="00440EBC">
        <w:t xml:space="preserve">foster peace, </w:t>
      </w:r>
      <w:r w:rsidRPr="00440EBC">
        <w:t xml:space="preserve">strengthen institutions, </w:t>
      </w:r>
      <w:r w:rsidR="00440CF7" w:rsidRPr="00440EBC">
        <w:t xml:space="preserve">and </w:t>
      </w:r>
      <w:r w:rsidRPr="00440EBC">
        <w:t>promote</w:t>
      </w:r>
      <w:r w:rsidR="00440CF7" w:rsidRPr="00440EBC">
        <w:t>s jobs</w:t>
      </w:r>
      <w:r w:rsidRPr="00440EBC">
        <w:t>.</w:t>
      </w:r>
    </w:p>
    <w:p w14:paraId="65ACD185" w14:textId="51AC67B7" w:rsidR="00864BF5" w:rsidRPr="00440EBC" w:rsidRDefault="00864BF5" w:rsidP="00864BF5">
      <w:pPr>
        <w:pStyle w:val="ListBullet"/>
        <w:ind w:left="284" w:hanging="284"/>
      </w:pPr>
      <w:r w:rsidRPr="00440EBC">
        <w:t>Encouraged policy dialogue across government, private sector, and civil society organisations, leading to i</w:t>
      </w:r>
      <w:r w:rsidR="00163FB8" w:rsidRPr="00440EBC">
        <w:t>ncreased government funding of AUD</w:t>
      </w:r>
      <w:r w:rsidRPr="00440EBC">
        <w:t>97.6 million for significant reforms in education, local infrastructure, and land governance.</w:t>
      </w:r>
    </w:p>
    <w:p w14:paraId="31A569BD" w14:textId="4A1801C4" w:rsidR="00707A50" w:rsidRPr="00707A50" w:rsidRDefault="00A32497" w:rsidP="001A6BA5">
      <w:pPr>
        <w:pStyle w:val="ListBullet"/>
        <w:numPr>
          <w:ilvl w:val="0"/>
          <w:numId w:val="0"/>
        </w:numPr>
        <w:tabs>
          <w:tab w:val="center" w:pos="4252"/>
        </w:tabs>
      </w:pPr>
      <w:r w:rsidRPr="00440EBC">
        <w:t>Australia’s</w:t>
      </w:r>
      <w:r w:rsidR="00CF5CB7" w:rsidRPr="00440EBC">
        <w:t xml:space="preserve"> aid </w:t>
      </w:r>
      <w:r w:rsidR="00CF7EC8" w:rsidRPr="00440EBC">
        <w:t xml:space="preserve">in the future will </w:t>
      </w:r>
      <w:r w:rsidR="00CF5CB7" w:rsidRPr="00440EBC">
        <w:t xml:space="preserve">be guided by a new </w:t>
      </w:r>
      <w:r w:rsidR="00163FB8" w:rsidRPr="00440EBC">
        <w:rPr>
          <w:i/>
        </w:rPr>
        <w:t>Philippines</w:t>
      </w:r>
      <w:r w:rsidR="00163FB8" w:rsidRPr="00440EBC">
        <w:t xml:space="preserve"> </w:t>
      </w:r>
      <w:r w:rsidR="00CF5CB7" w:rsidRPr="00440EBC">
        <w:rPr>
          <w:i/>
        </w:rPr>
        <w:t xml:space="preserve">Aid Investment Plan </w:t>
      </w:r>
      <w:r w:rsidR="00CF5CB7" w:rsidRPr="00440EBC">
        <w:t xml:space="preserve">launched </w:t>
      </w:r>
      <w:r w:rsidR="00CF7EC8" w:rsidRPr="00440EBC">
        <w:t>i</w:t>
      </w:r>
      <w:r w:rsidR="00D960DE" w:rsidRPr="00440EBC">
        <w:t>n September 2015. The new plan recognises</w:t>
      </w:r>
      <w:r w:rsidR="00CF7EC8" w:rsidRPr="00440EBC">
        <w:t xml:space="preserve"> that Philippines is </w:t>
      </w:r>
      <w:r w:rsidR="00D960DE" w:rsidRPr="00440EBC">
        <w:t>in a stronge</w:t>
      </w:r>
      <w:r w:rsidR="00333CE2" w:rsidRPr="00440EBC">
        <w:t>r economic position than before</w:t>
      </w:r>
      <w:r w:rsidR="00D960DE" w:rsidRPr="00440EBC">
        <w:t xml:space="preserve"> and</w:t>
      </w:r>
      <w:r w:rsidR="00CF7EC8" w:rsidRPr="00440EBC">
        <w:t xml:space="preserve"> shifts the focus towards supporting the </w:t>
      </w:r>
      <w:r w:rsidRPr="00440EBC">
        <w:t>g</w:t>
      </w:r>
      <w:r w:rsidR="00CF7EC8" w:rsidRPr="00440EBC">
        <w:t>overnment to better manage it</w:t>
      </w:r>
      <w:r w:rsidR="00D960DE" w:rsidRPr="00440EBC">
        <w:t>s</w:t>
      </w:r>
      <w:r w:rsidR="00CF7EC8" w:rsidRPr="00440EBC">
        <w:t xml:space="preserve"> own resources and </w:t>
      </w:r>
      <w:r w:rsidR="00D960DE" w:rsidRPr="00440EBC">
        <w:t>catalysing</w:t>
      </w:r>
      <w:r w:rsidR="00CF7EC8" w:rsidRPr="00440EBC">
        <w:t xml:space="preserve"> reform. The goal of </w:t>
      </w:r>
      <w:r w:rsidR="00D960DE" w:rsidRPr="00440EBC">
        <w:t xml:space="preserve">Australia’s aid investments in the Philippines will be </w:t>
      </w:r>
      <w:r w:rsidR="00CF7EC8" w:rsidRPr="00440EBC">
        <w:t xml:space="preserve">to </w:t>
      </w:r>
      <w:r w:rsidR="00D960DE" w:rsidRPr="00440EBC">
        <w:rPr>
          <w:i/>
        </w:rPr>
        <w:t>‘</w:t>
      </w:r>
      <w:r w:rsidR="00CF7EC8" w:rsidRPr="00440EBC">
        <w:rPr>
          <w:i/>
        </w:rPr>
        <w:t>accelerate inclusive economic growth and political stability</w:t>
      </w:r>
      <w:r w:rsidR="00D960DE" w:rsidRPr="00440EBC">
        <w:rPr>
          <w:i/>
        </w:rPr>
        <w:t>’</w:t>
      </w:r>
      <w:r w:rsidR="00CF7EC8" w:rsidRPr="00440EBC">
        <w:t>.</w:t>
      </w:r>
      <w:r w:rsidR="00CF7EC8">
        <w:t xml:space="preserve"> </w:t>
      </w:r>
    </w:p>
    <w:p w14:paraId="37BB5755" w14:textId="01658A08" w:rsidR="0017315F" w:rsidRPr="008A6CDC" w:rsidRDefault="000D733F" w:rsidP="000927BF">
      <w:pPr>
        <w:pStyle w:val="Heading2"/>
        <w:rPr>
          <w:sz w:val="28"/>
        </w:rPr>
      </w:pPr>
      <w:r w:rsidRPr="008A6CDC">
        <w:rPr>
          <w:sz w:val="28"/>
        </w:rPr>
        <w:lastRenderedPageBreak/>
        <w:t>Context</w:t>
      </w:r>
    </w:p>
    <w:p w14:paraId="1A80C6BF" w14:textId="580B47BB" w:rsidR="00AE192C" w:rsidRPr="00E80141" w:rsidRDefault="00370E3C" w:rsidP="00370E3C">
      <w:pPr>
        <w:pStyle w:val="ListBullet"/>
        <w:numPr>
          <w:ilvl w:val="0"/>
          <w:numId w:val="0"/>
        </w:numPr>
        <w:tabs>
          <w:tab w:val="clear" w:pos="284"/>
        </w:tabs>
      </w:pPr>
      <w:r w:rsidRPr="00E80141">
        <w:t xml:space="preserve">The Philippines </w:t>
      </w:r>
      <w:r w:rsidR="00FF41A0" w:rsidRPr="00E80141">
        <w:t xml:space="preserve">is </w:t>
      </w:r>
      <w:r w:rsidRPr="00E80141">
        <w:t xml:space="preserve">one of the fastest growing </w:t>
      </w:r>
      <w:r w:rsidR="00FF41A0" w:rsidRPr="00E80141">
        <w:t>economies</w:t>
      </w:r>
      <w:r w:rsidR="00EB4044" w:rsidRPr="00E80141">
        <w:t xml:space="preserve"> in Southeast Asia</w:t>
      </w:r>
      <w:r w:rsidRPr="00E80141">
        <w:t xml:space="preserve"> with a</w:t>
      </w:r>
      <w:r w:rsidR="008F65EE" w:rsidRPr="00E80141">
        <w:t>n average</w:t>
      </w:r>
      <w:r w:rsidR="00CF5B05" w:rsidRPr="00E80141">
        <w:t xml:space="preserve"> growth rate of 6.3</w:t>
      </w:r>
      <w:r w:rsidR="00163FB8">
        <w:t xml:space="preserve"> per</w:t>
      </w:r>
      <w:r w:rsidR="00184946">
        <w:t xml:space="preserve"> </w:t>
      </w:r>
      <w:r w:rsidR="00163FB8">
        <w:t>cent</w:t>
      </w:r>
      <w:r w:rsidRPr="00E80141">
        <w:t xml:space="preserve"> per annum </w:t>
      </w:r>
      <w:r w:rsidR="00CF5B05" w:rsidRPr="00E80141">
        <w:t>between 2010</w:t>
      </w:r>
      <w:r w:rsidR="008F65EE" w:rsidRPr="00E80141">
        <w:t xml:space="preserve"> and 20</w:t>
      </w:r>
      <w:r w:rsidRPr="00E80141">
        <w:t>14.</w:t>
      </w:r>
      <w:r w:rsidR="00C214DC" w:rsidRPr="00E80141">
        <w:rPr>
          <w:rStyle w:val="EndnoteReference"/>
        </w:rPr>
        <w:endnoteReference w:id="1"/>
      </w:r>
      <w:r w:rsidRPr="00E80141">
        <w:t xml:space="preserve"> </w:t>
      </w:r>
      <w:r w:rsidR="006E0C4B" w:rsidRPr="00E80141">
        <w:t xml:space="preserve">It </w:t>
      </w:r>
      <w:r w:rsidR="00055BE1" w:rsidRPr="00E80141">
        <w:t>has outperformed</w:t>
      </w:r>
      <w:r w:rsidRPr="00E80141">
        <w:t xml:space="preserve"> </w:t>
      </w:r>
      <w:r w:rsidR="008F65EE" w:rsidRPr="00E80141">
        <w:t>Indonesia</w:t>
      </w:r>
      <w:r w:rsidR="00CF5B05" w:rsidRPr="00E80141">
        <w:t xml:space="preserve"> (5.8</w:t>
      </w:r>
      <w:r w:rsidR="00163FB8">
        <w:t xml:space="preserve"> per</w:t>
      </w:r>
      <w:r w:rsidR="00184946">
        <w:t xml:space="preserve"> </w:t>
      </w:r>
      <w:r w:rsidR="00163FB8">
        <w:t>cent</w:t>
      </w:r>
      <w:r w:rsidR="006A0481" w:rsidRPr="00E80141">
        <w:t>)</w:t>
      </w:r>
      <w:r w:rsidR="008F65EE" w:rsidRPr="00E80141">
        <w:t>, Malaysia</w:t>
      </w:r>
      <w:r w:rsidR="00CF5B05" w:rsidRPr="00E80141">
        <w:t xml:space="preserve"> (5.8</w:t>
      </w:r>
      <w:r w:rsidR="00163FB8">
        <w:t xml:space="preserve"> per</w:t>
      </w:r>
      <w:r w:rsidR="00184946">
        <w:t xml:space="preserve"> </w:t>
      </w:r>
      <w:r w:rsidR="00163FB8">
        <w:t>cent</w:t>
      </w:r>
      <w:r w:rsidR="006A0481" w:rsidRPr="00E80141">
        <w:t>)</w:t>
      </w:r>
      <w:r w:rsidR="008F65EE" w:rsidRPr="00E80141">
        <w:t xml:space="preserve">, Thailand </w:t>
      </w:r>
      <w:r w:rsidR="00CF5B05" w:rsidRPr="00E80141">
        <w:t>(3.6</w:t>
      </w:r>
      <w:r w:rsidR="00163FB8">
        <w:t xml:space="preserve"> per</w:t>
      </w:r>
      <w:r w:rsidR="00184946">
        <w:t xml:space="preserve"> </w:t>
      </w:r>
      <w:r w:rsidR="00163FB8">
        <w:t>cent</w:t>
      </w:r>
      <w:r w:rsidR="00A12A02">
        <w:t>) and Vietn</w:t>
      </w:r>
      <w:r w:rsidR="008F65EE" w:rsidRPr="00E80141">
        <w:t>am</w:t>
      </w:r>
      <w:r w:rsidR="00CF5B05" w:rsidRPr="00E80141">
        <w:t xml:space="preserve"> (5.9</w:t>
      </w:r>
      <w:r w:rsidR="00184946">
        <w:t> </w:t>
      </w:r>
      <w:r w:rsidR="00163FB8">
        <w:t>per</w:t>
      </w:r>
      <w:r w:rsidR="00184946">
        <w:t> </w:t>
      </w:r>
      <w:r w:rsidR="00163FB8">
        <w:t>cent</w:t>
      </w:r>
      <w:r w:rsidR="006A0481" w:rsidRPr="00E80141">
        <w:t>)</w:t>
      </w:r>
      <w:r w:rsidR="00053C1E" w:rsidRPr="00E80141">
        <w:t xml:space="preserve"> across this time period</w:t>
      </w:r>
      <w:r w:rsidR="008F65EE" w:rsidRPr="00E80141">
        <w:t>.</w:t>
      </w:r>
      <w:r w:rsidR="006A0481" w:rsidRPr="00E80141">
        <w:t xml:space="preserve"> </w:t>
      </w:r>
      <w:r w:rsidR="00E41607">
        <w:t xml:space="preserve">Commensurate with the country’s economic growth, the </w:t>
      </w:r>
      <w:r w:rsidR="00722135" w:rsidRPr="00E80141">
        <w:t xml:space="preserve">unemployment rate </w:t>
      </w:r>
      <w:r w:rsidR="00E41607" w:rsidRPr="00E80141">
        <w:t xml:space="preserve">has fallen </w:t>
      </w:r>
      <w:r w:rsidR="00495CDC">
        <w:t xml:space="preserve">by </w:t>
      </w:r>
      <w:r w:rsidR="00E41607">
        <w:t>1.6 </w:t>
      </w:r>
      <w:r w:rsidR="00E41607" w:rsidRPr="00E80141">
        <w:t>percentage points over the last five years</w:t>
      </w:r>
      <w:r w:rsidR="00E41607">
        <w:t xml:space="preserve"> and </w:t>
      </w:r>
      <w:r w:rsidR="00163FB8">
        <w:t>is currently at 6.4 per</w:t>
      </w:r>
      <w:r w:rsidR="00184946">
        <w:t xml:space="preserve"> </w:t>
      </w:r>
      <w:r w:rsidR="00163FB8">
        <w:t>cent</w:t>
      </w:r>
      <w:r w:rsidR="00B64E0F" w:rsidRPr="00E80141">
        <w:t>.</w:t>
      </w:r>
      <w:r w:rsidR="008F2195" w:rsidRPr="00E80141">
        <w:rPr>
          <w:rStyle w:val="EndnoteReference"/>
        </w:rPr>
        <w:endnoteReference w:id="2"/>
      </w:r>
      <w:r w:rsidR="00B64E0F" w:rsidRPr="00E80141">
        <w:t xml:space="preserve"> </w:t>
      </w:r>
    </w:p>
    <w:p w14:paraId="014A5BB7" w14:textId="0AD82E97" w:rsidR="00996921" w:rsidRPr="00E80141" w:rsidRDefault="002D55E7" w:rsidP="00370E3C">
      <w:pPr>
        <w:pStyle w:val="ListBullet"/>
        <w:numPr>
          <w:ilvl w:val="0"/>
          <w:numId w:val="0"/>
        </w:numPr>
        <w:tabs>
          <w:tab w:val="clear" w:pos="284"/>
        </w:tabs>
      </w:pPr>
      <w:r w:rsidRPr="00E80141">
        <w:t xml:space="preserve">The </w:t>
      </w:r>
      <w:r w:rsidR="004139BD" w:rsidRPr="00E80141">
        <w:t xml:space="preserve">services sector </w:t>
      </w:r>
      <w:r w:rsidR="00F44FA8" w:rsidRPr="00E80141">
        <w:t xml:space="preserve">has </w:t>
      </w:r>
      <w:r w:rsidR="00B51D94" w:rsidRPr="00E80141">
        <w:t xml:space="preserve">driven </w:t>
      </w:r>
      <w:r w:rsidR="00F44FA8" w:rsidRPr="00E80141">
        <w:t xml:space="preserve">growth in the Philippines </w:t>
      </w:r>
      <w:r w:rsidR="00B51D94" w:rsidRPr="00E80141">
        <w:t xml:space="preserve">and </w:t>
      </w:r>
      <w:r w:rsidR="00F44FA8" w:rsidRPr="00E80141">
        <w:t>incr</w:t>
      </w:r>
      <w:r w:rsidR="00BC29B9" w:rsidRPr="00E80141">
        <w:t>eased its share of GDP from 55.1</w:t>
      </w:r>
      <w:r w:rsidR="00163FB8">
        <w:t xml:space="preserve"> per</w:t>
      </w:r>
      <w:r w:rsidR="00184946">
        <w:t xml:space="preserve"> </w:t>
      </w:r>
      <w:r w:rsidR="00163FB8">
        <w:t>cent in 2010 to 57.5 per</w:t>
      </w:r>
      <w:r w:rsidR="00184946">
        <w:t xml:space="preserve"> </w:t>
      </w:r>
      <w:r w:rsidR="00163FB8">
        <w:t>cent</w:t>
      </w:r>
      <w:r w:rsidR="00F44FA8" w:rsidRPr="00E80141">
        <w:t xml:space="preserve"> in 2014.</w:t>
      </w:r>
      <w:r w:rsidR="008F2195" w:rsidRPr="00E80141">
        <w:rPr>
          <w:rStyle w:val="EndnoteReference"/>
        </w:rPr>
        <w:endnoteReference w:id="3"/>
      </w:r>
      <w:r w:rsidR="00F44FA8" w:rsidRPr="00E80141">
        <w:t xml:space="preserve"> </w:t>
      </w:r>
      <w:r w:rsidR="00AE192C" w:rsidRPr="00E80141">
        <w:t xml:space="preserve">Especially notable is </w:t>
      </w:r>
      <w:r w:rsidR="00083015" w:rsidRPr="00E80141">
        <w:t xml:space="preserve">the </w:t>
      </w:r>
      <w:r w:rsidR="008F2195" w:rsidRPr="00E80141">
        <w:t>b</w:t>
      </w:r>
      <w:r w:rsidR="00B51D94" w:rsidRPr="00E80141">
        <w:t>usine</w:t>
      </w:r>
      <w:r w:rsidR="008F2195" w:rsidRPr="00E80141">
        <w:t>ss process o</w:t>
      </w:r>
      <w:r w:rsidR="00B51D94" w:rsidRPr="00E80141">
        <w:t>utsourcing</w:t>
      </w:r>
      <w:r w:rsidR="00083015" w:rsidRPr="00E80141">
        <w:t xml:space="preserve"> sector</w:t>
      </w:r>
      <w:r w:rsidR="00B51D94" w:rsidRPr="00E80141">
        <w:t xml:space="preserve"> </w:t>
      </w:r>
      <w:r w:rsidR="00AE192C" w:rsidRPr="00E80141">
        <w:t>whose revenue reached USD18.4 billion in 2014 from virtually zero in 2001.</w:t>
      </w:r>
      <w:r w:rsidR="005F443D" w:rsidRPr="00E80141">
        <w:rPr>
          <w:rStyle w:val="EndnoteReference"/>
        </w:rPr>
        <w:endnoteReference w:id="4"/>
      </w:r>
      <w:r w:rsidR="00AE192C" w:rsidRPr="00E80141">
        <w:t xml:space="preserve"> </w:t>
      </w:r>
      <w:r w:rsidR="00D32A6C" w:rsidRPr="00E80141">
        <w:t>In a relatively short</w:t>
      </w:r>
      <w:r w:rsidR="00E8768F" w:rsidRPr="00E80141">
        <w:t xml:space="preserve"> period</w:t>
      </w:r>
      <w:r w:rsidR="00D32A6C" w:rsidRPr="00E80141">
        <w:t xml:space="preserve">, </w:t>
      </w:r>
      <w:r w:rsidR="00570CD6">
        <w:t xml:space="preserve">the </w:t>
      </w:r>
      <w:r w:rsidR="001B11B8" w:rsidRPr="00E80141">
        <w:t>Philippine</w:t>
      </w:r>
      <w:r w:rsidR="00570CD6">
        <w:t>s</w:t>
      </w:r>
      <w:r w:rsidR="001B11B8" w:rsidRPr="00E80141">
        <w:t xml:space="preserve"> </w:t>
      </w:r>
      <w:r w:rsidR="00570CD6">
        <w:t xml:space="preserve">has </w:t>
      </w:r>
      <w:r w:rsidR="00D32A6C" w:rsidRPr="00E80141">
        <w:t xml:space="preserve">become one of the </w:t>
      </w:r>
      <w:r w:rsidR="001B11B8" w:rsidRPr="00E80141">
        <w:t>top global outsourcing destinations in the world.</w:t>
      </w:r>
      <w:r w:rsidR="001B11B8" w:rsidRPr="00E80141">
        <w:rPr>
          <w:rStyle w:val="EndnoteReference"/>
        </w:rPr>
        <w:endnoteReference w:id="5"/>
      </w:r>
      <w:r w:rsidR="001B11B8" w:rsidRPr="00E80141">
        <w:t xml:space="preserve"> </w:t>
      </w:r>
      <w:r w:rsidR="00985F67" w:rsidRPr="00E80141">
        <w:t xml:space="preserve">While the </w:t>
      </w:r>
      <w:r w:rsidR="00AE192C" w:rsidRPr="00E80141">
        <w:t xml:space="preserve">industry and agriculture sectors </w:t>
      </w:r>
      <w:r w:rsidR="00985F67" w:rsidRPr="00E80141">
        <w:t xml:space="preserve">grew </w:t>
      </w:r>
      <w:r w:rsidR="00A46A98" w:rsidRPr="00E80141">
        <w:t xml:space="preserve">between 2010 and 2014, </w:t>
      </w:r>
      <w:r w:rsidR="00AE192C" w:rsidRPr="00E80141">
        <w:t>their share of GDP decreased slightly.</w:t>
      </w:r>
      <w:r w:rsidR="008F2195" w:rsidRPr="00E80141">
        <w:rPr>
          <w:rStyle w:val="EndnoteReference"/>
        </w:rPr>
        <w:endnoteReference w:id="6"/>
      </w:r>
      <w:r w:rsidR="00AE192C" w:rsidRPr="00E80141">
        <w:t xml:space="preserve"> The economy </w:t>
      </w:r>
      <w:r w:rsidR="00985F67" w:rsidRPr="00E80141">
        <w:t xml:space="preserve">remains reliant on </w:t>
      </w:r>
      <w:r w:rsidR="00793A6B" w:rsidRPr="00E80141">
        <w:t>overseas Philippine</w:t>
      </w:r>
      <w:r w:rsidR="00323A78" w:rsidRPr="00E80141">
        <w:t xml:space="preserve"> workers who in 2014 remitted USD28.4 bi</w:t>
      </w:r>
      <w:r w:rsidR="00163FB8">
        <w:t>llion or 10 per</w:t>
      </w:r>
      <w:r w:rsidR="00184946">
        <w:t xml:space="preserve"> </w:t>
      </w:r>
      <w:r w:rsidR="00163FB8">
        <w:t>cent</w:t>
      </w:r>
      <w:r w:rsidR="00996921" w:rsidRPr="00E80141">
        <w:t xml:space="preserve"> of GDP.</w:t>
      </w:r>
      <w:r w:rsidR="008F2195" w:rsidRPr="00E80141">
        <w:rPr>
          <w:rStyle w:val="EndnoteReference"/>
        </w:rPr>
        <w:endnoteReference w:id="7"/>
      </w:r>
    </w:p>
    <w:p w14:paraId="7A790B4E" w14:textId="50DE485C" w:rsidR="000C7673" w:rsidRPr="00E80141" w:rsidRDefault="003D76C8" w:rsidP="00011B4A">
      <w:pPr>
        <w:pStyle w:val="ListBullet"/>
        <w:numPr>
          <w:ilvl w:val="0"/>
          <w:numId w:val="0"/>
        </w:numPr>
        <w:tabs>
          <w:tab w:val="clear" w:pos="284"/>
        </w:tabs>
      </w:pPr>
      <w:r w:rsidRPr="00E80141">
        <w:t xml:space="preserve">While economic growth has been high </w:t>
      </w:r>
      <w:r w:rsidR="000C4053" w:rsidRPr="00E80141">
        <w:t xml:space="preserve">in the Philippines, the challenge </w:t>
      </w:r>
      <w:r w:rsidR="000C7673" w:rsidRPr="00E80141">
        <w:t xml:space="preserve">is </w:t>
      </w:r>
      <w:r w:rsidR="000C4053" w:rsidRPr="00E80141">
        <w:t xml:space="preserve">to </w:t>
      </w:r>
      <w:r w:rsidR="00DD242D" w:rsidRPr="00E80141">
        <w:t xml:space="preserve">ensure that economic expansion benefits the population as a whole. </w:t>
      </w:r>
      <w:r w:rsidR="009C2CE8" w:rsidRPr="00E80141">
        <w:t>G</w:t>
      </w:r>
      <w:r w:rsidR="00AE26BA" w:rsidRPr="00E80141">
        <w:t xml:space="preserve">ains have been </w:t>
      </w:r>
      <w:r w:rsidR="00CF5B05" w:rsidRPr="00E80141">
        <w:t>made</w:t>
      </w:r>
      <w:r w:rsidR="003C10F9" w:rsidRPr="00E80141">
        <w:t>.</w:t>
      </w:r>
      <w:r w:rsidR="00053C1E" w:rsidRPr="00E80141">
        <w:t xml:space="preserve"> </w:t>
      </w:r>
      <w:r w:rsidR="00932D77" w:rsidRPr="00E80141">
        <w:t>Income</w:t>
      </w:r>
      <w:r w:rsidR="00415E2F" w:rsidRPr="00E80141">
        <w:t xml:space="preserve"> as measured </w:t>
      </w:r>
      <w:r w:rsidR="0091625A" w:rsidRPr="00E80141">
        <w:t>by GDP per capita</w:t>
      </w:r>
      <w:r w:rsidR="00932D77" w:rsidRPr="00E80141">
        <w:t xml:space="preserve"> </w:t>
      </w:r>
      <w:r w:rsidR="00415E2F" w:rsidRPr="00E80141">
        <w:t xml:space="preserve">increased </w:t>
      </w:r>
      <w:r w:rsidR="00163FB8">
        <w:t>by 18 per</w:t>
      </w:r>
      <w:r w:rsidR="00184946">
        <w:t xml:space="preserve"> </w:t>
      </w:r>
      <w:r w:rsidR="00163FB8">
        <w:t>cent</w:t>
      </w:r>
      <w:r w:rsidR="00AE26BA" w:rsidRPr="00E80141">
        <w:t xml:space="preserve"> </w:t>
      </w:r>
      <w:r w:rsidR="000C7673" w:rsidRPr="00E80141">
        <w:t>between 2010 and 2014 (</w:t>
      </w:r>
      <w:r w:rsidR="00415E2F" w:rsidRPr="00E80141">
        <w:t>from USD1</w:t>
      </w:r>
      <w:r w:rsidR="00011B4A" w:rsidRPr="00E80141">
        <w:t>,</w:t>
      </w:r>
      <w:r w:rsidR="00415E2F" w:rsidRPr="00E80141">
        <w:t>403 to US</w:t>
      </w:r>
      <w:r w:rsidR="0003324F" w:rsidRPr="00E80141">
        <w:t>D</w:t>
      </w:r>
      <w:r w:rsidR="00415E2F" w:rsidRPr="00E80141">
        <w:t>1</w:t>
      </w:r>
      <w:r w:rsidR="00011B4A" w:rsidRPr="00E80141">
        <w:t>,</w:t>
      </w:r>
      <w:r w:rsidR="00415E2F" w:rsidRPr="00E80141">
        <w:t>649</w:t>
      </w:r>
      <w:r w:rsidR="000C7673" w:rsidRPr="00E80141">
        <w:t>)</w:t>
      </w:r>
      <w:r w:rsidR="008F2195" w:rsidRPr="00E80141">
        <w:rPr>
          <w:rStyle w:val="EndnoteReference"/>
        </w:rPr>
        <w:endnoteReference w:id="8"/>
      </w:r>
      <w:r w:rsidR="000C7673" w:rsidRPr="00E80141">
        <w:t xml:space="preserve">, and the </w:t>
      </w:r>
      <w:r w:rsidR="00011B4A" w:rsidRPr="00E80141">
        <w:t>incidence of poverty</w:t>
      </w:r>
      <w:r w:rsidR="00AE26BA" w:rsidRPr="00E80141">
        <w:t xml:space="preserve"> </w:t>
      </w:r>
      <w:r w:rsidR="00321225" w:rsidRPr="00E80141">
        <w:t>for</w:t>
      </w:r>
      <w:r w:rsidR="00011B4A" w:rsidRPr="00E80141">
        <w:t xml:space="preserve"> th</w:t>
      </w:r>
      <w:r w:rsidR="00835F2F">
        <w:t>e population decreased by three </w:t>
      </w:r>
      <w:r w:rsidR="00011B4A" w:rsidRPr="00E80141">
        <w:t xml:space="preserve">percentage points </w:t>
      </w:r>
      <w:r w:rsidR="000C7673" w:rsidRPr="00E80141">
        <w:t>between 2009 and 2014 (</w:t>
      </w:r>
      <w:r w:rsidR="009C2CE8" w:rsidRPr="00E80141">
        <w:t xml:space="preserve">from </w:t>
      </w:r>
      <w:r w:rsidR="00163FB8">
        <w:t>29 per</w:t>
      </w:r>
      <w:r w:rsidR="00184946">
        <w:t xml:space="preserve"> </w:t>
      </w:r>
      <w:r w:rsidR="00163FB8">
        <w:t>cent to 26 per</w:t>
      </w:r>
      <w:r w:rsidR="00184946">
        <w:t xml:space="preserve"> </w:t>
      </w:r>
      <w:r w:rsidR="00163FB8">
        <w:t>cent</w:t>
      </w:r>
      <w:r w:rsidR="000C7673" w:rsidRPr="00E80141">
        <w:t>)</w:t>
      </w:r>
      <w:r w:rsidR="00011B4A" w:rsidRPr="00E80141">
        <w:t>.</w:t>
      </w:r>
      <w:r w:rsidR="000423A9" w:rsidRPr="00E80141">
        <w:rPr>
          <w:rStyle w:val="EndnoteReference"/>
        </w:rPr>
        <w:endnoteReference w:id="9"/>
      </w:r>
      <w:r w:rsidR="00011B4A" w:rsidRPr="00E80141">
        <w:t xml:space="preserve"> </w:t>
      </w:r>
      <w:r w:rsidR="003C10F9" w:rsidRPr="00E80141">
        <w:t>These outcomes are encouraging, but not yet at a pace the Philippine Government would like to see.</w:t>
      </w:r>
    </w:p>
    <w:p w14:paraId="2D171768" w14:textId="43CBAB5F" w:rsidR="00DB620A" w:rsidRPr="00E80141" w:rsidRDefault="003C10F9" w:rsidP="00011B4A">
      <w:pPr>
        <w:pStyle w:val="ListBullet"/>
        <w:numPr>
          <w:ilvl w:val="0"/>
          <w:numId w:val="0"/>
        </w:numPr>
        <w:tabs>
          <w:tab w:val="clear" w:pos="284"/>
        </w:tabs>
      </w:pPr>
      <w:r w:rsidRPr="00E80141">
        <w:t xml:space="preserve">The </w:t>
      </w:r>
      <w:r w:rsidR="00FF41A0" w:rsidRPr="00E80141">
        <w:t xml:space="preserve">Philippines </w:t>
      </w:r>
      <w:r w:rsidRPr="00E80141">
        <w:t>has</w:t>
      </w:r>
      <w:r w:rsidR="00323A78" w:rsidRPr="00E80141">
        <w:t xml:space="preserve"> made </w:t>
      </w:r>
      <w:r w:rsidR="000C7673" w:rsidRPr="00E80141">
        <w:t xml:space="preserve">progress </w:t>
      </w:r>
      <w:r w:rsidR="009C2CE8" w:rsidRPr="00E80141">
        <w:t xml:space="preserve">in </w:t>
      </w:r>
      <w:r w:rsidR="000C7673" w:rsidRPr="00E80141">
        <w:t xml:space="preserve">tackling </w:t>
      </w:r>
      <w:r w:rsidR="00083015" w:rsidRPr="00E80141">
        <w:t xml:space="preserve">some of the </w:t>
      </w:r>
      <w:r w:rsidR="000C7673" w:rsidRPr="00E80141">
        <w:t xml:space="preserve">underlying </w:t>
      </w:r>
      <w:r w:rsidR="003C597A" w:rsidRPr="00E80141">
        <w:t xml:space="preserve">economic </w:t>
      </w:r>
      <w:r w:rsidR="00996921" w:rsidRPr="00E80141">
        <w:t xml:space="preserve">issues </w:t>
      </w:r>
      <w:r w:rsidR="003C597A" w:rsidRPr="00E80141">
        <w:t>limiting growth and</w:t>
      </w:r>
      <w:r w:rsidR="0003324F" w:rsidRPr="00E80141">
        <w:t xml:space="preserve"> </w:t>
      </w:r>
      <w:r w:rsidR="008B2841" w:rsidRPr="00E80141">
        <w:t xml:space="preserve">development. </w:t>
      </w:r>
      <w:r w:rsidRPr="00E80141">
        <w:t>T</w:t>
      </w:r>
      <w:r w:rsidR="00B64E0F" w:rsidRPr="00E80141">
        <w:t xml:space="preserve">he country </w:t>
      </w:r>
      <w:r w:rsidRPr="00E80141">
        <w:t>has awarded</w:t>
      </w:r>
      <w:r w:rsidR="00B64E0F" w:rsidRPr="00E80141">
        <w:t xml:space="preserve"> ten Public Private Partnership projects </w:t>
      </w:r>
      <w:r w:rsidR="008A1B0C" w:rsidRPr="00E80141">
        <w:t>since 2011</w:t>
      </w:r>
      <w:r w:rsidR="00D36B23">
        <w:t>,</w:t>
      </w:r>
      <w:r w:rsidR="008A1B0C" w:rsidRPr="00E80141">
        <w:t xml:space="preserve"> </w:t>
      </w:r>
      <w:r w:rsidR="00B64E0F" w:rsidRPr="00E80141">
        <w:t>worth an estimated USD4.2 billion</w:t>
      </w:r>
      <w:r w:rsidR="00D36B23">
        <w:t>,</w:t>
      </w:r>
      <w:r w:rsidR="00920FDE" w:rsidRPr="00E80141">
        <w:t xml:space="preserve"> to improve infrastructure </w:t>
      </w:r>
      <w:r w:rsidR="00D36B23">
        <w:t>and connectivity</w:t>
      </w:r>
      <w:r w:rsidR="00F94ECD" w:rsidRPr="00E80141">
        <w:t>.</w:t>
      </w:r>
      <w:r w:rsidR="008F2195" w:rsidRPr="00E80141">
        <w:rPr>
          <w:rStyle w:val="EndnoteReference"/>
        </w:rPr>
        <w:endnoteReference w:id="10"/>
      </w:r>
      <w:r w:rsidR="008A1B0C" w:rsidRPr="00E80141">
        <w:t xml:space="preserve"> </w:t>
      </w:r>
      <w:r w:rsidRPr="00E80141">
        <w:t>Three</w:t>
      </w:r>
      <w:r w:rsidR="000B0DBC" w:rsidRPr="00E80141">
        <w:t xml:space="preserve"> key economic r</w:t>
      </w:r>
      <w:r w:rsidRPr="00E80141">
        <w:t xml:space="preserve">eform bills were </w:t>
      </w:r>
      <w:r w:rsidR="00920FDE" w:rsidRPr="00E80141">
        <w:t>also passed in 2015:</w:t>
      </w:r>
      <w:r w:rsidR="003C597A" w:rsidRPr="00E80141">
        <w:t xml:space="preserve"> t</w:t>
      </w:r>
      <w:r w:rsidR="000B0DBC" w:rsidRPr="00E80141">
        <w:t xml:space="preserve">he </w:t>
      </w:r>
      <w:r w:rsidR="00053C1E" w:rsidRPr="00E80141">
        <w:t>Philippine Competition Act</w:t>
      </w:r>
      <w:r w:rsidRPr="00E80141">
        <w:t>;</w:t>
      </w:r>
      <w:r w:rsidR="00053C1E" w:rsidRPr="00E80141">
        <w:t xml:space="preserve"> the </w:t>
      </w:r>
      <w:r w:rsidR="000B0DBC" w:rsidRPr="00E80141">
        <w:t>Tax Incentives Management and Transparency Act</w:t>
      </w:r>
      <w:r w:rsidRPr="00E80141">
        <w:t>;</w:t>
      </w:r>
      <w:r w:rsidR="000B0DBC" w:rsidRPr="00E80141">
        <w:t xml:space="preserve"> </w:t>
      </w:r>
      <w:r w:rsidRPr="00E80141">
        <w:t>and a Cabotage Act designed to allow foreign vessels to carry more cargo between Philippine Ports. Critical details of the</w:t>
      </w:r>
      <w:r w:rsidR="00053C1E" w:rsidRPr="00E80141">
        <w:t xml:space="preserve"> implementation </w:t>
      </w:r>
      <w:r w:rsidRPr="00E80141">
        <w:t xml:space="preserve">of these acts </w:t>
      </w:r>
      <w:r w:rsidR="00053C1E" w:rsidRPr="00E80141">
        <w:t xml:space="preserve">still </w:t>
      </w:r>
      <w:r w:rsidR="00985F67" w:rsidRPr="00E80141">
        <w:t xml:space="preserve">need </w:t>
      </w:r>
      <w:r w:rsidR="00053C1E" w:rsidRPr="00E80141">
        <w:t>to be hammered out</w:t>
      </w:r>
      <w:r w:rsidR="000B0DBC" w:rsidRPr="00E80141">
        <w:t>.</w:t>
      </w:r>
      <w:r w:rsidR="00053C1E" w:rsidRPr="00E80141">
        <w:t xml:space="preserve"> </w:t>
      </w:r>
      <w:r w:rsidR="00F94ECD" w:rsidRPr="00E80141">
        <w:t>A</w:t>
      </w:r>
      <w:r w:rsidRPr="00E80141">
        <w:t>n act called the</w:t>
      </w:r>
      <w:r w:rsidR="008A1B0C" w:rsidRPr="00E80141">
        <w:t xml:space="preserve"> Go Negosyo Act</w:t>
      </w:r>
      <w:r w:rsidR="00B64E0F" w:rsidRPr="00E80141">
        <w:t xml:space="preserve"> </w:t>
      </w:r>
      <w:r w:rsidR="008A1B0C" w:rsidRPr="00E80141">
        <w:t xml:space="preserve">was </w:t>
      </w:r>
      <w:r w:rsidR="00920FDE" w:rsidRPr="00E80141">
        <w:t xml:space="preserve">also </w:t>
      </w:r>
      <w:r w:rsidR="008A1B0C" w:rsidRPr="00E80141">
        <w:t xml:space="preserve">signed into law on July 2014 </w:t>
      </w:r>
      <w:r w:rsidR="00DB620A" w:rsidRPr="00E80141">
        <w:t xml:space="preserve">and </w:t>
      </w:r>
      <w:r w:rsidR="008A1B0C" w:rsidRPr="00E80141">
        <w:t>aims to help the establishment of small and medium-sized enterprises</w:t>
      </w:r>
      <w:r w:rsidR="00F94ECD" w:rsidRPr="00E80141">
        <w:t xml:space="preserve">. </w:t>
      </w:r>
    </w:p>
    <w:p w14:paraId="79E3C246" w14:textId="6CFA5A75" w:rsidR="00DB2C3E" w:rsidRPr="00E80141" w:rsidRDefault="00DB106A" w:rsidP="00011B4A">
      <w:pPr>
        <w:pStyle w:val="ListBullet"/>
        <w:numPr>
          <w:ilvl w:val="0"/>
          <w:numId w:val="0"/>
        </w:numPr>
        <w:tabs>
          <w:tab w:val="clear" w:pos="284"/>
        </w:tabs>
      </w:pPr>
      <w:r w:rsidRPr="00E80141">
        <w:t>The overall business and governance environment of the Philippines has improved</w:t>
      </w:r>
      <w:r w:rsidR="00F94ECD" w:rsidRPr="00E80141">
        <w:t xml:space="preserve">. </w:t>
      </w:r>
      <w:r w:rsidR="00BF3D74" w:rsidRPr="00E80141">
        <w:t>Between 2010 and 2015, t</w:t>
      </w:r>
      <w:r w:rsidR="00F94ECD" w:rsidRPr="00E80141">
        <w:t>he Philippines</w:t>
      </w:r>
      <w:r w:rsidR="00BF3D74" w:rsidRPr="00E80141">
        <w:t xml:space="preserve"> increased its </w:t>
      </w:r>
      <w:r w:rsidR="00295389" w:rsidRPr="00E80141">
        <w:t>ease of doing business score;</w:t>
      </w:r>
      <w:r w:rsidR="008F2195" w:rsidRPr="00E80141">
        <w:rPr>
          <w:rStyle w:val="EndnoteReference"/>
        </w:rPr>
        <w:endnoteReference w:id="11"/>
      </w:r>
      <w:r w:rsidR="00295389" w:rsidRPr="00E80141">
        <w:t xml:space="preserve"> </w:t>
      </w:r>
      <w:r w:rsidR="00E45647" w:rsidRPr="00E80141">
        <w:t>moved up 3</w:t>
      </w:r>
      <w:r w:rsidR="00055BE1" w:rsidRPr="00E80141">
        <w:t xml:space="preserve">3 </w:t>
      </w:r>
      <w:r w:rsidR="0003324F" w:rsidRPr="00E80141">
        <w:t xml:space="preserve">and 28 </w:t>
      </w:r>
      <w:r w:rsidR="00055BE1" w:rsidRPr="00E80141">
        <w:t xml:space="preserve">places </w:t>
      </w:r>
      <w:r w:rsidR="0003324F" w:rsidRPr="00E80141">
        <w:t xml:space="preserve">respectively on </w:t>
      </w:r>
      <w:r w:rsidR="00055BE1" w:rsidRPr="00E80141">
        <w:t xml:space="preserve">the World Economic Forum’s </w:t>
      </w:r>
      <w:r w:rsidR="0077761A" w:rsidRPr="00E80141">
        <w:t>country ranking on</w:t>
      </w:r>
      <w:r w:rsidR="00055BE1" w:rsidRPr="00E80141">
        <w:t xml:space="preserve"> Global Competitiveness</w:t>
      </w:r>
      <w:r w:rsidR="008F2195" w:rsidRPr="00E80141">
        <w:rPr>
          <w:rStyle w:val="EndnoteReference"/>
        </w:rPr>
        <w:endnoteReference w:id="12"/>
      </w:r>
      <w:r w:rsidR="00323A78" w:rsidRPr="00E80141">
        <w:t xml:space="preserve"> </w:t>
      </w:r>
      <w:r w:rsidR="00055BE1" w:rsidRPr="00E80141">
        <w:t xml:space="preserve">and </w:t>
      </w:r>
      <w:r w:rsidR="0003324F" w:rsidRPr="00E80141">
        <w:t>E</w:t>
      </w:r>
      <w:r w:rsidR="0077761A" w:rsidRPr="00E80141">
        <w:t xml:space="preserve">nabling </w:t>
      </w:r>
      <w:r w:rsidR="0003324F" w:rsidRPr="00E80141">
        <w:t>T</w:t>
      </w:r>
      <w:r w:rsidR="0077761A" w:rsidRPr="00E80141">
        <w:t>rade;</w:t>
      </w:r>
      <w:r w:rsidR="008F2195" w:rsidRPr="00E80141">
        <w:rPr>
          <w:rStyle w:val="EndnoteReference"/>
        </w:rPr>
        <w:endnoteReference w:id="13"/>
      </w:r>
      <w:r w:rsidR="0077761A" w:rsidRPr="00E80141">
        <w:t xml:space="preserve"> and</w:t>
      </w:r>
      <w:r w:rsidR="0000308F" w:rsidRPr="00E80141">
        <w:t xml:space="preserve"> </w:t>
      </w:r>
      <w:r w:rsidR="00BF3D74" w:rsidRPr="00E80141">
        <w:t xml:space="preserve">climbed 49 places on </w:t>
      </w:r>
      <w:r w:rsidR="003C597A" w:rsidRPr="00E80141">
        <w:t>Transparency International’s Corruption Perceptions Index</w:t>
      </w:r>
      <w:r w:rsidR="008F2195" w:rsidRPr="00E80141">
        <w:rPr>
          <w:rStyle w:val="EndnoteReference"/>
        </w:rPr>
        <w:endnoteReference w:id="14"/>
      </w:r>
      <w:r w:rsidR="00D908FD" w:rsidRPr="00E80141">
        <w:t xml:space="preserve">. These </w:t>
      </w:r>
      <w:r w:rsidR="00207F34">
        <w:t>results</w:t>
      </w:r>
      <w:r w:rsidR="00570CD6">
        <w:t xml:space="preserve"> however</w:t>
      </w:r>
      <w:r w:rsidR="00F655B6">
        <w:t>,</w:t>
      </w:r>
      <w:r w:rsidR="00207F34">
        <w:t xml:space="preserve"> do not seem to have</w:t>
      </w:r>
      <w:r w:rsidR="000658A5">
        <w:t xml:space="preserve"> translated </w:t>
      </w:r>
      <w:r w:rsidR="00570CD6">
        <w:t xml:space="preserve">to a </w:t>
      </w:r>
      <w:r w:rsidR="00DB2C3E" w:rsidRPr="00E80141">
        <w:t xml:space="preserve">significant </w:t>
      </w:r>
      <w:r w:rsidR="00570CD6">
        <w:t xml:space="preserve">increase in </w:t>
      </w:r>
      <w:r w:rsidR="00DB2C3E" w:rsidRPr="00E80141">
        <w:t>investments</w:t>
      </w:r>
      <w:r w:rsidR="00207F34">
        <w:t xml:space="preserve"> </w:t>
      </w:r>
      <w:r w:rsidR="00932D77" w:rsidRPr="00E80141">
        <w:t>as a proportion of GDP.</w:t>
      </w:r>
      <w:r w:rsidR="00DB2C3E" w:rsidRPr="00E80141">
        <w:rPr>
          <w:rStyle w:val="EndnoteReference"/>
        </w:rPr>
        <w:endnoteReference w:id="15"/>
      </w:r>
    </w:p>
    <w:p w14:paraId="2E7A7E94" w14:textId="56CBEF39" w:rsidR="00871278" w:rsidRPr="00E80141" w:rsidRDefault="00F970C1" w:rsidP="00871278">
      <w:pPr>
        <w:pStyle w:val="ListBullet"/>
        <w:numPr>
          <w:ilvl w:val="0"/>
          <w:numId w:val="0"/>
        </w:numPr>
        <w:tabs>
          <w:tab w:val="clear" w:pos="284"/>
        </w:tabs>
      </w:pPr>
      <w:r w:rsidRPr="00E80141">
        <w:t xml:space="preserve">President Benigno S. Aquino III was elected in 2010 on an anti-corruption and good governance agenda. His administration introduced a range of public spending reforms to increase efficiency and openness in the budget process, including </w:t>
      </w:r>
      <w:r w:rsidR="00520032">
        <w:t xml:space="preserve">the </w:t>
      </w:r>
      <w:r w:rsidR="00E849EE">
        <w:t>implementation of Performance</w:t>
      </w:r>
      <w:r w:rsidR="00E849EE">
        <w:noBreakHyphen/>
      </w:r>
      <w:r w:rsidRPr="00E80141">
        <w:t xml:space="preserve">Informed Budgeting. </w:t>
      </w:r>
      <w:r w:rsidR="00517FD0">
        <w:t>P</w:t>
      </w:r>
      <w:r w:rsidR="00920FDE" w:rsidRPr="00E80141">
        <w:t>riorities</w:t>
      </w:r>
      <w:r w:rsidR="00AF3E8F" w:rsidRPr="00E80141">
        <w:t xml:space="preserve"> </w:t>
      </w:r>
      <w:r w:rsidR="00517FD0">
        <w:t xml:space="preserve">of </w:t>
      </w:r>
      <w:r w:rsidR="00520032">
        <w:t xml:space="preserve">the </w:t>
      </w:r>
      <w:r w:rsidR="00517FD0">
        <w:t xml:space="preserve">President </w:t>
      </w:r>
      <w:r w:rsidR="008F2195" w:rsidRPr="00E80141">
        <w:t xml:space="preserve">for the </w:t>
      </w:r>
      <w:r w:rsidR="00985F67" w:rsidRPr="00E80141">
        <w:t xml:space="preserve">rest </w:t>
      </w:r>
      <w:r w:rsidR="008F2195" w:rsidRPr="00E80141">
        <w:t xml:space="preserve">of his term in government, as outlined </w:t>
      </w:r>
      <w:r w:rsidR="00AF3E8F" w:rsidRPr="00E80141">
        <w:t xml:space="preserve">in his 2015 State of the Nation Address, </w:t>
      </w:r>
      <w:r w:rsidR="00871278" w:rsidRPr="00E80141">
        <w:t xml:space="preserve">include </w:t>
      </w:r>
      <w:r w:rsidR="00AF3E8F" w:rsidRPr="00E80141">
        <w:t>enacting a Bill on the Ratio</w:t>
      </w:r>
      <w:r w:rsidR="00F86F82" w:rsidRPr="00E80141">
        <w:t>nalization of Fiscal Incentives</w:t>
      </w:r>
      <w:r w:rsidR="00AF3E8F" w:rsidRPr="00E80141">
        <w:t xml:space="preserve"> and passing an Anti-Dynasty Law. The Freedom of Information Act</w:t>
      </w:r>
      <w:r w:rsidR="00520032">
        <w:t xml:space="preserve"> to </w:t>
      </w:r>
      <w:r w:rsidR="00DC2AA2" w:rsidRPr="00E80141">
        <w:t>improve</w:t>
      </w:r>
      <w:r w:rsidR="004908F0" w:rsidRPr="00E80141">
        <w:t xml:space="preserve"> transparency by mandating the disclosure of public documents</w:t>
      </w:r>
      <w:r w:rsidR="00083015" w:rsidRPr="00E80141">
        <w:t xml:space="preserve"> </w:t>
      </w:r>
      <w:r w:rsidR="00A46A98" w:rsidRPr="00E80141">
        <w:t xml:space="preserve">remains </w:t>
      </w:r>
      <w:r w:rsidR="00083015" w:rsidRPr="00E80141">
        <w:t xml:space="preserve">stalled in </w:t>
      </w:r>
      <w:r w:rsidR="00985F67" w:rsidRPr="00E80141">
        <w:t>Congress</w:t>
      </w:r>
      <w:r w:rsidR="00083015" w:rsidRPr="00E80141">
        <w:t>.</w:t>
      </w:r>
    </w:p>
    <w:p w14:paraId="0F1F0C35" w14:textId="5C69AB31" w:rsidR="00B4348B" w:rsidRPr="00E80141" w:rsidRDefault="00DC2AA2" w:rsidP="00544109">
      <w:pPr>
        <w:pStyle w:val="ListBullet"/>
        <w:numPr>
          <w:ilvl w:val="0"/>
          <w:numId w:val="0"/>
        </w:numPr>
        <w:tabs>
          <w:tab w:val="clear" w:pos="284"/>
        </w:tabs>
      </w:pPr>
      <w:r w:rsidRPr="00E80141">
        <w:t>The Philippines is undergoing its mo</w:t>
      </w:r>
      <w:r w:rsidR="00247200" w:rsidRPr="00E80141">
        <w:t>st significant education reform to date.</w:t>
      </w:r>
      <w:r w:rsidRPr="00E80141">
        <w:t xml:space="preserve"> </w:t>
      </w:r>
      <w:r w:rsidR="00D36B23">
        <w:t xml:space="preserve">Implementation of the </w:t>
      </w:r>
      <w:r w:rsidR="002F6CD5">
        <w:t>K-12</w:t>
      </w:r>
      <w:r w:rsidR="00D36B23" w:rsidRPr="00D36B23">
        <w:t xml:space="preserve"> </w:t>
      </w:r>
      <w:r w:rsidR="0069076A" w:rsidRPr="00E80141">
        <w:t xml:space="preserve">basic </w:t>
      </w:r>
      <w:r w:rsidR="00544109" w:rsidRPr="00E80141">
        <w:t xml:space="preserve">educational </w:t>
      </w:r>
      <w:r w:rsidR="0069076A" w:rsidRPr="00E80141">
        <w:t xml:space="preserve">program </w:t>
      </w:r>
      <w:r w:rsidR="00544109" w:rsidRPr="00E80141">
        <w:t xml:space="preserve">began in 2011 </w:t>
      </w:r>
      <w:r w:rsidR="00A46A98" w:rsidRPr="00E80141">
        <w:t xml:space="preserve">and </w:t>
      </w:r>
      <w:r w:rsidR="00247200" w:rsidRPr="00E80141">
        <w:t>add</w:t>
      </w:r>
      <w:r w:rsidR="00544109" w:rsidRPr="00E80141">
        <w:t>s</w:t>
      </w:r>
      <w:r w:rsidR="00247200" w:rsidRPr="00E80141">
        <w:t xml:space="preserve"> </w:t>
      </w:r>
      <w:r w:rsidR="008E6632">
        <w:t xml:space="preserve">a </w:t>
      </w:r>
      <w:r w:rsidR="0069076A" w:rsidRPr="00E80141">
        <w:t>universal kindergarten</w:t>
      </w:r>
      <w:r w:rsidR="003C161B" w:rsidRPr="00E80141">
        <w:t xml:space="preserve"> </w:t>
      </w:r>
      <w:r w:rsidR="008E6632">
        <w:t xml:space="preserve">year </w:t>
      </w:r>
      <w:r w:rsidR="003C161B" w:rsidRPr="00E80141">
        <w:t>and two years of senior high school (grades 11-12)</w:t>
      </w:r>
      <w:r w:rsidR="00634D18" w:rsidRPr="00E80141">
        <w:t xml:space="preserve"> to the previous curriculum.</w:t>
      </w:r>
      <w:r w:rsidR="003C161B" w:rsidRPr="00E80141">
        <w:t xml:space="preserve"> </w:t>
      </w:r>
      <w:r w:rsidR="002967CA" w:rsidRPr="00E80141">
        <w:t xml:space="preserve">If implemented </w:t>
      </w:r>
      <w:r w:rsidR="00BA0DA2" w:rsidRPr="00E80141">
        <w:t>successfully</w:t>
      </w:r>
      <w:r w:rsidR="00B4348B" w:rsidRPr="00E80141">
        <w:t>,</w:t>
      </w:r>
      <w:r w:rsidR="002967CA" w:rsidRPr="00E80141">
        <w:t xml:space="preserve"> the r</w:t>
      </w:r>
      <w:r w:rsidR="0087524A" w:rsidRPr="00E80141">
        <w:t>eform will bring the Philippine</w:t>
      </w:r>
      <w:r w:rsidR="002967CA" w:rsidRPr="00E80141">
        <w:t>s</w:t>
      </w:r>
      <w:r w:rsidR="0087524A" w:rsidRPr="00E80141">
        <w:t>’</w:t>
      </w:r>
      <w:r w:rsidR="002967CA" w:rsidRPr="00E80141">
        <w:t xml:space="preserve"> education system up to international </w:t>
      </w:r>
      <w:r w:rsidR="002967CA" w:rsidRPr="00E80141">
        <w:lastRenderedPageBreak/>
        <w:t xml:space="preserve">standards and have a transformative effect on the quality of graduates and long-term economic growth. </w:t>
      </w:r>
      <w:r w:rsidR="00617967" w:rsidRPr="00E80141">
        <w:t xml:space="preserve">The education budget has </w:t>
      </w:r>
      <w:r w:rsidR="00617967">
        <w:t xml:space="preserve">also </w:t>
      </w:r>
      <w:r w:rsidR="00617967" w:rsidRPr="00E80141">
        <w:t>increased year on year to support this reform</w:t>
      </w:r>
      <w:r w:rsidR="003F6921">
        <w:t>.</w:t>
      </w:r>
      <w:r w:rsidR="00617967">
        <w:t xml:space="preserve"> </w:t>
      </w:r>
      <w:r w:rsidR="003F6921">
        <w:t>E</w:t>
      </w:r>
      <w:r w:rsidR="00617967">
        <w:t>ncouragingly, m</w:t>
      </w:r>
      <w:r w:rsidR="00617967" w:rsidRPr="00E80141">
        <w:t xml:space="preserve">ore Filipino children are </w:t>
      </w:r>
      <w:r w:rsidR="00617967">
        <w:t xml:space="preserve">now </w:t>
      </w:r>
      <w:r w:rsidR="00617967" w:rsidRPr="00E80141">
        <w:t>attending school and their results have improved</w:t>
      </w:r>
      <w:r w:rsidR="00617967">
        <w:t>.</w:t>
      </w:r>
      <w:r w:rsidR="00617967">
        <w:rPr>
          <w:rStyle w:val="EndnoteReference"/>
        </w:rPr>
        <w:endnoteReference w:id="16"/>
      </w:r>
      <w:r w:rsidR="00517FD0">
        <w:t xml:space="preserve"> </w:t>
      </w:r>
      <w:r w:rsidR="0069076A" w:rsidRPr="00E80141">
        <w:t>The government</w:t>
      </w:r>
      <w:r w:rsidR="001158A9" w:rsidRPr="00E80141">
        <w:t xml:space="preserve"> has also expanded its </w:t>
      </w:r>
      <w:r w:rsidR="0069076A" w:rsidRPr="00E80141">
        <w:t>co</w:t>
      </w:r>
      <w:r w:rsidR="00B4348B" w:rsidRPr="00E80141">
        <w:t>nditional cash transfer program</w:t>
      </w:r>
      <w:r w:rsidR="00BA0DA2" w:rsidRPr="00E80141">
        <w:t xml:space="preserve"> that encourages families to send their children to school</w:t>
      </w:r>
      <w:r w:rsidR="00B4348B" w:rsidRPr="00E80141">
        <w:t>. T</w:t>
      </w:r>
      <w:r w:rsidR="0069076A" w:rsidRPr="00E80141">
        <w:t>he Pantawid Pamilyang Pilipino Program</w:t>
      </w:r>
      <w:r w:rsidR="001158A9" w:rsidRPr="00E80141">
        <w:t xml:space="preserve"> </w:t>
      </w:r>
      <w:r w:rsidR="00932D77" w:rsidRPr="00E80141">
        <w:t xml:space="preserve">(4Ps) </w:t>
      </w:r>
      <w:r w:rsidR="001158A9" w:rsidRPr="00E80141">
        <w:t xml:space="preserve">reached </w:t>
      </w:r>
      <w:r w:rsidR="00985F67" w:rsidRPr="00E80141">
        <w:t>four</w:t>
      </w:r>
      <w:r w:rsidR="0069076A" w:rsidRPr="00E80141">
        <w:t xml:space="preserve"> million households </w:t>
      </w:r>
      <w:r w:rsidR="00B4348B" w:rsidRPr="00E80141">
        <w:t>in 2015</w:t>
      </w:r>
      <w:r w:rsidR="005C13EB" w:rsidRPr="00E80141">
        <w:t>.</w:t>
      </w:r>
      <w:r w:rsidR="00B4348B" w:rsidRPr="00E80141">
        <w:t xml:space="preserve"> </w:t>
      </w:r>
      <w:r w:rsidR="005C13EB" w:rsidRPr="00E80141">
        <w:t>B</w:t>
      </w:r>
      <w:r w:rsidR="00A46A98" w:rsidRPr="00E80141">
        <w:t xml:space="preserve">eneficiaries of </w:t>
      </w:r>
      <w:r w:rsidR="00634D18" w:rsidRPr="00E80141">
        <w:t xml:space="preserve">4Ps </w:t>
      </w:r>
      <w:r w:rsidR="00A46A98" w:rsidRPr="00E80141">
        <w:t>are more likely to participate in school and utilise health care.</w:t>
      </w:r>
      <w:r w:rsidR="00576A79" w:rsidRPr="00E80141">
        <w:t xml:space="preserve"> </w:t>
      </w:r>
      <w:r w:rsidR="002004FA" w:rsidRPr="00E80141">
        <w:t>In both education re</w:t>
      </w:r>
      <w:r w:rsidR="00985F67" w:rsidRPr="00E80141">
        <w:t>form and 4Ps, Australia provides</w:t>
      </w:r>
      <w:r w:rsidR="002004FA" w:rsidRPr="00E80141">
        <w:t xml:space="preserve"> critical technical assistance </w:t>
      </w:r>
      <w:r w:rsidR="00BA0DA2" w:rsidRPr="00E80141">
        <w:t xml:space="preserve">in </w:t>
      </w:r>
      <w:r w:rsidR="00035B7C" w:rsidRPr="00E80141">
        <w:t>policy formulation</w:t>
      </w:r>
      <w:r w:rsidR="00985F67" w:rsidRPr="00E80141">
        <w:t>,</w:t>
      </w:r>
      <w:r w:rsidR="00035B7C" w:rsidRPr="00E80141">
        <w:t xml:space="preserve"> </w:t>
      </w:r>
      <w:r w:rsidR="00BA0DA2" w:rsidRPr="00E80141">
        <w:t>pr</w:t>
      </w:r>
      <w:r w:rsidR="00985F67" w:rsidRPr="00E80141">
        <w:t>ogram design and implementation</w:t>
      </w:r>
      <w:r w:rsidR="002004FA" w:rsidRPr="00E80141">
        <w:t xml:space="preserve">. </w:t>
      </w:r>
    </w:p>
    <w:p w14:paraId="292CAC30" w14:textId="5A6EC1CE" w:rsidR="005D1C55" w:rsidRPr="00E80141" w:rsidRDefault="005D1C55" w:rsidP="00AB0AF2">
      <w:pPr>
        <w:pStyle w:val="ListBullet"/>
        <w:numPr>
          <w:ilvl w:val="0"/>
          <w:numId w:val="0"/>
        </w:numPr>
        <w:tabs>
          <w:tab w:val="clear" w:pos="284"/>
        </w:tabs>
      </w:pPr>
      <w:r w:rsidRPr="00E80141">
        <w:t xml:space="preserve">The Philippines ranks </w:t>
      </w:r>
      <w:r w:rsidR="002C7722" w:rsidRPr="00E80141">
        <w:t>9th out of 142 coun</w:t>
      </w:r>
      <w:r w:rsidR="00F35158" w:rsidRPr="00E80141">
        <w:t>tries in the 2014 Global Gender Gap I</w:t>
      </w:r>
      <w:r w:rsidR="002C7722" w:rsidRPr="00E80141">
        <w:t>ndex</w:t>
      </w:r>
      <w:r w:rsidR="009D0CB7" w:rsidRPr="00E80141">
        <w:t xml:space="preserve">. </w:t>
      </w:r>
      <w:r w:rsidR="00E36673" w:rsidRPr="00E80141">
        <w:t>Since the index was introduced in 2006</w:t>
      </w:r>
      <w:r w:rsidR="00F35158" w:rsidRPr="00E80141">
        <w:t>,</w:t>
      </w:r>
      <w:r w:rsidR="00E36673" w:rsidRPr="00E80141">
        <w:t xml:space="preserve"> the country </w:t>
      </w:r>
      <w:r w:rsidR="009D0CB7" w:rsidRPr="00E80141">
        <w:t xml:space="preserve">has consistently ranked among the top 10 </w:t>
      </w:r>
      <w:r w:rsidR="00E36673" w:rsidRPr="00E80141">
        <w:t>in the world</w:t>
      </w:r>
      <w:r w:rsidR="009D0CB7" w:rsidRPr="00E80141">
        <w:t xml:space="preserve">. </w:t>
      </w:r>
      <w:r w:rsidR="00E36673" w:rsidRPr="00E80141">
        <w:t xml:space="preserve">The Philippines outranked Australia and </w:t>
      </w:r>
      <w:r w:rsidR="009D0CB7" w:rsidRPr="00E80141">
        <w:t xml:space="preserve">is the only Asian country in the top 20. </w:t>
      </w:r>
      <w:r w:rsidR="00EF12CA" w:rsidRPr="00E80141">
        <w:t xml:space="preserve">While </w:t>
      </w:r>
      <w:r w:rsidR="005F3E4D" w:rsidRPr="00E80141">
        <w:t>the overall result</w:t>
      </w:r>
      <w:r w:rsidR="00EF12CA" w:rsidRPr="00E80141">
        <w:t xml:space="preserve"> is strong</w:t>
      </w:r>
      <w:r w:rsidR="005F3E4D" w:rsidRPr="00E80141">
        <w:t xml:space="preserve">, the index highlights </w:t>
      </w:r>
      <w:r w:rsidR="003C18AD" w:rsidRPr="00E80141">
        <w:t xml:space="preserve">economic participation </w:t>
      </w:r>
      <w:r w:rsidR="00EF12CA" w:rsidRPr="00E80141">
        <w:t xml:space="preserve">challenges </w:t>
      </w:r>
      <w:r w:rsidR="00965920" w:rsidRPr="00E80141">
        <w:t>for women</w:t>
      </w:r>
      <w:r w:rsidR="009D0CB7" w:rsidRPr="00E80141">
        <w:t>.</w:t>
      </w:r>
      <w:r w:rsidR="005F3E4D" w:rsidRPr="00E80141">
        <w:t xml:space="preserve"> </w:t>
      </w:r>
      <w:r w:rsidR="00965920" w:rsidRPr="00E80141">
        <w:t xml:space="preserve">Jobs for </w:t>
      </w:r>
      <w:r w:rsidR="005F3E4D" w:rsidRPr="00E80141">
        <w:t xml:space="preserve">women tend to </w:t>
      </w:r>
      <w:r w:rsidR="00965920" w:rsidRPr="00E80141">
        <w:t xml:space="preserve">be concentrated in </w:t>
      </w:r>
      <w:r w:rsidR="005F3E4D" w:rsidRPr="00E80141">
        <w:t>low-ea</w:t>
      </w:r>
      <w:r w:rsidR="00570CD6">
        <w:t>rning occupations and low-value-</w:t>
      </w:r>
      <w:r w:rsidR="005F3E4D" w:rsidRPr="00E80141">
        <w:t xml:space="preserve">added industries. </w:t>
      </w:r>
      <w:r w:rsidR="00E36673" w:rsidRPr="00E80141">
        <w:t>Many p</w:t>
      </w:r>
      <w:r w:rsidR="001D4EDE" w:rsidRPr="00E80141">
        <w:t xml:space="preserve">oor Filipino women </w:t>
      </w:r>
      <w:r w:rsidR="00E36673" w:rsidRPr="00E80141">
        <w:t xml:space="preserve">face </w:t>
      </w:r>
      <w:r w:rsidR="001D4EDE" w:rsidRPr="00E80141">
        <w:t>risk</w:t>
      </w:r>
      <w:r w:rsidR="00E36673" w:rsidRPr="00E80141">
        <w:t>s of</w:t>
      </w:r>
      <w:r w:rsidR="001D4EDE" w:rsidRPr="00E80141">
        <w:t xml:space="preserve"> domestic violence and human trafficking.</w:t>
      </w:r>
    </w:p>
    <w:p w14:paraId="1DACEFF2" w14:textId="44F190FA" w:rsidR="00AB0AF2" w:rsidRPr="00E80141" w:rsidRDefault="00EB7F33" w:rsidP="00AB0AF2">
      <w:pPr>
        <w:pStyle w:val="ListBullet"/>
        <w:numPr>
          <w:ilvl w:val="0"/>
          <w:numId w:val="0"/>
        </w:numPr>
        <w:tabs>
          <w:tab w:val="clear" w:pos="284"/>
        </w:tabs>
      </w:pPr>
      <w:r w:rsidRPr="00E80141">
        <w:t>No populous country in the world is more vulnerable to natural disasters than the Philippines</w:t>
      </w:r>
      <w:r w:rsidR="008A1660" w:rsidRPr="00E80141">
        <w:t xml:space="preserve">. </w:t>
      </w:r>
      <w:r w:rsidR="00016F6B" w:rsidRPr="00E80141">
        <w:t>With</w:t>
      </w:r>
      <w:r w:rsidR="008A1660" w:rsidRPr="00E80141">
        <w:t xml:space="preserve"> the country still recovering from Super-Typhoon</w:t>
      </w:r>
      <w:r w:rsidRPr="00E80141">
        <w:t xml:space="preserve"> </w:t>
      </w:r>
      <w:r w:rsidR="008A1660" w:rsidRPr="00E80141">
        <w:t xml:space="preserve">Haiyan, </w:t>
      </w:r>
      <w:r w:rsidR="00016F6B" w:rsidRPr="00E80141">
        <w:t xml:space="preserve">the Philippines </w:t>
      </w:r>
      <w:r w:rsidR="008A1660" w:rsidRPr="00E80141">
        <w:t>was</w:t>
      </w:r>
      <w:r w:rsidR="00216514" w:rsidRPr="00E80141">
        <w:t xml:space="preserve"> </w:t>
      </w:r>
      <w:r w:rsidR="008A1660" w:rsidRPr="00E80141">
        <w:t xml:space="preserve">hit by </w:t>
      </w:r>
      <w:r w:rsidR="00B6613F" w:rsidRPr="00E80141">
        <w:t xml:space="preserve">two </w:t>
      </w:r>
      <w:r w:rsidR="008A1660" w:rsidRPr="00E80141">
        <w:t xml:space="preserve">typhoons in </w:t>
      </w:r>
      <w:r w:rsidR="00B6613F" w:rsidRPr="00E80141">
        <w:t>2014-15</w:t>
      </w:r>
      <w:r w:rsidR="0030391A" w:rsidRPr="00E80141">
        <w:t>:</w:t>
      </w:r>
      <w:r w:rsidR="00216514" w:rsidRPr="00E80141">
        <w:t xml:space="preserve"> </w:t>
      </w:r>
      <w:r w:rsidR="00B6613F" w:rsidRPr="00E80141">
        <w:t xml:space="preserve">Rammasun (locally known as Glenda) </w:t>
      </w:r>
      <w:r w:rsidR="0030391A" w:rsidRPr="00E80141">
        <w:t>i</w:t>
      </w:r>
      <w:r w:rsidR="00D51C56" w:rsidRPr="00E80141">
        <w:t xml:space="preserve">n </w:t>
      </w:r>
      <w:r w:rsidR="00216514" w:rsidRPr="00E80141">
        <w:t xml:space="preserve">July 2014 </w:t>
      </w:r>
      <w:r w:rsidR="00246416" w:rsidRPr="00E80141">
        <w:t xml:space="preserve">and </w:t>
      </w:r>
      <w:r w:rsidR="00216514" w:rsidRPr="00E80141">
        <w:t xml:space="preserve">Hagupit (locally known as Ruby) </w:t>
      </w:r>
      <w:r w:rsidR="0030391A" w:rsidRPr="00E80141">
        <w:t>i</w:t>
      </w:r>
      <w:r w:rsidR="00246416" w:rsidRPr="00E80141">
        <w:t>n December 2014. Toget</w:t>
      </w:r>
      <w:r w:rsidR="00CB1DCB" w:rsidRPr="00E80141">
        <w:t>her these two typhoons killed 124</w:t>
      </w:r>
      <w:r w:rsidR="00246416" w:rsidRPr="00E80141">
        <w:t xml:space="preserve"> people</w:t>
      </w:r>
      <w:r w:rsidR="00B42CC9" w:rsidRPr="00E80141">
        <w:t>,</w:t>
      </w:r>
      <w:r w:rsidR="00246416" w:rsidRPr="00E80141">
        <w:t xml:space="preserve"> left </w:t>
      </w:r>
      <w:r w:rsidR="004A2D8E" w:rsidRPr="00E80141">
        <w:t xml:space="preserve">more than three </w:t>
      </w:r>
      <w:r w:rsidR="00246416" w:rsidRPr="00E80141">
        <w:t>million homeless</w:t>
      </w:r>
      <w:r w:rsidR="00163FB8">
        <w:t xml:space="preserve"> and had an economic cost of AUD</w:t>
      </w:r>
      <w:r w:rsidR="00B42CC9" w:rsidRPr="00E80141">
        <w:t>1.3 billion.</w:t>
      </w:r>
      <w:r w:rsidR="00261407" w:rsidRPr="00E80141">
        <w:rPr>
          <w:rStyle w:val="EndnoteReference"/>
        </w:rPr>
        <w:endnoteReference w:id="17"/>
      </w:r>
      <w:r w:rsidR="00246416" w:rsidRPr="00E80141">
        <w:t xml:space="preserve"> Australia provided critical support to the Philippines </w:t>
      </w:r>
      <w:r w:rsidR="007D328A" w:rsidRPr="00E80141">
        <w:t xml:space="preserve">through the provision of </w:t>
      </w:r>
      <w:r w:rsidR="00246416" w:rsidRPr="00E80141">
        <w:t>rice and emergency relief items.</w:t>
      </w:r>
    </w:p>
    <w:p w14:paraId="2FA74413" w14:textId="40F99FC7" w:rsidR="000D2919" w:rsidRPr="00E80141" w:rsidRDefault="00AB0AF2" w:rsidP="006763C6">
      <w:pPr>
        <w:pStyle w:val="ListBullet"/>
        <w:numPr>
          <w:ilvl w:val="0"/>
          <w:numId w:val="0"/>
        </w:numPr>
        <w:tabs>
          <w:tab w:val="clear" w:pos="284"/>
        </w:tabs>
      </w:pPr>
      <w:r w:rsidRPr="00E80141">
        <w:t xml:space="preserve">The Philippines is home to two of the longest-running insurgencies in the world: Muslim rebel groups </w:t>
      </w:r>
      <w:r w:rsidR="00D51C56" w:rsidRPr="00E80141">
        <w:t xml:space="preserve">fighting for autonomy in </w:t>
      </w:r>
      <w:r w:rsidR="007439A7" w:rsidRPr="00E80141">
        <w:t>Mindanao</w:t>
      </w:r>
      <w:r w:rsidR="00D51C56" w:rsidRPr="00E80141">
        <w:t xml:space="preserve"> and a communist insurgency found throughout many parts of the country. </w:t>
      </w:r>
      <w:r w:rsidR="006348BA" w:rsidRPr="00E80141">
        <w:t xml:space="preserve">A </w:t>
      </w:r>
      <w:r w:rsidR="007439A7" w:rsidRPr="00E80141">
        <w:t xml:space="preserve">milestone </w:t>
      </w:r>
      <w:r w:rsidR="006348BA" w:rsidRPr="00E80141">
        <w:t xml:space="preserve">in the peace process </w:t>
      </w:r>
      <w:r w:rsidR="007439A7" w:rsidRPr="00E80141">
        <w:t xml:space="preserve">between the Government of the Philippines and the Moro Islamic Liberation Front (MILF) occurred in </w:t>
      </w:r>
      <w:r w:rsidR="006348BA" w:rsidRPr="00E80141">
        <w:t xml:space="preserve">March 2014 with the signing of a peace agreement. </w:t>
      </w:r>
      <w:r w:rsidR="007036FF" w:rsidRPr="00E80141">
        <w:t>Under the</w:t>
      </w:r>
      <w:r w:rsidR="006348BA" w:rsidRPr="00E80141">
        <w:t xml:space="preserve"> Comprehensive Agreement on the Bangsamoro</w:t>
      </w:r>
      <w:r w:rsidR="00B216F6" w:rsidRPr="00E80141">
        <w:t>,</w:t>
      </w:r>
      <w:r w:rsidR="007036FF" w:rsidRPr="00E80141">
        <w:t xml:space="preserve"> </w:t>
      </w:r>
      <w:r w:rsidR="000D2919" w:rsidRPr="00E80141">
        <w:t xml:space="preserve">the MILF </w:t>
      </w:r>
      <w:r w:rsidR="00570CD6">
        <w:t xml:space="preserve">will need to </w:t>
      </w:r>
      <w:r w:rsidR="007036FF" w:rsidRPr="00E80141">
        <w:t xml:space="preserve">turn over </w:t>
      </w:r>
      <w:r w:rsidR="00570CD6">
        <w:t xml:space="preserve">its </w:t>
      </w:r>
      <w:r w:rsidR="007036FF" w:rsidRPr="00E80141">
        <w:t xml:space="preserve">firearms and </w:t>
      </w:r>
      <w:r w:rsidR="000D2919" w:rsidRPr="00E80141">
        <w:t>decommission its armed wing</w:t>
      </w:r>
      <w:r w:rsidR="00570CD6">
        <w:t>.</w:t>
      </w:r>
      <w:r w:rsidR="000D2919" w:rsidRPr="00E80141">
        <w:t xml:space="preserve"> </w:t>
      </w:r>
      <w:r w:rsidR="00570CD6">
        <w:t>I</w:t>
      </w:r>
      <w:r w:rsidR="000D2919" w:rsidRPr="00E80141">
        <w:t xml:space="preserve">n return </w:t>
      </w:r>
      <w:r w:rsidR="007036FF" w:rsidRPr="00E80141">
        <w:t>an autonomous Bangsamoro</w:t>
      </w:r>
      <w:r w:rsidR="00875EE5" w:rsidRPr="00E80141">
        <w:t xml:space="preserve"> </w:t>
      </w:r>
      <w:r w:rsidR="00F655B6">
        <w:t xml:space="preserve">will </w:t>
      </w:r>
      <w:r w:rsidR="00875EE5" w:rsidRPr="00E80141">
        <w:t>be established</w:t>
      </w:r>
      <w:r w:rsidR="007036FF" w:rsidRPr="00E80141">
        <w:t xml:space="preserve">. </w:t>
      </w:r>
      <w:r w:rsidR="00E36673" w:rsidRPr="00E80141">
        <w:t>A proposed</w:t>
      </w:r>
      <w:r w:rsidR="000D2919" w:rsidRPr="00E80141">
        <w:t xml:space="preserve"> </w:t>
      </w:r>
      <w:r w:rsidR="007036FF" w:rsidRPr="00E80141">
        <w:rPr>
          <w:lang w:eastAsia="zh-CN"/>
        </w:rPr>
        <w:t xml:space="preserve">Bangsamoro Basic Law </w:t>
      </w:r>
      <w:r w:rsidR="000D2919" w:rsidRPr="00E80141">
        <w:rPr>
          <w:lang w:eastAsia="zh-CN"/>
        </w:rPr>
        <w:t xml:space="preserve">(BBL) </w:t>
      </w:r>
      <w:r w:rsidR="00E36673" w:rsidRPr="00E80141">
        <w:rPr>
          <w:lang w:eastAsia="zh-CN"/>
        </w:rPr>
        <w:t>enact</w:t>
      </w:r>
      <w:r w:rsidR="00F655B6">
        <w:rPr>
          <w:lang w:eastAsia="zh-CN"/>
        </w:rPr>
        <w:t>s</w:t>
      </w:r>
      <w:r w:rsidR="007036FF" w:rsidRPr="00E80141">
        <w:rPr>
          <w:lang w:eastAsia="zh-CN"/>
        </w:rPr>
        <w:t xml:space="preserve"> the peace agreement </w:t>
      </w:r>
      <w:r w:rsidR="000D2919" w:rsidRPr="00E80141">
        <w:rPr>
          <w:lang w:eastAsia="zh-CN"/>
        </w:rPr>
        <w:t>and</w:t>
      </w:r>
      <w:r w:rsidR="00962202" w:rsidRPr="00E80141">
        <w:rPr>
          <w:lang w:eastAsia="zh-CN"/>
        </w:rPr>
        <w:t xml:space="preserve"> </w:t>
      </w:r>
      <w:r w:rsidR="000D2919" w:rsidRPr="00E80141">
        <w:rPr>
          <w:lang w:eastAsia="zh-CN"/>
        </w:rPr>
        <w:t xml:space="preserve">is </w:t>
      </w:r>
      <w:r w:rsidR="00962202" w:rsidRPr="00E80141">
        <w:rPr>
          <w:lang w:eastAsia="zh-CN"/>
        </w:rPr>
        <w:t xml:space="preserve">amongst </w:t>
      </w:r>
      <w:r w:rsidR="000D2919" w:rsidRPr="00E80141">
        <w:rPr>
          <w:lang w:eastAsia="zh-CN"/>
        </w:rPr>
        <w:t xml:space="preserve">the most important legislation that the Aquino </w:t>
      </w:r>
      <w:r w:rsidR="000D2919" w:rsidRPr="00E80141">
        <w:t>administration see</w:t>
      </w:r>
      <w:r w:rsidR="007439A7" w:rsidRPr="00E80141">
        <w:t xml:space="preserve">ks to </w:t>
      </w:r>
      <w:r w:rsidR="00E36673" w:rsidRPr="00E80141">
        <w:t xml:space="preserve">have </w:t>
      </w:r>
      <w:r w:rsidR="007439A7" w:rsidRPr="00E80141">
        <w:t>pass</w:t>
      </w:r>
      <w:r w:rsidR="00E36673" w:rsidRPr="00E80141">
        <w:t>ed</w:t>
      </w:r>
      <w:r w:rsidR="007439A7" w:rsidRPr="00E80141">
        <w:t xml:space="preserve"> in its remaining time</w:t>
      </w:r>
      <w:r w:rsidR="000D2919" w:rsidRPr="00E80141">
        <w:t xml:space="preserve"> in government.</w:t>
      </w:r>
      <w:r w:rsidR="005C13EB" w:rsidRPr="00E80141">
        <w:rPr>
          <w:rStyle w:val="EndnoteReference"/>
        </w:rPr>
        <w:endnoteReference w:id="18"/>
      </w:r>
      <w:r w:rsidR="00A37E17" w:rsidRPr="00E80141">
        <w:t xml:space="preserve"> </w:t>
      </w:r>
      <w:r w:rsidR="00C261D2" w:rsidRPr="00E80141">
        <w:t>The bill is still being debated in Congress</w:t>
      </w:r>
      <w:r w:rsidR="000D2919" w:rsidRPr="00E80141">
        <w:t>.</w:t>
      </w:r>
      <w:r w:rsidR="00EB0370" w:rsidRPr="00E80141">
        <w:t xml:space="preserve"> The delay in passing the BBL has</w:t>
      </w:r>
      <w:r w:rsidR="000D2919" w:rsidRPr="00E80141">
        <w:t xml:space="preserve"> </w:t>
      </w:r>
      <w:r w:rsidR="007B014C" w:rsidRPr="00E80141">
        <w:t>caused uncertainty in other aspects of the peace process including disarmament, demobilisation and reintegration</w:t>
      </w:r>
      <w:r w:rsidR="002967CA" w:rsidRPr="00E80141">
        <w:t>.</w:t>
      </w:r>
      <w:r w:rsidR="007B014C" w:rsidRPr="00E80141">
        <w:t xml:space="preserve"> </w:t>
      </w:r>
    </w:p>
    <w:p w14:paraId="0C87CC55" w14:textId="73A0E6A7" w:rsidR="007D52D5" w:rsidRPr="00E80141" w:rsidRDefault="007D52D5" w:rsidP="007D52D5">
      <w:pPr>
        <w:pStyle w:val="ListBullet"/>
        <w:numPr>
          <w:ilvl w:val="0"/>
          <w:numId w:val="0"/>
        </w:numPr>
        <w:tabs>
          <w:tab w:val="clear" w:pos="284"/>
        </w:tabs>
      </w:pPr>
      <w:r w:rsidRPr="00E80141">
        <w:t xml:space="preserve">The context in which Australian aid operates in the Philippines remains </w:t>
      </w:r>
      <w:r w:rsidR="00F655B6" w:rsidRPr="00E80141">
        <w:t xml:space="preserve">positive </w:t>
      </w:r>
      <w:r w:rsidRPr="00E80141">
        <w:t>overall. The economy is growing and unemployment is decreasing. The country is also undergoing reform, including in education, which should lead to further growth. There are</w:t>
      </w:r>
      <w:r w:rsidR="00F655B6">
        <w:t>,</w:t>
      </w:r>
      <w:r w:rsidRPr="00E80141">
        <w:t xml:space="preserve"> however</w:t>
      </w:r>
      <w:r w:rsidR="00F655B6">
        <w:t>,</w:t>
      </w:r>
      <w:r w:rsidRPr="00E80141">
        <w:t xml:space="preserve"> significant challenges that</w:t>
      </w:r>
      <w:r w:rsidR="00F655B6">
        <w:t xml:space="preserve"> the country</w:t>
      </w:r>
      <w:r w:rsidRPr="00E80141">
        <w:t xml:space="preserve"> need</w:t>
      </w:r>
      <w:r w:rsidR="00962202" w:rsidRPr="00E80141">
        <w:t>s</w:t>
      </w:r>
      <w:r w:rsidRPr="00E80141">
        <w:t xml:space="preserve"> to overcome to achieve sustained economic growth that reduces poverty. Higher rates of investment both in human and physical capital are n</w:t>
      </w:r>
      <w:r w:rsidRPr="00A04025">
        <w:t xml:space="preserve">eeded. The Philippines is not attracting as much investment as its neighbours </w:t>
      </w:r>
      <w:r w:rsidR="00004F0F" w:rsidRPr="00A04025">
        <w:t xml:space="preserve">due to restrictions on foreign ownership, </w:t>
      </w:r>
      <w:r w:rsidR="005D44AA" w:rsidRPr="00A04025">
        <w:t xml:space="preserve">tax </w:t>
      </w:r>
      <w:r w:rsidR="00D26308" w:rsidRPr="00A04025">
        <w:t xml:space="preserve">collection </w:t>
      </w:r>
      <w:r w:rsidR="005D44AA" w:rsidRPr="00A04025">
        <w:t xml:space="preserve">is low, </w:t>
      </w:r>
      <w:r w:rsidRPr="00A04025">
        <w:t>and quality of infrastructure is still poor</w:t>
      </w:r>
      <w:r w:rsidR="00962202" w:rsidRPr="00A04025">
        <w:t xml:space="preserve"> relative to the needs of a</w:t>
      </w:r>
      <w:r w:rsidRPr="00A04025">
        <w:t xml:space="preserve"> </w:t>
      </w:r>
      <w:r w:rsidR="00962202" w:rsidRPr="00A04025">
        <w:t xml:space="preserve">growing </w:t>
      </w:r>
      <w:r w:rsidRPr="00A04025">
        <w:t>economy and a population that now exceeds 100</w:t>
      </w:r>
      <w:r w:rsidR="00910CA9" w:rsidRPr="00A04025">
        <w:t xml:space="preserve"> million.</w:t>
      </w:r>
      <w:r w:rsidR="00910CA9">
        <w:t xml:space="preserve"> As large diversified </w:t>
      </w:r>
      <w:r w:rsidRPr="00E80141">
        <w:t>conglomerates still dominate the economy, the challenge in the Philippines is to create a more level playing field where small an</w:t>
      </w:r>
      <w:r w:rsidR="00994FA2">
        <w:t xml:space="preserve">d medium businesses can thrive. </w:t>
      </w:r>
      <w:r w:rsidRPr="00E80141">
        <w:t xml:space="preserve">General elections in May 2016 will determine who leads the country for the next six years, and it is unclear whether the next president will seek to continue the reforms of the current government. </w:t>
      </w:r>
      <w:r w:rsidR="00E41607">
        <w:t>Some d</w:t>
      </w:r>
      <w:r w:rsidRPr="00E80141">
        <w:t xml:space="preserve">iscontinuity is </w:t>
      </w:r>
      <w:r w:rsidR="00E41607">
        <w:t xml:space="preserve">however </w:t>
      </w:r>
      <w:r w:rsidRPr="00E80141">
        <w:t xml:space="preserve">to be expected. </w:t>
      </w:r>
      <w:r w:rsidR="00994FA2">
        <w:t>B</w:t>
      </w:r>
      <w:r w:rsidRPr="00E80141">
        <w:t xml:space="preserve">ureaucratic continuity will inevitably be affected by the large number (roughly 10,000) of senior appointments that will need to be made </w:t>
      </w:r>
      <w:r w:rsidR="00520032">
        <w:t xml:space="preserve">by the new president after his or her </w:t>
      </w:r>
      <w:r w:rsidRPr="00E80141">
        <w:t>inauguration on 30 June 2016.</w:t>
      </w:r>
      <w:r w:rsidRPr="00E80141">
        <w:rPr>
          <w:rStyle w:val="EndnoteReference"/>
        </w:rPr>
        <w:endnoteReference w:id="19"/>
      </w:r>
    </w:p>
    <w:p w14:paraId="7514E20C" w14:textId="77777777" w:rsidR="005A7D3C" w:rsidRPr="00E80141" w:rsidRDefault="005A7D3C" w:rsidP="005A7D3C">
      <w:pPr>
        <w:pStyle w:val="Heading3"/>
        <w:keepNext w:val="0"/>
        <w:numPr>
          <w:ilvl w:val="0"/>
          <w:numId w:val="0"/>
        </w:numPr>
      </w:pPr>
      <w:r w:rsidRPr="00E80141">
        <w:lastRenderedPageBreak/>
        <w:t>The aid program in the Philippines</w:t>
      </w:r>
    </w:p>
    <w:p w14:paraId="169A049E" w14:textId="09F838B5" w:rsidR="00D0264C" w:rsidRPr="00E80141" w:rsidRDefault="006A18D5" w:rsidP="00D0264C">
      <w:pPr>
        <w:pStyle w:val="BodyText"/>
        <w:rPr>
          <w:lang w:eastAsia="zh-CN"/>
        </w:rPr>
      </w:pPr>
      <w:r w:rsidRPr="00835F2F">
        <w:rPr>
          <w:lang w:eastAsia="zh-CN"/>
        </w:rPr>
        <w:t xml:space="preserve">Australia is </w:t>
      </w:r>
      <w:r w:rsidR="0004170F" w:rsidRPr="00835F2F">
        <w:rPr>
          <w:lang w:eastAsia="zh-CN"/>
        </w:rPr>
        <w:t xml:space="preserve">a key development partner </w:t>
      </w:r>
      <w:r w:rsidR="00380CFD" w:rsidRPr="00835F2F">
        <w:rPr>
          <w:lang w:eastAsia="zh-CN"/>
        </w:rPr>
        <w:t xml:space="preserve">of the Philippines. </w:t>
      </w:r>
      <w:r w:rsidR="00C908CB" w:rsidRPr="00835F2F">
        <w:rPr>
          <w:lang w:eastAsia="zh-CN"/>
        </w:rPr>
        <w:t>In 2014 w</w:t>
      </w:r>
      <w:r w:rsidR="003A5D09" w:rsidRPr="00835F2F">
        <w:rPr>
          <w:lang w:eastAsia="zh-CN"/>
        </w:rPr>
        <w:t xml:space="preserve">e </w:t>
      </w:r>
      <w:r w:rsidR="00C908CB" w:rsidRPr="00835F2F">
        <w:rPr>
          <w:lang w:eastAsia="zh-CN"/>
        </w:rPr>
        <w:t xml:space="preserve">were </w:t>
      </w:r>
      <w:r w:rsidR="003A5D09" w:rsidRPr="00835F2F">
        <w:rPr>
          <w:lang w:eastAsia="zh-CN"/>
        </w:rPr>
        <w:t xml:space="preserve">the </w:t>
      </w:r>
      <w:r w:rsidR="007639D6">
        <w:rPr>
          <w:lang w:eastAsia="zh-CN"/>
        </w:rPr>
        <w:t xml:space="preserve">second </w:t>
      </w:r>
      <w:r w:rsidR="003A5D09" w:rsidRPr="00835F2F">
        <w:rPr>
          <w:lang w:eastAsia="zh-CN"/>
        </w:rPr>
        <w:t>large</w:t>
      </w:r>
      <w:r w:rsidR="00380CFD" w:rsidRPr="00835F2F">
        <w:rPr>
          <w:lang w:eastAsia="zh-CN"/>
        </w:rPr>
        <w:t xml:space="preserve">st provider of bilateral grants, and </w:t>
      </w:r>
      <w:r w:rsidR="007639D6">
        <w:rPr>
          <w:lang w:eastAsia="zh-CN"/>
        </w:rPr>
        <w:t>seventh</w:t>
      </w:r>
      <w:r w:rsidR="00380CFD" w:rsidRPr="00835F2F">
        <w:rPr>
          <w:lang w:eastAsia="zh-CN"/>
        </w:rPr>
        <w:t xml:space="preserve"> i</w:t>
      </w:r>
      <w:r w:rsidR="001E7687" w:rsidRPr="00835F2F">
        <w:rPr>
          <w:lang w:eastAsia="zh-CN"/>
        </w:rPr>
        <w:t>n terms of Official Development Assistance</w:t>
      </w:r>
      <w:r w:rsidR="00070EE9" w:rsidRPr="00835F2F">
        <w:rPr>
          <w:lang w:eastAsia="zh-CN"/>
        </w:rPr>
        <w:t xml:space="preserve"> (ODA)</w:t>
      </w:r>
      <w:r w:rsidR="004C0136" w:rsidRPr="00835F2F">
        <w:rPr>
          <w:lang w:eastAsia="zh-CN"/>
        </w:rPr>
        <w:t xml:space="preserve"> </w:t>
      </w:r>
      <w:r w:rsidR="003A5D09" w:rsidRPr="00835F2F">
        <w:rPr>
          <w:lang w:eastAsia="zh-CN"/>
        </w:rPr>
        <w:t>which includes grants and loans</w:t>
      </w:r>
      <w:r w:rsidR="001E7687" w:rsidRPr="00835F2F">
        <w:rPr>
          <w:lang w:eastAsia="zh-CN"/>
        </w:rPr>
        <w:t>.</w:t>
      </w:r>
      <w:r w:rsidR="005C13EB" w:rsidRPr="00835F2F">
        <w:rPr>
          <w:rStyle w:val="EndnoteReference"/>
          <w:lang w:eastAsia="zh-CN"/>
        </w:rPr>
        <w:endnoteReference w:id="20"/>
      </w:r>
      <w:r w:rsidR="001E7687" w:rsidRPr="00835F2F">
        <w:rPr>
          <w:lang w:eastAsia="zh-CN"/>
        </w:rPr>
        <w:t xml:space="preserve"> </w:t>
      </w:r>
      <w:r w:rsidR="00163FB8" w:rsidRPr="00835F2F">
        <w:rPr>
          <w:lang w:eastAsia="zh-CN"/>
        </w:rPr>
        <w:t>Yet even at approximately AUD</w:t>
      </w:r>
      <w:r w:rsidR="00B72AF6" w:rsidRPr="00835F2F">
        <w:rPr>
          <w:lang w:eastAsia="zh-CN"/>
        </w:rPr>
        <w:t>141.2</w:t>
      </w:r>
      <w:r w:rsidR="00236E9F" w:rsidRPr="00835F2F">
        <w:rPr>
          <w:lang w:eastAsia="zh-CN"/>
        </w:rPr>
        <w:t xml:space="preserve"> million</w:t>
      </w:r>
      <w:r w:rsidR="006B7F81" w:rsidRPr="00835F2F">
        <w:rPr>
          <w:lang w:eastAsia="zh-CN"/>
        </w:rPr>
        <w:t xml:space="preserve"> in 2014-15,</w:t>
      </w:r>
      <w:r w:rsidR="00236E9F" w:rsidRPr="00835F2F">
        <w:rPr>
          <w:lang w:eastAsia="zh-CN"/>
        </w:rPr>
        <w:t xml:space="preserve"> Australia</w:t>
      </w:r>
      <w:r w:rsidR="004B3432" w:rsidRPr="00835F2F">
        <w:rPr>
          <w:lang w:eastAsia="zh-CN"/>
        </w:rPr>
        <w:t>’s</w:t>
      </w:r>
      <w:r w:rsidR="00236E9F" w:rsidRPr="00835F2F">
        <w:rPr>
          <w:lang w:eastAsia="zh-CN"/>
        </w:rPr>
        <w:t xml:space="preserve"> aid is small </w:t>
      </w:r>
      <w:r w:rsidR="001E7687" w:rsidRPr="00835F2F">
        <w:rPr>
          <w:lang w:eastAsia="zh-CN"/>
        </w:rPr>
        <w:t>in comparison to the Philippine Government</w:t>
      </w:r>
      <w:r w:rsidR="00122096" w:rsidRPr="00835F2F">
        <w:rPr>
          <w:lang w:eastAsia="zh-CN"/>
        </w:rPr>
        <w:t xml:space="preserve"> </w:t>
      </w:r>
      <w:r w:rsidR="00511602" w:rsidRPr="00835F2F">
        <w:rPr>
          <w:lang w:eastAsia="zh-CN"/>
        </w:rPr>
        <w:t>budget of</w:t>
      </w:r>
      <w:r w:rsidR="00122096" w:rsidRPr="00835F2F">
        <w:rPr>
          <w:lang w:eastAsia="zh-CN"/>
        </w:rPr>
        <w:t xml:space="preserve"> </w:t>
      </w:r>
      <w:r w:rsidR="00163FB8" w:rsidRPr="00835F2F">
        <w:rPr>
          <w:lang w:eastAsia="zh-CN"/>
        </w:rPr>
        <w:t>AUD</w:t>
      </w:r>
      <w:r w:rsidR="00BE10C0" w:rsidRPr="00835F2F">
        <w:rPr>
          <w:lang w:eastAsia="zh-CN"/>
        </w:rPr>
        <w:t>80 billion</w:t>
      </w:r>
      <w:r w:rsidR="0065413F" w:rsidRPr="00835F2F">
        <w:rPr>
          <w:lang w:eastAsia="zh-CN"/>
        </w:rPr>
        <w:t xml:space="preserve"> and</w:t>
      </w:r>
      <w:r w:rsidR="000E2FF7" w:rsidRPr="00835F2F">
        <w:rPr>
          <w:lang w:eastAsia="zh-CN"/>
        </w:rPr>
        <w:t xml:space="preserve"> overseas remittances of </w:t>
      </w:r>
      <w:r w:rsidR="00163FB8" w:rsidRPr="00835F2F">
        <w:t>AUD</w:t>
      </w:r>
      <w:r w:rsidR="001A649A" w:rsidRPr="00835F2F">
        <w:t>41 billion</w:t>
      </w:r>
      <w:r w:rsidR="006D0F49" w:rsidRPr="00835F2F">
        <w:t>.</w:t>
      </w:r>
      <w:r w:rsidR="005C13EB" w:rsidRPr="00835F2F">
        <w:rPr>
          <w:rStyle w:val="EndnoteReference"/>
          <w:lang w:eastAsia="zh-CN"/>
        </w:rPr>
        <w:endnoteReference w:id="21"/>
      </w:r>
      <w:r w:rsidR="00506372" w:rsidRPr="00835F2F">
        <w:rPr>
          <w:lang w:eastAsia="zh-CN"/>
        </w:rPr>
        <w:t xml:space="preserve"> </w:t>
      </w:r>
      <w:r w:rsidR="004B3432" w:rsidRPr="00835F2F">
        <w:rPr>
          <w:lang w:eastAsia="zh-CN"/>
        </w:rPr>
        <w:t xml:space="preserve">Given the </w:t>
      </w:r>
      <w:r w:rsidR="006D0F49" w:rsidRPr="00835F2F">
        <w:rPr>
          <w:lang w:eastAsia="zh-CN"/>
        </w:rPr>
        <w:t>size</w:t>
      </w:r>
      <w:r w:rsidR="004B3432" w:rsidRPr="00835F2F">
        <w:rPr>
          <w:lang w:eastAsia="zh-CN"/>
        </w:rPr>
        <w:t xml:space="preserve"> </w:t>
      </w:r>
      <w:r w:rsidR="006B7F81" w:rsidRPr="00835F2F">
        <w:rPr>
          <w:lang w:eastAsia="zh-CN"/>
        </w:rPr>
        <w:t xml:space="preserve">of </w:t>
      </w:r>
      <w:r w:rsidR="004B3432" w:rsidRPr="00835F2F">
        <w:rPr>
          <w:lang w:eastAsia="zh-CN"/>
        </w:rPr>
        <w:t xml:space="preserve">the aid program, Australia </w:t>
      </w:r>
      <w:r w:rsidR="006B7F81" w:rsidRPr="00835F2F">
        <w:rPr>
          <w:lang w:eastAsia="zh-CN"/>
        </w:rPr>
        <w:t>work</w:t>
      </w:r>
      <w:r w:rsidR="004B3432" w:rsidRPr="00835F2F">
        <w:rPr>
          <w:lang w:eastAsia="zh-CN"/>
        </w:rPr>
        <w:t>s</w:t>
      </w:r>
      <w:r w:rsidR="006B7F81" w:rsidRPr="00835F2F">
        <w:rPr>
          <w:lang w:eastAsia="zh-CN"/>
        </w:rPr>
        <w:t xml:space="preserve"> in sectors where we can make the greatest impact</w:t>
      </w:r>
      <w:r w:rsidR="003A5D09" w:rsidRPr="00835F2F">
        <w:rPr>
          <w:lang w:eastAsia="zh-CN"/>
        </w:rPr>
        <w:t>,</w:t>
      </w:r>
      <w:r w:rsidR="006B7F81" w:rsidRPr="00835F2F">
        <w:rPr>
          <w:lang w:eastAsia="zh-CN"/>
        </w:rPr>
        <w:t xml:space="preserve"> including through catalysing reforms, assisting policy formulation and </w:t>
      </w:r>
      <w:r w:rsidR="00AF161F">
        <w:rPr>
          <w:lang w:eastAsia="zh-CN"/>
        </w:rPr>
        <w:t>working with</w:t>
      </w:r>
      <w:r w:rsidR="006B7F81" w:rsidRPr="00835F2F">
        <w:rPr>
          <w:lang w:eastAsia="zh-CN"/>
        </w:rPr>
        <w:t xml:space="preserve"> the Philippine Government </w:t>
      </w:r>
      <w:r w:rsidR="00AF161F">
        <w:rPr>
          <w:lang w:eastAsia="zh-CN"/>
        </w:rPr>
        <w:t xml:space="preserve">to </w:t>
      </w:r>
      <w:r w:rsidR="006B7F81" w:rsidRPr="00835F2F">
        <w:rPr>
          <w:lang w:eastAsia="zh-CN"/>
        </w:rPr>
        <w:t xml:space="preserve">improve the quality of </w:t>
      </w:r>
      <w:r w:rsidR="00AF161F">
        <w:rPr>
          <w:lang w:eastAsia="zh-CN"/>
        </w:rPr>
        <w:t xml:space="preserve">its </w:t>
      </w:r>
      <w:r w:rsidR="006B7F81" w:rsidRPr="00835F2F">
        <w:rPr>
          <w:lang w:eastAsia="zh-CN"/>
        </w:rPr>
        <w:t xml:space="preserve">own programs. </w:t>
      </w:r>
      <w:r w:rsidR="00511602" w:rsidRPr="00835F2F">
        <w:rPr>
          <w:lang w:eastAsia="zh-CN"/>
        </w:rPr>
        <w:t xml:space="preserve">Australia’s aid program in the </w:t>
      </w:r>
      <w:r w:rsidR="00085405" w:rsidRPr="00835F2F">
        <w:rPr>
          <w:lang w:eastAsia="zh-CN"/>
        </w:rPr>
        <w:t xml:space="preserve">Philippines </w:t>
      </w:r>
      <w:r w:rsidR="005C13EB" w:rsidRPr="00835F2F">
        <w:rPr>
          <w:lang w:eastAsia="zh-CN"/>
        </w:rPr>
        <w:t xml:space="preserve">(the Philippines Program) </w:t>
      </w:r>
      <w:r w:rsidR="006D0F49" w:rsidRPr="00835F2F">
        <w:rPr>
          <w:lang w:eastAsia="zh-CN"/>
        </w:rPr>
        <w:t>works toward the</w:t>
      </w:r>
      <w:r w:rsidR="00511602" w:rsidRPr="00835F2F">
        <w:rPr>
          <w:lang w:eastAsia="zh-CN"/>
        </w:rPr>
        <w:t xml:space="preserve"> overarching objective of </w:t>
      </w:r>
      <w:r w:rsidR="00511602" w:rsidRPr="00835F2F">
        <w:rPr>
          <w:i/>
          <w:lang w:eastAsia="zh-CN"/>
        </w:rPr>
        <w:t>‘promoting prosperity, reducing poverty and enhancing political stability’</w:t>
      </w:r>
      <w:r w:rsidR="00511602" w:rsidRPr="00835F2F">
        <w:rPr>
          <w:lang w:eastAsia="zh-CN"/>
        </w:rPr>
        <w:t>.</w:t>
      </w:r>
    </w:p>
    <w:p w14:paraId="4D108C59" w14:textId="36059205" w:rsidR="00886A13" w:rsidRPr="00563310" w:rsidRDefault="00D32465" w:rsidP="00511602">
      <w:pPr>
        <w:pStyle w:val="ListBullet"/>
        <w:numPr>
          <w:ilvl w:val="0"/>
          <w:numId w:val="19"/>
        </w:numPr>
        <w:tabs>
          <w:tab w:val="clear" w:pos="284"/>
          <w:tab w:val="left" w:pos="426"/>
        </w:tabs>
        <w:rPr>
          <w:i/>
        </w:rPr>
      </w:pPr>
      <w:r w:rsidRPr="00563310">
        <w:rPr>
          <w:i/>
        </w:rPr>
        <w:t xml:space="preserve">Partnering on education reforms. </w:t>
      </w:r>
      <w:r w:rsidRPr="00563310">
        <w:t xml:space="preserve">Australia is working with the Philippine Government to implement </w:t>
      </w:r>
      <w:r w:rsidR="00AF161F">
        <w:t>its</w:t>
      </w:r>
      <w:r w:rsidR="00250A8D" w:rsidRPr="00563310">
        <w:t xml:space="preserve"> most significant </w:t>
      </w:r>
      <w:r w:rsidR="00511602" w:rsidRPr="00563310">
        <w:t xml:space="preserve">education </w:t>
      </w:r>
      <w:r w:rsidR="00250A8D" w:rsidRPr="00563310">
        <w:t>reform to date</w:t>
      </w:r>
      <w:r w:rsidRPr="00563310">
        <w:t xml:space="preserve">. </w:t>
      </w:r>
      <w:r w:rsidR="00165745" w:rsidRPr="00563310">
        <w:t>We are improving</w:t>
      </w:r>
      <w:r w:rsidRPr="00563310">
        <w:t xml:space="preserve"> the quality of education </w:t>
      </w:r>
      <w:r w:rsidR="00DE535F" w:rsidRPr="00563310">
        <w:t xml:space="preserve">by helping to design </w:t>
      </w:r>
      <w:r w:rsidR="00E66764" w:rsidRPr="00563310">
        <w:t xml:space="preserve">and implement </w:t>
      </w:r>
      <w:r w:rsidR="00E42768" w:rsidRPr="00563310">
        <w:t xml:space="preserve">a </w:t>
      </w:r>
      <w:r w:rsidR="00DE535F" w:rsidRPr="00563310">
        <w:t xml:space="preserve">new </w:t>
      </w:r>
      <w:r w:rsidR="00E42768" w:rsidRPr="00563310">
        <w:t>curriculum</w:t>
      </w:r>
      <w:r w:rsidR="00331B64">
        <w:t xml:space="preserve"> and assessment</w:t>
      </w:r>
      <w:r w:rsidR="00AF161F">
        <w:t xml:space="preserve"> method</w:t>
      </w:r>
      <w:r w:rsidR="00413AD5">
        <w:t>s</w:t>
      </w:r>
      <w:r w:rsidR="00DE535F" w:rsidRPr="00563310">
        <w:t xml:space="preserve">, </w:t>
      </w:r>
      <w:r w:rsidR="002A7F95" w:rsidRPr="00563310">
        <w:t>updating</w:t>
      </w:r>
      <w:r w:rsidR="00DE535F" w:rsidRPr="00563310">
        <w:t xml:space="preserve"> teacher standards</w:t>
      </w:r>
      <w:r w:rsidR="00AE4E94" w:rsidRPr="00563310">
        <w:t>,</w:t>
      </w:r>
      <w:r w:rsidR="00DE535F" w:rsidRPr="00563310">
        <w:t xml:space="preserve"> and </w:t>
      </w:r>
      <w:r w:rsidR="002A7F95" w:rsidRPr="00563310">
        <w:t xml:space="preserve">supporting the professional development of educators. </w:t>
      </w:r>
      <w:r w:rsidRPr="00563310">
        <w:t>In the Autonomous Region of Muslim Mindanao</w:t>
      </w:r>
      <w:r w:rsidR="00165745" w:rsidRPr="00563310">
        <w:t xml:space="preserve">, </w:t>
      </w:r>
      <w:r w:rsidR="00256C19" w:rsidRPr="00563310">
        <w:t xml:space="preserve">one of the most impoverished regions in the Philippines, </w:t>
      </w:r>
      <w:r w:rsidRPr="00563310">
        <w:t xml:space="preserve">Australia provides a </w:t>
      </w:r>
      <w:r w:rsidR="00D723A3" w:rsidRPr="00563310">
        <w:t xml:space="preserve">comprehensive </w:t>
      </w:r>
      <w:r w:rsidRPr="00563310">
        <w:t>program that reduce</w:t>
      </w:r>
      <w:r w:rsidR="00511602" w:rsidRPr="00563310">
        <w:t>s</w:t>
      </w:r>
      <w:r w:rsidRPr="00563310">
        <w:t xml:space="preserve"> the gap in school partici</w:t>
      </w:r>
      <w:r w:rsidR="00595F17" w:rsidRPr="00563310">
        <w:t>pation and learning achievement.</w:t>
      </w:r>
    </w:p>
    <w:p w14:paraId="0EE51B3C" w14:textId="436B219D" w:rsidR="00D32465" w:rsidRPr="00E80141" w:rsidRDefault="00D32465" w:rsidP="002917F0">
      <w:pPr>
        <w:pStyle w:val="ListBullet"/>
        <w:numPr>
          <w:ilvl w:val="0"/>
          <w:numId w:val="19"/>
        </w:numPr>
        <w:tabs>
          <w:tab w:val="clear" w:pos="284"/>
        </w:tabs>
        <w:rPr>
          <w:i/>
        </w:rPr>
      </w:pPr>
      <w:r w:rsidRPr="00E80141">
        <w:rPr>
          <w:i/>
        </w:rPr>
        <w:t xml:space="preserve">Enhancing the foundations for sustained economic growth. </w:t>
      </w:r>
      <w:r w:rsidR="0041589D" w:rsidRPr="00E80141">
        <w:t xml:space="preserve">Australia </w:t>
      </w:r>
      <w:r w:rsidR="00250A8D" w:rsidRPr="00E80141">
        <w:t xml:space="preserve">is giving </w:t>
      </w:r>
      <w:r w:rsidRPr="00E80141">
        <w:t>critical support to national government implementation of public-private partnerships for priority infrastructure projects.</w:t>
      </w:r>
      <w:r w:rsidR="00511602" w:rsidRPr="00E80141">
        <w:t xml:space="preserve"> We are also </w:t>
      </w:r>
      <w:r w:rsidR="00B06F5C" w:rsidRPr="00E80141">
        <w:t>helping the</w:t>
      </w:r>
      <w:r w:rsidR="009841DB" w:rsidRPr="00E80141">
        <w:t xml:space="preserve"> Philippines rehabilitate</w:t>
      </w:r>
      <w:r w:rsidR="00B06F5C" w:rsidRPr="00E80141">
        <w:t xml:space="preserve"> and maintain </w:t>
      </w:r>
      <w:r w:rsidR="009841DB" w:rsidRPr="00E80141">
        <w:t>provincial roads</w:t>
      </w:r>
      <w:r w:rsidR="00250A8D" w:rsidRPr="00E80141">
        <w:t xml:space="preserve">, </w:t>
      </w:r>
      <w:r w:rsidR="00B06F5C" w:rsidRPr="00E80141">
        <w:t xml:space="preserve">linking people to markets, jobs and services. </w:t>
      </w:r>
    </w:p>
    <w:p w14:paraId="06528BAA" w14:textId="5F9455FC" w:rsidR="00D32465" w:rsidRPr="00E80141" w:rsidRDefault="00D32465" w:rsidP="002917F0">
      <w:pPr>
        <w:pStyle w:val="ListBullet"/>
        <w:numPr>
          <w:ilvl w:val="0"/>
          <w:numId w:val="19"/>
        </w:numPr>
        <w:tabs>
          <w:tab w:val="clear" w:pos="284"/>
        </w:tabs>
        <w:rPr>
          <w:i/>
        </w:rPr>
      </w:pPr>
      <w:r w:rsidRPr="00E80141">
        <w:rPr>
          <w:i/>
        </w:rPr>
        <w:t xml:space="preserve">Promoting better disaster preparedness and response. </w:t>
      </w:r>
      <w:r w:rsidRPr="00E80141">
        <w:t xml:space="preserve">Disasters drive families into poverty and cut national growth rates. Australia is working with the Philippines to </w:t>
      </w:r>
      <w:r w:rsidR="0003613D" w:rsidRPr="00E80141">
        <w:t xml:space="preserve">respond to humanitarian emergencies and helping </w:t>
      </w:r>
      <w:r w:rsidR="0040595C">
        <w:t xml:space="preserve">government agencies and </w:t>
      </w:r>
      <w:r w:rsidR="0003613D" w:rsidRPr="00E80141">
        <w:t xml:space="preserve">communities </w:t>
      </w:r>
      <w:r w:rsidR="0040595C">
        <w:t xml:space="preserve">to </w:t>
      </w:r>
      <w:r w:rsidR="0003613D" w:rsidRPr="00E80141">
        <w:t xml:space="preserve">better prepare </w:t>
      </w:r>
      <w:r w:rsidR="00AA3CBA" w:rsidRPr="00E80141">
        <w:t xml:space="preserve">for and recover from </w:t>
      </w:r>
      <w:r w:rsidR="0003613D" w:rsidRPr="00E80141">
        <w:t>natural disasters.</w:t>
      </w:r>
    </w:p>
    <w:p w14:paraId="27C4BB72" w14:textId="07A80BCF" w:rsidR="00D32465" w:rsidRPr="00E80141" w:rsidRDefault="00D32465" w:rsidP="002917F0">
      <w:pPr>
        <w:pStyle w:val="ListBullet"/>
        <w:numPr>
          <w:ilvl w:val="0"/>
          <w:numId w:val="19"/>
        </w:numPr>
        <w:tabs>
          <w:tab w:val="clear" w:pos="284"/>
        </w:tabs>
        <w:rPr>
          <w:i/>
        </w:rPr>
      </w:pPr>
      <w:r w:rsidRPr="00E80141">
        <w:rPr>
          <w:i/>
        </w:rPr>
        <w:t xml:space="preserve">Improving conditions for peace and security. </w:t>
      </w:r>
      <w:r w:rsidR="00AF161F">
        <w:t>Australia’s national interest</w:t>
      </w:r>
      <w:r w:rsidRPr="00E80141">
        <w:t xml:space="preserve"> in regional stability motivate</w:t>
      </w:r>
      <w:r w:rsidR="00E42768" w:rsidRPr="00E80141">
        <w:t>s</w:t>
      </w:r>
      <w:r w:rsidRPr="00E80141">
        <w:t xml:space="preserve"> aid </w:t>
      </w:r>
      <w:r w:rsidR="00E42768" w:rsidRPr="00E80141">
        <w:t xml:space="preserve">investments </w:t>
      </w:r>
      <w:r w:rsidRPr="00E80141">
        <w:t xml:space="preserve">in Mindanao that </w:t>
      </w:r>
      <w:r w:rsidR="00E42768" w:rsidRPr="00E80141">
        <w:t>assist</w:t>
      </w:r>
      <w:r w:rsidRPr="00E80141">
        <w:t xml:space="preserve"> a credible and widely supported peace agreement, </w:t>
      </w:r>
      <w:r w:rsidR="00E42768" w:rsidRPr="00E80141">
        <w:t>increases</w:t>
      </w:r>
      <w:r w:rsidRPr="00E80141">
        <w:t xml:space="preserve"> institutional capacity to implement the agreement, and </w:t>
      </w:r>
      <w:r w:rsidR="00E42768" w:rsidRPr="00E80141">
        <w:t xml:space="preserve">improves </w:t>
      </w:r>
      <w:r w:rsidRPr="00E80141">
        <w:t xml:space="preserve">local mechanisms for averting the escalation of violence. </w:t>
      </w:r>
    </w:p>
    <w:p w14:paraId="78AB8509" w14:textId="511DDA5E" w:rsidR="00B8435B" w:rsidRPr="00E80141" w:rsidRDefault="00346C2F" w:rsidP="00E41B5F">
      <w:pPr>
        <w:pStyle w:val="ListBullet"/>
        <w:numPr>
          <w:ilvl w:val="0"/>
          <w:numId w:val="19"/>
        </w:numPr>
        <w:tabs>
          <w:tab w:val="clear" w:pos="284"/>
        </w:tabs>
        <w:rPr>
          <w:i/>
        </w:rPr>
      </w:pPr>
      <w:r w:rsidRPr="00E80141">
        <w:rPr>
          <w:i/>
        </w:rPr>
        <w:t>Building stronger institutions for accountable and inclusive governance</w:t>
      </w:r>
      <w:r w:rsidR="00D32465" w:rsidRPr="00E80141">
        <w:rPr>
          <w:i/>
        </w:rPr>
        <w:t xml:space="preserve">:  </w:t>
      </w:r>
      <w:r w:rsidR="00165745" w:rsidRPr="00E80141">
        <w:t xml:space="preserve">We are strengthening </w:t>
      </w:r>
      <w:r w:rsidR="00D32465" w:rsidRPr="00E80141">
        <w:t xml:space="preserve">public institutions at both national and subnational levels. We partner with government agencies as they build technical skills and adopt more transparent and accountable processes of public expenditure. The Coalitions for Change program builds networks and coalitions for policy reform. </w:t>
      </w:r>
    </w:p>
    <w:p w14:paraId="0E835C52" w14:textId="62FAEF75" w:rsidR="00D960DE" w:rsidRPr="008678CF" w:rsidRDefault="00D960DE" w:rsidP="00BB038F">
      <w:pPr>
        <w:pStyle w:val="ListBullet"/>
        <w:numPr>
          <w:ilvl w:val="0"/>
          <w:numId w:val="0"/>
        </w:numPr>
        <w:tabs>
          <w:tab w:val="center" w:pos="4252"/>
        </w:tabs>
      </w:pPr>
      <w:r w:rsidRPr="00AE4E94">
        <w:t xml:space="preserve">Australia’s new </w:t>
      </w:r>
      <w:r w:rsidR="0065413F" w:rsidRPr="00AE4E94">
        <w:rPr>
          <w:i/>
        </w:rPr>
        <w:t xml:space="preserve">Philippines </w:t>
      </w:r>
      <w:r w:rsidRPr="00AE4E94">
        <w:rPr>
          <w:i/>
        </w:rPr>
        <w:t xml:space="preserve">Aid Investment Plan </w:t>
      </w:r>
      <w:r w:rsidRPr="00AE4E94">
        <w:t>was</w:t>
      </w:r>
      <w:r w:rsidRPr="00AE4E94">
        <w:rPr>
          <w:i/>
        </w:rPr>
        <w:t xml:space="preserve"> </w:t>
      </w:r>
      <w:r w:rsidRPr="00AE4E94">
        <w:t>launched in September 2015. The plan recognises that Philippines is in a stronger</w:t>
      </w:r>
      <w:r w:rsidR="00333CE2" w:rsidRPr="00AE4E94">
        <w:t xml:space="preserve"> economic position than before</w:t>
      </w:r>
      <w:r w:rsidRPr="00AE4E94">
        <w:t xml:space="preserve"> and shifts the focus towards supporting the </w:t>
      </w:r>
      <w:r w:rsidR="0065413F" w:rsidRPr="00AE4E94">
        <w:t>Philippine’s g</w:t>
      </w:r>
      <w:r w:rsidRPr="00AE4E94">
        <w:t xml:space="preserve">overnment to better manage its own resources and catalysing reform. The </w:t>
      </w:r>
      <w:r w:rsidR="0065413F" w:rsidRPr="00AE4E94">
        <w:t xml:space="preserve">new </w:t>
      </w:r>
      <w:r w:rsidRPr="00AE4E94">
        <w:t xml:space="preserve">goal of </w:t>
      </w:r>
      <w:r w:rsidR="0065413F" w:rsidRPr="00AE4E94">
        <w:t xml:space="preserve">our </w:t>
      </w:r>
      <w:r w:rsidRPr="00AE4E94">
        <w:t xml:space="preserve">aid investments in the Philippines will be to </w:t>
      </w:r>
      <w:r w:rsidRPr="00AE4E94">
        <w:rPr>
          <w:i/>
        </w:rPr>
        <w:t>‘accelerate inclusive economic growth and political stability’</w:t>
      </w:r>
      <w:r w:rsidRPr="00AE4E94">
        <w:t xml:space="preserve">. </w:t>
      </w:r>
      <w:r w:rsidR="00BB038F" w:rsidRPr="00AE4E94">
        <w:t>Three objectives suppor</w:t>
      </w:r>
      <w:r w:rsidR="006B6E4B" w:rsidRPr="00AE4E94">
        <w:t>t this goal:</w:t>
      </w:r>
      <w:r w:rsidR="00BB038F" w:rsidRPr="00AE4E94">
        <w:t xml:space="preserve"> enhancing the foundations for economic growth; building stronger institutions for transparent and accountable governance; and improving conditions for peace and stability.</w:t>
      </w:r>
      <w:r w:rsidR="00BB038F">
        <w:t xml:space="preserve"> </w:t>
      </w:r>
    </w:p>
    <w:p w14:paraId="1E89A979" w14:textId="77777777" w:rsidR="00520032" w:rsidRDefault="00520032">
      <w:pPr>
        <w:spacing w:after="200" w:line="276" w:lineRule="auto"/>
        <w:rPr>
          <w:rFonts w:ascii="Helvetica" w:eastAsia="Times New Roman" w:hAnsi="Helvetica" w:cs="Arial"/>
          <w:color w:val="007FAD"/>
          <w:kern w:val="28"/>
          <w:sz w:val="28"/>
          <w:szCs w:val="28"/>
        </w:rPr>
      </w:pPr>
      <w:r>
        <w:rPr>
          <w:sz w:val="28"/>
        </w:rPr>
        <w:br w:type="page"/>
      </w:r>
    </w:p>
    <w:p w14:paraId="268B11EF" w14:textId="421E46A9" w:rsidR="00346C2F" w:rsidRPr="008A7695" w:rsidRDefault="000D733F" w:rsidP="008A7695">
      <w:pPr>
        <w:pStyle w:val="Heading2"/>
        <w:rPr>
          <w:sz w:val="28"/>
        </w:rPr>
      </w:pPr>
      <w:r w:rsidRPr="009E38C1">
        <w:rPr>
          <w:sz w:val="28"/>
        </w:rPr>
        <w:lastRenderedPageBreak/>
        <w:t>Expenditure</w:t>
      </w:r>
      <w:bookmarkStart w:id="2" w:name="_Toc373853206"/>
    </w:p>
    <w:p w14:paraId="2EF8AFDB" w14:textId="60F44133" w:rsidR="008A7695" w:rsidRDefault="008A7695" w:rsidP="008A7695">
      <w:pPr>
        <w:pStyle w:val="ListBullet"/>
        <w:numPr>
          <w:ilvl w:val="0"/>
          <w:numId w:val="0"/>
        </w:numPr>
      </w:pPr>
      <w:r w:rsidRPr="00E80141">
        <w:rPr>
          <w:rFonts w:eastAsia="Calibri"/>
          <w:lang w:eastAsia="en-US"/>
        </w:rPr>
        <w:t xml:space="preserve">Australia’s ODA to </w:t>
      </w:r>
      <w:r w:rsidR="00163FB8">
        <w:rPr>
          <w:rFonts w:eastAsia="Calibri"/>
          <w:lang w:eastAsia="en-US"/>
        </w:rPr>
        <w:t>the Philippines in 2014-15 was AUD</w:t>
      </w:r>
      <w:r w:rsidR="0002075D">
        <w:rPr>
          <w:rFonts w:eastAsia="Calibri"/>
          <w:lang w:eastAsia="en-US"/>
        </w:rPr>
        <w:t>141.2 million, with 85 per</w:t>
      </w:r>
      <w:r w:rsidR="00184946">
        <w:rPr>
          <w:rFonts w:eastAsia="Calibri"/>
          <w:lang w:eastAsia="en-US"/>
        </w:rPr>
        <w:t xml:space="preserve"> </w:t>
      </w:r>
      <w:r w:rsidR="0002075D">
        <w:rPr>
          <w:rFonts w:eastAsia="Calibri"/>
          <w:lang w:eastAsia="en-US"/>
        </w:rPr>
        <w:t>cent</w:t>
      </w:r>
      <w:r w:rsidRPr="00E80141">
        <w:rPr>
          <w:rFonts w:eastAsia="Calibri"/>
          <w:lang w:eastAsia="en-US"/>
        </w:rPr>
        <w:t xml:space="preserve"> allocated to the Department of Foreign Affairs and Trade’s (DFAT’s) bilateral aid program. Other ODA flows include funding through global and regional programs and through other Australian Government Departments.</w:t>
      </w:r>
    </w:p>
    <w:p w14:paraId="403BD797" w14:textId="77777777" w:rsidR="000D733F" w:rsidRPr="00AE4E94" w:rsidRDefault="000D733F" w:rsidP="00687B2F">
      <w:pPr>
        <w:pStyle w:val="Caption"/>
        <w:keepLines/>
      </w:pPr>
      <w:r w:rsidRPr="005901D2">
        <w:t xml:space="preserve">Table </w:t>
      </w:r>
      <w:r w:rsidR="00836ABA">
        <w:fldChar w:fldCharType="begin"/>
      </w:r>
      <w:r w:rsidR="00836ABA">
        <w:instrText xml:space="preserve"> SEQ Table \* ARABIC </w:instrText>
      </w:r>
      <w:r w:rsidR="00836ABA">
        <w:fldChar w:fldCharType="separate"/>
      </w:r>
      <w:r w:rsidR="002D2ED2">
        <w:rPr>
          <w:noProof/>
        </w:rPr>
        <w:t>1</w:t>
      </w:r>
      <w:r w:rsidR="00836ABA">
        <w:rPr>
          <w:noProof/>
        </w:rPr>
        <w:fldChar w:fldCharType="end"/>
      </w:r>
      <w:r w:rsidRPr="005901D2">
        <w:t xml:space="preserve"> </w:t>
      </w:r>
      <w:r w:rsidR="00687B2F">
        <w:t xml:space="preserve">Total </w:t>
      </w:r>
      <w:r w:rsidR="00687B2F" w:rsidRPr="00AE4E94">
        <w:t>ODA Expenditure in FY 2014-15</w:t>
      </w:r>
    </w:p>
    <w:tbl>
      <w:tblPr>
        <w:tblStyle w:val="TableGrid"/>
        <w:tblW w:w="875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1134"/>
        <w:gridCol w:w="1417"/>
      </w:tblGrid>
      <w:tr w:rsidR="00687B2F" w:rsidRPr="00AE4E94" w14:paraId="4961F08A" w14:textId="77777777" w:rsidTr="00AE4E94">
        <w:trPr>
          <w:trHeight w:val="153"/>
        </w:trPr>
        <w:tc>
          <w:tcPr>
            <w:tcW w:w="6204" w:type="dxa"/>
            <w:shd w:val="clear" w:color="auto" w:fill="auto"/>
          </w:tcPr>
          <w:p w14:paraId="3E49327B" w14:textId="77777777" w:rsidR="00687B2F" w:rsidRPr="00AE4E94" w:rsidRDefault="00687B2F" w:rsidP="00E42768">
            <w:pPr>
              <w:pStyle w:val="BodyText"/>
              <w:keepNext/>
              <w:spacing w:after="0"/>
              <w:rPr>
                <w:b/>
                <w:i/>
                <w:sz w:val="17"/>
                <w:szCs w:val="17"/>
              </w:rPr>
            </w:pPr>
            <w:r w:rsidRPr="00AE4E94">
              <w:rPr>
                <w:b/>
                <w:i/>
                <w:sz w:val="17"/>
                <w:szCs w:val="17"/>
              </w:rPr>
              <w:t xml:space="preserve">Bilateral </w:t>
            </w:r>
          </w:p>
        </w:tc>
        <w:tc>
          <w:tcPr>
            <w:tcW w:w="1134" w:type="dxa"/>
            <w:shd w:val="clear" w:color="auto" w:fill="auto"/>
          </w:tcPr>
          <w:p w14:paraId="192277B2" w14:textId="74C9F756" w:rsidR="00687B2F" w:rsidRPr="00AE4E94" w:rsidRDefault="00163FB8" w:rsidP="00AE4E94">
            <w:pPr>
              <w:pStyle w:val="BodyText"/>
              <w:keepNext/>
              <w:spacing w:after="0"/>
              <w:jc w:val="center"/>
              <w:rPr>
                <w:b/>
                <w:sz w:val="17"/>
                <w:szCs w:val="17"/>
              </w:rPr>
            </w:pPr>
            <w:r w:rsidRPr="00AE4E94">
              <w:rPr>
                <w:b/>
                <w:sz w:val="17"/>
                <w:szCs w:val="17"/>
              </w:rPr>
              <w:t>AUD</w:t>
            </w:r>
            <w:r w:rsidR="008A7695" w:rsidRPr="00AE4E94">
              <w:rPr>
                <w:b/>
                <w:sz w:val="17"/>
                <w:szCs w:val="17"/>
              </w:rPr>
              <w:t xml:space="preserve"> million</w:t>
            </w:r>
          </w:p>
        </w:tc>
        <w:tc>
          <w:tcPr>
            <w:tcW w:w="1417" w:type="dxa"/>
            <w:shd w:val="clear" w:color="auto" w:fill="auto"/>
          </w:tcPr>
          <w:p w14:paraId="4A1DDC47" w14:textId="77777777" w:rsidR="00AE4E94" w:rsidRDefault="00184946" w:rsidP="00AE4E94">
            <w:pPr>
              <w:pStyle w:val="BodyText"/>
              <w:keepNext/>
              <w:spacing w:after="0"/>
              <w:jc w:val="center"/>
              <w:rPr>
                <w:b/>
                <w:sz w:val="17"/>
                <w:szCs w:val="17"/>
              </w:rPr>
            </w:pPr>
            <w:r w:rsidRPr="00AE4E94">
              <w:rPr>
                <w:b/>
                <w:sz w:val="17"/>
                <w:szCs w:val="17"/>
              </w:rPr>
              <w:t>p</w:t>
            </w:r>
            <w:r w:rsidR="0002075D" w:rsidRPr="00AE4E94">
              <w:rPr>
                <w:b/>
                <w:sz w:val="17"/>
                <w:szCs w:val="17"/>
              </w:rPr>
              <w:t>er</w:t>
            </w:r>
            <w:r w:rsidRPr="00AE4E94">
              <w:rPr>
                <w:b/>
                <w:sz w:val="17"/>
                <w:szCs w:val="17"/>
              </w:rPr>
              <w:t xml:space="preserve"> </w:t>
            </w:r>
            <w:r w:rsidR="0002075D" w:rsidRPr="00AE4E94">
              <w:rPr>
                <w:b/>
                <w:sz w:val="17"/>
                <w:szCs w:val="17"/>
              </w:rPr>
              <w:t>cent</w:t>
            </w:r>
            <w:r w:rsidR="008A7695" w:rsidRPr="00AE4E94">
              <w:rPr>
                <w:b/>
                <w:sz w:val="17"/>
                <w:szCs w:val="17"/>
              </w:rPr>
              <w:t xml:space="preserve"> of </w:t>
            </w:r>
          </w:p>
          <w:p w14:paraId="5A56A76D" w14:textId="76987877" w:rsidR="00687B2F" w:rsidRPr="00AE4E94" w:rsidRDefault="008A7695" w:rsidP="00AE4E94">
            <w:pPr>
              <w:pStyle w:val="BodyText"/>
              <w:keepNext/>
              <w:spacing w:after="0"/>
              <w:jc w:val="center"/>
              <w:rPr>
                <w:b/>
                <w:sz w:val="17"/>
                <w:szCs w:val="17"/>
              </w:rPr>
            </w:pPr>
            <w:r w:rsidRPr="00AE4E94">
              <w:rPr>
                <w:b/>
                <w:sz w:val="17"/>
                <w:szCs w:val="17"/>
              </w:rPr>
              <w:t>total ODA</w:t>
            </w:r>
          </w:p>
        </w:tc>
      </w:tr>
      <w:tr w:rsidR="00687B2F" w:rsidRPr="00AE4E94" w14:paraId="1172E211" w14:textId="77777777" w:rsidTr="00AE4E94">
        <w:trPr>
          <w:trHeight w:val="114"/>
        </w:trPr>
        <w:tc>
          <w:tcPr>
            <w:tcW w:w="6204" w:type="dxa"/>
            <w:shd w:val="clear" w:color="auto" w:fill="auto"/>
          </w:tcPr>
          <w:p w14:paraId="4D55C635" w14:textId="77777777" w:rsidR="00687B2F" w:rsidRPr="00AE4E94" w:rsidRDefault="00F27E70" w:rsidP="00E42768">
            <w:pPr>
              <w:pStyle w:val="BodyText"/>
              <w:keepNext/>
              <w:spacing w:after="0"/>
              <w:rPr>
                <w:sz w:val="17"/>
                <w:szCs w:val="17"/>
              </w:rPr>
            </w:pPr>
            <w:r w:rsidRPr="00AE4E94">
              <w:rPr>
                <w:sz w:val="17"/>
                <w:szCs w:val="17"/>
              </w:rPr>
              <w:t>Objective 1  Partnering on education reforms</w:t>
            </w:r>
          </w:p>
        </w:tc>
        <w:tc>
          <w:tcPr>
            <w:tcW w:w="1134" w:type="dxa"/>
            <w:shd w:val="clear" w:color="auto" w:fill="auto"/>
          </w:tcPr>
          <w:p w14:paraId="6EA1C48E" w14:textId="14D50714" w:rsidR="00687B2F" w:rsidRPr="00AE4E94" w:rsidRDefault="00A8110F" w:rsidP="00AE4E94">
            <w:pPr>
              <w:pStyle w:val="BodyText"/>
              <w:keepNext/>
              <w:spacing w:after="0"/>
              <w:jc w:val="center"/>
              <w:rPr>
                <w:sz w:val="17"/>
                <w:szCs w:val="17"/>
              </w:rPr>
            </w:pPr>
            <w:r w:rsidRPr="00AE4E94">
              <w:rPr>
                <w:sz w:val="17"/>
                <w:szCs w:val="17"/>
              </w:rPr>
              <w:t>64.</w:t>
            </w:r>
            <w:r w:rsidR="007D5786" w:rsidRPr="00AE4E94">
              <w:rPr>
                <w:sz w:val="17"/>
                <w:szCs w:val="17"/>
              </w:rPr>
              <w:t>2</w:t>
            </w:r>
          </w:p>
        </w:tc>
        <w:tc>
          <w:tcPr>
            <w:tcW w:w="1417" w:type="dxa"/>
            <w:shd w:val="clear" w:color="auto" w:fill="auto"/>
          </w:tcPr>
          <w:p w14:paraId="4EFE6B9A" w14:textId="27E2936B" w:rsidR="00687B2F" w:rsidRPr="00AE4E94" w:rsidRDefault="007D5786" w:rsidP="00AE4E94">
            <w:pPr>
              <w:pStyle w:val="BodyText"/>
              <w:keepNext/>
              <w:spacing w:after="0"/>
              <w:jc w:val="center"/>
              <w:rPr>
                <w:sz w:val="17"/>
                <w:szCs w:val="17"/>
              </w:rPr>
            </w:pPr>
            <w:r w:rsidRPr="00AE4E94">
              <w:rPr>
                <w:sz w:val="17"/>
                <w:szCs w:val="17"/>
              </w:rPr>
              <w:t>45</w:t>
            </w:r>
          </w:p>
        </w:tc>
      </w:tr>
      <w:tr w:rsidR="00687B2F" w:rsidRPr="00AE4E94" w14:paraId="3F842A76" w14:textId="77777777" w:rsidTr="00AE4E94">
        <w:trPr>
          <w:trHeight w:val="121"/>
        </w:trPr>
        <w:tc>
          <w:tcPr>
            <w:tcW w:w="6204" w:type="dxa"/>
            <w:shd w:val="clear" w:color="auto" w:fill="auto"/>
          </w:tcPr>
          <w:p w14:paraId="7F5767F6" w14:textId="77777777" w:rsidR="00687B2F" w:rsidRPr="00AE4E94" w:rsidRDefault="00F27E70" w:rsidP="00E42768">
            <w:pPr>
              <w:pStyle w:val="BodyText"/>
              <w:keepNext/>
              <w:spacing w:after="0"/>
              <w:rPr>
                <w:sz w:val="17"/>
                <w:szCs w:val="17"/>
              </w:rPr>
            </w:pPr>
            <w:r w:rsidRPr="00AE4E94">
              <w:rPr>
                <w:sz w:val="17"/>
                <w:szCs w:val="17"/>
              </w:rPr>
              <w:t>Objective 2  Enhancing the foundations for sustained economic growth</w:t>
            </w:r>
          </w:p>
        </w:tc>
        <w:tc>
          <w:tcPr>
            <w:tcW w:w="1134" w:type="dxa"/>
            <w:shd w:val="clear" w:color="auto" w:fill="auto"/>
          </w:tcPr>
          <w:p w14:paraId="573C34A3" w14:textId="4B7D5305" w:rsidR="00687B2F" w:rsidRPr="00AE4E94" w:rsidRDefault="00A8110F" w:rsidP="00AE4E94">
            <w:pPr>
              <w:pStyle w:val="BodyText"/>
              <w:keepNext/>
              <w:spacing w:after="0"/>
              <w:jc w:val="center"/>
              <w:rPr>
                <w:sz w:val="17"/>
                <w:szCs w:val="17"/>
              </w:rPr>
            </w:pPr>
            <w:r w:rsidRPr="00AE4E94">
              <w:rPr>
                <w:sz w:val="17"/>
                <w:szCs w:val="17"/>
              </w:rPr>
              <w:t>2</w:t>
            </w:r>
            <w:r w:rsidR="007D5786" w:rsidRPr="00AE4E94">
              <w:rPr>
                <w:sz w:val="17"/>
                <w:szCs w:val="17"/>
              </w:rPr>
              <w:t>0</w:t>
            </w:r>
            <w:r w:rsidRPr="00AE4E94">
              <w:rPr>
                <w:sz w:val="17"/>
                <w:szCs w:val="17"/>
              </w:rPr>
              <w:t>.5</w:t>
            </w:r>
          </w:p>
        </w:tc>
        <w:tc>
          <w:tcPr>
            <w:tcW w:w="1417" w:type="dxa"/>
            <w:shd w:val="clear" w:color="auto" w:fill="auto"/>
          </w:tcPr>
          <w:p w14:paraId="3BBC3D30" w14:textId="7D5D594F" w:rsidR="00687B2F" w:rsidRPr="00AE4E94" w:rsidRDefault="007D5786" w:rsidP="00AE4E94">
            <w:pPr>
              <w:pStyle w:val="BodyText"/>
              <w:keepNext/>
              <w:spacing w:after="0"/>
              <w:jc w:val="center"/>
              <w:rPr>
                <w:sz w:val="17"/>
                <w:szCs w:val="17"/>
              </w:rPr>
            </w:pPr>
            <w:r w:rsidRPr="00AE4E94">
              <w:rPr>
                <w:sz w:val="17"/>
                <w:szCs w:val="17"/>
              </w:rPr>
              <w:t>15</w:t>
            </w:r>
          </w:p>
        </w:tc>
      </w:tr>
      <w:tr w:rsidR="00687B2F" w:rsidRPr="00AE4E94" w14:paraId="1C5D5854" w14:textId="77777777" w:rsidTr="00AE4E94">
        <w:trPr>
          <w:trHeight w:val="121"/>
        </w:trPr>
        <w:tc>
          <w:tcPr>
            <w:tcW w:w="6204" w:type="dxa"/>
            <w:shd w:val="clear" w:color="auto" w:fill="auto"/>
          </w:tcPr>
          <w:p w14:paraId="4C5DCA68" w14:textId="77777777" w:rsidR="00687B2F" w:rsidRPr="00AE4E94" w:rsidRDefault="00F27E70" w:rsidP="00E42768">
            <w:pPr>
              <w:pStyle w:val="BodyText"/>
              <w:keepNext/>
              <w:spacing w:after="0"/>
              <w:rPr>
                <w:sz w:val="17"/>
                <w:szCs w:val="17"/>
              </w:rPr>
            </w:pPr>
            <w:r w:rsidRPr="00AE4E94">
              <w:rPr>
                <w:sz w:val="17"/>
                <w:szCs w:val="17"/>
              </w:rPr>
              <w:t xml:space="preserve">Objective 3  </w:t>
            </w:r>
            <w:r w:rsidR="00346C2F" w:rsidRPr="00AE4E94">
              <w:rPr>
                <w:sz w:val="17"/>
                <w:szCs w:val="17"/>
              </w:rPr>
              <w:t>Promoting better disaster preparedness and response</w:t>
            </w:r>
          </w:p>
        </w:tc>
        <w:tc>
          <w:tcPr>
            <w:tcW w:w="1134" w:type="dxa"/>
            <w:shd w:val="clear" w:color="auto" w:fill="auto"/>
          </w:tcPr>
          <w:p w14:paraId="452AD3F1" w14:textId="6A2FFFA3" w:rsidR="00687B2F" w:rsidRPr="00AE4E94" w:rsidRDefault="007D5786" w:rsidP="00AE4E94">
            <w:pPr>
              <w:pStyle w:val="BodyText"/>
              <w:keepNext/>
              <w:spacing w:after="0"/>
              <w:jc w:val="center"/>
              <w:rPr>
                <w:sz w:val="17"/>
                <w:szCs w:val="17"/>
              </w:rPr>
            </w:pPr>
            <w:r w:rsidRPr="00AE4E94">
              <w:rPr>
                <w:sz w:val="17"/>
                <w:szCs w:val="17"/>
              </w:rPr>
              <w:t>8.0</w:t>
            </w:r>
          </w:p>
        </w:tc>
        <w:tc>
          <w:tcPr>
            <w:tcW w:w="1417" w:type="dxa"/>
            <w:shd w:val="clear" w:color="auto" w:fill="auto"/>
          </w:tcPr>
          <w:p w14:paraId="1711AE6D" w14:textId="3D26DF8E" w:rsidR="00687B2F" w:rsidRPr="00AE4E94" w:rsidRDefault="00C02896" w:rsidP="00AE4E94">
            <w:pPr>
              <w:pStyle w:val="BodyText"/>
              <w:keepNext/>
              <w:spacing w:after="0"/>
              <w:jc w:val="center"/>
              <w:rPr>
                <w:sz w:val="17"/>
                <w:szCs w:val="17"/>
              </w:rPr>
            </w:pPr>
            <w:r w:rsidRPr="00AE4E94">
              <w:rPr>
                <w:sz w:val="17"/>
                <w:szCs w:val="17"/>
              </w:rPr>
              <w:t>6</w:t>
            </w:r>
          </w:p>
        </w:tc>
      </w:tr>
      <w:tr w:rsidR="00F27E70" w:rsidRPr="00AE4E94" w14:paraId="3A70F590" w14:textId="77777777" w:rsidTr="00AE4E94">
        <w:trPr>
          <w:trHeight w:val="114"/>
        </w:trPr>
        <w:tc>
          <w:tcPr>
            <w:tcW w:w="6204" w:type="dxa"/>
            <w:shd w:val="clear" w:color="auto" w:fill="auto"/>
          </w:tcPr>
          <w:p w14:paraId="441241FE" w14:textId="77777777" w:rsidR="00F27E70" w:rsidRPr="00AE4E94" w:rsidRDefault="00F27E70" w:rsidP="00E42768">
            <w:pPr>
              <w:pStyle w:val="BodyText"/>
              <w:keepNext/>
              <w:spacing w:after="0"/>
              <w:rPr>
                <w:sz w:val="17"/>
                <w:szCs w:val="17"/>
              </w:rPr>
            </w:pPr>
            <w:r w:rsidRPr="00AE4E94">
              <w:rPr>
                <w:sz w:val="17"/>
                <w:szCs w:val="17"/>
              </w:rPr>
              <w:t>Objective 4  Improving conditions for peace and security</w:t>
            </w:r>
          </w:p>
        </w:tc>
        <w:tc>
          <w:tcPr>
            <w:tcW w:w="1134" w:type="dxa"/>
            <w:shd w:val="clear" w:color="auto" w:fill="auto"/>
          </w:tcPr>
          <w:p w14:paraId="0B7A7EF3" w14:textId="480269C7" w:rsidR="00F27E70" w:rsidRPr="00AE4E94" w:rsidRDefault="00A8110F" w:rsidP="00AE4E94">
            <w:pPr>
              <w:pStyle w:val="BodyText"/>
              <w:keepNext/>
              <w:spacing w:after="0"/>
              <w:jc w:val="center"/>
              <w:rPr>
                <w:sz w:val="17"/>
                <w:szCs w:val="17"/>
              </w:rPr>
            </w:pPr>
            <w:r w:rsidRPr="00AE4E94">
              <w:rPr>
                <w:sz w:val="17"/>
                <w:szCs w:val="17"/>
              </w:rPr>
              <w:t>5.9</w:t>
            </w:r>
          </w:p>
        </w:tc>
        <w:tc>
          <w:tcPr>
            <w:tcW w:w="1417" w:type="dxa"/>
            <w:shd w:val="clear" w:color="auto" w:fill="auto"/>
          </w:tcPr>
          <w:p w14:paraId="7564E34D" w14:textId="175B2A59" w:rsidR="00F27E70" w:rsidRPr="00AE4E94" w:rsidRDefault="00C02896" w:rsidP="00AE4E94">
            <w:pPr>
              <w:pStyle w:val="BodyText"/>
              <w:keepNext/>
              <w:spacing w:after="0"/>
              <w:jc w:val="center"/>
              <w:rPr>
                <w:sz w:val="17"/>
                <w:szCs w:val="17"/>
              </w:rPr>
            </w:pPr>
            <w:r w:rsidRPr="00AE4E94">
              <w:rPr>
                <w:sz w:val="17"/>
                <w:szCs w:val="17"/>
              </w:rPr>
              <w:t>4</w:t>
            </w:r>
          </w:p>
        </w:tc>
      </w:tr>
      <w:tr w:rsidR="00F27E70" w:rsidRPr="00AE4E94" w14:paraId="3ECCF93E" w14:textId="77777777" w:rsidTr="00AE4E94">
        <w:trPr>
          <w:trHeight w:val="242"/>
        </w:trPr>
        <w:tc>
          <w:tcPr>
            <w:tcW w:w="6204" w:type="dxa"/>
            <w:shd w:val="clear" w:color="auto" w:fill="auto"/>
          </w:tcPr>
          <w:p w14:paraId="1A896111" w14:textId="77777777" w:rsidR="00F27E70" w:rsidRPr="00AE4E94" w:rsidRDefault="00F27E70" w:rsidP="00E42768">
            <w:pPr>
              <w:pStyle w:val="BodyText"/>
              <w:keepNext/>
              <w:spacing w:after="0"/>
              <w:rPr>
                <w:sz w:val="17"/>
                <w:szCs w:val="17"/>
              </w:rPr>
            </w:pPr>
            <w:r w:rsidRPr="00AE4E94">
              <w:rPr>
                <w:sz w:val="17"/>
                <w:szCs w:val="17"/>
              </w:rPr>
              <w:t>Objective 5  Building stronger institutions for accountable and inclusive governance</w:t>
            </w:r>
          </w:p>
        </w:tc>
        <w:tc>
          <w:tcPr>
            <w:tcW w:w="1134" w:type="dxa"/>
            <w:shd w:val="clear" w:color="auto" w:fill="auto"/>
          </w:tcPr>
          <w:p w14:paraId="235D9528" w14:textId="1403D781" w:rsidR="00F27E70" w:rsidRPr="00AE4E94" w:rsidRDefault="007D5786" w:rsidP="00AE4E94">
            <w:pPr>
              <w:pStyle w:val="BodyText"/>
              <w:keepNext/>
              <w:spacing w:after="0"/>
              <w:jc w:val="center"/>
              <w:rPr>
                <w:sz w:val="17"/>
                <w:szCs w:val="17"/>
              </w:rPr>
            </w:pPr>
            <w:r w:rsidRPr="00AE4E94">
              <w:rPr>
                <w:sz w:val="17"/>
                <w:szCs w:val="17"/>
              </w:rPr>
              <w:t>21</w:t>
            </w:r>
            <w:r w:rsidR="00A8110F" w:rsidRPr="00AE4E94">
              <w:rPr>
                <w:sz w:val="17"/>
                <w:szCs w:val="17"/>
              </w:rPr>
              <w:t>.</w:t>
            </w:r>
            <w:r w:rsidRPr="00AE4E94">
              <w:rPr>
                <w:sz w:val="17"/>
                <w:szCs w:val="17"/>
              </w:rPr>
              <w:t>9</w:t>
            </w:r>
          </w:p>
        </w:tc>
        <w:tc>
          <w:tcPr>
            <w:tcW w:w="1417" w:type="dxa"/>
            <w:shd w:val="clear" w:color="auto" w:fill="auto"/>
          </w:tcPr>
          <w:p w14:paraId="582FDA0D" w14:textId="18059539" w:rsidR="00F27E70" w:rsidRPr="00AE4E94" w:rsidRDefault="007D5786" w:rsidP="00AE4E94">
            <w:pPr>
              <w:pStyle w:val="BodyText"/>
              <w:keepNext/>
              <w:spacing w:after="0"/>
              <w:jc w:val="center"/>
              <w:rPr>
                <w:sz w:val="17"/>
                <w:szCs w:val="17"/>
              </w:rPr>
            </w:pPr>
            <w:r w:rsidRPr="00AE4E94">
              <w:rPr>
                <w:sz w:val="17"/>
                <w:szCs w:val="17"/>
              </w:rPr>
              <w:t>16</w:t>
            </w:r>
          </w:p>
        </w:tc>
      </w:tr>
      <w:tr w:rsidR="00687B2F" w:rsidRPr="00AE4E94" w14:paraId="23805710" w14:textId="77777777" w:rsidTr="00AE4E94">
        <w:trPr>
          <w:trHeight w:val="167"/>
        </w:trPr>
        <w:tc>
          <w:tcPr>
            <w:tcW w:w="6204" w:type="dxa"/>
            <w:shd w:val="clear" w:color="auto" w:fill="auto"/>
          </w:tcPr>
          <w:p w14:paraId="5882952A" w14:textId="77777777" w:rsidR="00687B2F" w:rsidRPr="00AE4E94" w:rsidRDefault="00687B2F" w:rsidP="00E42768">
            <w:pPr>
              <w:pStyle w:val="BodyText"/>
              <w:keepNext/>
              <w:spacing w:after="0"/>
              <w:rPr>
                <w:b/>
                <w:sz w:val="17"/>
                <w:szCs w:val="17"/>
              </w:rPr>
            </w:pPr>
            <w:r w:rsidRPr="00AE4E94">
              <w:rPr>
                <w:b/>
                <w:sz w:val="17"/>
                <w:szCs w:val="17"/>
              </w:rPr>
              <w:t>Sub-Total Bilateral</w:t>
            </w:r>
          </w:p>
        </w:tc>
        <w:tc>
          <w:tcPr>
            <w:tcW w:w="1134" w:type="dxa"/>
            <w:shd w:val="clear" w:color="auto" w:fill="auto"/>
          </w:tcPr>
          <w:p w14:paraId="24A15DB4" w14:textId="7994BF39" w:rsidR="00687B2F" w:rsidRPr="00AE4E94" w:rsidRDefault="00A8110F" w:rsidP="00AE4E94">
            <w:pPr>
              <w:pStyle w:val="BodyText"/>
              <w:keepNext/>
              <w:spacing w:after="0"/>
              <w:jc w:val="center"/>
              <w:rPr>
                <w:sz w:val="17"/>
                <w:szCs w:val="17"/>
              </w:rPr>
            </w:pPr>
            <w:r w:rsidRPr="00AE4E94">
              <w:rPr>
                <w:sz w:val="17"/>
                <w:szCs w:val="17"/>
              </w:rPr>
              <w:t>120.4</w:t>
            </w:r>
          </w:p>
        </w:tc>
        <w:tc>
          <w:tcPr>
            <w:tcW w:w="1417" w:type="dxa"/>
            <w:shd w:val="clear" w:color="auto" w:fill="auto"/>
          </w:tcPr>
          <w:p w14:paraId="5D947604" w14:textId="4C564CD1" w:rsidR="00687B2F" w:rsidRPr="00AE4E94" w:rsidRDefault="00C02896" w:rsidP="00AE4E94">
            <w:pPr>
              <w:pStyle w:val="BodyText"/>
              <w:keepNext/>
              <w:spacing w:after="0"/>
              <w:jc w:val="center"/>
              <w:rPr>
                <w:sz w:val="17"/>
                <w:szCs w:val="17"/>
              </w:rPr>
            </w:pPr>
            <w:r w:rsidRPr="00AE4E94">
              <w:rPr>
                <w:sz w:val="17"/>
                <w:szCs w:val="17"/>
              </w:rPr>
              <w:t>85</w:t>
            </w:r>
          </w:p>
        </w:tc>
      </w:tr>
      <w:tr w:rsidR="00687B2F" w:rsidRPr="00AE4E94" w14:paraId="120CA158" w14:textId="77777777" w:rsidTr="00AE4E94">
        <w:trPr>
          <w:trHeight w:val="121"/>
        </w:trPr>
        <w:tc>
          <w:tcPr>
            <w:tcW w:w="6204" w:type="dxa"/>
            <w:shd w:val="clear" w:color="auto" w:fill="auto"/>
          </w:tcPr>
          <w:p w14:paraId="0D98D1F7" w14:textId="77777777" w:rsidR="00687B2F" w:rsidRPr="00AE4E94" w:rsidRDefault="00687B2F" w:rsidP="00E42768">
            <w:pPr>
              <w:pStyle w:val="BodyText"/>
              <w:keepNext/>
              <w:spacing w:after="0"/>
              <w:rPr>
                <w:sz w:val="17"/>
                <w:szCs w:val="17"/>
              </w:rPr>
            </w:pPr>
            <w:r w:rsidRPr="00AE4E94">
              <w:rPr>
                <w:sz w:val="17"/>
                <w:szCs w:val="17"/>
              </w:rPr>
              <w:t>Regional and Global</w:t>
            </w:r>
          </w:p>
        </w:tc>
        <w:tc>
          <w:tcPr>
            <w:tcW w:w="1134" w:type="dxa"/>
            <w:shd w:val="clear" w:color="auto" w:fill="auto"/>
          </w:tcPr>
          <w:p w14:paraId="3ABB9958" w14:textId="0A344ACC" w:rsidR="00687B2F" w:rsidRPr="00AE4E94" w:rsidRDefault="00C02896" w:rsidP="00AE4E94">
            <w:pPr>
              <w:pStyle w:val="BodyText"/>
              <w:keepNext/>
              <w:spacing w:after="0"/>
              <w:jc w:val="center"/>
              <w:rPr>
                <w:sz w:val="17"/>
                <w:szCs w:val="17"/>
              </w:rPr>
            </w:pPr>
            <w:r w:rsidRPr="00AE4E94">
              <w:rPr>
                <w:sz w:val="17"/>
                <w:szCs w:val="17"/>
              </w:rPr>
              <w:t>18.</w:t>
            </w:r>
            <w:r w:rsidR="00F6122D" w:rsidRPr="00AE4E94">
              <w:rPr>
                <w:sz w:val="17"/>
                <w:szCs w:val="17"/>
              </w:rPr>
              <w:t>1</w:t>
            </w:r>
          </w:p>
        </w:tc>
        <w:tc>
          <w:tcPr>
            <w:tcW w:w="1417" w:type="dxa"/>
            <w:shd w:val="clear" w:color="auto" w:fill="auto"/>
          </w:tcPr>
          <w:p w14:paraId="49F689AD" w14:textId="25CDD9C0" w:rsidR="00687B2F" w:rsidRPr="00AE4E94" w:rsidRDefault="00C02896" w:rsidP="00AE4E94">
            <w:pPr>
              <w:pStyle w:val="BodyText"/>
              <w:keepNext/>
              <w:spacing w:after="0"/>
              <w:jc w:val="center"/>
              <w:rPr>
                <w:sz w:val="17"/>
                <w:szCs w:val="17"/>
              </w:rPr>
            </w:pPr>
            <w:r w:rsidRPr="00AE4E94">
              <w:rPr>
                <w:sz w:val="17"/>
                <w:szCs w:val="17"/>
              </w:rPr>
              <w:t>13</w:t>
            </w:r>
          </w:p>
        </w:tc>
      </w:tr>
      <w:tr w:rsidR="00687B2F" w:rsidRPr="00AE4E94" w14:paraId="32594B07" w14:textId="77777777" w:rsidTr="00AE4E94">
        <w:trPr>
          <w:trHeight w:val="114"/>
        </w:trPr>
        <w:tc>
          <w:tcPr>
            <w:tcW w:w="6204" w:type="dxa"/>
            <w:shd w:val="clear" w:color="auto" w:fill="auto"/>
          </w:tcPr>
          <w:p w14:paraId="09966B3D" w14:textId="77777777" w:rsidR="00687B2F" w:rsidRPr="00AE4E94" w:rsidRDefault="00687B2F" w:rsidP="00E42768">
            <w:pPr>
              <w:pStyle w:val="BodyText"/>
              <w:keepNext/>
              <w:spacing w:after="0"/>
              <w:rPr>
                <w:sz w:val="17"/>
                <w:szCs w:val="17"/>
              </w:rPr>
            </w:pPr>
            <w:r w:rsidRPr="00AE4E94">
              <w:rPr>
                <w:sz w:val="17"/>
                <w:szCs w:val="17"/>
              </w:rPr>
              <w:t>Other Government Departments</w:t>
            </w:r>
          </w:p>
        </w:tc>
        <w:tc>
          <w:tcPr>
            <w:tcW w:w="1134" w:type="dxa"/>
            <w:shd w:val="clear" w:color="auto" w:fill="auto"/>
          </w:tcPr>
          <w:p w14:paraId="6A9CB476" w14:textId="02AB5E83" w:rsidR="00687B2F" w:rsidRPr="00AE4E94" w:rsidRDefault="00C02896" w:rsidP="00AE4E94">
            <w:pPr>
              <w:pStyle w:val="BodyText"/>
              <w:keepNext/>
              <w:spacing w:after="0"/>
              <w:jc w:val="center"/>
              <w:rPr>
                <w:sz w:val="17"/>
                <w:szCs w:val="17"/>
              </w:rPr>
            </w:pPr>
            <w:r w:rsidRPr="00AE4E94">
              <w:rPr>
                <w:sz w:val="17"/>
                <w:szCs w:val="17"/>
              </w:rPr>
              <w:t>2.7</w:t>
            </w:r>
          </w:p>
        </w:tc>
        <w:tc>
          <w:tcPr>
            <w:tcW w:w="1417" w:type="dxa"/>
            <w:shd w:val="clear" w:color="auto" w:fill="auto"/>
          </w:tcPr>
          <w:p w14:paraId="18C400A4" w14:textId="65275CD6" w:rsidR="00687B2F" w:rsidRPr="00AE4E94" w:rsidRDefault="00C02896" w:rsidP="00AE4E94">
            <w:pPr>
              <w:pStyle w:val="BodyText"/>
              <w:keepNext/>
              <w:spacing w:after="0"/>
              <w:jc w:val="center"/>
              <w:rPr>
                <w:sz w:val="17"/>
                <w:szCs w:val="17"/>
              </w:rPr>
            </w:pPr>
            <w:r w:rsidRPr="00AE4E94">
              <w:rPr>
                <w:sz w:val="17"/>
                <w:szCs w:val="17"/>
              </w:rPr>
              <w:t>2</w:t>
            </w:r>
          </w:p>
        </w:tc>
      </w:tr>
      <w:tr w:rsidR="00687B2F" w:rsidRPr="008A6CDC" w14:paraId="3EDA89AF" w14:textId="77777777" w:rsidTr="00AE4E94">
        <w:trPr>
          <w:trHeight w:val="121"/>
        </w:trPr>
        <w:tc>
          <w:tcPr>
            <w:tcW w:w="6204" w:type="dxa"/>
            <w:shd w:val="clear" w:color="auto" w:fill="auto"/>
          </w:tcPr>
          <w:p w14:paraId="26A00EE8" w14:textId="77777777" w:rsidR="00687B2F" w:rsidRPr="00AE4E94" w:rsidRDefault="00687B2F" w:rsidP="00E42768">
            <w:pPr>
              <w:pStyle w:val="BodyText"/>
              <w:keepNext/>
              <w:spacing w:after="0"/>
              <w:rPr>
                <w:b/>
                <w:sz w:val="17"/>
                <w:szCs w:val="17"/>
              </w:rPr>
            </w:pPr>
            <w:r w:rsidRPr="00AE4E94">
              <w:rPr>
                <w:b/>
                <w:sz w:val="17"/>
                <w:szCs w:val="17"/>
              </w:rPr>
              <w:t>Total</w:t>
            </w:r>
            <w:r w:rsidR="002C5722" w:rsidRPr="00AE4E94">
              <w:rPr>
                <w:b/>
                <w:sz w:val="17"/>
                <w:szCs w:val="17"/>
              </w:rPr>
              <w:t xml:space="preserve"> ODA Expenditure</w:t>
            </w:r>
          </w:p>
        </w:tc>
        <w:tc>
          <w:tcPr>
            <w:tcW w:w="1134" w:type="dxa"/>
            <w:shd w:val="clear" w:color="auto" w:fill="auto"/>
          </w:tcPr>
          <w:p w14:paraId="65689912" w14:textId="4E294DBC" w:rsidR="00687B2F" w:rsidRPr="00AE4E94" w:rsidRDefault="00C02896" w:rsidP="00AE4E94">
            <w:pPr>
              <w:pStyle w:val="BodyText"/>
              <w:keepNext/>
              <w:spacing w:after="0"/>
              <w:jc w:val="center"/>
              <w:rPr>
                <w:sz w:val="17"/>
                <w:szCs w:val="17"/>
              </w:rPr>
            </w:pPr>
            <w:r w:rsidRPr="00AE4E94">
              <w:rPr>
                <w:sz w:val="17"/>
                <w:szCs w:val="17"/>
              </w:rPr>
              <w:t>141.2</w:t>
            </w:r>
          </w:p>
        </w:tc>
        <w:tc>
          <w:tcPr>
            <w:tcW w:w="1417" w:type="dxa"/>
            <w:shd w:val="clear" w:color="auto" w:fill="auto"/>
          </w:tcPr>
          <w:p w14:paraId="78C5299E" w14:textId="66A88F00" w:rsidR="00687B2F" w:rsidRPr="00AE4E94" w:rsidRDefault="00C02896" w:rsidP="00AE4E94">
            <w:pPr>
              <w:pStyle w:val="BodyText"/>
              <w:keepNext/>
              <w:spacing w:after="0"/>
              <w:jc w:val="center"/>
              <w:rPr>
                <w:sz w:val="17"/>
                <w:szCs w:val="17"/>
              </w:rPr>
            </w:pPr>
            <w:r w:rsidRPr="00AE4E94">
              <w:rPr>
                <w:sz w:val="17"/>
                <w:szCs w:val="17"/>
              </w:rPr>
              <w:t>100</w:t>
            </w:r>
          </w:p>
        </w:tc>
      </w:tr>
    </w:tbl>
    <w:p w14:paraId="60E0DF01" w14:textId="77777777" w:rsidR="000D733F" w:rsidRPr="008A6CDC" w:rsidRDefault="00511A0F" w:rsidP="00511A0F">
      <w:pPr>
        <w:pStyle w:val="Heading2"/>
        <w:rPr>
          <w:sz w:val="28"/>
        </w:rPr>
      </w:pPr>
      <w:r w:rsidRPr="008A6CDC">
        <w:rPr>
          <w:sz w:val="28"/>
        </w:rPr>
        <w:t xml:space="preserve">Progress </w:t>
      </w:r>
      <w:r w:rsidR="00E15678" w:rsidRPr="008A6CDC">
        <w:rPr>
          <w:sz w:val="28"/>
        </w:rPr>
        <w:t>towards</w:t>
      </w:r>
      <w:r w:rsidRPr="008A6CDC">
        <w:rPr>
          <w:sz w:val="28"/>
        </w:rPr>
        <w:t xml:space="preserve"> O</w:t>
      </w:r>
      <w:r w:rsidR="000D733F" w:rsidRPr="008A6CDC">
        <w:rPr>
          <w:sz w:val="28"/>
        </w:rPr>
        <w:t>bjectives</w:t>
      </w:r>
      <w:r w:rsidR="000D733F" w:rsidRPr="008A6CDC">
        <w:rPr>
          <w:sz w:val="28"/>
        </w:rPr>
        <w:tab/>
      </w:r>
    </w:p>
    <w:p w14:paraId="11A526E8" w14:textId="6090A440" w:rsidR="005901D2" w:rsidRPr="00166986" w:rsidRDefault="00166986" w:rsidP="00166986">
      <w:pPr>
        <w:pStyle w:val="ListBullet"/>
        <w:numPr>
          <w:ilvl w:val="0"/>
          <w:numId w:val="0"/>
        </w:numPr>
        <w:rPr>
          <w:rFonts w:eastAsia="Calibri"/>
          <w:lang w:eastAsia="en-US"/>
        </w:rPr>
      </w:pPr>
      <w:r w:rsidRPr="00E80141">
        <w:rPr>
          <w:rFonts w:eastAsia="Calibri"/>
          <w:lang w:eastAsia="en-US"/>
        </w:rPr>
        <w:t xml:space="preserve">All objectives </w:t>
      </w:r>
      <w:r w:rsidR="00217D9A" w:rsidRPr="00E80141">
        <w:rPr>
          <w:rFonts w:eastAsia="Calibri"/>
          <w:lang w:eastAsia="en-US"/>
        </w:rPr>
        <w:t xml:space="preserve">of Australia’s Aid Program to the Philippines </w:t>
      </w:r>
      <w:r w:rsidRPr="00E80141">
        <w:rPr>
          <w:rFonts w:eastAsia="Calibri"/>
          <w:lang w:eastAsia="en-US"/>
        </w:rPr>
        <w:t>have been rated green</w:t>
      </w:r>
      <w:r w:rsidR="00217D9A" w:rsidRPr="00E80141">
        <w:rPr>
          <w:rFonts w:eastAsia="Calibri"/>
          <w:lang w:eastAsia="en-US"/>
        </w:rPr>
        <w:t>. S</w:t>
      </w:r>
      <w:r w:rsidR="009028DF" w:rsidRPr="00E80141">
        <w:rPr>
          <w:rFonts w:eastAsia="Calibri"/>
          <w:lang w:eastAsia="en-US"/>
        </w:rPr>
        <w:t xml:space="preserve">ignificant progress </w:t>
      </w:r>
      <w:r w:rsidR="00217D9A" w:rsidRPr="00E80141">
        <w:rPr>
          <w:rFonts w:eastAsia="Calibri"/>
          <w:lang w:eastAsia="en-US"/>
        </w:rPr>
        <w:t xml:space="preserve">has been </w:t>
      </w:r>
      <w:r w:rsidR="009028DF" w:rsidRPr="00E80141">
        <w:rPr>
          <w:rFonts w:eastAsia="Calibri"/>
          <w:lang w:eastAsia="en-US"/>
        </w:rPr>
        <w:t xml:space="preserve">made </w:t>
      </w:r>
      <w:r w:rsidR="00217D9A" w:rsidRPr="00E80141">
        <w:rPr>
          <w:rFonts w:eastAsia="Calibri"/>
          <w:lang w:eastAsia="en-US"/>
        </w:rPr>
        <w:t xml:space="preserve">in </w:t>
      </w:r>
      <w:r w:rsidR="009028DF" w:rsidRPr="00E80141">
        <w:rPr>
          <w:rFonts w:eastAsia="Calibri"/>
          <w:lang w:eastAsia="en-US"/>
        </w:rPr>
        <w:t xml:space="preserve">key </w:t>
      </w:r>
      <w:r w:rsidR="00217D9A" w:rsidRPr="00E80141">
        <w:rPr>
          <w:rFonts w:eastAsia="Calibri"/>
          <w:lang w:eastAsia="en-US"/>
        </w:rPr>
        <w:t xml:space="preserve">aid </w:t>
      </w:r>
      <w:r w:rsidR="009028DF" w:rsidRPr="00E80141">
        <w:rPr>
          <w:rFonts w:eastAsia="Calibri"/>
          <w:lang w:eastAsia="en-US"/>
        </w:rPr>
        <w:t>investment</w:t>
      </w:r>
      <w:r w:rsidR="00015062" w:rsidRPr="00E80141">
        <w:rPr>
          <w:rFonts w:eastAsia="Calibri"/>
          <w:lang w:eastAsia="en-US"/>
        </w:rPr>
        <w:t>s</w:t>
      </w:r>
      <w:r w:rsidR="00563310">
        <w:rPr>
          <w:rFonts w:eastAsia="Calibri"/>
          <w:lang w:eastAsia="en-US"/>
        </w:rPr>
        <w:t xml:space="preserve"> underlying each objective</w:t>
      </w:r>
      <w:r w:rsidR="008972C0">
        <w:rPr>
          <w:rFonts w:eastAsia="Calibri"/>
          <w:lang w:eastAsia="en-US"/>
        </w:rPr>
        <w:t>.</w:t>
      </w:r>
      <w:r w:rsidR="00217D9A" w:rsidRPr="00E80141">
        <w:rPr>
          <w:rFonts w:eastAsia="Calibri"/>
          <w:lang w:eastAsia="en-US"/>
        </w:rPr>
        <w:t xml:space="preserve"> </w:t>
      </w:r>
      <w:r w:rsidR="00563310">
        <w:rPr>
          <w:rFonts w:eastAsia="Calibri"/>
          <w:lang w:eastAsia="en-US"/>
        </w:rPr>
        <w:t>Rating</w:t>
      </w:r>
      <w:r w:rsidR="008972C0">
        <w:rPr>
          <w:rFonts w:eastAsia="Calibri"/>
          <w:lang w:eastAsia="en-US"/>
        </w:rPr>
        <w:t>s</w:t>
      </w:r>
      <w:r w:rsidR="00563310">
        <w:rPr>
          <w:rFonts w:eastAsia="Calibri"/>
          <w:lang w:eastAsia="en-US"/>
        </w:rPr>
        <w:t xml:space="preserve"> are </w:t>
      </w:r>
      <w:r w:rsidR="008972C0">
        <w:rPr>
          <w:rFonts w:eastAsia="Calibri"/>
          <w:lang w:eastAsia="en-US"/>
        </w:rPr>
        <w:t>a</w:t>
      </w:r>
      <w:r w:rsidR="00563310">
        <w:rPr>
          <w:rFonts w:eastAsia="Calibri"/>
          <w:lang w:eastAsia="en-US"/>
        </w:rPr>
        <w:t xml:space="preserve">lso </w:t>
      </w:r>
      <w:r w:rsidR="00217D9A" w:rsidRPr="00E80141">
        <w:rPr>
          <w:rFonts w:eastAsia="Calibri"/>
          <w:lang w:eastAsia="en-US"/>
        </w:rPr>
        <w:t xml:space="preserve">consistent with scores reported in </w:t>
      </w:r>
      <w:r w:rsidR="005C27DB" w:rsidRPr="00391AE9">
        <w:rPr>
          <w:rFonts w:eastAsia="Calibri"/>
          <w:i/>
          <w:lang w:eastAsia="en-US"/>
        </w:rPr>
        <w:t>201</w:t>
      </w:r>
      <w:r w:rsidR="00802C26" w:rsidRPr="00391AE9">
        <w:rPr>
          <w:rFonts w:eastAsia="Calibri"/>
          <w:i/>
          <w:lang w:eastAsia="en-US"/>
        </w:rPr>
        <w:t>4-1</w:t>
      </w:r>
      <w:r w:rsidR="005C27DB" w:rsidRPr="00391AE9">
        <w:rPr>
          <w:rFonts w:eastAsia="Calibri"/>
          <w:i/>
          <w:lang w:eastAsia="en-US"/>
        </w:rPr>
        <w:t xml:space="preserve">5 </w:t>
      </w:r>
      <w:r w:rsidR="00217D9A" w:rsidRPr="00391AE9">
        <w:rPr>
          <w:rFonts w:eastAsia="Calibri"/>
          <w:i/>
          <w:lang w:eastAsia="en-US"/>
        </w:rPr>
        <w:t>Aid Quality Checks</w:t>
      </w:r>
      <w:r w:rsidR="00217D9A" w:rsidRPr="00E80141">
        <w:rPr>
          <w:rFonts w:eastAsia="Calibri"/>
          <w:lang w:eastAsia="en-US"/>
        </w:rPr>
        <w:t xml:space="preserve"> and </w:t>
      </w:r>
      <w:r w:rsidR="005C27DB" w:rsidRPr="00E80141">
        <w:rPr>
          <w:rFonts w:eastAsia="Calibri"/>
          <w:lang w:eastAsia="en-US"/>
        </w:rPr>
        <w:t xml:space="preserve">progress against </w:t>
      </w:r>
      <w:r w:rsidR="001550A1" w:rsidRPr="00E80141">
        <w:rPr>
          <w:rFonts w:eastAsia="Calibri"/>
          <w:lang w:eastAsia="en-US"/>
        </w:rPr>
        <w:t xml:space="preserve">performance benchmarks identified in </w:t>
      </w:r>
      <w:r w:rsidR="005C27DB" w:rsidRPr="00E80141">
        <w:rPr>
          <w:rFonts w:eastAsia="Calibri"/>
          <w:lang w:eastAsia="en-US"/>
        </w:rPr>
        <w:t xml:space="preserve">the </w:t>
      </w:r>
      <w:r w:rsidR="005C27DB" w:rsidRPr="00391AE9">
        <w:rPr>
          <w:rFonts w:eastAsia="Calibri"/>
          <w:i/>
          <w:lang w:eastAsia="en-US"/>
        </w:rPr>
        <w:t>201</w:t>
      </w:r>
      <w:r w:rsidR="00802C26" w:rsidRPr="00391AE9">
        <w:rPr>
          <w:rFonts w:eastAsia="Calibri"/>
          <w:i/>
          <w:lang w:eastAsia="en-US"/>
        </w:rPr>
        <w:t>3-1</w:t>
      </w:r>
      <w:r w:rsidR="005C27DB" w:rsidRPr="00391AE9">
        <w:rPr>
          <w:rFonts w:eastAsia="Calibri"/>
          <w:i/>
          <w:lang w:eastAsia="en-US"/>
        </w:rPr>
        <w:t xml:space="preserve">4 </w:t>
      </w:r>
      <w:r w:rsidR="001550A1" w:rsidRPr="00391AE9">
        <w:rPr>
          <w:rFonts w:eastAsia="Calibri"/>
          <w:i/>
          <w:lang w:eastAsia="en-US"/>
        </w:rPr>
        <w:t>Aid Program Performance Report</w:t>
      </w:r>
      <w:r w:rsidR="00D723A3" w:rsidRPr="00D723A3">
        <w:rPr>
          <w:rFonts w:eastAsia="Calibri"/>
          <w:lang w:eastAsia="en-US"/>
        </w:rPr>
        <w:t xml:space="preserve"> (APPR</w:t>
      </w:r>
      <w:r w:rsidR="00D723A3">
        <w:rPr>
          <w:rFonts w:eastAsia="Calibri"/>
          <w:lang w:eastAsia="en-US"/>
        </w:rPr>
        <w:t>)</w:t>
      </w:r>
      <w:r w:rsidR="001550A1" w:rsidRPr="00E80141">
        <w:rPr>
          <w:rFonts w:eastAsia="Calibri"/>
          <w:lang w:eastAsia="en-US"/>
        </w:rPr>
        <w:t>.</w:t>
      </w:r>
    </w:p>
    <w:p w14:paraId="07D25831" w14:textId="77777777" w:rsidR="000D733F" w:rsidRDefault="000D733F" w:rsidP="005901D2">
      <w:pPr>
        <w:pStyle w:val="Caption"/>
      </w:pPr>
      <w:r>
        <w:t xml:space="preserve">Table </w:t>
      </w:r>
      <w:r w:rsidR="00836ABA">
        <w:fldChar w:fldCharType="begin"/>
      </w:r>
      <w:r w:rsidR="00836ABA">
        <w:instrText xml:space="preserve"> SEQ Table \* ARABIC </w:instrText>
      </w:r>
      <w:r w:rsidR="00836ABA">
        <w:fldChar w:fldCharType="separate"/>
      </w:r>
      <w:r w:rsidR="002D2ED2">
        <w:rPr>
          <w:noProof/>
        </w:rPr>
        <w:t>2</w:t>
      </w:r>
      <w:r w:rsidR="00836ABA">
        <w:rPr>
          <w:noProof/>
        </w:rPr>
        <w:fldChar w:fldCharType="end"/>
      </w:r>
      <w:r w:rsidR="00582C22">
        <w:t xml:space="preserve"> Rating of the Program's P</w:t>
      </w:r>
      <w:r>
        <w:t xml:space="preserve">rogress towards Australia’s </w:t>
      </w:r>
      <w:r w:rsidR="00582C22">
        <w:t>A</w:t>
      </w:r>
      <w:r w:rsidR="00D206B3">
        <w:t xml:space="preserve">id </w:t>
      </w:r>
      <w:r w:rsidR="00582C22">
        <w:t>O</w:t>
      </w:r>
      <w:r>
        <w:t>bjectives</w:t>
      </w:r>
    </w:p>
    <w:tbl>
      <w:tblPr>
        <w:tblStyle w:val="APPR"/>
        <w:tblW w:w="5000" w:type="pct"/>
        <w:tblBorders>
          <w:top w:val="none" w:sz="0" w:space="0" w:color="auto"/>
          <w:bottom w:val="none" w:sz="0" w:space="0" w:color="auto"/>
        </w:tblBorders>
        <w:tblLook w:val="0000" w:firstRow="0" w:lastRow="0" w:firstColumn="0" w:lastColumn="0" w:noHBand="0" w:noVBand="0"/>
      </w:tblPr>
      <w:tblGrid>
        <w:gridCol w:w="6234"/>
        <w:gridCol w:w="1026"/>
        <w:gridCol w:w="426"/>
        <w:gridCol w:w="1091"/>
      </w:tblGrid>
      <w:tr w:rsidR="000D733F" w:rsidRPr="0019341B" w14:paraId="44614C97" w14:textId="77777777" w:rsidTr="00217D9A">
        <w:trPr>
          <w:cnfStyle w:val="000000010000" w:firstRow="0" w:lastRow="0" w:firstColumn="0" w:lastColumn="0" w:oddVBand="0" w:evenVBand="0" w:oddHBand="0" w:evenHBand="1" w:firstRowFirstColumn="0" w:firstRowLastColumn="0" w:lastRowFirstColumn="0" w:lastRowLastColumn="0"/>
          <w:trHeight w:val="651"/>
        </w:trPr>
        <w:tc>
          <w:tcPr>
            <w:tcW w:w="6029" w:type="dxa"/>
            <w:tcBorders>
              <w:top w:val="single" w:sz="12" w:space="0" w:color="auto"/>
            </w:tcBorders>
          </w:tcPr>
          <w:p w14:paraId="2B8E1556" w14:textId="77777777" w:rsidR="000D733F" w:rsidRPr="0019341B" w:rsidRDefault="000D733F" w:rsidP="00E42768">
            <w:pPr>
              <w:pStyle w:val="TableTextColumnHeading"/>
              <w:spacing w:before="0" w:after="0"/>
            </w:pPr>
            <w:r w:rsidRPr="0019341B">
              <w:rPr>
                <w:noProof/>
                <w:lang w:eastAsia="en-AU"/>
              </w:rPr>
              <w:drawing>
                <wp:anchor distT="0" distB="0" distL="114300" distR="114300" simplePos="0" relativeHeight="251663360" behindDoc="0" locked="0" layoutInCell="1" allowOverlap="1" wp14:anchorId="77732103" wp14:editId="16C6650E">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Borders>
              <w:top w:val="single" w:sz="12" w:space="0" w:color="auto"/>
            </w:tcBorders>
            <w:vAlign w:val="center"/>
          </w:tcPr>
          <w:p w14:paraId="04D54D4D" w14:textId="77777777" w:rsidR="000D733F" w:rsidRPr="0019341B" w:rsidRDefault="004F4630" w:rsidP="00E42768">
            <w:pPr>
              <w:pStyle w:val="TableTextColumnHeading"/>
              <w:spacing w:before="0" w:after="0"/>
            </w:pPr>
            <w:r>
              <w:t>Previous Rating</w:t>
            </w:r>
          </w:p>
        </w:tc>
        <w:tc>
          <w:tcPr>
            <w:tcW w:w="388" w:type="dxa"/>
            <w:tcBorders>
              <w:top w:val="single" w:sz="12" w:space="0" w:color="auto"/>
            </w:tcBorders>
            <w:vAlign w:val="center"/>
          </w:tcPr>
          <w:p w14:paraId="06033A46" w14:textId="77777777" w:rsidR="000D733F" w:rsidRDefault="000D733F" w:rsidP="00E42768">
            <w:pPr>
              <w:pStyle w:val="TableTextColumnHeading"/>
              <w:spacing w:before="0" w:after="0"/>
            </w:pPr>
          </w:p>
        </w:tc>
        <w:tc>
          <w:tcPr>
            <w:tcW w:w="1021" w:type="dxa"/>
            <w:tcBorders>
              <w:top w:val="single" w:sz="12" w:space="0" w:color="auto"/>
            </w:tcBorders>
            <w:vAlign w:val="center"/>
          </w:tcPr>
          <w:p w14:paraId="44DF44DB" w14:textId="77777777" w:rsidR="000D733F" w:rsidRPr="0019341B" w:rsidRDefault="004F4630" w:rsidP="00E42768">
            <w:pPr>
              <w:pStyle w:val="TableTextColumnHeading"/>
              <w:spacing w:before="0" w:after="0"/>
            </w:pPr>
            <w:r>
              <w:t>Current Rating</w:t>
            </w:r>
          </w:p>
        </w:tc>
      </w:tr>
      <w:tr w:rsidR="000D733F" w:rsidRPr="009D53C4" w14:paraId="6EA374DC" w14:textId="77777777" w:rsidTr="00217D9A">
        <w:trPr>
          <w:cnfStyle w:val="000000010000" w:firstRow="0" w:lastRow="0" w:firstColumn="0" w:lastColumn="0" w:oddVBand="0" w:evenVBand="0" w:oddHBand="0" w:evenHBand="1" w:firstRowFirstColumn="0" w:firstRowLastColumn="0" w:lastRowFirstColumn="0" w:lastRowLastColumn="0"/>
        </w:trPr>
        <w:tc>
          <w:tcPr>
            <w:tcW w:w="6029" w:type="dxa"/>
          </w:tcPr>
          <w:p w14:paraId="63C41E2F" w14:textId="688738D7" w:rsidR="000D733F" w:rsidRPr="0019341B" w:rsidRDefault="00321A88" w:rsidP="00E42768">
            <w:pPr>
              <w:pStyle w:val="TableTextEntries"/>
              <w:spacing w:before="0" w:after="0"/>
            </w:pPr>
            <w:r w:rsidRPr="00F27E70">
              <w:t>1</w:t>
            </w:r>
            <w:r w:rsidR="0017315F">
              <w:t>.</w:t>
            </w:r>
            <w:r w:rsidRPr="00F27E70">
              <w:t xml:space="preserve">  Partnering on education reforms</w:t>
            </w:r>
          </w:p>
        </w:tc>
        <w:tc>
          <w:tcPr>
            <w:tcW w:w="972" w:type="dxa"/>
            <w:shd w:val="clear" w:color="auto" w:fill="72AF2F"/>
            <w:noWrap/>
            <w:vAlign w:val="center"/>
          </w:tcPr>
          <w:p w14:paraId="75C6EF66" w14:textId="77777777" w:rsidR="000D733F" w:rsidRPr="00443639" w:rsidRDefault="000D733F" w:rsidP="00E42768">
            <w:pPr>
              <w:pStyle w:val="TableTextEntries"/>
              <w:spacing w:before="0" w:after="0" w:line="0" w:lineRule="atLeast"/>
              <w:jc w:val="center"/>
              <w:rPr>
                <w:color w:val="FFFFFF" w:themeColor="background1"/>
              </w:rPr>
            </w:pPr>
            <w:r w:rsidRPr="00443639">
              <w:rPr>
                <w:color w:val="FFFFFF" w:themeColor="background1"/>
              </w:rPr>
              <w:t>Green</w:t>
            </w:r>
          </w:p>
        </w:tc>
        <w:tc>
          <w:tcPr>
            <w:tcW w:w="388" w:type="dxa"/>
            <w:shd w:val="clear" w:color="auto" w:fill="auto"/>
            <w:vAlign w:val="center"/>
          </w:tcPr>
          <w:p w14:paraId="6BDB25B2" w14:textId="77777777" w:rsidR="000D733F" w:rsidRPr="00443639" w:rsidRDefault="000D733F" w:rsidP="00E42768">
            <w:pPr>
              <w:pStyle w:val="TableTextEntries"/>
              <w:spacing w:before="0" w:after="0" w:line="0" w:lineRule="atLeast"/>
              <w:jc w:val="center"/>
              <w:rPr>
                <w:color w:val="FFFFFF" w:themeColor="background1"/>
              </w:rPr>
            </w:pPr>
          </w:p>
        </w:tc>
        <w:tc>
          <w:tcPr>
            <w:tcW w:w="1021" w:type="dxa"/>
            <w:shd w:val="clear" w:color="auto" w:fill="72AF2F"/>
            <w:noWrap/>
            <w:vAlign w:val="center"/>
          </w:tcPr>
          <w:p w14:paraId="5142116D" w14:textId="77777777" w:rsidR="000D733F" w:rsidRPr="00443639" w:rsidRDefault="00C67D5E" w:rsidP="00E42768">
            <w:pPr>
              <w:pStyle w:val="TableTextEntries"/>
              <w:spacing w:before="0" w:after="0" w:line="0" w:lineRule="atLeast"/>
              <w:jc w:val="center"/>
              <w:rPr>
                <w:color w:val="FFFFFF" w:themeColor="background1"/>
              </w:rPr>
            </w:pPr>
            <w:r w:rsidRPr="00443639">
              <w:rPr>
                <w:color w:val="FFFFFF" w:themeColor="background1"/>
              </w:rPr>
              <w:t>Green</w:t>
            </w:r>
          </w:p>
        </w:tc>
      </w:tr>
      <w:tr w:rsidR="000D733F" w:rsidRPr="009D53C4" w14:paraId="38D3FC31" w14:textId="77777777" w:rsidTr="00217D9A">
        <w:trPr>
          <w:cnfStyle w:val="000000010000" w:firstRow="0" w:lastRow="0" w:firstColumn="0" w:lastColumn="0" w:oddVBand="0" w:evenVBand="0" w:oddHBand="0" w:evenHBand="1" w:firstRowFirstColumn="0" w:firstRowLastColumn="0" w:lastRowFirstColumn="0" w:lastRowLastColumn="0"/>
        </w:trPr>
        <w:tc>
          <w:tcPr>
            <w:tcW w:w="6029" w:type="dxa"/>
          </w:tcPr>
          <w:p w14:paraId="0FC71C34" w14:textId="269C87EB" w:rsidR="000D733F" w:rsidRPr="0019341B" w:rsidRDefault="00321A88" w:rsidP="00E42768">
            <w:pPr>
              <w:pStyle w:val="TableTextEntries"/>
              <w:spacing w:before="0" w:after="0"/>
            </w:pPr>
            <w:r w:rsidRPr="00F27E70">
              <w:t>2</w:t>
            </w:r>
            <w:r w:rsidR="0017315F">
              <w:t>.</w:t>
            </w:r>
            <w:r w:rsidRPr="00F27E70">
              <w:t xml:space="preserve">  Enhancing the foundations for sustained economic growth</w:t>
            </w:r>
          </w:p>
        </w:tc>
        <w:tc>
          <w:tcPr>
            <w:tcW w:w="972" w:type="dxa"/>
            <w:shd w:val="clear" w:color="auto" w:fill="72AF2F"/>
            <w:noWrap/>
            <w:vAlign w:val="center"/>
          </w:tcPr>
          <w:p w14:paraId="6491A92A" w14:textId="77777777" w:rsidR="000D733F" w:rsidRPr="00443639" w:rsidRDefault="00C67D5E" w:rsidP="00E42768">
            <w:pPr>
              <w:pStyle w:val="TableTextEntries"/>
              <w:spacing w:before="0" w:after="0" w:line="0" w:lineRule="atLeast"/>
              <w:jc w:val="center"/>
              <w:rPr>
                <w:color w:val="FFFFFF" w:themeColor="background1"/>
              </w:rPr>
            </w:pPr>
            <w:r w:rsidRPr="00443639">
              <w:rPr>
                <w:color w:val="FFFFFF" w:themeColor="background1"/>
              </w:rPr>
              <w:t>Green</w:t>
            </w:r>
          </w:p>
        </w:tc>
        <w:tc>
          <w:tcPr>
            <w:tcW w:w="388" w:type="dxa"/>
            <w:shd w:val="clear" w:color="auto" w:fill="auto"/>
            <w:vAlign w:val="center"/>
          </w:tcPr>
          <w:p w14:paraId="4313ABE4" w14:textId="77777777" w:rsidR="000D733F" w:rsidRPr="00443639" w:rsidRDefault="000D733F" w:rsidP="00E42768">
            <w:pPr>
              <w:pStyle w:val="TableTextEntries"/>
              <w:spacing w:before="0" w:after="0" w:line="0" w:lineRule="atLeast"/>
              <w:jc w:val="center"/>
              <w:rPr>
                <w:color w:val="FFFFFF" w:themeColor="background1"/>
              </w:rPr>
            </w:pPr>
          </w:p>
        </w:tc>
        <w:tc>
          <w:tcPr>
            <w:tcW w:w="1021" w:type="dxa"/>
            <w:shd w:val="clear" w:color="auto" w:fill="72AF2F"/>
            <w:noWrap/>
            <w:vAlign w:val="center"/>
          </w:tcPr>
          <w:p w14:paraId="64B6186D" w14:textId="77777777" w:rsidR="000D733F" w:rsidRPr="00443639" w:rsidRDefault="000D733F" w:rsidP="00E42768">
            <w:pPr>
              <w:pStyle w:val="TableTextEntries"/>
              <w:spacing w:before="0" w:after="0" w:line="0" w:lineRule="atLeast"/>
              <w:jc w:val="center"/>
              <w:rPr>
                <w:color w:val="FFFFFF" w:themeColor="background1"/>
              </w:rPr>
            </w:pPr>
            <w:r w:rsidRPr="00443639">
              <w:rPr>
                <w:color w:val="FFFFFF" w:themeColor="background1"/>
              </w:rPr>
              <w:t>Green</w:t>
            </w:r>
          </w:p>
        </w:tc>
      </w:tr>
      <w:tr w:rsidR="000D733F" w:rsidRPr="009D53C4" w14:paraId="2C45DCC7" w14:textId="77777777" w:rsidTr="00217D9A">
        <w:trPr>
          <w:cnfStyle w:val="000000010000" w:firstRow="0" w:lastRow="0" w:firstColumn="0" w:lastColumn="0" w:oddVBand="0" w:evenVBand="0" w:oddHBand="0" w:evenHBand="1" w:firstRowFirstColumn="0" w:firstRowLastColumn="0" w:lastRowFirstColumn="0" w:lastRowLastColumn="0"/>
        </w:trPr>
        <w:tc>
          <w:tcPr>
            <w:tcW w:w="6029" w:type="dxa"/>
          </w:tcPr>
          <w:p w14:paraId="377EC189" w14:textId="5E1706DB" w:rsidR="000D733F" w:rsidRDefault="00321A88" w:rsidP="00E42768">
            <w:pPr>
              <w:pStyle w:val="TableTextEntries"/>
              <w:spacing w:before="0" w:after="0"/>
            </w:pPr>
            <w:r w:rsidRPr="00F27E70">
              <w:t>3</w:t>
            </w:r>
            <w:r w:rsidR="0017315F">
              <w:t>.</w:t>
            </w:r>
            <w:r w:rsidRPr="00F27E70">
              <w:t xml:space="preserve">  </w:t>
            </w:r>
            <w:r w:rsidRPr="00346C2F">
              <w:t>Promoting better disaster preparedness and response</w:t>
            </w:r>
          </w:p>
        </w:tc>
        <w:tc>
          <w:tcPr>
            <w:tcW w:w="972" w:type="dxa"/>
            <w:shd w:val="clear" w:color="auto" w:fill="72AF2F"/>
            <w:noWrap/>
            <w:vAlign w:val="center"/>
          </w:tcPr>
          <w:p w14:paraId="14D38787" w14:textId="77777777" w:rsidR="000D733F" w:rsidRPr="00443639" w:rsidRDefault="00C67D5E" w:rsidP="00E42768">
            <w:pPr>
              <w:pStyle w:val="TableTextEntries"/>
              <w:spacing w:before="0" w:after="0" w:line="0" w:lineRule="atLeast"/>
              <w:jc w:val="center"/>
              <w:rPr>
                <w:color w:val="FFFFFF" w:themeColor="background1"/>
              </w:rPr>
            </w:pPr>
            <w:r w:rsidRPr="00443639">
              <w:rPr>
                <w:color w:val="FFFFFF" w:themeColor="background1"/>
              </w:rPr>
              <w:t>Green</w:t>
            </w:r>
          </w:p>
        </w:tc>
        <w:tc>
          <w:tcPr>
            <w:tcW w:w="388" w:type="dxa"/>
            <w:shd w:val="clear" w:color="auto" w:fill="auto"/>
            <w:vAlign w:val="center"/>
          </w:tcPr>
          <w:p w14:paraId="120308F5" w14:textId="77777777" w:rsidR="000D733F" w:rsidRPr="00443639" w:rsidRDefault="000D733F" w:rsidP="00E42768">
            <w:pPr>
              <w:pStyle w:val="TableTextEntries"/>
              <w:spacing w:before="0" w:after="0" w:line="0" w:lineRule="atLeast"/>
              <w:jc w:val="center"/>
              <w:rPr>
                <w:color w:val="FFFFFF" w:themeColor="background1"/>
              </w:rPr>
            </w:pPr>
          </w:p>
        </w:tc>
        <w:tc>
          <w:tcPr>
            <w:tcW w:w="1021" w:type="dxa"/>
            <w:shd w:val="clear" w:color="auto" w:fill="72AF2F"/>
            <w:noWrap/>
            <w:vAlign w:val="center"/>
          </w:tcPr>
          <w:p w14:paraId="197B5A5A" w14:textId="77777777" w:rsidR="000D733F" w:rsidRPr="00443639" w:rsidRDefault="00C67D5E" w:rsidP="00E42768">
            <w:pPr>
              <w:pStyle w:val="TableTextEntries"/>
              <w:spacing w:before="0" w:after="0" w:line="0" w:lineRule="atLeast"/>
              <w:jc w:val="center"/>
              <w:rPr>
                <w:color w:val="FFFFFF" w:themeColor="background1"/>
              </w:rPr>
            </w:pPr>
            <w:r w:rsidRPr="00443639">
              <w:rPr>
                <w:color w:val="FFFFFF" w:themeColor="background1"/>
              </w:rPr>
              <w:t>Green</w:t>
            </w:r>
          </w:p>
        </w:tc>
      </w:tr>
      <w:tr w:rsidR="00321A88" w:rsidRPr="009D53C4" w14:paraId="354BD67A" w14:textId="77777777" w:rsidTr="00217D9A">
        <w:trPr>
          <w:cnfStyle w:val="000000010000" w:firstRow="0" w:lastRow="0" w:firstColumn="0" w:lastColumn="0" w:oddVBand="0" w:evenVBand="0" w:oddHBand="0" w:evenHBand="1" w:firstRowFirstColumn="0" w:firstRowLastColumn="0" w:lastRowFirstColumn="0" w:lastRowLastColumn="0"/>
        </w:trPr>
        <w:tc>
          <w:tcPr>
            <w:tcW w:w="6029" w:type="dxa"/>
          </w:tcPr>
          <w:p w14:paraId="0F338CF9" w14:textId="346EDA26" w:rsidR="00321A88" w:rsidRDefault="00321A88" w:rsidP="00E42768">
            <w:pPr>
              <w:pStyle w:val="TableTextEntries"/>
              <w:spacing w:before="0" w:after="0"/>
            </w:pPr>
            <w:r w:rsidRPr="00F27E70">
              <w:t>4</w:t>
            </w:r>
            <w:r w:rsidR="0017315F">
              <w:t>.</w:t>
            </w:r>
            <w:r w:rsidRPr="00F27E70">
              <w:t xml:space="preserve">  Improving conditions for peace and security</w:t>
            </w:r>
          </w:p>
        </w:tc>
        <w:tc>
          <w:tcPr>
            <w:tcW w:w="972" w:type="dxa"/>
            <w:shd w:val="clear" w:color="auto" w:fill="72AF2F"/>
            <w:noWrap/>
            <w:vAlign w:val="center"/>
          </w:tcPr>
          <w:p w14:paraId="47B3D54B" w14:textId="77777777" w:rsidR="00321A88" w:rsidRPr="00443639" w:rsidRDefault="00C67D5E" w:rsidP="00E42768">
            <w:pPr>
              <w:pStyle w:val="TableTextEntries"/>
              <w:spacing w:before="0" w:after="0" w:line="0" w:lineRule="atLeast"/>
              <w:jc w:val="center"/>
              <w:rPr>
                <w:color w:val="FFFFFF" w:themeColor="background1"/>
              </w:rPr>
            </w:pPr>
            <w:r w:rsidRPr="00443639">
              <w:rPr>
                <w:color w:val="FFFFFF" w:themeColor="background1"/>
              </w:rPr>
              <w:t>Green</w:t>
            </w:r>
          </w:p>
        </w:tc>
        <w:tc>
          <w:tcPr>
            <w:tcW w:w="388" w:type="dxa"/>
            <w:shd w:val="clear" w:color="auto" w:fill="auto"/>
            <w:vAlign w:val="center"/>
          </w:tcPr>
          <w:p w14:paraId="590A77DC" w14:textId="77777777" w:rsidR="00321A88" w:rsidRPr="00443639" w:rsidRDefault="00321A88" w:rsidP="00E42768">
            <w:pPr>
              <w:pStyle w:val="TableTextEntries"/>
              <w:spacing w:before="0" w:after="0" w:line="0" w:lineRule="atLeast"/>
              <w:jc w:val="center"/>
              <w:rPr>
                <w:color w:val="FFFFFF" w:themeColor="background1"/>
              </w:rPr>
            </w:pPr>
          </w:p>
        </w:tc>
        <w:tc>
          <w:tcPr>
            <w:tcW w:w="1021" w:type="dxa"/>
            <w:shd w:val="clear" w:color="auto" w:fill="72AF2F"/>
            <w:noWrap/>
            <w:vAlign w:val="center"/>
          </w:tcPr>
          <w:p w14:paraId="01A5160E" w14:textId="77777777" w:rsidR="00321A88" w:rsidRPr="00443639" w:rsidRDefault="00C67D5E" w:rsidP="00E42768">
            <w:pPr>
              <w:pStyle w:val="TableTextEntries"/>
              <w:spacing w:before="0" w:after="0" w:line="0" w:lineRule="atLeast"/>
              <w:jc w:val="center"/>
              <w:rPr>
                <w:color w:val="FFFFFF" w:themeColor="background1"/>
              </w:rPr>
            </w:pPr>
            <w:r w:rsidRPr="00443639">
              <w:rPr>
                <w:color w:val="FFFFFF" w:themeColor="background1"/>
              </w:rPr>
              <w:t>Green</w:t>
            </w:r>
          </w:p>
        </w:tc>
      </w:tr>
      <w:tr w:rsidR="00321A88" w:rsidRPr="009D53C4" w14:paraId="15CAACA0" w14:textId="77777777" w:rsidTr="00217D9A">
        <w:trPr>
          <w:cnfStyle w:val="000000010000" w:firstRow="0" w:lastRow="0" w:firstColumn="0" w:lastColumn="0" w:oddVBand="0" w:evenVBand="0" w:oddHBand="0" w:evenHBand="1" w:firstRowFirstColumn="0" w:firstRowLastColumn="0" w:lastRowFirstColumn="0" w:lastRowLastColumn="0"/>
        </w:trPr>
        <w:tc>
          <w:tcPr>
            <w:tcW w:w="6029" w:type="dxa"/>
            <w:tcBorders>
              <w:bottom w:val="single" w:sz="12" w:space="0" w:color="auto"/>
            </w:tcBorders>
          </w:tcPr>
          <w:p w14:paraId="396FD36C" w14:textId="43B5D12E" w:rsidR="00321A88" w:rsidRDefault="00A479DB" w:rsidP="00E42768">
            <w:pPr>
              <w:pStyle w:val="TableTextEntries"/>
              <w:spacing w:before="0" w:after="0"/>
            </w:pPr>
            <w:r>
              <w:t>5</w:t>
            </w:r>
            <w:r w:rsidR="0017315F">
              <w:t>.</w:t>
            </w:r>
            <w:r w:rsidR="00C67D5E" w:rsidRPr="00F27E70">
              <w:t xml:space="preserve"> Building stronger institutions for accountable and inclusive governance</w:t>
            </w:r>
          </w:p>
        </w:tc>
        <w:tc>
          <w:tcPr>
            <w:tcW w:w="972" w:type="dxa"/>
            <w:tcBorders>
              <w:bottom w:val="single" w:sz="12" w:space="0" w:color="auto"/>
            </w:tcBorders>
            <w:shd w:val="clear" w:color="auto" w:fill="72AF2F"/>
            <w:noWrap/>
            <w:vAlign w:val="center"/>
          </w:tcPr>
          <w:p w14:paraId="120EB80E" w14:textId="77777777" w:rsidR="00321A88" w:rsidRPr="00443639" w:rsidRDefault="00C67D5E" w:rsidP="00E42768">
            <w:pPr>
              <w:pStyle w:val="TableTextEntries"/>
              <w:spacing w:before="0" w:after="0" w:line="0" w:lineRule="atLeast"/>
              <w:jc w:val="center"/>
              <w:rPr>
                <w:color w:val="FFFFFF" w:themeColor="background1"/>
              </w:rPr>
            </w:pPr>
            <w:r w:rsidRPr="00443639">
              <w:rPr>
                <w:color w:val="FFFFFF" w:themeColor="background1"/>
              </w:rPr>
              <w:t>Green</w:t>
            </w:r>
          </w:p>
        </w:tc>
        <w:tc>
          <w:tcPr>
            <w:tcW w:w="388" w:type="dxa"/>
            <w:tcBorders>
              <w:bottom w:val="single" w:sz="12" w:space="0" w:color="auto"/>
            </w:tcBorders>
            <w:shd w:val="clear" w:color="auto" w:fill="auto"/>
            <w:vAlign w:val="center"/>
          </w:tcPr>
          <w:p w14:paraId="59B7BCC3" w14:textId="77777777" w:rsidR="00321A88" w:rsidRPr="00443639" w:rsidRDefault="00321A88" w:rsidP="00E42768">
            <w:pPr>
              <w:pStyle w:val="TableTextEntries"/>
              <w:spacing w:before="0" w:after="0" w:line="0" w:lineRule="atLeast"/>
              <w:jc w:val="center"/>
              <w:rPr>
                <w:color w:val="FFFFFF" w:themeColor="background1"/>
              </w:rPr>
            </w:pPr>
          </w:p>
        </w:tc>
        <w:tc>
          <w:tcPr>
            <w:tcW w:w="1021" w:type="dxa"/>
            <w:tcBorders>
              <w:bottom w:val="single" w:sz="12" w:space="0" w:color="auto"/>
            </w:tcBorders>
            <w:shd w:val="clear" w:color="auto" w:fill="72AF2F"/>
            <w:noWrap/>
            <w:vAlign w:val="center"/>
          </w:tcPr>
          <w:p w14:paraId="78D17035" w14:textId="77777777" w:rsidR="00321A88" w:rsidRPr="00443639" w:rsidRDefault="00C67D5E" w:rsidP="00E42768">
            <w:pPr>
              <w:pStyle w:val="TableTextEntries"/>
              <w:spacing w:before="0" w:after="0" w:line="0" w:lineRule="atLeast"/>
              <w:jc w:val="center"/>
              <w:rPr>
                <w:color w:val="FFFFFF" w:themeColor="background1"/>
              </w:rPr>
            </w:pPr>
            <w:r w:rsidRPr="00443639">
              <w:rPr>
                <w:color w:val="FFFFFF" w:themeColor="background1"/>
              </w:rPr>
              <w:t>Green</w:t>
            </w:r>
          </w:p>
        </w:tc>
      </w:tr>
    </w:tbl>
    <w:p w14:paraId="1B4D23E9" w14:textId="77777777" w:rsidR="000D733F" w:rsidRPr="00180B19" w:rsidRDefault="000D733F" w:rsidP="00757936">
      <w:pPr>
        <w:pStyle w:val="Note"/>
      </w:pPr>
      <w:r w:rsidRPr="00180B19">
        <w:t xml:space="preserve">Note: </w:t>
      </w:r>
    </w:p>
    <w:p w14:paraId="79675471" w14:textId="77777777" w:rsidR="000D733F" w:rsidRPr="00180B19" w:rsidRDefault="000D733F" w:rsidP="00757936">
      <w:pPr>
        <w:pStyle w:val="Note"/>
      </w:pPr>
      <w:r w:rsidRPr="00E74404">
        <w:rPr>
          <w:color w:val="72AF2F"/>
        </w:rPr>
        <w:sym w:font="Webdings" w:char="F067"/>
      </w:r>
      <w:r w:rsidRPr="00180B19">
        <w:t> </w:t>
      </w:r>
      <w:r w:rsidRPr="00180B19">
        <w:t xml:space="preserve"> </w:t>
      </w:r>
      <w:r>
        <w:t xml:space="preserve">Green. </w:t>
      </w:r>
      <w:r w:rsidRPr="00180B19">
        <w:t xml:space="preserve">Progress is as expected </w:t>
      </w:r>
      <w:r w:rsidR="00581979">
        <w:t xml:space="preserve">at this stage of implementation </w:t>
      </w:r>
      <w:r w:rsidRPr="00180B19">
        <w:t>and it is likely that the objective will be achieved. Standard program management practices are sufficient.</w:t>
      </w:r>
    </w:p>
    <w:p w14:paraId="0C1F791A" w14:textId="77777777" w:rsidR="000D733F" w:rsidRPr="00180B19" w:rsidRDefault="000D733F" w:rsidP="00757936">
      <w:pPr>
        <w:pStyle w:val="Note"/>
      </w:pPr>
      <w:r w:rsidRPr="00E74404">
        <w:rPr>
          <w:color w:val="E36C0A"/>
        </w:rPr>
        <w:sym w:font="Webdings" w:char="F067"/>
      </w:r>
      <w:r w:rsidRPr="00180B19">
        <w:t> </w:t>
      </w:r>
      <w:r w:rsidRPr="00180B19">
        <w:t xml:space="preserve"> </w:t>
      </w:r>
      <w:r>
        <w:t xml:space="preserve">Amber. </w:t>
      </w:r>
      <w:r w:rsidRPr="00180B19">
        <w:t xml:space="preserve">Progress is somewhat less than expected </w:t>
      </w:r>
      <w:r w:rsidR="00581979">
        <w:t xml:space="preserve">at this stage of implementation </w:t>
      </w:r>
      <w:r w:rsidRPr="00180B19">
        <w:t>and restorative action will be necessary if the objective is to be achieved. Close performance monitoring is recommended.</w:t>
      </w:r>
    </w:p>
    <w:p w14:paraId="2E758C46" w14:textId="77777777" w:rsidR="000D733F" w:rsidRDefault="000D733F" w:rsidP="00757936">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w:t>
      </w:r>
      <w:r w:rsidR="00581979">
        <w:t xml:space="preserve">at this stage of implementation </w:t>
      </w:r>
      <w:r w:rsidRPr="00180B19">
        <w:t>and the objective is not likely to be met given available resources and priorities. Recasting the objective may be required.</w:t>
      </w:r>
    </w:p>
    <w:p w14:paraId="564E7CD3" w14:textId="29B0CEAE" w:rsidR="000D733F" w:rsidRDefault="000D733F" w:rsidP="00511A0F">
      <w:pPr>
        <w:pStyle w:val="Heading3"/>
      </w:pPr>
      <w:r w:rsidRPr="00C57923">
        <w:t xml:space="preserve">Objective </w:t>
      </w:r>
      <w:r w:rsidR="00CF046A">
        <w:t>1</w:t>
      </w:r>
      <w:r w:rsidR="00C67D5E">
        <w:t xml:space="preserve"> </w:t>
      </w:r>
      <w:r w:rsidR="00C67D5E" w:rsidRPr="00F27E70">
        <w:t>Partnering on education reforms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4"/>
      </w:tblGrid>
      <w:tr w:rsidR="00C67D5E" w14:paraId="73BD7118" w14:textId="77777777" w:rsidTr="00C67D5E">
        <w:tc>
          <w:tcPr>
            <w:tcW w:w="817" w:type="dxa"/>
          </w:tcPr>
          <w:p w14:paraId="1C177E20" w14:textId="77777777" w:rsidR="00C67D5E" w:rsidRDefault="00C67D5E" w:rsidP="00C67D5E">
            <w:pPr>
              <w:pStyle w:val="ListBullet"/>
              <w:numPr>
                <w:ilvl w:val="0"/>
                <w:numId w:val="0"/>
              </w:numPr>
              <w:tabs>
                <w:tab w:val="clear" w:pos="284"/>
              </w:tabs>
            </w:pPr>
            <w:r>
              <w:t>Rating</w:t>
            </w:r>
          </w:p>
        </w:tc>
        <w:tc>
          <w:tcPr>
            <w:tcW w:w="754" w:type="dxa"/>
            <w:shd w:val="clear" w:color="auto" w:fill="72AF2F"/>
          </w:tcPr>
          <w:p w14:paraId="4C4E5270" w14:textId="77777777" w:rsidR="00C67D5E" w:rsidRDefault="00C67D5E" w:rsidP="00C67D5E">
            <w:pPr>
              <w:pStyle w:val="ListBullet"/>
              <w:numPr>
                <w:ilvl w:val="0"/>
                <w:numId w:val="0"/>
              </w:numPr>
              <w:tabs>
                <w:tab w:val="clear" w:pos="284"/>
              </w:tabs>
            </w:pPr>
            <w:r w:rsidRPr="00C67D5E">
              <w:rPr>
                <w:color w:val="FFFFFF" w:themeColor="background1"/>
              </w:rPr>
              <w:t>Green</w:t>
            </w:r>
          </w:p>
        </w:tc>
      </w:tr>
    </w:tbl>
    <w:p w14:paraId="45A8A0D3" w14:textId="3B9E6059" w:rsidR="004C64A3" w:rsidRPr="00E80141" w:rsidRDefault="000B5F80" w:rsidP="008D011A">
      <w:pPr>
        <w:pStyle w:val="ListBullet"/>
        <w:numPr>
          <w:ilvl w:val="0"/>
          <w:numId w:val="0"/>
        </w:numPr>
        <w:tabs>
          <w:tab w:val="clear" w:pos="284"/>
        </w:tabs>
      </w:pPr>
      <w:r w:rsidRPr="00391AE9">
        <w:t>This</w:t>
      </w:r>
      <w:r w:rsidR="009268B3" w:rsidRPr="00391AE9">
        <w:t xml:space="preserve"> objective is rated green</w:t>
      </w:r>
      <w:r w:rsidR="005C27DB" w:rsidRPr="00391AE9">
        <w:t>.</w:t>
      </w:r>
      <w:r w:rsidR="009268B3" w:rsidRPr="00391AE9">
        <w:t xml:space="preserve"> </w:t>
      </w:r>
      <w:r w:rsidR="006D3FA1" w:rsidRPr="00391AE9">
        <w:t>The program delivered results and is performing as anticipa</w:t>
      </w:r>
      <w:r w:rsidR="006B6E4B" w:rsidRPr="00391AE9">
        <w:t>ted in each area of assistance:</w:t>
      </w:r>
      <w:r w:rsidR="006D3FA1" w:rsidRPr="00391AE9">
        <w:t xml:space="preserve"> education reform; social protection; education in Mindanao; and classroom construction. </w:t>
      </w:r>
      <w:r w:rsidR="004770AF" w:rsidRPr="00391AE9">
        <w:t>The Philippines Program has achieved a</w:t>
      </w:r>
      <w:r w:rsidR="00ED0444" w:rsidRPr="00391AE9">
        <w:t xml:space="preserve">ll </w:t>
      </w:r>
      <w:r w:rsidR="004770AF" w:rsidRPr="00391AE9">
        <w:t xml:space="preserve">its </w:t>
      </w:r>
      <w:r w:rsidR="00ED0444" w:rsidRPr="00391AE9">
        <w:t xml:space="preserve">performance </w:t>
      </w:r>
      <w:r w:rsidR="00591691" w:rsidRPr="00391AE9">
        <w:t>targets/indicators</w:t>
      </w:r>
      <w:r w:rsidR="00391AE9">
        <w:t xml:space="preserve"> under this objective</w:t>
      </w:r>
      <w:r w:rsidR="006D3FA1" w:rsidRPr="00391AE9">
        <w:t>, including constructing 1,047 classrooms</w:t>
      </w:r>
      <w:r w:rsidR="00ED0444" w:rsidRPr="00391AE9">
        <w:t xml:space="preserve"> </w:t>
      </w:r>
      <w:r w:rsidR="004770AF" w:rsidRPr="00391AE9">
        <w:t xml:space="preserve">and mobilising </w:t>
      </w:r>
      <w:r w:rsidR="00C21411">
        <w:t xml:space="preserve">an </w:t>
      </w:r>
      <w:r w:rsidR="00391AE9">
        <w:t xml:space="preserve">investment on </w:t>
      </w:r>
      <w:r w:rsidR="00391AE9" w:rsidRPr="00391AE9">
        <w:t>education reform</w:t>
      </w:r>
      <w:r w:rsidR="004770AF" w:rsidRPr="00391AE9">
        <w:t>.</w:t>
      </w:r>
      <w:r w:rsidR="004770AF">
        <w:t xml:space="preserve"> </w:t>
      </w:r>
    </w:p>
    <w:p w14:paraId="712EA946" w14:textId="1AD19467" w:rsidR="0026019D" w:rsidRPr="00E80141" w:rsidRDefault="0026019D" w:rsidP="00103C73">
      <w:pPr>
        <w:pStyle w:val="ListBullet"/>
        <w:numPr>
          <w:ilvl w:val="0"/>
          <w:numId w:val="0"/>
        </w:numPr>
        <w:tabs>
          <w:tab w:val="clear" w:pos="284"/>
        </w:tabs>
      </w:pPr>
      <w:r w:rsidRPr="00E80141">
        <w:lastRenderedPageBreak/>
        <w:t xml:space="preserve">Australia is </w:t>
      </w:r>
      <w:r w:rsidR="000201A3" w:rsidRPr="00E80141">
        <w:t xml:space="preserve">partnering with </w:t>
      </w:r>
      <w:r w:rsidR="00712F9C" w:rsidRPr="00E80141">
        <w:t xml:space="preserve">the </w:t>
      </w:r>
      <w:r w:rsidRPr="00E80141">
        <w:t xml:space="preserve">Philippines </w:t>
      </w:r>
      <w:r w:rsidR="000201A3" w:rsidRPr="00E80141">
        <w:t xml:space="preserve">to </w:t>
      </w:r>
      <w:r w:rsidR="008D011A" w:rsidRPr="00E80141">
        <w:t>implement</w:t>
      </w:r>
      <w:r w:rsidR="005457C8" w:rsidRPr="00E80141">
        <w:t xml:space="preserve"> </w:t>
      </w:r>
      <w:r w:rsidR="00AF161F">
        <w:t xml:space="preserve">its </w:t>
      </w:r>
      <w:r w:rsidR="008D011A" w:rsidRPr="00E80141">
        <w:t>most significant</w:t>
      </w:r>
      <w:r w:rsidRPr="00E80141">
        <w:t xml:space="preserve"> education reform to date.</w:t>
      </w:r>
      <w:r w:rsidR="008D011A" w:rsidRPr="00E80141">
        <w:t xml:space="preserve"> </w:t>
      </w:r>
      <w:r w:rsidRPr="00E80141">
        <w:t>T</w:t>
      </w:r>
      <w:r w:rsidR="005279B5" w:rsidRPr="00E80141">
        <w:t xml:space="preserve">he Enhanced Basic Education Act </w:t>
      </w:r>
      <w:r w:rsidR="008D011A" w:rsidRPr="00E80141">
        <w:t xml:space="preserve">adds </w:t>
      </w:r>
      <w:r w:rsidR="00AF161F">
        <w:t xml:space="preserve">years 11 and 12 and </w:t>
      </w:r>
      <w:r w:rsidR="008E6632">
        <w:t xml:space="preserve">a </w:t>
      </w:r>
      <w:r w:rsidR="00256C19">
        <w:t>mandatory k</w:t>
      </w:r>
      <w:r w:rsidR="008D011A" w:rsidRPr="00E80141">
        <w:t>indergarten</w:t>
      </w:r>
      <w:r w:rsidR="008E6632">
        <w:t xml:space="preserve"> year</w:t>
      </w:r>
      <w:r w:rsidR="00AF161F">
        <w:t xml:space="preserve"> </w:t>
      </w:r>
      <w:r w:rsidR="008D011A" w:rsidRPr="00E80141">
        <w:t xml:space="preserve">to the </w:t>
      </w:r>
      <w:r w:rsidR="008548E3" w:rsidRPr="00E80141">
        <w:t xml:space="preserve">existing </w:t>
      </w:r>
      <w:r w:rsidR="00413AD5">
        <w:t>ten</w:t>
      </w:r>
      <w:r w:rsidR="008D011A" w:rsidRPr="00E80141">
        <w:t xml:space="preserve"> year education system. </w:t>
      </w:r>
      <w:r w:rsidR="00712F9C" w:rsidRPr="00E80141">
        <w:t>The</w:t>
      </w:r>
      <w:r w:rsidR="004A5165" w:rsidRPr="00E80141">
        <w:t xml:space="preserve"> </w:t>
      </w:r>
      <w:r w:rsidR="005A6D82" w:rsidRPr="00E80141">
        <w:t xml:space="preserve">Basic Education Sector Transformation (BEST) </w:t>
      </w:r>
      <w:r w:rsidR="00CF6B4F">
        <w:t>p</w:t>
      </w:r>
      <w:r w:rsidR="00CD4ADF" w:rsidRPr="00E80141">
        <w:t xml:space="preserve">rogram </w:t>
      </w:r>
      <w:r w:rsidR="00BE1F8E" w:rsidRPr="00E80141">
        <w:t xml:space="preserve">is </w:t>
      </w:r>
      <w:r w:rsidR="004A07E8" w:rsidRPr="00E80141">
        <w:t xml:space="preserve">helping to design and deliver </w:t>
      </w:r>
      <w:r w:rsidR="00DB2C44">
        <w:t>new curriculum</w:t>
      </w:r>
      <w:r w:rsidR="00BE1F8E" w:rsidRPr="00E80141">
        <w:t xml:space="preserve"> and</w:t>
      </w:r>
      <w:r w:rsidR="004A07E8" w:rsidRPr="00E80141">
        <w:t xml:space="preserve"> assessment </w:t>
      </w:r>
      <w:r w:rsidRPr="00E80141">
        <w:t>methods</w:t>
      </w:r>
      <w:r w:rsidR="000201A3" w:rsidRPr="00E80141">
        <w:t>,</w:t>
      </w:r>
      <w:r w:rsidR="00103C73" w:rsidRPr="00E80141">
        <w:t xml:space="preserve"> </w:t>
      </w:r>
      <w:r w:rsidR="007A35D5" w:rsidRPr="00E80141">
        <w:t>build</w:t>
      </w:r>
      <w:r w:rsidR="004A07E8" w:rsidRPr="00E80141">
        <w:t xml:space="preserve"> cl</w:t>
      </w:r>
      <w:r w:rsidR="000201A3" w:rsidRPr="00E80141">
        <w:t>assrooms to re</w:t>
      </w:r>
      <w:r w:rsidR="00843A73" w:rsidRPr="00E80141">
        <w:t xml:space="preserve">duce overcrowding, </w:t>
      </w:r>
      <w:r w:rsidR="00391AE9">
        <w:t xml:space="preserve">strengthen education management systems, </w:t>
      </w:r>
      <w:r w:rsidR="00843A73" w:rsidRPr="00E80141">
        <w:t>and improve</w:t>
      </w:r>
      <w:r w:rsidR="004A07E8" w:rsidRPr="00E80141">
        <w:t xml:space="preserve"> </w:t>
      </w:r>
      <w:r w:rsidR="007A35D5" w:rsidRPr="00E80141">
        <w:t xml:space="preserve">the capabilities of teachers </w:t>
      </w:r>
      <w:r w:rsidR="004A07E8" w:rsidRPr="00E80141">
        <w:t xml:space="preserve">by </w:t>
      </w:r>
      <w:r w:rsidRPr="00E80141">
        <w:t>provid</w:t>
      </w:r>
      <w:r w:rsidR="004A07E8" w:rsidRPr="00E80141">
        <w:t>ing</w:t>
      </w:r>
      <w:r w:rsidRPr="00E80141">
        <w:t xml:space="preserve"> scholarships</w:t>
      </w:r>
      <w:r w:rsidR="00E66764">
        <w:t xml:space="preserve">, updating teacher standards, </w:t>
      </w:r>
      <w:r w:rsidR="00391AE9">
        <w:t xml:space="preserve">and </w:t>
      </w:r>
      <w:r w:rsidR="00DE52C4" w:rsidRPr="00E80141">
        <w:t>supporting the</w:t>
      </w:r>
      <w:r w:rsidR="004A07E8" w:rsidRPr="00E80141">
        <w:t xml:space="preserve"> professional development</w:t>
      </w:r>
      <w:r w:rsidR="00DE52C4" w:rsidRPr="00E80141">
        <w:t xml:space="preserve"> of educators</w:t>
      </w:r>
      <w:r w:rsidR="00E66764">
        <w:t>.</w:t>
      </w:r>
    </w:p>
    <w:p w14:paraId="32C4F3DE" w14:textId="681EA728" w:rsidR="00742AA9" w:rsidRPr="003B42AE" w:rsidRDefault="00843A73" w:rsidP="004E68F3">
      <w:pPr>
        <w:pStyle w:val="ListBullet"/>
        <w:ind w:left="284" w:hanging="284"/>
      </w:pPr>
      <w:r w:rsidRPr="003B42AE">
        <w:t>I</w:t>
      </w:r>
      <w:r w:rsidR="000201A3" w:rsidRPr="003B42AE">
        <w:t xml:space="preserve">n 2014-15 </w:t>
      </w:r>
      <w:r w:rsidRPr="003B42AE">
        <w:t xml:space="preserve">BEST </w:t>
      </w:r>
      <w:r w:rsidR="000201A3" w:rsidRPr="003B42AE">
        <w:t xml:space="preserve">achieved its </w:t>
      </w:r>
      <w:r w:rsidR="004E68F3" w:rsidRPr="003B42AE">
        <w:t>key goal of program mobilisation</w:t>
      </w:r>
      <w:r w:rsidR="000201A3" w:rsidRPr="003B42AE">
        <w:t xml:space="preserve">. The program </w:t>
      </w:r>
      <w:r w:rsidR="008D10A7" w:rsidRPr="003B42AE">
        <w:t>became fully operational in January 2015</w:t>
      </w:r>
      <w:r w:rsidR="000D61C5" w:rsidRPr="003B42AE">
        <w:t xml:space="preserve"> with a</w:t>
      </w:r>
      <w:r w:rsidR="005C27DB" w:rsidRPr="003B42AE">
        <w:t xml:space="preserve"> lead contractor hired and governance and management structure</w:t>
      </w:r>
      <w:r w:rsidR="000D61C5" w:rsidRPr="003B42AE">
        <w:t>s</w:t>
      </w:r>
      <w:r w:rsidR="005C27DB" w:rsidRPr="003B42AE">
        <w:t xml:space="preserve"> </w:t>
      </w:r>
      <w:r w:rsidR="00D723A3" w:rsidRPr="003B42AE">
        <w:t>implemented</w:t>
      </w:r>
      <w:r w:rsidR="005C27DB" w:rsidRPr="003B42AE">
        <w:t xml:space="preserve">. </w:t>
      </w:r>
      <w:r w:rsidR="000D61C5" w:rsidRPr="003B42AE">
        <w:t xml:space="preserve">BEST helped </w:t>
      </w:r>
      <w:r w:rsidR="00D723A3" w:rsidRPr="003B42AE">
        <w:t xml:space="preserve">design and deliver </w:t>
      </w:r>
      <w:r w:rsidR="000D61C5" w:rsidRPr="003B42AE">
        <w:t>new curriculum and assessment methods for elementary and high school students.</w:t>
      </w:r>
      <w:r w:rsidR="00742AA9" w:rsidRPr="003B42AE">
        <w:t xml:space="preserve"> </w:t>
      </w:r>
      <w:r w:rsidR="00900BC1" w:rsidRPr="003B42AE">
        <w:t xml:space="preserve">Professional </w:t>
      </w:r>
      <w:r w:rsidR="000D61C5" w:rsidRPr="003B42AE">
        <w:t xml:space="preserve">standards for teachers have been updated. Teacher </w:t>
      </w:r>
      <w:r w:rsidR="00900BC1" w:rsidRPr="003B42AE">
        <w:t xml:space="preserve">development strategies </w:t>
      </w:r>
      <w:r w:rsidR="000D61C5" w:rsidRPr="003B42AE">
        <w:t>are being drafted</w:t>
      </w:r>
      <w:r w:rsidR="00CF6B4F" w:rsidRPr="003B42AE">
        <w:t xml:space="preserve"> and</w:t>
      </w:r>
      <w:r w:rsidR="000D61C5" w:rsidRPr="003B42AE">
        <w:t xml:space="preserve"> </w:t>
      </w:r>
      <w:r w:rsidR="00BE1F8E" w:rsidRPr="003B42AE">
        <w:t xml:space="preserve">informed by research </w:t>
      </w:r>
      <w:r w:rsidR="000201A3" w:rsidRPr="003B42AE">
        <w:t xml:space="preserve">that specifically </w:t>
      </w:r>
      <w:r w:rsidR="00BE1F8E" w:rsidRPr="003B42AE">
        <w:t>analysed the need</w:t>
      </w:r>
      <w:r w:rsidR="000D61C5" w:rsidRPr="003B42AE">
        <w:t>s</w:t>
      </w:r>
      <w:r w:rsidR="00BE1F8E" w:rsidRPr="003B42AE">
        <w:t xml:space="preserve"> of female teachers. </w:t>
      </w:r>
      <w:r w:rsidR="005C27DB" w:rsidRPr="003B42AE">
        <w:t>BEST also support</w:t>
      </w:r>
      <w:r w:rsidR="00E849EE" w:rsidRPr="003B42AE">
        <w:t>ed 215 </w:t>
      </w:r>
      <w:r w:rsidR="00CA6180" w:rsidRPr="003B42AE">
        <w:t>teacher scholarships (163</w:t>
      </w:r>
      <w:r w:rsidR="005C27DB" w:rsidRPr="003B42AE">
        <w:t xml:space="preserve"> female and 52 male)</w:t>
      </w:r>
      <w:r w:rsidR="00E66764" w:rsidRPr="003B42AE">
        <w:t>, upgraded management systems,</w:t>
      </w:r>
      <w:r w:rsidR="00823C80" w:rsidRPr="003B42AE">
        <w:t xml:space="preserve"> and constructed 187 new classrooms</w:t>
      </w:r>
      <w:r w:rsidRPr="003B42AE">
        <w:t xml:space="preserve"> to reduce overcrowding.</w:t>
      </w:r>
      <w:r w:rsidR="005C27DB" w:rsidRPr="003B42AE">
        <w:t xml:space="preserve"> </w:t>
      </w:r>
      <w:r w:rsidR="00BE1F8E" w:rsidRPr="003B42AE">
        <w:t>C</w:t>
      </w:r>
      <w:r w:rsidR="00900BC1" w:rsidRPr="003B42AE">
        <w:t xml:space="preserve">lassrooms have </w:t>
      </w:r>
      <w:r w:rsidR="00BE1F8E" w:rsidRPr="003B42AE">
        <w:t xml:space="preserve">been fitted with </w:t>
      </w:r>
      <w:r w:rsidR="00900BC1" w:rsidRPr="003B42AE">
        <w:t>separate</w:t>
      </w:r>
      <w:r w:rsidR="00BE1F8E" w:rsidRPr="003B42AE">
        <w:t>d</w:t>
      </w:r>
      <w:r w:rsidR="00900BC1" w:rsidRPr="003B42AE">
        <w:t xml:space="preserve"> female toilets </w:t>
      </w:r>
      <w:r w:rsidR="00BE1F8E" w:rsidRPr="003B42AE">
        <w:t xml:space="preserve">as unisex toilets can be a major cause of absenteeism for girls. </w:t>
      </w:r>
      <w:r w:rsidR="00595F17" w:rsidRPr="003B42AE">
        <w:t>While it is still early days, t</w:t>
      </w:r>
      <w:r w:rsidR="00742AA9" w:rsidRPr="003B42AE">
        <w:t>he education reforms seem to be having an impact –</w:t>
      </w:r>
      <w:r w:rsidR="00CF6B4F" w:rsidRPr="003B42AE">
        <w:t xml:space="preserve"> </w:t>
      </w:r>
      <w:r w:rsidR="00742AA9" w:rsidRPr="003B42AE">
        <w:t>more than 128,000 new teachers have been hired to teach the new curriculum and across the Philippines</w:t>
      </w:r>
      <w:r w:rsidRPr="003B42AE">
        <w:t>,</w:t>
      </w:r>
      <w:r w:rsidR="00742AA9" w:rsidRPr="003B42AE">
        <w:t xml:space="preserve"> enrolment</w:t>
      </w:r>
      <w:r w:rsidR="00900BC1" w:rsidRPr="003B42AE">
        <w:t>s</w:t>
      </w:r>
      <w:r w:rsidR="00742AA9" w:rsidRPr="003B42AE">
        <w:t xml:space="preserve"> are increasing and student achievement scores </w:t>
      </w:r>
      <w:r w:rsidR="000201A3" w:rsidRPr="003B42AE">
        <w:t xml:space="preserve">are </w:t>
      </w:r>
      <w:r w:rsidR="00742AA9" w:rsidRPr="003B42AE">
        <w:t xml:space="preserve">improving. </w:t>
      </w:r>
    </w:p>
    <w:p w14:paraId="2620CE7A" w14:textId="15703AED" w:rsidR="003E6962" w:rsidRPr="00E80141" w:rsidRDefault="000B5F80" w:rsidP="008D011A">
      <w:pPr>
        <w:pStyle w:val="ListBullet"/>
        <w:numPr>
          <w:ilvl w:val="0"/>
          <w:numId w:val="0"/>
        </w:numPr>
        <w:tabs>
          <w:tab w:val="clear" w:pos="284"/>
        </w:tabs>
      </w:pPr>
      <w:r w:rsidRPr="00E80141">
        <w:t xml:space="preserve">Australia is also helping students stay in school by reducing financial constraints of poor households. </w:t>
      </w:r>
      <w:r w:rsidR="00F35BCC" w:rsidRPr="00E80141">
        <w:t xml:space="preserve">We are </w:t>
      </w:r>
      <w:r w:rsidR="004A63EA" w:rsidRPr="00E80141">
        <w:t>assisting</w:t>
      </w:r>
      <w:r w:rsidR="003E6962" w:rsidRPr="00E80141">
        <w:t xml:space="preserve"> </w:t>
      </w:r>
      <w:r w:rsidR="005F4E13" w:rsidRPr="00E80141">
        <w:t xml:space="preserve">the </w:t>
      </w:r>
      <w:r w:rsidR="00843A73" w:rsidRPr="00E80141">
        <w:t xml:space="preserve">Philippine </w:t>
      </w:r>
      <w:r w:rsidR="005F4E13" w:rsidRPr="00E80141">
        <w:t xml:space="preserve">Department of Social Welfare and </w:t>
      </w:r>
      <w:r w:rsidR="00843A73" w:rsidRPr="00E80141">
        <w:t xml:space="preserve">Development </w:t>
      </w:r>
      <w:r w:rsidR="00E66764" w:rsidRPr="003B42AE">
        <w:t xml:space="preserve">(DSWD) </w:t>
      </w:r>
      <w:r w:rsidR="00843A73" w:rsidRPr="003B42AE">
        <w:t>to implement</w:t>
      </w:r>
      <w:r w:rsidR="001A6B7C" w:rsidRPr="003B42AE">
        <w:t xml:space="preserve"> </w:t>
      </w:r>
      <w:r w:rsidR="005F4E13" w:rsidRPr="003B42AE">
        <w:t>its social protection agenda</w:t>
      </w:r>
      <w:r w:rsidR="00734058" w:rsidRPr="003B42AE">
        <w:t xml:space="preserve">. This includes </w:t>
      </w:r>
      <w:r w:rsidR="005F4E13" w:rsidRPr="003B42AE">
        <w:t>conditional cash transfers</w:t>
      </w:r>
      <w:r w:rsidR="003E6962" w:rsidRPr="003B42AE">
        <w:t xml:space="preserve"> where</w:t>
      </w:r>
      <w:r w:rsidR="00D65190" w:rsidRPr="003B42AE">
        <w:t xml:space="preserve"> </w:t>
      </w:r>
      <w:r w:rsidR="003E6962" w:rsidRPr="003B42AE">
        <w:t xml:space="preserve">grants are given to poor households </w:t>
      </w:r>
      <w:r w:rsidR="00F35BCC" w:rsidRPr="003B42AE">
        <w:t>if they meet certain conditions such as regular preventative health checks and school attendance for children</w:t>
      </w:r>
      <w:r w:rsidR="001A6B7C" w:rsidRPr="003B42AE">
        <w:t xml:space="preserve"> (the Pantawid Pa</w:t>
      </w:r>
      <w:r w:rsidR="00CD4ADF" w:rsidRPr="003B42AE">
        <w:t>mi</w:t>
      </w:r>
      <w:r w:rsidR="001A6B7C" w:rsidRPr="003B42AE">
        <w:t>l</w:t>
      </w:r>
      <w:r w:rsidR="00CD4ADF" w:rsidRPr="003B42AE">
        <w:t>yang Pilipino Program</w:t>
      </w:r>
      <w:r w:rsidR="00FE4424" w:rsidRPr="003B42AE">
        <w:t xml:space="preserve"> or 4Ps</w:t>
      </w:r>
      <w:r w:rsidR="00CD4ADF" w:rsidRPr="003B42AE">
        <w:t>)</w:t>
      </w:r>
      <w:r w:rsidR="00F35BCC" w:rsidRPr="003B42AE">
        <w:t>. Australia</w:t>
      </w:r>
      <w:r w:rsidR="00CD4ADF" w:rsidRPr="003B42AE">
        <w:t xml:space="preserve"> is </w:t>
      </w:r>
      <w:r w:rsidR="00B80ACF" w:rsidRPr="003B42AE">
        <w:t>providing technical advice on program operations and reform</w:t>
      </w:r>
      <w:r w:rsidR="004A63EA" w:rsidRPr="003B42AE">
        <w:t xml:space="preserve">, informed by </w:t>
      </w:r>
      <w:r w:rsidR="00734058" w:rsidRPr="003B42AE">
        <w:t>international best practice</w:t>
      </w:r>
      <w:r w:rsidR="004E4A74" w:rsidRPr="003B42AE">
        <w:t>,</w:t>
      </w:r>
      <w:r w:rsidR="001A6B7C" w:rsidRPr="003B42AE">
        <w:t xml:space="preserve"> to 4Ps</w:t>
      </w:r>
      <w:r w:rsidR="00734058" w:rsidRPr="003B42AE">
        <w:t>.</w:t>
      </w:r>
      <w:r w:rsidR="00734058" w:rsidRPr="00E80141">
        <w:t xml:space="preserve"> </w:t>
      </w:r>
    </w:p>
    <w:p w14:paraId="41C7435F" w14:textId="389EA02A" w:rsidR="005279B5" w:rsidRPr="00E80141" w:rsidRDefault="00843A73" w:rsidP="005279B5">
      <w:pPr>
        <w:pStyle w:val="ListBullet"/>
        <w:ind w:left="284" w:hanging="284"/>
      </w:pPr>
      <w:r w:rsidRPr="00E80141">
        <w:t xml:space="preserve">The program’s expansion is on-track. </w:t>
      </w:r>
      <w:r w:rsidR="00877CE1" w:rsidRPr="00E80141">
        <w:t>The conditional ca</w:t>
      </w:r>
      <w:r w:rsidR="0002075D">
        <w:t>sh transfer program reached 4.1 </w:t>
      </w:r>
      <w:r w:rsidR="00877CE1" w:rsidRPr="00E80141">
        <w:t xml:space="preserve">million households in 2014, an increase of 200,000 households from the previous year. An </w:t>
      </w:r>
      <w:r w:rsidR="00877CE1" w:rsidRPr="00A04025">
        <w:t xml:space="preserve">independent evaluation </w:t>
      </w:r>
      <w:r w:rsidR="009F533A" w:rsidRPr="00A04025">
        <w:t xml:space="preserve">and benefit incidence analysis </w:t>
      </w:r>
      <w:r w:rsidR="00877CE1" w:rsidRPr="00A04025">
        <w:t>found</w:t>
      </w:r>
      <w:r w:rsidR="00877CE1" w:rsidRPr="00E80141">
        <w:t xml:space="preserve"> that 4Ps reduce</w:t>
      </w:r>
      <w:r w:rsidR="005279B5" w:rsidRPr="00E80141">
        <w:t>d the povert</w:t>
      </w:r>
      <w:r w:rsidR="009F533A">
        <w:t>y gap by 11</w:t>
      </w:r>
      <w:r w:rsidR="0002075D">
        <w:t xml:space="preserve"> per</w:t>
      </w:r>
      <w:r w:rsidR="00184946">
        <w:t xml:space="preserve"> </w:t>
      </w:r>
      <w:r w:rsidR="0002075D">
        <w:t>cent</w:t>
      </w:r>
      <w:r w:rsidR="00877CE1" w:rsidRPr="00E80141">
        <w:t xml:space="preserve"> </w:t>
      </w:r>
      <w:r w:rsidR="0002075D">
        <w:t>with 95 per</w:t>
      </w:r>
      <w:r w:rsidR="00184946">
        <w:t xml:space="preserve"> </w:t>
      </w:r>
      <w:r w:rsidR="0002075D">
        <w:t>cent</w:t>
      </w:r>
      <w:r w:rsidR="005279B5" w:rsidRPr="00E80141">
        <w:t xml:space="preserve"> of conditional cash transfers</w:t>
      </w:r>
      <w:r w:rsidR="00877CE1" w:rsidRPr="00E80141">
        <w:t xml:space="preserve"> beneficiaries en</w:t>
      </w:r>
      <w:r w:rsidR="0002075D">
        <w:t>rolled in school compared to 89</w:t>
      </w:r>
      <w:r w:rsidR="00E849EE">
        <w:t> </w:t>
      </w:r>
      <w:r w:rsidR="0002075D">
        <w:t>per</w:t>
      </w:r>
      <w:r w:rsidR="00184946">
        <w:t> </w:t>
      </w:r>
      <w:r w:rsidR="0002075D">
        <w:t>cent</w:t>
      </w:r>
      <w:r w:rsidRPr="00E80141">
        <w:t xml:space="preserve"> for non</w:t>
      </w:r>
      <w:r w:rsidRPr="00E80141">
        <w:noBreakHyphen/>
      </w:r>
      <w:r w:rsidR="00877CE1" w:rsidRPr="00E80141">
        <w:t xml:space="preserve">beneficiaries. </w:t>
      </w:r>
      <w:r w:rsidR="004E4A74" w:rsidRPr="00E80141">
        <w:t xml:space="preserve">Australia’s support has led to the expansion of 4Ps to cover families with children in secondary schools and to be more inclusive </w:t>
      </w:r>
      <w:r w:rsidR="00CF6B4F">
        <w:t xml:space="preserve">of </w:t>
      </w:r>
      <w:r w:rsidR="004E4A74" w:rsidRPr="00E80141">
        <w:t xml:space="preserve">children with disabilities. </w:t>
      </w:r>
      <w:r w:rsidR="005279B5" w:rsidRPr="00E80141">
        <w:t>We helped to initiate a disability-inclusive research study and implemented a system to identify children with disabilities in day care centres.</w:t>
      </w:r>
      <w:r w:rsidR="0005768E" w:rsidRPr="00E80141">
        <w:t xml:space="preserve"> </w:t>
      </w:r>
      <w:r w:rsidR="001A6B7C" w:rsidRPr="00E80141">
        <w:t xml:space="preserve">In the last year, </w:t>
      </w:r>
      <w:r w:rsidR="00877CE1" w:rsidRPr="00E80141">
        <w:t xml:space="preserve">Australia </w:t>
      </w:r>
      <w:r w:rsidR="004E4A74" w:rsidRPr="00E80141">
        <w:t xml:space="preserve">also </w:t>
      </w:r>
      <w:r w:rsidR="00877CE1" w:rsidRPr="00E80141">
        <w:t>helped construct 158 ne</w:t>
      </w:r>
      <w:r w:rsidR="00ED0444" w:rsidRPr="00E80141">
        <w:t xml:space="preserve">w </w:t>
      </w:r>
      <w:r w:rsidR="00ED0444" w:rsidRPr="003B42AE">
        <w:t>classroom</w:t>
      </w:r>
      <w:r w:rsidR="00E66764" w:rsidRPr="003B42AE">
        <w:t>s</w:t>
      </w:r>
      <w:r w:rsidRPr="003B42AE">
        <w:t xml:space="preserve"> </w:t>
      </w:r>
      <w:r w:rsidR="00E66764" w:rsidRPr="003B42AE">
        <w:t>through DSWD</w:t>
      </w:r>
      <w:r w:rsidR="008972C0">
        <w:t>,</w:t>
      </w:r>
      <w:r w:rsidR="00E66764" w:rsidRPr="003B42AE">
        <w:t xml:space="preserve"> </w:t>
      </w:r>
      <w:r w:rsidRPr="003B42AE">
        <w:t>thereby</w:t>
      </w:r>
      <w:r w:rsidR="00223B30" w:rsidRPr="00E80141">
        <w:t xml:space="preserve"> increasing access to education </w:t>
      </w:r>
      <w:r w:rsidR="00CF6B4F">
        <w:t xml:space="preserve">for people living </w:t>
      </w:r>
      <w:r w:rsidR="00223B30" w:rsidRPr="00E80141">
        <w:t xml:space="preserve">in poor communities. </w:t>
      </w:r>
      <w:r w:rsidR="00595F17" w:rsidRPr="00E80141">
        <w:t>The conditional cash transfer program empower</w:t>
      </w:r>
      <w:r w:rsidR="00264542" w:rsidRPr="00E80141">
        <w:t>s</w:t>
      </w:r>
      <w:r w:rsidR="00595F17" w:rsidRPr="00E80141">
        <w:t xml:space="preserve"> women as they are </w:t>
      </w:r>
      <w:r w:rsidR="00595F17" w:rsidRPr="00A04025">
        <w:t xml:space="preserve">primarily the receiver of the grant. Spot-checks undertaken during </w:t>
      </w:r>
      <w:r w:rsidRPr="00A04025">
        <w:t>4Ps</w:t>
      </w:r>
      <w:r w:rsidR="00595F17" w:rsidRPr="00A04025">
        <w:t xml:space="preserve"> implementation indicate</w:t>
      </w:r>
      <w:r w:rsidR="008A7C55" w:rsidRPr="00A04025">
        <w:t>, anecdotally,</w:t>
      </w:r>
      <w:r w:rsidR="00595F17" w:rsidRPr="00A04025">
        <w:t xml:space="preserve"> that women have become more assertive and </w:t>
      </w:r>
      <w:r w:rsidR="00261090" w:rsidRPr="00A04025">
        <w:t>confident</w:t>
      </w:r>
      <w:r w:rsidRPr="00A04025">
        <w:t xml:space="preserve"> and are</w:t>
      </w:r>
      <w:r w:rsidR="00261090" w:rsidRPr="00A04025">
        <w:t xml:space="preserve"> engaging in leadership roles</w:t>
      </w:r>
      <w:r w:rsidR="00261090" w:rsidRPr="00E80141">
        <w:t xml:space="preserve"> in their communities. </w:t>
      </w:r>
    </w:p>
    <w:p w14:paraId="539DF576" w14:textId="3522F3FA" w:rsidR="00C434B7" w:rsidRPr="00E80141" w:rsidRDefault="00FE4424" w:rsidP="005279B5">
      <w:pPr>
        <w:pStyle w:val="ListBullet"/>
        <w:numPr>
          <w:ilvl w:val="0"/>
          <w:numId w:val="0"/>
        </w:numPr>
      </w:pPr>
      <w:r w:rsidRPr="00E80141">
        <w:t>Australia funds the biggest education program in the Autonomous Region in Muslim Mindanao</w:t>
      </w:r>
      <w:r w:rsidR="00AE68D3" w:rsidRPr="00E80141">
        <w:t xml:space="preserve"> (ARMM)</w:t>
      </w:r>
      <w:r w:rsidRPr="00E80141">
        <w:t xml:space="preserve">, one of the </w:t>
      </w:r>
      <w:r w:rsidR="00AE68D3" w:rsidRPr="00E80141">
        <w:t>most impoverished</w:t>
      </w:r>
      <w:r w:rsidR="0091123B" w:rsidRPr="00E80141">
        <w:t xml:space="preserve"> regions in the Philippines. Through the Basic Education Assistance for Muslim Mindanao (BEAM-ARMM)</w:t>
      </w:r>
      <w:r w:rsidR="00750DB8" w:rsidRPr="00E80141">
        <w:t xml:space="preserve"> program</w:t>
      </w:r>
      <w:r w:rsidR="0091123B" w:rsidRPr="00E80141">
        <w:t>, Australia is</w:t>
      </w:r>
      <w:r w:rsidR="00151FA1" w:rsidRPr="00E80141">
        <w:t xml:space="preserve"> </w:t>
      </w:r>
      <w:r w:rsidR="00750DB8" w:rsidRPr="00E80141">
        <w:t xml:space="preserve">improving </w:t>
      </w:r>
      <w:r w:rsidR="005457C8" w:rsidRPr="00E80141">
        <w:t xml:space="preserve">early childhood </w:t>
      </w:r>
      <w:r w:rsidR="005457C8" w:rsidRPr="003B42AE">
        <w:t>education</w:t>
      </w:r>
      <w:r w:rsidR="00C434B7" w:rsidRPr="003B42AE">
        <w:t xml:space="preserve"> </w:t>
      </w:r>
      <w:r w:rsidR="00151FA1" w:rsidRPr="003B42AE">
        <w:t xml:space="preserve">outcomes </w:t>
      </w:r>
      <w:r w:rsidR="00C434B7" w:rsidRPr="003B42AE">
        <w:t xml:space="preserve">by </w:t>
      </w:r>
      <w:r w:rsidR="001B1A55" w:rsidRPr="003B42AE">
        <w:t xml:space="preserve">increasing </w:t>
      </w:r>
      <w:r w:rsidR="00151FA1" w:rsidRPr="003B42AE">
        <w:t>enrolment and training teachers</w:t>
      </w:r>
      <w:r w:rsidR="0037647D" w:rsidRPr="003B42AE">
        <w:t xml:space="preserve">. This includes </w:t>
      </w:r>
      <w:r w:rsidR="001B1A55" w:rsidRPr="003B42AE">
        <w:t xml:space="preserve">assistance to implement </w:t>
      </w:r>
      <w:r w:rsidR="0037647D" w:rsidRPr="003B42AE">
        <w:t xml:space="preserve">the </w:t>
      </w:r>
      <w:r w:rsidR="00151FA1" w:rsidRPr="003B42AE">
        <w:rPr>
          <w:i/>
        </w:rPr>
        <w:t xml:space="preserve">Tahderiyyah </w:t>
      </w:r>
      <w:r w:rsidR="00E66764" w:rsidRPr="003B42AE">
        <w:t xml:space="preserve">(Islamic kindergarten and pre-school) </w:t>
      </w:r>
      <w:r w:rsidR="0037647D" w:rsidRPr="003B42AE">
        <w:t xml:space="preserve">curriculum which fits </w:t>
      </w:r>
      <w:r w:rsidR="00C434B7" w:rsidRPr="003B42AE">
        <w:t>the local cul</w:t>
      </w:r>
      <w:r w:rsidR="00151FA1" w:rsidRPr="003B42AE">
        <w:t>ture and needs</w:t>
      </w:r>
      <w:r w:rsidR="00AF161F">
        <w:t>,</w:t>
      </w:r>
      <w:r w:rsidR="00151FA1" w:rsidRPr="003B42AE">
        <w:t xml:space="preserve"> </w:t>
      </w:r>
      <w:r w:rsidR="004A63EA" w:rsidRPr="003B42AE">
        <w:t>thereby improving</w:t>
      </w:r>
      <w:r w:rsidR="00C434B7" w:rsidRPr="003B42AE">
        <w:t xml:space="preserve"> the chances of disadvantaged students </w:t>
      </w:r>
      <w:r w:rsidR="00E66764" w:rsidRPr="003B42AE">
        <w:t xml:space="preserve">continuing into </w:t>
      </w:r>
      <w:r w:rsidR="00E66764" w:rsidRPr="003B42AE">
        <w:lastRenderedPageBreak/>
        <w:t>primary</w:t>
      </w:r>
      <w:r w:rsidR="004A63EA" w:rsidRPr="003B42AE">
        <w:t xml:space="preserve"> </w:t>
      </w:r>
      <w:r w:rsidR="001B1A55" w:rsidRPr="003B42AE">
        <w:t>education</w:t>
      </w:r>
      <w:r w:rsidR="00C434B7" w:rsidRPr="003B42AE">
        <w:t xml:space="preserve">. </w:t>
      </w:r>
      <w:r w:rsidR="00151FA1" w:rsidRPr="003B42AE">
        <w:t xml:space="preserve">BEAM-ARMM is also </w:t>
      </w:r>
      <w:r w:rsidR="000F5C28" w:rsidRPr="003B42AE">
        <w:t xml:space="preserve">providing </w:t>
      </w:r>
      <w:r w:rsidR="0032320B" w:rsidRPr="003B42AE">
        <w:t xml:space="preserve">out-of-school youth with </w:t>
      </w:r>
      <w:r w:rsidR="003714C5" w:rsidRPr="003B42AE">
        <w:t xml:space="preserve">technical, </w:t>
      </w:r>
      <w:r w:rsidR="000F5C28" w:rsidRPr="003B42AE">
        <w:t xml:space="preserve">vocational education and skills training </w:t>
      </w:r>
      <w:r w:rsidR="0032320B" w:rsidRPr="003B42AE">
        <w:t>to help</w:t>
      </w:r>
      <w:r w:rsidR="006525D4" w:rsidRPr="003B42AE">
        <w:t xml:space="preserve"> them gain </w:t>
      </w:r>
      <w:r w:rsidR="00310B21" w:rsidRPr="003B42AE">
        <w:t>employment</w:t>
      </w:r>
      <w:r w:rsidR="00E66764" w:rsidRPr="003B42AE">
        <w:t xml:space="preserve">; </w:t>
      </w:r>
      <w:r w:rsidR="00D709E8" w:rsidRPr="003B42AE">
        <w:t>improving water and sanitation facilities in schools; and helping extend education to children in remote areas.</w:t>
      </w:r>
      <w:r w:rsidR="00E66764">
        <w:t xml:space="preserve"> </w:t>
      </w:r>
    </w:p>
    <w:p w14:paraId="3EFD497E" w14:textId="1AEF879D" w:rsidR="0076590C" w:rsidRPr="00E80141" w:rsidRDefault="001B1A55" w:rsidP="0076590C">
      <w:pPr>
        <w:pStyle w:val="ListBullet"/>
        <w:ind w:left="284" w:hanging="284"/>
      </w:pPr>
      <w:r w:rsidRPr="00E80141">
        <w:t xml:space="preserve">In 2014-15 </w:t>
      </w:r>
      <w:r w:rsidR="00877CE1" w:rsidRPr="00E80141">
        <w:t>BEAM-</w:t>
      </w:r>
      <w:r w:rsidR="00877CE1" w:rsidRPr="00A04025">
        <w:t>ARM</w:t>
      </w:r>
      <w:r w:rsidR="00BE1F8E" w:rsidRPr="00A04025">
        <w:t>M</w:t>
      </w:r>
      <w:r w:rsidR="00261090" w:rsidRPr="00A04025">
        <w:t xml:space="preserve"> </w:t>
      </w:r>
      <w:r w:rsidR="008A7C55" w:rsidRPr="00A04025">
        <w:t>helped enrol</w:t>
      </w:r>
      <w:r w:rsidR="00261090" w:rsidRPr="00E80141">
        <w:t xml:space="preserve"> 45,000 </w:t>
      </w:r>
      <w:r w:rsidR="00D709E8">
        <w:t xml:space="preserve">additional </w:t>
      </w:r>
      <w:r w:rsidR="008A7C55">
        <w:t>children, train</w:t>
      </w:r>
      <w:r w:rsidR="00261090" w:rsidRPr="00E80141">
        <w:t xml:space="preserve"> 4,200</w:t>
      </w:r>
      <w:r w:rsidR="00877CE1" w:rsidRPr="00E80141">
        <w:t xml:space="preserve"> teachers and school administrators </w:t>
      </w:r>
      <w:r w:rsidR="008A7C55">
        <w:t xml:space="preserve">and provided </w:t>
      </w:r>
      <w:r w:rsidR="00261090" w:rsidRPr="00E80141">
        <w:t xml:space="preserve">4,500 out-of-school youth and senior secondary students with technical, vocational education and skills training. </w:t>
      </w:r>
      <w:r w:rsidR="00310B21" w:rsidRPr="00E80141">
        <w:t xml:space="preserve">Enrolment </w:t>
      </w:r>
      <w:r w:rsidR="00877CE1" w:rsidRPr="00E80141">
        <w:t>result</w:t>
      </w:r>
      <w:r w:rsidR="00261090" w:rsidRPr="00E80141">
        <w:t>s exceeded</w:t>
      </w:r>
      <w:r w:rsidR="00877CE1" w:rsidRPr="00E80141">
        <w:t xml:space="preserve"> expectations</w:t>
      </w:r>
      <w:r w:rsidR="0032320B" w:rsidRPr="00E80141">
        <w:t xml:space="preserve"> due to strong community support for the program</w:t>
      </w:r>
      <w:r w:rsidR="00750DB8" w:rsidRPr="00E80141">
        <w:t xml:space="preserve">. Teachers were also trained on educating people with a </w:t>
      </w:r>
      <w:r w:rsidR="00877CE1" w:rsidRPr="00E80141">
        <w:t xml:space="preserve">disability and </w:t>
      </w:r>
      <w:r w:rsidR="007A45C6" w:rsidRPr="00E80141">
        <w:t xml:space="preserve">on </w:t>
      </w:r>
      <w:r w:rsidR="00877CE1" w:rsidRPr="00E80141">
        <w:t>accessible classroom design. There have been delays in some asp</w:t>
      </w:r>
      <w:r w:rsidR="00215E39" w:rsidRPr="00E80141">
        <w:t>ects of BEAM-ARM</w:t>
      </w:r>
      <w:r w:rsidR="00BE1F8E" w:rsidRPr="00E80141">
        <w:t>M</w:t>
      </w:r>
      <w:r w:rsidR="00215E39" w:rsidRPr="00E80141">
        <w:t>. Only 50 class</w:t>
      </w:r>
      <w:r w:rsidR="00877CE1" w:rsidRPr="00E80141">
        <w:t>rooms have been constructed (out of the target 300)</w:t>
      </w:r>
      <w:r w:rsidR="00261090" w:rsidRPr="00E80141">
        <w:t xml:space="preserve">. </w:t>
      </w:r>
      <w:r w:rsidR="00AD4E53" w:rsidRPr="00E80141">
        <w:t xml:space="preserve">Delays have been addressed with new partners appointed to build classrooms and </w:t>
      </w:r>
      <w:r w:rsidRPr="00E80141">
        <w:t xml:space="preserve">construction </w:t>
      </w:r>
      <w:r w:rsidR="00AD4E53" w:rsidRPr="00E80141">
        <w:t xml:space="preserve">targets </w:t>
      </w:r>
      <w:r w:rsidRPr="00E80141">
        <w:t xml:space="preserve">have been </w:t>
      </w:r>
      <w:r w:rsidR="00AD4E53" w:rsidRPr="00E80141">
        <w:t xml:space="preserve">revised. </w:t>
      </w:r>
    </w:p>
    <w:p w14:paraId="6DDE9338" w14:textId="56824817" w:rsidR="00D531A6" w:rsidRPr="00E80141" w:rsidRDefault="00D531A6" w:rsidP="008D011A">
      <w:pPr>
        <w:pStyle w:val="ListBullet"/>
        <w:numPr>
          <w:ilvl w:val="0"/>
          <w:numId w:val="0"/>
        </w:numPr>
        <w:tabs>
          <w:tab w:val="clear" w:pos="284"/>
        </w:tabs>
      </w:pPr>
      <w:r w:rsidRPr="003B42AE">
        <w:t xml:space="preserve">The </w:t>
      </w:r>
      <w:r w:rsidR="00333CE2" w:rsidRPr="003B42AE">
        <w:t xml:space="preserve">aim of the </w:t>
      </w:r>
      <w:r w:rsidRPr="003B42AE">
        <w:t xml:space="preserve">Classroom Construction Initiative </w:t>
      </w:r>
      <w:r w:rsidR="007A45C6" w:rsidRPr="003B42AE">
        <w:t xml:space="preserve">(CCI) </w:t>
      </w:r>
      <w:r w:rsidRPr="003B42AE">
        <w:t xml:space="preserve">is to </w:t>
      </w:r>
      <w:r w:rsidR="00D709E8" w:rsidRPr="003B42AE">
        <w:t>contribute to reducing</w:t>
      </w:r>
      <w:r w:rsidRPr="003B42AE">
        <w:t xml:space="preserve"> the classroom shortage in Central Luzon</w:t>
      </w:r>
      <w:r w:rsidR="00D709E8" w:rsidRPr="003B42AE">
        <w:t xml:space="preserve">. At the time of </w:t>
      </w:r>
      <w:r w:rsidR="00333CE2" w:rsidRPr="003B42AE">
        <w:t xml:space="preserve">the initiative’s </w:t>
      </w:r>
      <w:r w:rsidR="00D709E8" w:rsidRPr="003B42AE">
        <w:t xml:space="preserve">design, the shortage was </w:t>
      </w:r>
      <w:r w:rsidR="00C309BB" w:rsidRPr="003B42AE">
        <w:t>estimated at 7,335 classrooms.</w:t>
      </w:r>
    </w:p>
    <w:p w14:paraId="50244586" w14:textId="121C6CE7" w:rsidR="001B1A55" w:rsidRPr="003439DD" w:rsidRDefault="000F5C28" w:rsidP="003439DD">
      <w:pPr>
        <w:pStyle w:val="ListBullet"/>
        <w:ind w:left="284" w:hanging="284"/>
      </w:pPr>
      <w:r w:rsidRPr="00E80141">
        <w:t xml:space="preserve">In </w:t>
      </w:r>
      <w:r w:rsidR="00677081" w:rsidRPr="00E80141">
        <w:t xml:space="preserve">2014-15, </w:t>
      </w:r>
      <w:r w:rsidR="00C309BB" w:rsidRPr="00E80141">
        <w:t xml:space="preserve">652 </w:t>
      </w:r>
      <w:r w:rsidR="00677081" w:rsidRPr="00E80141">
        <w:t xml:space="preserve">classrooms were built </w:t>
      </w:r>
      <w:r w:rsidR="000777C4" w:rsidRPr="00E80141">
        <w:t xml:space="preserve">reducing the classroom shortage in </w:t>
      </w:r>
      <w:r w:rsidR="007A45C6" w:rsidRPr="00E80141">
        <w:t>Central Luzon</w:t>
      </w:r>
      <w:r w:rsidR="0002075D">
        <w:t xml:space="preserve"> by 9 per</w:t>
      </w:r>
      <w:r w:rsidR="00184946">
        <w:t xml:space="preserve"> </w:t>
      </w:r>
      <w:r w:rsidR="0002075D">
        <w:t>cent</w:t>
      </w:r>
      <w:r w:rsidR="000777C4" w:rsidRPr="00E80141">
        <w:t>. Classrooms were provide</w:t>
      </w:r>
      <w:r w:rsidR="006525D4" w:rsidRPr="00E80141">
        <w:t>d</w:t>
      </w:r>
      <w:r w:rsidR="000777C4" w:rsidRPr="00E80141">
        <w:t xml:space="preserve"> with furniture, fixtures and toilets for girls and boys. Approximately 50,000 pupils benefited from the new classrooms.</w:t>
      </w:r>
      <w:r w:rsidR="00ED0444" w:rsidRPr="00E80141">
        <w:t xml:space="preserve"> </w:t>
      </w:r>
      <w:r w:rsidR="00493CB9" w:rsidRPr="00E80141">
        <w:t>CCI ended in December 2014 and an independent completion review found that it was highly successful.</w:t>
      </w:r>
    </w:p>
    <w:p w14:paraId="712EDB98" w14:textId="739542AD" w:rsidR="001E289B" w:rsidRPr="003B42AE" w:rsidRDefault="00144BC3" w:rsidP="003439DD">
      <w:pPr>
        <w:pStyle w:val="ListBullet"/>
        <w:numPr>
          <w:ilvl w:val="0"/>
          <w:numId w:val="0"/>
        </w:numPr>
        <w:tabs>
          <w:tab w:val="clear" w:pos="284"/>
        </w:tabs>
      </w:pPr>
      <w:r w:rsidRPr="003B42AE">
        <w:t xml:space="preserve">Australia has partnered with the United Nations Population Fund, United Nations Children’s Fund and World Health Organization to </w:t>
      </w:r>
      <w:r w:rsidR="001E289B" w:rsidRPr="003B42AE">
        <w:t xml:space="preserve">reduce maternal </w:t>
      </w:r>
      <w:r w:rsidR="006925EE" w:rsidRPr="003B42AE">
        <w:t>and newborn deaths and increase</w:t>
      </w:r>
      <w:r w:rsidR="001E289B" w:rsidRPr="003B42AE">
        <w:t xml:space="preserve"> </w:t>
      </w:r>
      <w:r w:rsidR="00B6333B" w:rsidRPr="003B42AE">
        <w:t xml:space="preserve">contraceptive use </w:t>
      </w:r>
      <w:r w:rsidR="001E289B" w:rsidRPr="003B42AE">
        <w:t>(</w:t>
      </w:r>
      <w:r w:rsidR="00B6333B" w:rsidRPr="003B42AE">
        <w:t xml:space="preserve">the </w:t>
      </w:r>
      <w:r w:rsidR="001E289B" w:rsidRPr="003B42AE">
        <w:t>Joint Maternal and Neonatal Health Program or JMNHP).</w:t>
      </w:r>
    </w:p>
    <w:p w14:paraId="50CBBDF8" w14:textId="209B2462" w:rsidR="003439DD" w:rsidRPr="003B42AE" w:rsidRDefault="00D673D4" w:rsidP="00B6333B">
      <w:pPr>
        <w:pStyle w:val="ListBullet"/>
        <w:ind w:left="284" w:hanging="284"/>
      </w:pPr>
      <w:r w:rsidRPr="003B42AE">
        <w:t>In 2014-15</w:t>
      </w:r>
      <w:r w:rsidR="00CC324F" w:rsidRPr="003B42AE">
        <w:t>,</w:t>
      </w:r>
      <w:r w:rsidRPr="003B42AE">
        <w:t xml:space="preserve"> </w:t>
      </w:r>
      <w:r w:rsidR="00333CE2" w:rsidRPr="003B42AE">
        <w:t xml:space="preserve">JMNHP’s focus was </w:t>
      </w:r>
      <w:r w:rsidR="00DA4952" w:rsidRPr="003B42AE">
        <w:t xml:space="preserve">on </w:t>
      </w:r>
      <w:r w:rsidR="001E289B" w:rsidRPr="003B42AE">
        <w:t xml:space="preserve">three provinces in Mindanao and </w:t>
      </w:r>
      <w:r w:rsidR="00CC324F" w:rsidRPr="003B42AE">
        <w:t xml:space="preserve">a district in </w:t>
      </w:r>
      <w:r w:rsidR="001E289B" w:rsidRPr="003B42AE">
        <w:t>Quezon City</w:t>
      </w:r>
      <w:r w:rsidR="00CC324F" w:rsidRPr="003B42AE">
        <w:t xml:space="preserve"> where high incidences of maternal and neonatal deaths were reported</w:t>
      </w:r>
      <w:r w:rsidR="00DA4952" w:rsidRPr="003B42AE">
        <w:t xml:space="preserve">. </w:t>
      </w:r>
      <w:r w:rsidR="000D7382" w:rsidRPr="003B42AE">
        <w:t xml:space="preserve">In these locations </w:t>
      </w:r>
      <w:r w:rsidR="00DA4952" w:rsidRPr="003B42AE">
        <w:t>JMNHP increase</w:t>
      </w:r>
      <w:r w:rsidR="00333CE2" w:rsidRPr="003B42AE">
        <w:t>d</w:t>
      </w:r>
      <w:r w:rsidR="00DA4952" w:rsidRPr="003B42AE">
        <w:t xml:space="preserve"> </w:t>
      </w:r>
      <w:r w:rsidR="00333CE2" w:rsidRPr="003B42AE">
        <w:t xml:space="preserve">the proportion of </w:t>
      </w:r>
      <w:r w:rsidR="00AF161F">
        <w:t>facility-</w:t>
      </w:r>
      <w:r w:rsidR="006925EE" w:rsidRPr="003B42AE">
        <w:t xml:space="preserve">based deliveries from 84% </w:t>
      </w:r>
      <w:r w:rsidR="000D7382" w:rsidRPr="003B42AE">
        <w:t xml:space="preserve">in 2013 </w:t>
      </w:r>
      <w:r w:rsidR="006925EE" w:rsidRPr="003B42AE">
        <w:t>to 86%</w:t>
      </w:r>
      <w:r w:rsidR="00EC2663" w:rsidRPr="003B42AE">
        <w:t xml:space="preserve"> </w:t>
      </w:r>
      <w:r w:rsidR="000D7382" w:rsidRPr="003B42AE">
        <w:t xml:space="preserve">in 2014, </w:t>
      </w:r>
      <w:r w:rsidR="00EC2663" w:rsidRPr="003B42AE">
        <w:t xml:space="preserve">and </w:t>
      </w:r>
      <w:r w:rsidR="006925EE" w:rsidRPr="003B42AE">
        <w:t xml:space="preserve">post-partum </w:t>
      </w:r>
      <w:r w:rsidR="00DA4952" w:rsidRPr="003B42AE">
        <w:t xml:space="preserve">women initiating breast feeding from 90% </w:t>
      </w:r>
      <w:r w:rsidR="000D7382" w:rsidRPr="003B42AE">
        <w:t xml:space="preserve">in 2013 </w:t>
      </w:r>
      <w:r w:rsidR="00DA4952" w:rsidRPr="003B42AE">
        <w:t>to 98%</w:t>
      </w:r>
      <w:r w:rsidR="000D7382" w:rsidRPr="003B42AE">
        <w:t xml:space="preserve"> in 2014</w:t>
      </w:r>
      <w:r w:rsidR="00DA4952" w:rsidRPr="003B42AE">
        <w:t>.</w:t>
      </w:r>
      <w:r w:rsidR="00EC2663" w:rsidRPr="003B42AE">
        <w:t xml:space="preserve"> JMNHP’s work </w:t>
      </w:r>
      <w:r w:rsidR="007C0AB0" w:rsidRPr="003B42AE">
        <w:t>across the Philippines has contributed to improvements in key national indicators</w:t>
      </w:r>
      <w:r w:rsidR="00B6333B" w:rsidRPr="003B42AE">
        <w:t xml:space="preserve">. </w:t>
      </w:r>
      <w:r w:rsidR="00CC324F" w:rsidRPr="003B42AE">
        <w:t xml:space="preserve">Maternal and neonatal mortality rates have </w:t>
      </w:r>
      <w:r w:rsidR="0033739E" w:rsidRPr="003B42AE">
        <w:t>decrease</w:t>
      </w:r>
      <w:r w:rsidR="00CC324F" w:rsidRPr="003B42AE">
        <w:t>d</w:t>
      </w:r>
      <w:r w:rsidR="00333CE2" w:rsidRPr="003B42AE">
        <w:t xml:space="preserve"> </w:t>
      </w:r>
      <w:r w:rsidR="0033739E" w:rsidRPr="003B42AE">
        <w:t>and c</w:t>
      </w:r>
      <w:r w:rsidR="00333CE2" w:rsidRPr="003B42AE">
        <w:t xml:space="preserve">ontraceptive prevalence rates </w:t>
      </w:r>
      <w:r w:rsidR="00CC324F" w:rsidRPr="003B42AE">
        <w:t>have</w:t>
      </w:r>
      <w:r w:rsidR="0033739E" w:rsidRPr="003B42AE">
        <w:t xml:space="preserve"> </w:t>
      </w:r>
      <w:r w:rsidRPr="003B42AE">
        <w:t>increased.</w:t>
      </w:r>
      <w:r w:rsidR="0033739E" w:rsidRPr="003B42AE">
        <w:rPr>
          <w:rStyle w:val="EndnoteReference"/>
        </w:rPr>
        <w:endnoteReference w:id="22"/>
      </w:r>
      <w:r w:rsidRPr="003B42AE">
        <w:t xml:space="preserve"> </w:t>
      </w:r>
    </w:p>
    <w:p w14:paraId="136995C8" w14:textId="2F56570A" w:rsidR="00C67D5E" w:rsidRDefault="00C67D5E" w:rsidP="00C67D5E">
      <w:pPr>
        <w:pStyle w:val="Heading3"/>
      </w:pPr>
      <w:r w:rsidRPr="00C57923">
        <w:t xml:space="preserve">Objective </w:t>
      </w:r>
      <w:r>
        <w:t xml:space="preserve">2 </w:t>
      </w:r>
      <w:r w:rsidRPr="00F27E70">
        <w:t>Enhancing the foundations for sustained economic growth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4"/>
      </w:tblGrid>
      <w:tr w:rsidR="00C67D5E" w14:paraId="6D59D281" w14:textId="77777777" w:rsidTr="008D011A">
        <w:tc>
          <w:tcPr>
            <w:tcW w:w="817" w:type="dxa"/>
          </w:tcPr>
          <w:p w14:paraId="54A3CA6F" w14:textId="77777777" w:rsidR="00C67D5E" w:rsidRDefault="00C67D5E" w:rsidP="008D011A">
            <w:pPr>
              <w:pStyle w:val="ListBullet"/>
              <w:numPr>
                <w:ilvl w:val="0"/>
                <w:numId w:val="0"/>
              </w:numPr>
              <w:tabs>
                <w:tab w:val="clear" w:pos="284"/>
              </w:tabs>
            </w:pPr>
            <w:r>
              <w:t>Rating</w:t>
            </w:r>
          </w:p>
        </w:tc>
        <w:tc>
          <w:tcPr>
            <w:tcW w:w="754" w:type="dxa"/>
            <w:shd w:val="clear" w:color="auto" w:fill="72AF2F"/>
          </w:tcPr>
          <w:p w14:paraId="2A99E7AE" w14:textId="77777777" w:rsidR="00E31660" w:rsidRPr="00E31660" w:rsidRDefault="00C67D5E" w:rsidP="008D011A">
            <w:pPr>
              <w:pStyle w:val="ListBullet"/>
              <w:numPr>
                <w:ilvl w:val="0"/>
                <w:numId w:val="0"/>
              </w:numPr>
              <w:tabs>
                <w:tab w:val="clear" w:pos="284"/>
              </w:tabs>
              <w:rPr>
                <w:color w:val="FFFFFF" w:themeColor="background1"/>
              </w:rPr>
            </w:pPr>
            <w:r w:rsidRPr="00C67D5E">
              <w:rPr>
                <w:color w:val="FFFFFF" w:themeColor="background1"/>
              </w:rPr>
              <w:t>Green</w:t>
            </w:r>
          </w:p>
        </w:tc>
      </w:tr>
    </w:tbl>
    <w:p w14:paraId="29ED85F7" w14:textId="126B6D8A" w:rsidR="00F27DEE" w:rsidRPr="00E80141" w:rsidRDefault="00723B59" w:rsidP="00E31660">
      <w:pPr>
        <w:pStyle w:val="ListBullet"/>
        <w:numPr>
          <w:ilvl w:val="0"/>
          <w:numId w:val="0"/>
        </w:numPr>
        <w:tabs>
          <w:tab w:val="clear" w:pos="284"/>
        </w:tabs>
      </w:pPr>
      <w:r w:rsidRPr="00C21411">
        <w:t xml:space="preserve">The objective is rated green. </w:t>
      </w:r>
      <w:r w:rsidR="00A5189D" w:rsidRPr="00C21411">
        <w:t>With help from Australia, the Philippine</w:t>
      </w:r>
      <w:r w:rsidR="00EE7CC9" w:rsidRPr="00C21411">
        <w:t xml:space="preserve"> Government is on-track to meet</w:t>
      </w:r>
      <w:r w:rsidR="00A5189D" w:rsidRPr="00C21411">
        <w:t xml:space="preserve"> its goal of awarding 16-18 Public Private Partnership</w:t>
      </w:r>
      <w:r w:rsidR="001B1A55" w:rsidRPr="00C21411">
        <w:t xml:space="preserve"> </w:t>
      </w:r>
      <w:r w:rsidR="00A5189D" w:rsidRPr="00C21411">
        <w:t xml:space="preserve">projects by July 2016. </w:t>
      </w:r>
      <w:r w:rsidR="00F15FD5" w:rsidRPr="00C21411">
        <w:t>Progress of the Provincial Road Management Facility</w:t>
      </w:r>
      <w:r w:rsidR="00BA0DA2" w:rsidRPr="00C21411">
        <w:t xml:space="preserve"> </w:t>
      </w:r>
      <w:r w:rsidR="00F15FD5" w:rsidRPr="00C21411">
        <w:t xml:space="preserve">is also </w:t>
      </w:r>
      <w:r w:rsidR="0024332A" w:rsidRPr="00C21411">
        <w:t xml:space="preserve">as </w:t>
      </w:r>
      <w:r w:rsidR="00BA0DA2" w:rsidRPr="00C21411">
        <w:t>anticipated</w:t>
      </w:r>
      <w:r w:rsidR="000F2783" w:rsidRPr="00C21411">
        <w:t>.</w:t>
      </w:r>
      <w:r w:rsidR="00850225" w:rsidRPr="00C21411">
        <w:t xml:space="preserve"> </w:t>
      </w:r>
      <w:r w:rsidR="000F2783" w:rsidRPr="00C21411">
        <w:t>T</w:t>
      </w:r>
      <w:r w:rsidR="00850225" w:rsidRPr="00C21411">
        <w:t xml:space="preserve">he </w:t>
      </w:r>
      <w:r w:rsidR="000F2783" w:rsidRPr="00C21411">
        <w:t>facility helped</w:t>
      </w:r>
      <w:r w:rsidR="00850225" w:rsidRPr="00C21411">
        <w:t xml:space="preserve"> to rehabilitate</w:t>
      </w:r>
      <w:r w:rsidR="006D56FC" w:rsidRPr="00C21411">
        <w:t xml:space="preserve"> </w:t>
      </w:r>
      <w:r w:rsidR="00850225" w:rsidRPr="00C21411">
        <w:t xml:space="preserve">or </w:t>
      </w:r>
      <w:r w:rsidR="006D56FC" w:rsidRPr="00C21411">
        <w:t>mainta</w:t>
      </w:r>
      <w:r w:rsidR="00850225" w:rsidRPr="00C21411">
        <w:t>in 32</w:t>
      </w:r>
      <w:r w:rsidR="007A45C6" w:rsidRPr="00C21411">
        <w:t>0km of provincial roads</w:t>
      </w:r>
      <w:r w:rsidR="00850225" w:rsidRPr="00C21411">
        <w:t xml:space="preserve"> in 2014-15</w:t>
      </w:r>
      <w:r w:rsidR="000F2783" w:rsidRPr="00C21411">
        <w:t>,</w:t>
      </w:r>
      <w:r w:rsidR="00B2171B" w:rsidRPr="00C21411">
        <w:t xml:space="preserve"> </w:t>
      </w:r>
      <w:r w:rsidR="00F15FD5" w:rsidRPr="00C21411">
        <w:t xml:space="preserve">slightly </w:t>
      </w:r>
      <w:r w:rsidR="000F2783" w:rsidRPr="00C21411">
        <w:t xml:space="preserve">less than </w:t>
      </w:r>
      <w:r w:rsidR="000A4B8E" w:rsidRPr="00C21411">
        <w:t xml:space="preserve">its target of </w:t>
      </w:r>
      <w:r w:rsidR="001F5D9D" w:rsidRPr="00C21411">
        <w:t>360km</w:t>
      </w:r>
      <w:r w:rsidR="00850225" w:rsidRPr="00C21411">
        <w:t xml:space="preserve">. </w:t>
      </w:r>
      <w:r w:rsidR="0024332A" w:rsidRPr="00C21411">
        <w:t>Design</w:t>
      </w:r>
      <w:r w:rsidR="00F15FD5" w:rsidRPr="00C21411">
        <w:t>s</w:t>
      </w:r>
      <w:r w:rsidR="0024332A" w:rsidRPr="00C21411">
        <w:t xml:space="preserve"> of two new economic growth investment</w:t>
      </w:r>
      <w:r w:rsidR="00F15FD5" w:rsidRPr="00C21411">
        <w:t>s are</w:t>
      </w:r>
      <w:r w:rsidR="0024332A" w:rsidRPr="00C21411">
        <w:t xml:space="preserve"> currently underway and </w:t>
      </w:r>
      <w:r w:rsidR="000F2783" w:rsidRPr="00C21411">
        <w:t xml:space="preserve">due to </w:t>
      </w:r>
      <w:r w:rsidR="0024332A" w:rsidRPr="00C21411">
        <w:t xml:space="preserve">be completed </w:t>
      </w:r>
      <w:r w:rsidR="00AE0761" w:rsidRPr="00C21411">
        <w:t>in</w:t>
      </w:r>
      <w:r w:rsidR="000A4B8E" w:rsidRPr="00C21411">
        <w:t xml:space="preserve"> </w:t>
      </w:r>
      <w:r w:rsidR="00F15FD5" w:rsidRPr="00C21411">
        <w:t>2016</w:t>
      </w:r>
      <w:r w:rsidR="0024332A" w:rsidRPr="00C21411">
        <w:t>.</w:t>
      </w:r>
    </w:p>
    <w:p w14:paraId="18392C2D" w14:textId="35EA0D36" w:rsidR="007F6DC9" w:rsidRPr="00E80141" w:rsidRDefault="00325C71" w:rsidP="00844B85">
      <w:pPr>
        <w:pStyle w:val="ListBullet"/>
        <w:numPr>
          <w:ilvl w:val="0"/>
          <w:numId w:val="0"/>
        </w:numPr>
        <w:tabs>
          <w:tab w:val="clear" w:pos="284"/>
          <w:tab w:val="left" w:pos="0"/>
        </w:tabs>
      </w:pPr>
      <w:r w:rsidRPr="00E80141">
        <w:t>A</w:t>
      </w:r>
      <w:r w:rsidR="00D24578" w:rsidRPr="00E80141">
        <w:t xml:space="preserve"> critical shortage of infrastructure constrain</w:t>
      </w:r>
      <w:r w:rsidR="006F5E03" w:rsidRPr="00E80141">
        <w:t xml:space="preserve">s </w:t>
      </w:r>
      <w:r w:rsidR="00F15FD5" w:rsidRPr="00E80141">
        <w:t xml:space="preserve">Philippine’s </w:t>
      </w:r>
      <w:r w:rsidR="000F706F" w:rsidRPr="00E80141">
        <w:t xml:space="preserve">economic </w:t>
      </w:r>
      <w:r w:rsidR="006F5E03" w:rsidRPr="00E80141">
        <w:t xml:space="preserve">growth. </w:t>
      </w:r>
      <w:r w:rsidRPr="00E80141">
        <w:t>To address this constraint, t</w:t>
      </w:r>
      <w:r w:rsidR="00E346D4" w:rsidRPr="00E80141">
        <w:t xml:space="preserve">he </w:t>
      </w:r>
      <w:r w:rsidR="006F5E03" w:rsidRPr="00E80141">
        <w:t xml:space="preserve">Philippine Government plans </w:t>
      </w:r>
      <w:r w:rsidR="00433781" w:rsidRPr="00E80141">
        <w:t>to increase public infrastructure spending to at l</w:t>
      </w:r>
      <w:r w:rsidR="00DB2C44">
        <w:t>east 5</w:t>
      </w:r>
      <w:r w:rsidR="0002075D">
        <w:t xml:space="preserve"> per</w:t>
      </w:r>
      <w:r w:rsidR="00184946">
        <w:t xml:space="preserve"> </w:t>
      </w:r>
      <w:r w:rsidR="0002075D">
        <w:t>cent</w:t>
      </w:r>
      <w:r w:rsidRPr="00E80141">
        <w:t xml:space="preserve"> of GDP by 2016</w:t>
      </w:r>
      <w:r w:rsidR="00493CB9">
        <w:t>,</w:t>
      </w:r>
      <w:r w:rsidR="0002075D">
        <w:t xml:space="preserve"> from its base of 2.2 per</w:t>
      </w:r>
      <w:r w:rsidR="00184946">
        <w:t xml:space="preserve"> </w:t>
      </w:r>
      <w:r w:rsidR="0002075D">
        <w:t>cent</w:t>
      </w:r>
      <w:r w:rsidR="00433781" w:rsidRPr="00E80141">
        <w:t xml:space="preserve"> in 2012</w:t>
      </w:r>
      <w:r w:rsidRPr="00E80141">
        <w:t>.</w:t>
      </w:r>
      <w:r w:rsidR="005454A7" w:rsidRPr="00E80141">
        <w:t xml:space="preserve"> Increased participation and investment by the private sector is essential to achieve this infrastructure goal. </w:t>
      </w:r>
      <w:r w:rsidR="008C552D" w:rsidRPr="00E80141">
        <w:t>Australia</w:t>
      </w:r>
      <w:r w:rsidRPr="00E80141">
        <w:t xml:space="preserve"> has partnered </w:t>
      </w:r>
      <w:r w:rsidR="008C552D" w:rsidRPr="00E80141">
        <w:t>w</w:t>
      </w:r>
      <w:r w:rsidR="00F15FD5" w:rsidRPr="00E80141">
        <w:t>ith the Asian Development Bank and World Bank</w:t>
      </w:r>
      <w:r w:rsidR="008C552D" w:rsidRPr="00E80141">
        <w:t xml:space="preserve"> </w:t>
      </w:r>
      <w:r w:rsidR="00F15FD5" w:rsidRPr="00E80141">
        <w:t xml:space="preserve">Group </w:t>
      </w:r>
      <w:r w:rsidRPr="00E80141">
        <w:t xml:space="preserve">to help the Philippines </w:t>
      </w:r>
      <w:r w:rsidR="00106A5B" w:rsidRPr="00E80141">
        <w:t>package, tender and implement P</w:t>
      </w:r>
      <w:r w:rsidR="005454A7" w:rsidRPr="00E80141">
        <w:t xml:space="preserve">ublic </w:t>
      </w:r>
      <w:r w:rsidR="00106A5B" w:rsidRPr="00E80141">
        <w:t>P</w:t>
      </w:r>
      <w:r w:rsidR="005454A7" w:rsidRPr="00E80141">
        <w:t xml:space="preserve">rivate </w:t>
      </w:r>
      <w:r w:rsidR="00106A5B" w:rsidRPr="00E80141">
        <w:t>P</w:t>
      </w:r>
      <w:r w:rsidR="005454A7" w:rsidRPr="00E80141">
        <w:t>artnership</w:t>
      </w:r>
      <w:r w:rsidR="00106A5B" w:rsidRPr="00E80141">
        <w:t xml:space="preserve"> </w:t>
      </w:r>
      <w:r w:rsidR="00042C89" w:rsidRPr="00E80141">
        <w:t xml:space="preserve">(PPP) </w:t>
      </w:r>
      <w:r w:rsidR="005454A7" w:rsidRPr="00E80141">
        <w:t>projects,</w:t>
      </w:r>
      <w:r w:rsidR="00106A5B" w:rsidRPr="00E80141">
        <w:t xml:space="preserve"> </w:t>
      </w:r>
      <w:r w:rsidR="00F90FFC" w:rsidRPr="00E80141">
        <w:t xml:space="preserve">reform </w:t>
      </w:r>
      <w:r w:rsidR="00493CB9">
        <w:t xml:space="preserve">relevant </w:t>
      </w:r>
      <w:r w:rsidR="00106A5B" w:rsidRPr="00E80141">
        <w:t>regulato</w:t>
      </w:r>
      <w:r w:rsidR="005454A7" w:rsidRPr="00E80141">
        <w:t>ry and institutional frameworks,</w:t>
      </w:r>
      <w:r w:rsidR="00106A5B" w:rsidRPr="00E80141">
        <w:t xml:space="preserve"> and</w:t>
      </w:r>
      <w:r w:rsidR="0057166E" w:rsidRPr="00E80141">
        <w:t xml:space="preserve"> </w:t>
      </w:r>
      <w:r w:rsidR="005454A7" w:rsidRPr="00E80141">
        <w:t xml:space="preserve">build </w:t>
      </w:r>
      <w:r w:rsidR="00F90FFC" w:rsidRPr="00E80141">
        <w:t xml:space="preserve">the </w:t>
      </w:r>
      <w:r w:rsidR="005454A7" w:rsidRPr="00E80141">
        <w:t xml:space="preserve">technical </w:t>
      </w:r>
      <w:r w:rsidR="00F90FFC" w:rsidRPr="00E80141">
        <w:t xml:space="preserve">capacities of government agencies.  </w:t>
      </w:r>
    </w:p>
    <w:p w14:paraId="64606CD9" w14:textId="3345A4DA" w:rsidR="00BB51F1" w:rsidRPr="00E80141" w:rsidRDefault="00844B85" w:rsidP="00067C78">
      <w:pPr>
        <w:pStyle w:val="ListBullet"/>
        <w:ind w:left="284" w:hanging="284"/>
      </w:pPr>
      <w:r w:rsidRPr="00E80141">
        <w:lastRenderedPageBreak/>
        <w:t xml:space="preserve">In 2014-15, </w:t>
      </w:r>
      <w:r w:rsidR="00042C89" w:rsidRPr="00E80141">
        <w:t>three</w:t>
      </w:r>
      <w:r w:rsidRPr="00E80141">
        <w:t xml:space="preserve"> infrastructure projects </w:t>
      </w:r>
      <w:r w:rsidR="000A4B8E">
        <w:t xml:space="preserve">were </w:t>
      </w:r>
      <w:r w:rsidRPr="00E80141">
        <w:t>awarded worth USD</w:t>
      </w:r>
      <w:r w:rsidR="005454A7" w:rsidRPr="00E80141">
        <w:t>2.7 b</w:t>
      </w:r>
      <w:r w:rsidR="00D669C7" w:rsidRPr="00E80141">
        <w:t xml:space="preserve">illion. </w:t>
      </w:r>
      <w:r w:rsidR="00C51C3C" w:rsidRPr="00E80141">
        <w:t>In total 10</w:t>
      </w:r>
      <w:r w:rsidR="000A4B8E">
        <w:t> </w:t>
      </w:r>
      <w:r w:rsidR="0004571E" w:rsidRPr="00E80141">
        <w:t xml:space="preserve">projects have been awarded </w:t>
      </w:r>
      <w:r w:rsidR="00130C53" w:rsidRPr="00E80141">
        <w:t xml:space="preserve">since 2011 </w:t>
      </w:r>
      <w:r w:rsidR="000A4B8E">
        <w:t xml:space="preserve">with an </w:t>
      </w:r>
      <w:r w:rsidR="00130C53" w:rsidRPr="00E80141">
        <w:t xml:space="preserve">estimated </w:t>
      </w:r>
      <w:r w:rsidR="000A4B8E">
        <w:t xml:space="preserve">value of </w:t>
      </w:r>
      <w:r w:rsidR="00130C53" w:rsidRPr="00E80141">
        <w:t>USD4.2 billion.</w:t>
      </w:r>
      <w:r w:rsidR="0004571E" w:rsidRPr="00E80141">
        <w:t xml:space="preserve"> </w:t>
      </w:r>
      <w:r w:rsidR="00130C53" w:rsidRPr="00E80141">
        <w:t>A</w:t>
      </w:r>
      <w:r w:rsidR="0004571E" w:rsidRPr="00E80141">
        <w:t>nothe</w:t>
      </w:r>
      <w:r w:rsidR="003663DC" w:rsidRPr="00E80141">
        <w:t>r 14 projects valued at USD11.5</w:t>
      </w:r>
      <w:r w:rsidR="0004571E" w:rsidRPr="00E80141">
        <w:t xml:space="preserve"> billion are currently under various stages of procurement. </w:t>
      </w:r>
      <w:r w:rsidR="00C51C3C" w:rsidRPr="00E80141">
        <w:t xml:space="preserve">The Philippine PPP Program is </w:t>
      </w:r>
      <w:r w:rsidR="005B6685" w:rsidRPr="00E80141">
        <w:t>on-track</w:t>
      </w:r>
      <w:r w:rsidR="007F7E63">
        <w:t xml:space="preserve"> to meet</w:t>
      </w:r>
      <w:r w:rsidR="00C51C3C" w:rsidRPr="00E80141">
        <w:t xml:space="preserve"> its goal of competitively tendering and awarding 16-18 projects by July 2016. </w:t>
      </w:r>
      <w:r w:rsidRPr="00E80141">
        <w:t>Recently a</w:t>
      </w:r>
      <w:r w:rsidR="00106A5B" w:rsidRPr="00E80141">
        <w:t>warded projects are expected to have significant econo</w:t>
      </w:r>
      <w:r w:rsidR="00EE667A" w:rsidRPr="00E80141">
        <w:t>mic benefits for the Philippine</w:t>
      </w:r>
      <w:r w:rsidR="00106A5B" w:rsidRPr="00E80141">
        <w:t xml:space="preserve"> economy</w:t>
      </w:r>
      <w:r w:rsidRPr="00E80141">
        <w:t xml:space="preserve">. </w:t>
      </w:r>
      <w:r w:rsidR="007F6DC9" w:rsidRPr="00E80141">
        <w:t>This</w:t>
      </w:r>
      <w:r w:rsidR="00106A5B" w:rsidRPr="00E80141">
        <w:t xml:space="preserve"> </w:t>
      </w:r>
      <w:r w:rsidRPr="00E80141">
        <w:t xml:space="preserve">includes </w:t>
      </w:r>
      <w:r w:rsidR="007F6DC9" w:rsidRPr="00E80141">
        <w:t xml:space="preserve">the </w:t>
      </w:r>
      <w:r w:rsidRPr="00E80141">
        <w:t xml:space="preserve">USD1.2 billion </w:t>
      </w:r>
      <w:r w:rsidR="00106A5B" w:rsidRPr="00E80141">
        <w:t>Cavite-Laguna Expressway</w:t>
      </w:r>
      <w:r w:rsidRPr="00E80141">
        <w:t xml:space="preserve"> which will</w:t>
      </w:r>
      <w:r w:rsidR="00D669C7" w:rsidRPr="00E80141">
        <w:t xml:space="preserve"> </w:t>
      </w:r>
      <w:r w:rsidRPr="00E80141">
        <w:t>boost</w:t>
      </w:r>
      <w:r w:rsidR="00D669C7" w:rsidRPr="00E80141">
        <w:t xml:space="preserve"> economic activity </w:t>
      </w:r>
      <w:r w:rsidRPr="00E80141">
        <w:t>in the growing</w:t>
      </w:r>
      <w:r w:rsidR="0004571E" w:rsidRPr="00E80141">
        <w:t xml:space="preserve"> industrial and commercial cent</w:t>
      </w:r>
      <w:r w:rsidRPr="00E80141">
        <w:t>r</w:t>
      </w:r>
      <w:r w:rsidR="0004571E" w:rsidRPr="00E80141">
        <w:t>e</w:t>
      </w:r>
      <w:r w:rsidRPr="00E80141">
        <w:t xml:space="preserve">s </w:t>
      </w:r>
      <w:r w:rsidR="00D669C7" w:rsidRPr="00E80141">
        <w:t xml:space="preserve">of </w:t>
      </w:r>
      <w:r w:rsidRPr="00E80141">
        <w:t xml:space="preserve">Cavite and Laguna, and </w:t>
      </w:r>
      <w:r w:rsidR="00D669C7" w:rsidRPr="00E80141">
        <w:t>extension of LRT 1 line by 11.7</w:t>
      </w:r>
      <w:r w:rsidR="000A4B8E">
        <w:t> </w:t>
      </w:r>
      <w:r w:rsidR="00D669C7" w:rsidRPr="00E80141">
        <w:t xml:space="preserve">km which will </w:t>
      </w:r>
      <w:r w:rsidR="00100B1D" w:rsidRPr="00E80141">
        <w:t>link Cav</w:t>
      </w:r>
      <w:r w:rsidR="00E7702A">
        <w:t>ite with Metro Manila</w:t>
      </w:r>
      <w:r w:rsidR="00100B1D" w:rsidRPr="00E80141">
        <w:t xml:space="preserve"> reducing</w:t>
      </w:r>
      <w:r w:rsidR="00D669C7" w:rsidRPr="00E80141">
        <w:t xml:space="preserve"> travel time and</w:t>
      </w:r>
      <w:r w:rsidR="00EE667A" w:rsidRPr="00E80141">
        <w:t xml:space="preserve"> business costs. </w:t>
      </w:r>
      <w:r w:rsidR="00062C8A" w:rsidRPr="00E80141">
        <w:t xml:space="preserve">With Australia’s help, the Philippines made considerable progress in legal and institutional </w:t>
      </w:r>
      <w:r w:rsidR="0004571E" w:rsidRPr="00E80141">
        <w:t>reforms</w:t>
      </w:r>
      <w:r w:rsidR="00062C8A" w:rsidRPr="00E80141">
        <w:t>. In 2015</w:t>
      </w:r>
      <w:r w:rsidR="00E64500">
        <w:t>,</w:t>
      </w:r>
      <w:r w:rsidR="00062C8A" w:rsidRPr="00E80141">
        <w:t xml:space="preserve"> the Philippines was recognised as the most improved country in Asia Pacific for PPP readiness by the Economist </w:t>
      </w:r>
      <w:r w:rsidR="00130C53" w:rsidRPr="00E80141">
        <w:t>Intelligence Unit</w:t>
      </w:r>
      <w:r w:rsidR="00062C8A" w:rsidRPr="00E80141">
        <w:t>.</w:t>
      </w:r>
      <w:r w:rsidR="004B0868" w:rsidRPr="00E80141">
        <w:rPr>
          <w:rStyle w:val="EndnoteReference"/>
        </w:rPr>
        <w:endnoteReference w:id="23"/>
      </w:r>
      <w:r w:rsidR="0004571E" w:rsidRPr="00E80141">
        <w:t xml:space="preserve"> Australia </w:t>
      </w:r>
      <w:r w:rsidR="00130C53" w:rsidRPr="00E80141">
        <w:t xml:space="preserve">also </w:t>
      </w:r>
      <w:r w:rsidR="0004571E" w:rsidRPr="00E80141">
        <w:t xml:space="preserve">encouraged and </w:t>
      </w:r>
      <w:r w:rsidR="00100B1D" w:rsidRPr="00E80141">
        <w:t xml:space="preserve">helped the Philippines </w:t>
      </w:r>
      <w:r w:rsidR="005235E7" w:rsidRPr="00E80141">
        <w:t>adopt</w:t>
      </w:r>
      <w:r w:rsidR="00644B07" w:rsidRPr="00E80141">
        <w:t xml:space="preserve"> probity advisory service</w:t>
      </w:r>
      <w:r w:rsidR="005235E7" w:rsidRPr="00E80141">
        <w:t>s for the procurement of PPPs</w:t>
      </w:r>
      <w:r w:rsidR="00644B07" w:rsidRPr="00E80141">
        <w:t xml:space="preserve"> and </w:t>
      </w:r>
      <w:r w:rsidR="005235E7" w:rsidRPr="00E80141">
        <w:t xml:space="preserve">draft </w:t>
      </w:r>
      <w:r w:rsidR="00644B07" w:rsidRPr="00E80141">
        <w:t>guidelines for the protection of indigenous peoples’ rights.</w:t>
      </w:r>
    </w:p>
    <w:p w14:paraId="418E9839" w14:textId="73726AAA" w:rsidR="009F533A" w:rsidRDefault="00E31660" w:rsidP="00E31660">
      <w:pPr>
        <w:pStyle w:val="ListBullet"/>
        <w:numPr>
          <w:ilvl w:val="0"/>
          <w:numId w:val="0"/>
        </w:numPr>
        <w:tabs>
          <w:tab w:val="clear" w:pos="284"/>
        </w:tabs>
      </w:pPr>
      <w:r w:rsidRPr="00BD2DE6">
        <w:t>Upgrading roads is straightforward, but ensuring their upkeep is harder. Australia</w:t>
      </w:r>
      <w:r w:rsidR="00525F2C" w:rsidRPr="00BD2DE6">
        <w:t xml:space="preserve"> is working with the Department of the Interior and</w:t>
      </w:r>
      <w:r w:rsidR="00525F2C" w:rsidRPr="00E80141">
        <w:t xml:space="preserve"> Local Government and ten Provincial Local Government Units </w:t>
      </w:r>
      <w:r w:rsidR="00525F2C" w:rsidRPr="00A04025">
        <w:t>to ensure that sufficient funding is available for road rehabilitation and maintenance.</w:t>
      </w:r>
      <w:r w:rsidR="00E90E2A" w:rsidRPr="00A04025">
        <w:t xml:space="preserve"> </w:t>
      </w:r>
      <w:r w:rsidR="00EE666C" w:rsidRPr="00A04025">
        <w:t>T</w:t>
      </w:r>
      <w:r w:rsidR="00E90E2A" w:rsidRPr="00A04025">
        <w:t>he Provincial Road Management Facility</w:t>
      </w:r>
      <w:r w:rsidR="006305F4" w:rsidRPr="00A04025">
        <w:t xml:space="preserve"> (PRMF)</w:t>
      </w:r>
      <w:r w:rsidR="00EE666C" w:rsidRPr="00A04025">
        <w:t xml:space="preserve"> </w:t>
      </w:r>
      <w:r w:rsidR="009F533A" w:rsidRPr="00A04025">
        <w:t xml:space="preserve">is helping </w:t>
      </w:r>
      <w:r w:rsidR="0080278A" w:rsidRPr="00A04025">
        <w:t xml:space="preserve">selected regions </w:t>
      </w:r>
      <w:r w:rsidR="009F533A" w:rsidRPr="00A04025">
        <w:t>to improve local road management policies and governance systems, increase tax collection, and rehabilitate and maintain the</w:t>
      </w:r>
      <w:r w:rsidR="0080278A" w:rsidRPr="00A04025">
        <w:t>ir</w:t>
      </w:r>
      <w:r w:rsidR="009F533A" w:rsidRPr="00A04025">
        <w:t xml:space="preserve"> core road network.</w:t>
      </w:r>
    </w:p>
    <w:p w14:paraId="5DEEDF2E" w14:textId="395E53A5" w:rsidR="00C857B7" w:rsidRPr="00E80141" w:rsidRDefault="00C857B7" w:rsidP="00067C78">
      <w:pPr>
        <w:pStyle w:val="ListBullet"/>
        <w:ind w:left="284" w:hanging="284"/>
      </w:pPr>
      <w:r w:rsidRPr="00E80141">
        <w:t xml:space="preserve">PRMF is meeting its objectives. In 2014-15, </w:t>
      </w:r>
      <w:r w:rsidR="00A733DE" w:rsidRPr="00E80141">
        <w:t xml:space="preserve">234 </w:t>
      </w:r>
      <w:r w:rsidR="00DA1FEA" w:rsidRPr="00E80141">
        <w:t>km</w:t>
      </w:r>
      <w:r w:rsidR="00A733DE" w:rsidRPr="00E80141">
        <w:t xml:space="preserve"> of roads were rehabilitated</w:t>
      </w:r>
      <w:r w:rsidRPr="00E80141">
        <w:t xml:space="preserve"> and </w:t>
      </w:r>
      <w:r w:rsidR="00E849EE">
        <w:t>86 </w:t>
      </w:r>
      <w:r w:rsidR="00DA1FEA" w:rsidRPr="00E80141">
        <w:t xml:space="preserve">km of roads were </w:t>
      </w:r>
      <w:r w:rsidR="00A733DE" w:rsidRPr="00E80141">
        <w:t>maintained</w:t>
      </w:r>
      <w:r w:rsidR="00DA1FEA" w:rsidRPr="00E80141">
        <w:t xml:space="preserve"> through PRMF</w:t>
      </w:r>
      <w:r w:rsidRPr="00E80141">
        <w:t>. Rehabilitated roads included 121 km of roads in Bohol province following the devastation caused by the October 2013 earthquake.</w:t>
      </w:r>
      <w:r w:rsidR="00DA1FEA" w:rsidRPr="00E80141">
        <w:t xml:space="preserve"> </w:t>
      </w:r>
      <w:r w:rsidRPr="00E80141">
        <w:t xml:space="preserve">PRMF </w:t>
      </w:r>
      <w:r w:rsidR="00DA1FEA" w:rsidRPr="00E80141">
        <w:t xml:space="preserve">also </w:t>
      </w:r>
      <w:r w:rsidRPr="00E80141">
        <w:t xml:space="preserve">incentivised </w:t>
      </w:r>
      <w:r w:rsidR="00DA1FEA" w:rsidRPr="00E80141">
        <w:t xml:space="preserve">provincial governments to </w:t>
      </w:r>
      <w:r w:rsidR="000A4B8E">
        <w:t>commit</w:t>
      </w:r>
      <w:r w:rsidR="00DA1FEA" w:rsidRPr="00E80141">
        <w:t xml:space="preserve"> </w:t>
      </w:r>
      <w:r w:rsidRPr="00E80141">
        <w:t xml:space="preserve">additional </w:t>
      </w:r>
      <w:r w:rsidR="00DA1FEA" w:rsidRPr="00E80141">
        <w:t xml:space="preserve">funding resulting in an additional 1,715km of roads being maintained. </w:t>
      </w:r>
      <w:r w:rsidRPr="00E80141">
        <w:t xml:space="preserve">On tax collection, PRMF introduced the eTracs tax system in Davao del Norte which increased </w:t>
      </w:r>
      <w:r w:rsidR="0002075D">
        <w:t>property tax revenue by 26</w:t>
      </w:r>
      <w:r w:rsidR="00E849EE">
        <w:t> </w:t>
      </w:r>
      <w:r w:rsidR="0002075D">
        <w:t>per</w:t>
      </w:r>
      <w:r w:rsidR="00184946">
        <w:t> </w:t>
      </w:r>
      <w:r w:rsidR="0002075D">
        <w:t>cent</w:t>
      </w:r>
      <w:r w:rsidRPr="00E80141">
        <w:t xml:space="preserve"> in 2014. PRMF</w:t>
      </w:r>
      <w:r w:rsidR="00042C89" w:rsidRPr="00E80141">
        <w:t>’s</w:t>
      </w:r>
      <w:r w:rsidRPr="00E80141">
        <w:t xml:space="preserve"> success has been recognised by the Government of the Philippines. The</w:t>
      </w:r>
      <w:r w:rsidR="00163FB8">
        <w:t xml:space="preserve"> government has proposed a new AUD</w:t>
      </w:r>
      <w:r w:rsidRPr="00E80141">
        <w:t>200</w:t>
      </w:r>
      <w:r w:rsidR="00DB2C44">
        <w:t xml:space="preserve"> </w:t>
      </w:r>
      <w:r w:rsidRPr="00E80141">
        <w:t>m</w:t>
      </w:r>
      <w:r w:rsidR="00DB2C44">
        <w:t>illion</w:t>
      </w:r>
      <w:r w:rsidRPr="00E80141">
        <w:t xml:space="preserve"> national program on roads management in their 2016 national budget to replicate and scale-up PRMF’s achievements in other regions.</w:t>
      </w:r>
    </w:p>
    <w:p w14:paraId="5FAFFBF2" w14:textId="4F9D4BFE" w:rsidR="003411AA" w:rsidRPr="00992B6D" w:rsidRDefault="002920C2" w:rsidP="00CE3E67">
      <w:pPr>
        <w:pStyle w:val="ListBullet"/>
        <w:numPr>
          <w:ilvl w:val="0"/>
          <w:numId w:val="0"/>
        </w:numPr>
      </w:pPr>
      <w:r w:rsidRPr="00992B6D">
        <w:t xml:space="preserve">Helping the Philippines </w:t>
      </w:r>
      <w:r w:rsidR="004E1CFC" w:rsidRPr="00992B6D">
        <w:t xml:space="preserve">achieve sustained economic growth through </w:t>
      </w:r>
      <w:r w:rsidR="00AE0761" w:rsidRPr="00992B6D">
        <w:t xml:space="preserve">improved </w:t>
      </w:r>
      <w:r w:rsidR="004E1CFC" w:rsidRPr="00992B6D">
        <w:t xml:space="preserve">trade </w:t>
      </w:r>
      <w:r w:rsidR="00AE0761" w:rsidRPr="00992B6D">
        <w:t xml:space="preserve">and infrastructure </w:t>
      </w:r>
      <w:r w:rsidR="004E1CFC" w:rsidRPr="00992B6D">
        <w:t xml:space="preserve">is a priority of </w:t>
      </w:r>
      <w:r w:rsidR="0058601A" w:rsidRPr="00992B6D">
        <w:t>our aid program</w:t>
      </w:r>
      <w:r w:rsidR="004E1CFC" w:rsidRPr="00992B6D">
        <w:t xml:space="preserve">. </w:t>
      </w:r>
      <w:r w:rsidR="00DB2C44" w:rsidRPr="00992B6D">
        <w:t>In the 2013-14 APPR, a</w:t>
      </w:r>
      <w:r w:rsidR="0069733F" w:rsidRPr="00992B6D">
        <w:t xml:space="preserve"> performance target</w:t>
      </w:r>
      <w:r w:rsidR="00802C26" w:rsidRPr="00992B6D">
        <w:t>/indicator was set</w:t>
      </w:r>
      <w:r w:rsidR="002F4FBF" w:rsidRPr="00992B6D">
        <w:t>,</w:t>
      </w:r>
      <w:r w:rsidR="0069733F" w:rsidRPr="00992B6D">
        <w:t xml:space="preserve"> to finalise the design of a new </w:t>
      </w:r>
      <w:r w:rsidR="002F4FBF" w:rsidRPr="00992B6D">
        <w:t xml:space="preserve">economic growth </w:t>
      </w:r>
      <w:r w:rsidR="0018272C">
        <w:t>investment by July </w:t>
      </w:r>
      <w:r w:rsidR="003411AA" w:rsidRPr="00992B6D">
        <w:t>2015.</w:t>
      </w:r>
    </w:p>
    <w:p w14:paraId="34FC00E3" w14:textId="47272E7F" w:rsidR="002920C2" w:rsidRPr="00992B6D" w:rsidRDefault="0069733F" w:rsidP="003411AA">
      <w:pPr>
        <w:pStyle w:val="ListBullet"/>
        <w:ind w:left="284" w:hanging="284"/>
      </w:pPr>
      <w:r w:rsidRPr="00992B6D">
        <w:t xml:space="preserve">This </w:t>
      </w:r>
      <w:r w:rsidR="002F4FBF" w:rsidRPr="00992B6D">
        <w:t xml:space="preserve">target has </w:t>
      </w:r>
      <w:r w:rsidRPr="00992B6D">
        <w:t xml:space="preserve">been partially achieved. </w:t>
      </w:r>
      <w:r w:rsidR="0058601A" w:rsidRPr="00992B6D">
        <w:t>Concept notes for two new investments focussed on aid for trade and infrastruc</w:t>
      </w:r>
      <w:r w:rsidR="008972C0">
        <w:t xml:space="preserve">ture were approved in 2014-15. </w:t>
      </w:r>
      <w:r w:rsidR="003411AA" w:rsidRPr="00992B6D">
        <w:t>The design</w:t>
      </w:r>
      <w:r w:rsidR="00042C89" w:rsidRPr="00992B6D">
        <w:t>s of these investments are</w:t>
      </w:r>
      <w:r w:rsidR="003411AA" w:rsidRPr="00992B6D">
        <w:t xml:space="preserve"> expected to be completed </w:t>
      </w:r>
      <w:r w:rsidR="00AE0761" w:rsidRPr="00992B6D">
        <w:t>in</w:t>
      </w:r>
      <w:r w:rsidR="0058601A" w:rsidRPr="00992B6D">
        <w:t xml:space="preserve"> 2016. </w:t>
      </w:r>
    </w:p>
    <w:p w14:paraId="5FE52615" w14:textId="77777777" w:rsidR="00C67D5E" w:rsidRDefault="00C67D5E" w:rsidP="00C67D5E">
      <w:pPr>
        <w:pStyle w:val="Heading3"/>
      </w:pPr>
      <w:r w:rsidRPr="00C57923">
        <w:t xml:space="preserve">Objective </w:t>
      </w:r>
      <w:r>
        <w:t xml:space="preserve">3 </w:t>
      </w:r>
      <w:r w:rsidRPr="00346C2F">
        <w:t>Promoting better disaster preparedness and response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4"/>
      </w:tblGrid>
      <w:tr w:rsidR="00C67D5E" w14:paraId="450A6FEB" w14:textId="77777777" w:rsidTr="008D011A">
        <w:tc>
          <w:tcPr>
            <w:tcW w:w="817" w:type="dxa"/>
          </w:tcPr>
          <w:p w14:paraId="74F2ED29" w14:textId="77777777" w:rsidR="00C67D5E" w:rsidRDefault="00C67D5E" w:rsidP="008D011A">
            <w:pPr>
              <w:pStyle w:val="ListBullet"/>
              <w:numPr>
                <w:ilvl w:val="0"/>
                <w:numId w:val="0"/>
              </w:numPr>
              <w:tabs>
                <w:tab w:val="clear" w:pos="284"/>
              </w:tabs>
            </w:pPr>
            <w:r>
              <w:t>Rating</w:t>
            </w:r>
          </w:p>
        </w:tc>
        <w:tc>
          <w:tcPr>
            <w:tcW w:w="754" w:type="dxa"/>
            <w:shd w:val="clear" w:color="auto" w:fill="72AF2F"/>
          </w:tcPr>
          <w:p w14:paraId="26812F90" w14:textId="77777777" w:rsidR="00C67D5E" w:rsidRDefault="00C67D5E" w:rsidP="008D011A">
            <w:pPr>
              <w:pStyle w:val="ListBullet"/>
              <w:numPr>
                <w:ilvl w:val="0"/>
                <w:numId w:val="0"/>
              </w:numPr>
              <w:tabs>
                <w:tab w:val="clear" w:pos="284"/>
              </w:tabs>
            </w:pPr>
            <w:r w:rsidRPr="00C67D5E">
              <w:rPr>
                <w:color w:val="FFFFFF" w:themeColor="background1"/>
              </w:rPr>
              <w:t>Green</w:t>
            </w:r>
          </w:p>
        </w:tc>
      </w:tr>
    </w:tbl>
    <w:p w14:paraId="3C746496" w14:textId="482EE3F4" w:rsidR="00C67D5E" w:rsidRPr="00A04025" w:rsidRDefault="00B370E1" w:rsidP="00B370E1">
      <w:pPr>
        <w:pStyle w:val="ListBullet"/>
        <w:numPr>
          <w:ilvl w:val="0"/>
          <w:numId w:val="0"/>
        </w:numPr>
        <w:tabs>
          <w:tab w:val="clear" w:pos="284"/>
        </w:tabs>
      </w:pPr>
      <w:r w:rsidRPr="005C21D0">
        <w:t>The objective is rated green</w:t>
      </w:r>
      <w:r w:rsidR="00067C78" w:rsidRPr="005C21D0">
        <w:t>.</w:t>
      </w:r>
      <w:r w:rsidRPr="005C21D0">
        <w:t xml:space="preserve"> </w:t>
      </w:r>
      <w:r w:rsidR="007610AF" w:rsidRPr="005C21D0">
        <w:t xml:space="preserve">Our disaster risk reduction investments </w:t>
      </w:r>
      <w:r w:rsidR="00FF5F0E" w:rsidRPr="005C21D0">
        <w:t xml:space="preserve">helped prepare </w:t>
      </w:r>
      <w:r w:rsidR="007610AF" w:rsidRPr="005C21D0">
        <w:t xml:space="preserve">Metropolitan Manila and the region suffered no casualties from </w:t>
      </w:r>
      <w:r w:rsidR="00A04025" w:rsidRPr="005C21D0">
        <w:t xml:space="preserve">flooding </w:t>
      </w:r>
      <w:r w:rsidR="007610AF" w:rsidRPr="005C21D0">
        <w:t xml:space="preserve">in 2014-15. </w:t>
      </w:r>
      <w:r w:rsidR="00DA09A2" w:rsidRPr="005C21D0">
        <w:t xml:space="preserve">Australia </w:t>
      </w:r>
      <w:r w:rsidR="007610AF" w:rsidRPr="005C21D0">
        <w:t>also provided</w:t>
      </w:r>
      <w:r w:rsidR="00DA09A2" w:rsidRPr="005C21D0">
        <w:t xml:space="preserve"> timely and effective </w:t>
      </w:r>
      <w:r w:rsidRPr="005C21D0">
        <w:t>humanitarian response</w:t>
      </w:r>
      <w:r w:rsidR="00DA09A2" w:rsidRPr="005C21D0">
        <w:t xml:space="preserve"> for two </w:t>
      </w:r>
      <w:r w:rsidR="007610AF" w:rsidRPr="005C21D0">
        <w:t xml:space="preserve">typhoons which hit </w:t>
      </w:r>
      <w:r w:rsidR="00DA09A2" w:rsidRPr="005C21D0">
        <w:t>the Philippines in 2014-15.</w:t>
      </w:r>
      <w:r w:rsidR="00DA09A2" w:rsidRPr="00A04025">
        <w:t xml:space="preserve"> </w:t>
      </w:r>
    </w:p>
    <w:p w14:paraId="50D946DC" w14:textId="77777777" w:rsidR="00CC324F" w:rsidRDefault="00CC324F">
      <w:pPr>
        <w:spacing w:after="200" w:line="276" w:lineRule="auto"/>
        <w:rPr>
          <w:rFonts w:ascii="Franklin Gothic Book" w:eastAsia="Times New Roman" w:hAnsi="Franklin Gothic Book"/>
          <w:i/>
          <w:sz w:val="21"/>
        </w:rPr>
      </w:pPr>
      <w:r>
        <w:rPr>
          <w:i/>
        </w:rPr>
        <w:br w:type="page"/>
      </w:r>
    </w:p>
    <w:p w14:paraId="0DCBF998" w14:textId="77777777" w:rsidR="007610AF" w:rsidRPr="00E80141" w:rsidRDefault="007610AF" w:rsidP="007610AF">
      <w:pPr>
        <w:pStyle w:val="ListBullet"/>
        <w:numPr>
          <w:ilvl w:val="0"/>
          <w:numId w:val="0"/>
        </w:numPr>
        <w:tabs>
          <w:tab w:val="clear" w:pos="284"/>
        </w:tabs>
        <w:rPr>
          <w:i/>
        </w:rPr>
      </w:pPr>
      <w:r w:rsidRPr="00A04025">
        <w:rPr>
          <w:i/>
        </w:rPr>
        <w:lastRenderedPageBreak/>
        <w:t>Disaster Risk Reduction and Management</w:t>
      </w:r>
    </w:p>
    <w:p w14:paraId="6532E820" w14:textId="527FD65A" w:rsidR="007610AF" w:rsidRPr="00E80141" w:rsidRDefault="007610AF" w:rsidP="007610AF">
      <w:pPr>
        <w:pStyle w:val="ListBullet"/>
        <w:numPr>
          <w:ilvl w:val="0"/>
          <w:numId w:val="0"/>
        </w:numPr>
        <w:tabs>
          <w:tab w:val="clear" w:pos="284"/>
        </w:tabs>
      </w:pPr>
      <w:r w:rsidRPr="00E80141">
        <w:t xml:space="preserve">In 2014-15, Australia continued to help families and individuals recover from Super Typhoon Haiyan which killed 6,300 people and left 4 million homeless. Australia </w:t>
      </w:r>
      <w:r>
        <w:t>helped build 1,533 </w:t>
      </w:r>
      <w:r w:rsidRPr="00E80141">
        <w:t xml:space="preserve">permanent </w:t>
      </w:r>
      <w:r w:rsidR="00F0177A">
        <w:t>houses</w:t>
      </w:r>
      <w:r w:rsidRPr="00E80141">
        <w:t xml:space="preserve"> with water and sanitation facilities in Leyte for the benefit of 7,665</w:t>
      </w:r>
      <w:r>
        <w:t> </w:t>
      </w:r>
      <w:r w:rsidRPr="00E80141">
        <w:t xml:space="preserve">individuals. Australia also helped 6,000 households rebuild their livelihoods and earn an income, and constructed 187 classrooms and 65 daycare centres. Typhoon Haiyan recovery efforts are on track </w:t>
      </w:r>
      <w:r>
        <w:t xml:space="preserve">with investment </w:t>
      </w:r>
      <w:r w:rsidRPr="00E80141">
        <w:t xml:space="preserve">targets achieved </w:t>
      </w:r>
      <w:r>
        <w:t xml:space="preserve">on </w:t>
      </w:r>
      <w:r w:rsidRPr="00E80141">
        <w:t xml:space="preserve">housing, classroom and daycare construction, and livelihood rebuilding. </w:t>
      </w:r>
    </w:p>
    <w:p w14:paraId="6CFFFE65" w14:textId="03B2224F" w:rsidR="007610AF" w:rsidRPr="005C21D0" w:rsidRDefault="00A834D3" w:rsidP="007610AF">
      <w:pPr>
        <w:pStyle w:val="ListBullet"/>
        <w:numPr>
          <w:ilvl w:val="0"/>
          <w:numId w:val="0"/>
        </w:numPr>
        <w:tabs>
          <w:tab w:val="clear" w:pos="284"/>
        </w:tabs>
        <w:rPr>
          <w:strike/>
        </w:rPr>
      </w:pPr>
      <w:r>
        <w:t>In M</w:t>
      </w:r>
      <w:r w:rsidR="007610AF" w:rsidRPr="00E80141">
        <w:t xml:space="preserve">etropolitan Manila, Australia is helping </w:t>
      </w:r>
      <w:r w:rsidR="00F0177A" w:rsidRPr="00E80141">
        <w:t xml:space="preserve">poor </w:t>
      </w:r>
      <w:r w:rsidR="007610AF" w:rsidRPr="00E80141">
        <w:t>urban families better prepare and recover from natural disasters (</w:t>
      </w:r>
      <w:r w:rsidR="007610AF">
        <w:t xml:space="preserve">through the </w:t>
      </w:r>
      <w:r w:rsidR="007610AF" w:rsidRPr="00E80141">
        <w:t xml:space="preserve">Building the Resilience and Awareness of Metro Manila Communities to Natural Disaster and Climate Change Impacts or BRACE Program). In 2014-15 BRACE met its target objectives and completed 11 resettlement plans and assisted in the construction of 1,440 homes for informal settler families living in flood-prone areas. Australia also developed hazard and risk maps for 24 local government units; trained 2,200 staff on the use of </w:t>
      </w:r>
      <w:r w:rsidR="007610AF" w:rsidRPr="005C21D0">
        <w:t>risk analysis in planning; and improved early warning systems in 143 barangays</w:t>
      </w:r>
      <w:r w:rsidR="00A04025" w:rsidRPr="005C21D0">
        <w:t xml:space="preserve">. An independent evaluation </w:t>
      </w:r>
      <w:r w:rsidR="00F0177A">
        <w:t>determined that this Australian-</w:t>
      </w:r>
      <w:r w:rsidR="00A04025" w:rsidRPr="005C21D0">
        <w:t xml:space="preserve">funded disaster risk reduction investment in Metropolitan Manila </w:t>
      </w:r>
      <w:r w:rsidR="00F0177A">
        <w:t xml:space="preserve">helped avoid any </w:t>
      </w:r>
      <w:r w:rsidR="00A04025" w:rsidRPr="005C21D0">
        <w:t>causalities during flooding in 2014-15.</w:t>
      </w:r>
    </w:p>
    <w:p w14:paraId="4DC18D7C" w14:textId="0FC9E409" w:rsidR="00AF6E07" w:rsidRPr="00A04025" w:rsidRDefault="007610AF" w:rsidP="00B370E1">
      <w:pPr>
        <w:pStyle w:val="ListBullet"/>
        <w:numPr>
          <w:ilvl w:val="0"/>
          <w:numId w:val="0"/>
        </w:numPr>
        <w:tabs>
          <w:tab w:val="clear" w:pos="284"/>
        </w:tabs>
      </w:pPr>
      <w:r w:rsidRPr="005C21D0">
        <w:t>Through the Disaster and Climate Risk Management (DCRM) Initiative</w:t>
      </w:r>
      <w:r w:rsidRPr="00E80141">
        <w:t xml:space="preserve">, Australia is helping the Philippines design and implement disaster risk reduction (DRR) and climate change adaptation (CCA) policies. The initiative achieved its key milestone in July 2014 with the National Government adopting guidelines to mainstream DRR and CCA in local Land Use Plans. These guidelines are being used to prepare Comprehensive Land Use Plans in 1,500 Local Governments Units. The initiative has also developed an atlas of earthquake fault lines; drafted </w:t>
      </w:r>
      <w:r>
        <w:t xml:space="preserve">an </w:t>
      </w:r>
      <w:r w:rsidRPr="00E80141">
        <w:t>earthquake contingency plan for Metropolitan Manila</w:t>
      </w:r>
      <w:r>
        <w:t xml:space="preserve"> and flood contingency plans for </w:t>
      </w:r>
      <w:r w:rsidRPr="00E80141">
        <w:t>Cagayan de Oro and Iligan City; and built climate and disaster exposure databases for two cities in Mindanao.</w:t>
      </w:r>
      <w:r>
        <w:t xml:space="preserve"> </w:t>
      </w:r>
      <w:r w:rsidR="004F3A3E" w:rsidRPr="00A04025">
        <w:t>The climate and disaster exposure databases identi</w:t>
      </w:r>
      <w:r w:rsidR="003C2B03" w:rsidRPr="00A04025">
        <w:t>fied</w:t>
      </w:r>
      <w:r w:rsidR="004F3A3E" w:rsidRPr="00A04025">
        <w:t xml:space="preserve"> where people with </w:t>
      </w:r>
      <w:r w:rsidR="0080278A" w:rsidRPr="00A04025">
        <w:t xml:space="preserve">disabilities </w:t>
      </w:r>
      <w:r w:rsidR="004F3A3E" w:rsidRPr="00A04025">
        <w:t>live</w:t>
      </w:r>
      <w:r w:rsidR="00A1413C" w:rsidRPr="00A04025">
        <w:t>,</w:t>
      </w:r>
      <w:r w:rsidR="004F3A3E" w:rsidRPr="00A04025">
        <w:t xml:space="preserve"> to </w:t>
      </w:r>
      <w:r w:rsidR="003C2B03" w:rsidRPr="00A04025">
        <w:t>help plan for add</w:t>
      </w:r>
      <w:r w:rsidR="00F0177A">
        <w:t>itional assistance that they might</w:t>
      </w:r>
      <w:r w:rsidR="003C2B03" w:rsidRPr="00A04025">
        <w:t xml:space="preserve"> need during </w:t>
      </w:r>
      <w:r w:rsidR="0080278A" w:rsidRPr="00A04025">
        <w:t xml:space="preserve">emergencies. </w:t>
      </w:r>
    </w:p>
    <w:p w14:paraId="58439CA4" w14:textId="1DBF5980" w:rsidR="00B370E1" w:rsidRPr="00A04025" w:rsidRDefault="00B370E1" w:rsidP="00B370E1">
      <w:pPr>
        <w:pStyle w:val="ListBullet"/>
        <w:numPr>
          <w:ilvl w:val="0"/>
          <w:numId w:val="0"/>
        </w:numPr>
        <w:tabs>
          <w:tab w:val="clear" w:pos="284"/>
        </w:tabs>
        <w:rPr>
          <w:i/>
        </w:rPr>
      </w:pPr>
      <w:r w:rsidRPr="00A04025">
        <w:rPr>
          <w:i/>
        </w:rPr>
        <w:t>Humanitarian Response</w:t>
      </w:r>
    </w:p>
    <w:p w14:paraId="34DD2ABA" w14:textId="055478A7" w:rsidR="0090786D" w:rsidRPr="00E80141" w:rsidRDefault="00FD5214" w:rsidP="0090786D">
      <w:pPr>
        <w:pStyle w:val="ListBullet"/>
        <w:numPr>
          <w:ilvl w:val="0"/>
          <w:numId w:val="0"/>
        </w:numPr>
        <w:tabs>
          <w:tab w:val="clear" w:pos="284"/>
        </w:tabs>
      </w:pPr>
      <w:r w:rsidRPr="00A04025">
        <w:t xml:space="preserve">In </w:t>
      </w:r>
      <w:r w:rsidR="00232731" w:rsidRPr="00A04025">
        <w:t xml:space="preserve">2014-15, </w:t>
      </w:r>
      <w:r w:rsidR="0090786D" w:rsidRPr="00A04025">
        <w:t>Australia responded</w:t>
      </w:r>
      <w:r w:rsidR="0090786D" w:rsidRPr="00E80141">
        <w:t xml:space="preserve"> </w:t>
      </w:r>
      <w:r w:rsidR="00B06A0E" w:rsidRPr="00E80141">
        <w:t xml:space="preserve">quickly </w:t>
      </w:r>
      <w:r w:rsidR="00E61728" w:rsidRPr="00E80141">
        <w:t xml:space="preserve">to two typhoons, </w:t>
      </w:r>
      <w:r w:rsidR="0090786D" w:rsidRPr="00E80141">
        <w:t>Hagupit (December 2014) a</w:t>
      </w:r>
      <w:r w:rsidR="00E61728" w:rsidRPr="00E80141">
        <w:t>nd Rammasun (July 2014), when they hit the Philippines.</w:t>
      </w:r>
      <w:r w:rsidR="0090786D" w:rsidRPr="00E80141">
        <w:t xml:space="preserve"> </w:t>
      </w:r>
    </w:p>
    <w:p w14:paraId="23BCF1AC" w14:textId="3BEE7394" w:rsidR="0090786D" w:rsidRPr="00E80141" w:rsidRDefault="007F043B" w:rsidP="0090786D">
      <w:pPr>
        <w:pStyle w:val="ListBullet"/>
        <w:numPr>
          <w:ilvl w:val="0"/>
          <w:numId w:val="0"/>
        </w:numPr>
        <w:tabs>
          <w:tab w:val="clear" w:pos="284"/>
        </w:tabs>
      </w:pPr>
      <w:r w:rsidRPr="00E80141">
        <w:t>On December 2014, 18 people were killed and 4</w:t>
      </w:r>
      <w:r w:rsidR="00103C73" w:rsidRPr="00E80141">
        <w:t xml:space="preserve"> million people</w:t>
      </w:r>
      <w:r w:rsidR="008F0ECD" w:rsidRPr="00E80141">
        <w:t xml:space="preserve"> </w:t>
      </w:r>
      <w:r w:rsidR="00103C73" w:rsidRPr="00E80141">
        <w:t xml:space="preserve">affected </w:t>
      </w:r>
      <w:r w:rsidR="00B74DE5" w:rsidRPr="00E80141">
        <w:t>by Typhoon Hagupit (local name Ruby)</w:t>
      </w:r>
      <w:r w:rsidR="0090786D" w:rsidRPr="00E80141">
        <w:t xml:space="preserve">. Australia </w:t>
      </w:r>
      <w:r w:rsidR="002E1454" w:rsidRPr="00E80141">
        <w:t>was prepared</w:t>
      </w:r>
      <w:r w:rsidR="008F0ECD" w:rsidRPr="00E80141">
        <w:t xml:space="preserve">. We </w:t>
      </w:r>
      <w:r w:rsidR="002E1454" w:rsidRPr="00E80141">
        <w:t xml:space="preserve">deployed three DFAT officers to </w:t>
      </w:r>
      <w:r w:rsidR="0021278D" w:rsidRPr="00E80141">
        <w:t>Cebu City</w:t>
      </w:r>
      <w:r w:rsidR="008F0ECD" w:rsidRPr="00E80141">
        <w:t xml:space="preserve"> before the typh</w:t>
      </w:r>
      <w:r w:rsidR="00067C78" w:rsidRPr="00E80141">
        <w:t>oon struck the Philippines, and</w:t>
      </w:r>
      <w:r w:rsidR="008F0ECD" w:rsidRPr="00E80141">
        <w:t xml:space="preserve"> within 24 hours of receiving a request from the Government of the Philippin</w:t>
      </w:r>
      <w:r w:rsidR="00163FB8">
        <w:t>es for assistance, we released AUD</w:t>
      </w:r>
      <w:r w:rsidR="008F0ECD" w:rsidRPr="00E80141">
        <w:t>652,850 worth of prepositioned stocks</w:t>
      </w:r>
      <w:r w:rsidR="00963CBA" w:rsidRPr="00E80141">
        <w:t xml:space="preserve">. This </w:t>
      </w:r>
      <w:r w:rsidR="0090786D" w:rsidRPr="00E80141">
        <w:t xml:space="preserve">assistance consisted of 800 tonnes of rice </w:t>
      </w:r>
      <w:r w:rsidR="00963CBA" w:rsidRPr="00E80141">
        <w:t>(</w:t>
      </w:r>
      <w:r w:rsidR="0090786D" w:rsidRPr="00E80141">
        <w:t>through the World Food Programme</w:t>
      </w:r>
      <w:r w:rsidR="00963CBA" w:rsidRPr="00E80141">
        <w:t>)</w:t>
      </w:r>
      <w:r w:rsidR="0090786D" w:rsidRPr="00E80141">
        <w:t xml:space="preserve">; reproductive health and dignity kits </w:t>
      </w:r>
      <w:r w:rsidR="00963CBA" w:rsidRPr="00E80141">
        <w:t>(</w:t>
      </w:r>
      <w:r w:rsidR="0090786D" w:rsidRPr="00E80141">
        <w:t>through the United Nations Population Fund</w:t>
      </w:r>
      <w:r w:rsidR="00963CBA" w:rsidRPr="00E80141">
        <w:t>)</w:t>
      </w:r>
      <w:r w:rsidR="0090786D" w:rsidRPr="00E80141">
        <w:t>; and family survival kits (sleeping mats, blankets, mosquito nets, jerry ca</w:t>
      </w:r>
      <w:r w:rsidR="00963CBA" w:rsidRPr="00E80141">
        <w:t>ns, hygiene kits and tarpaulins, distributed</w:t>
      </w:r>
      <w:r w:rsidR="0090786D" w:rsidRPr="00E80141">
        <w:t xml:space="preserve"> through the Philippine Red Cross</w:t>
      </w:r>
      <w:r w:rsidR="00963CBA" w:rsidRPr="00E80141">
        <w:t>)</w:t>
      </w:r>
      <w:r w:rsidR="0090786D" w:rsidRPr="00E80141">
        <w:t>.</w:t>
      </w:r>
      <w:r w:rsidR="00DA09A2" w:rsidRPr="00E80141">
        <w:t xml:space="preserve"> </w:t>
      </w:r>
      <w:r w:rsidR="00A834D3" w:rsidRPr="00E80141">
        <w:t>This</w:t>
      </w:r>
      <w:r w:rsidR="0021278D" w:rsidRPr="00E80141">
        <w:t xml:space="preserve"> life-s</w:t>
      </w:r>
      <w:r w:rsidR="00AD0DDC">
        <w:t>aving assistance helped 205,500 </w:t>
      </w:r>
      <w:r w:rsidR="0021278D" w:rsidRPr="00E80141">
        <w:t>people including 3,000 pregnant and lactating women.</w:t>
      </w:r>
    </w:p>
    <w:p w14:paraId="22900DA1" w14:textId="3C697B53" w:rsidR="0090786D" w:rsidRPr="00E80141" w:rsidRDefault="0090786D" w:rsidP="0090786D">
      <w:pPr>
        <w:pStyle w:val="ListBullet"/>
        <w:numPr>
          <w:ilvl w:val="0"/>
          <w:numId w:val="0"/>
        </w:numPr>
        <w:tabs>
          <w:tab w:val="clear" w:pos="284"/>
        </w:tabs>
      </w:pPr>
      <w:r w:rsidRPr="00E80141">
        <w:t>Typhoon Rammasun (local name Glenda)</w:t>
      </w:r>
      <w:r w:rsidR="00963CBA" w:rsidRPr="00E80141">
        <w:t xml:space="preserve"> struck the Philippines in July 2014. It killed</w:t>
      </w:r>
      <w:r w:rsidR="007F043B" w:rsidRPr="00E80141">
        <w:t xml:space="preserve"> 106</w:t>
      </w:r>
      <w:r w:rsidR="00AD0DDC">
        <w:t> </w:t>
      </w:r>
      <w:r w:rsidR="00963CBA" w:rsidRPr="00E80141">
        <w:t xml:space="preserve">people </w:t>
      </w:r>
      <w:r w:rsidRPr="00E80141">
        <w:t xml:space="preserve">and </w:t>
      </w:r>
      <w:r w:rsidR="007F043B" w:rsidRPr="00E80141">
        <w:t>affected 4.7 million people</w:t>
      </w:r>
      <w:r w:rsidR="00163FB8">
        <w:t>. Australia provided AUD</w:t>
      </w:r>
      <w:r w:rsidRPr="00E80141">
        <w:t xml:space="preserve">248,170 worth of prepositioned emergency relief items. The assistance consisted of family survival kits </w:t>
      </w:r>
      <w:r w:rsidR="00A47490" w:rsidRPr="00E80141">
        <w:t>(</w:t>
      </w:r>
      <w:r w:rsidRPr="00E80141">
        <w:t>through the Philippine Red Cross</w:t>
      </w:r>
      <w:r w:rsidR="00A47490" w:rsidRPr="00E80141">
        <w:t>)</w:t>
      </w:r>
      <w:r w:rsidRPr="00E80141">
        <w:t>, and reproductive health and dignity kits</w:t>
      </w:r>
      <w:r w:rsidR="00A47490" w:rsidRPr="00E80141">
        <w:t xml:space="preserve"> (</w:t>
      </w:r>
      <w:r w:rsidRPr="00E80141">
        <w:t>through the United Nations Population Fund</w:t>
      </w:r>
      <w:r w:rsidR="00A47490" w:rsidRPr="00E80141">
        <w:t>)</w:t>
      </w:r>
      <w:r w:rsidRPr="00E80141">
        <w:t xml:space="preserve">. </w:t>
      </w:r>
      <w:r w:rsidR="0021278D" w:rsidRPr="00E80141">
        <w:t>At least 9,000 people were provided with immediate life-saving assistance.</w:t>
      </w:r>
    </w:p>
    <w:p w14:paraId="0B67B188" w14:textId="263A6E8D" w:rsidR="003230AF" w:rsidRPr="00E80141" w:rsidRDefault="003230AF" w:rsidP="0090786D">
      <w:pPr>
        <w:pStyle w:val="ListBullet"/>
        <w:numPr>
          <w:ilvl w:val="0"/>
          <w:numId w:val="0"/>
        </w:numPr>
        <w:tabs>
          <w:tab w:val="clear" w:pos="284"/>
        </w:tabs>
      </w:pPr>
      <w:r w:rsidRPr="00E80141">
        <w:lastRenderedPageBreak/>
        <w:t xml:space="preserve">Australia’s rapid response to Typhoons Hagupit and Rammasun highlights the importance of prepositioning food and non-food-relief items in advance of a natural disaster. At the request of the Government of the Philippines, Australia </w:t>
      </w:r>
      <w:r w:rsidR="0021278D" w:rsidRPr="00E80141">
        <w:t xml:space="preserve">established a new partnership </w:t>
      </w:r>
      <w:r w:rsidRPr="00E80141">
        <w:t>with the Department of Social Welfare and Development to strengthen their capacity to respond to nat</w:t>
      </w:r>
      <w:r w:rsidR="0078769F" w:rsidRPr="00E80141">
        <w:t xml:space="preserve">ural disasters </w:t>
      </w:r>
      <w:r w:rsidRPr="00E80141">
        <w:t xml:space="preserve">through the prepositioning </w:t>
      </w:r>
      <w:r w:rsidR="00F12E62" w:rsidRPr="00E80141">
        <w:t xml:space="preserve">of </w:t>
      </w:r>
      <w:r w:rsidRPr="00E80141">
        <w:t>relief items.</w:t>
      </w:r>
      <w:r w:rsidR="0021278D" w:rsidRPr="00E80141">
        <w:t xml:space="preserve"> Australia’s </w:t>
      </w:r>
      <w:r w:rsidR="00575669" w:rsidRPr="00E80141">
        <w:t xml:space="preserve">humanitarian </w:t>
      </w:r>
      <w:r w:rsidR="0021278D" w:rsidRPr="00E80141">
        <w:t xml:space="preserve">response to Hagupit and Rammasun also </w:t>
      </w:r>
      <w:r w:rsidR="00575669" w:rsidRPr="00E80141">
        <w:t xml:space="preserve">included community education to protect the vulnerable, including girls and boys from violence following a natural disaster. </w:t>
      </w:r>
    </w:p>
    <w:p w14:paraId="01906406" w14:textId="77777777" w:rsidR="00C67D5E" w:rsidRDefault="00C67D5E" w:rsidP="00C67D5E">
      <w:pPr>
        <w:pStyle w:val="Heading3"/>
      </w:pPr>
      <w:r>
        <w:t xml:space="preserve">Objective 4 </w:t>
      </w:r>
      <w:r w:rsidRPr="00F27E70">
        <w:t>Improving conditions for peace and security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4"/>
      </w:tblGrid>
      <w:tr w:rsidR="00C67D5E" w14:paraId="01C752EF" w14:textId="77777777" w:rsidTr="008D011A">
        <w:tc>
          <w:tcPr>
            <w:tcW w:w="817" w:type="dxa"/>
          </w:tcPr>
          <w:p w14:paraId="1B59DED2" w14:textId="77777777" w:rsidR="00C67D5E" w:rsidRDefault="00C67D5E" w:rsidP="008D011A">
            <w:pPr>
              <w:pStyle w:val="ListBullet"/>
              <w:numPr>
                <w:ilvl w:val="0"/>
                <w:numId w:val="0"/>
              </w:numPr>
              <w:tabs>
                <w:tab w:val="clear" w:pos="284"/>
              </w:tabs>
            </w:pPr>
            <w:r>
              <w:t>Rating</w:t>
            </w:r>
          </w:p>
        </w:tc>
        <w:tc>
          <w:tcPr>
            <w:tcW w:w="754" w:type="dxa"/>
            <w:shd w:val="clear" w:color="auto" w:fill="72AF2F"/>
          </w:tcPr>
          <w:p w14:paraId="61C5F14F" w14:textId="77777777" w:rsidR="00C67D5E" w:rsidRDefault="00C67D5E" w:rsidP="008D011A">
            <w:pPr>
              <w:pStyle w:val="ListBullet"/>
              <w:numPr>
                <w:ilvl w:val="0"/>
                <w:numId w:val="0"/>
              </w:numPr>
              <w:tabs>
                <w:tab w:val="clear" w:pos="284"/>
              </w:tabs>
            </w:pPr>
            <w:r w:rsidRPr="00C67D5E">
              <w:rPr>
                <w:color w:val="FFFFFF" w:themeColor="background1"/>
              </w:rPr>
              <w:t>Green</w:t>
            </w:r>
          </w:p>
        </w:tc>
      </w:tr>
    </w:tbl>
    <w:p w14:paraId="56C553EB" w14:textId="76B32134" w:rsidR="004B34F1" w:rsidRPr="00E80141" w:rsidRDefault="00F77C69" w:rsidP="008F1277">
      <w:pPr>
        <w:pStyle w:val="BodyText"/>
        <w:rPr>
          <w:lang w:eastAsia="zh-CN"/>
        </w:rPr>
      </w:pPr>
      <w:r w:rsidRPr="00E80141">
        <w:rPr>
          <w:lang w:eastAsia="zh-CN"/>
        </w:rPr>
        <w:t>The o</w:t>
      </w:r>
      <w:r w:rsidR="008F1277" w:rsidRPr="00E80141">
        <w:rPr>
          <w:lang w:eastAsia="zh-CN"/>
        </w:rPr>
        <w:t xml:space="preserve">bjective is rated green. </w:t>
      </w:r>
      <w:r w:rsidR="004D318B" w:rsidRPr="00E80141">
        <w:rPr>
          <w:lang w:eastAsia="zh-CN"/>
        </w:rPr>
        <w:t>T</w:t>
      </w:r>
      <w:r w:rsidR="008D38EE" w:rsidRPr="00E80141">
        <w:rPr>
          <w:lang w:eastAsia="zh-CN"/>
        </w:rPr>
        <w:t xml:space="preserve">he program </w:t>
      </w:r>
      <w:r w:rsidR="008C4FE6" w:rsidRPr="00E80141">
        <w:rPr>
          <w:lang w:eastAsia="zh-CN"/>
        </w:rPr>
        <w:t>continues</w:t>
      </w:r>
      <w:r w:rsidR="004B34F1" w:rsidRPr="00E80141">
        <w:rPr>
          <w:lang w:eastAsia="zh-CN"/>
        </w:rPr>
        <w:t xml:space="preserve"> to deliver outcomes in a fluid environment where the focus has shifted from reaching a peace agreement to</w:t>
      </w:r>
      <w:r w:rsidR="005F4E53" w:rsidRPr="00E80141">
        <w:rPr>
          <w:lang w:eastAsia="zh-CN"/>
        </w:rPr>
        <w:t xml:space="preserve"> passing</w:t>
      </w:r>
      <w:r w:rsidR="004B34F1" w:rsidRPr="00E80141">
        <w:rPr>
          <w:lang w:eastAsia="zh-CN"/>
        </w:rPr>
        <w:t xml:space="preserve"> </w:t>
      </w:r>
      <w:r w:rsidR="005F4E53" w:rsidRPr="00E80141">
        <w:rPr>
          <w:lang w:eastAsia="zh-CN"/>
        </w:rPr>
        <w:t>legislation that establish</w:t>
      </w:r>
      <w:r w:rsidR="00A478C0" w:rsidRPr="00E80141">
        <w:rPr>
          <w:lang w:eastAsia="zh-CN"/>
        </w:rPr>
        <w:t>es</w:t>
      </w:r>
      <w:r w:rsidR="004B34F1" w:rsidRPr="00E80141">
        <w:rPr>
          <w:lang w:eastAsia="zh-CN"/>
        </w:rPr>
        <w:t xml:space="preserve"> a Bangsamoro government. </w:t>
      </w:r>
      <w:r w:rsidR="00FE28D6" w:rsidRPr="00E80141">
        <w:rPr>
          <w:lang w:eastAsia="zh-CN"/>
        </w:rPr>
        <w:t xml:space="preserve">Given </w:t>
      </w:r>
      <w:r w:rsidR="003B412F" w:rsidRPr="00E80141">
        <w:rPr>
          <w:lang w:eastAsia="zh-CN"/>
        </w:rPr>
        <w:t>the delay in t</w:t>
      </w:r>
      <w:r w:rsidR="00A478C0" w:rsidRPr="00E80141">
        <w:rPr>
          <w:lang w:eastAsia="zh-CN"/>
        </w:rPr>
        <w:t>he passage of the legislation, t</w:t>
      </w:r>
      <w:r w:rsidR="003B412F" w:rsidRPr="00E80141">
        <w:rPr>
          <w:lang w:eastAsia="zh-CN"/>
        </w:rPr>
        <w:t>he program was able to adapt and provide</w:t>
      </w:r>
      <w:r w:rsidR="00A478C0" w:rsidRPr="00E80141">
        <w:rPr>
          <w:lang w:eastAsia="zh-CN"/>
        </w:rPr>
        <w:t>d</w:t>
      </w:r>
      <w:r w:rsidR="003B412F" w:rsidRPr="00E80141">
        <w:rPr>
          <w:lang w:eastAsia="zh-CN"/>
        </w:rPr>
        <w:t xml:space="preserve"> information to counter negative sentiments</w:t>
      </w:r>
      <w:r w:rsidR="00A478C0" w:rsidRPr="00E80141">
        <w:rPr>
          <w:lang w:eastAsia="zh-CN"/>
        </w:rPr>
        <w:t xml:space="preserve"> on the peace process whilst </w:t>
      </w:r>
      <w:r w:rsidR="003B412F" w:rsidRPr="00E80141">
        <w:rPr>
          <w:lang w:eastAsia="zh-CN"/>
        </w:rPr>
        <w:t xml:space="preserve">working with </w:t>
      </w:r>
      <w:r w:rsidR="00A478C0" w:rsidRPr="00E80141">
        <w:rPr>
          <w:lang w:eastAsia="zh-CN"/>
        </w:rPr>
        <w:t xml:space="preserve">program partners to deliver development </w:t>
      </w:r>
      <w:r w:rsidR="001A24FB" w:rsidRPr="00E80141">
        <w:rPr>
          <w:lang w:eastAsia="zh-CN"/>
        </w:rPr>
        <w:t>outcomes</w:t>
      </w:r>
      <w:r w:rsidR="00A478C0" w:rsidRPr="00E80141">
        <w:rPr>
          <w:lang w:eastAsia="zh-CN"/>
        </w:rPr>
        <w:t>.</w:t>
      </w:r>
      <w:r w:rsidR="00A9025B" w:rsidRPr="00E80141">
        <w:rPr>
          <w:lang w:eastAsia="zh-CN"/>
        </w:rPr>
        <w:t xml:space="preserve"> </w:t>
      </w:r>
      <w:r w:rsidR="001A24FB" w:rsidRPr="00E80141">
        <w:rPr>
          <w:lang w:eastAsia="zh-CN"/>
        </w:rPr>
        <w:t xml:space="preserve">Australia has built partnerships with key stakeholders and is part of key policy discussions on peace and security in Mindanao. </w:t>
      </w:r>
      <w:r w:rsidR="00A478C0" w:rsidRPr="00E80141">
        <w:rPr>
          <w:lang w:eastAsia="zh-CN"/>
        </w:rPr>
        <w:t xml:space="preserve">Australia is also providing an education to children and youth </w:t>
      </w:r>
      <w:r w:rsidR="001A24FB" w:rsidRPr="00E80141">
        <w:rPr>
          <w:lang w:eastAsia="zh-CN"/>
        </w:rPr>
        <w:t xml:space="preserve">in Mindanao (see objective 1) </w:t>
      </w:r>
      <w:r w:rsidR="005C0AB2" w:rsidRPr="00E80141">
        <w:rPr>
          <w:lang w:eastAsia="zh-CN"/>
        </w:rPr>
        <w:t xml:space="preserve">thereby </w:t>
      </w:r>
      <w:r w:rsidR="00A478C0" w:rsidRPr="00E80141">
        <w:rPr>
          <w:lang w:eastAsia="zh-CN"/>
        </w:rPr>
        <w:t>facilitating a better environment for peace.</w:t>
      </w:r>
      <w:r w:rsidR="00FE28D6" w:rsidRPr="00E80141">
        <w:rPr>
          <w:lang w:eastAsia="zh-CN"/>
        </w:rPr>
        <w:t xml:space="preserve"> </w:t>
      </w:r>
    </w:p>
    <w:p w14:paraId="206F3FFE" w14:textId="5139C33F" w:rsidR="0016015F" w:rsidRPr="00E80141" w:rsidRDefault="0016015F" w:rsidP="004B34F1">
      <w:pPr>
        <w:pStyle w:val="BodyText"/>
        <w:rPr>
          <w:lang w:eastAsia="zh-CN"/>
        </w:rPr>
      </w:pPr>
      <w:r w:rsidRPr="00E80141">
        <w:rPr>
          <w:lang w:eastAsia="zh-CN"/>
        </w:rPr>
        <w:t xml:space="preserve">Australia’s national interests, as well as our interests in regional stability motivate programs in Mindanao that contribute to a more credible and widely supported </w:t>
      </w:r>
      <w:r w:rsidR="001A24FB" w:rsidRPr="00E80141">
        <w:rPr>
          <w:lang w:eastAsia="zh-CN"/>
        </w:rPr>
        <w:t>peace agreement, heighten</w:t>
      </w:r>
      <w:r w:rsidR="00BA5CA3" w:rsidRPr="00E80141">
        <w:rPr>
          <w:lang w:eastAsia="zh-CN"/>
        </w:rPr>
        <w:t>s</w:t>
      </w:r>
      <w:r w:rsidRPr="00E80141">
        <w:rPr>
          <w:lang w:eastAsia="zh-CN"/>
        </w:rPr>
        <w:t xml:space="preserve"> institutional capacity to imple</w:t>
      </w:r>
      <w:r w:rsidR="001A24FB" w:rsidRPr="00E80141">
        <w:rPr>
          <w:lang w:eastAsia="zh-CN"/>
        </w:rPr>
        <w:t>me</w:t>
      </w:r>
      <w:r w:rsidR="00BA5CA3" w:rsidRPr="00E80141">
        <w:rPr>
          <w:lang w:eastAsia="zh-CN"/>
        </w:rPr>
        <w:t>nt the agreement, and strengthens</w:t>
      </w:r>
      <w:r w:rsidRPr="00E80141">
        <w:rPr>
          <w:lang w:eastAsia="zh-CN"/>
        </w:rPr>
        <w:t xml:space="preserve"> local mechanisms for averting the escalation of violence. </w:t>
      </w:r>
      <w:r w:rsidR="005F4E53" w:rsidRPr="00E80141">
        <w:rPr>
          <w:lang w:eastAsia="zh-CN"/>
        </w:rPr>
        <w:t>Australia’s support in</w:t>
      </w:r>
      <w:r w:rsidR="004D318B" w:rsidRPr="00E80141">
        <w:rPr>
          <w:lang w:eastAsia="zh-CN"/>
        </w:rPr>
        <w:t xml:space="preserve"> helping the Philippine Government and the Moro Islamic Liberation Front (MILF) reach a peace agreement was acknowledged by President Aquino at the signing of the landmark </w:t>
      </w:r>
      <w:r w:rsidR="004D318B" w:rsidRPr="00E80141">
        <w:rPr>
          <w:i/>
          <w:lang w:eastAsia="zh-CN"/>
        </w:rPr>
        <w:t>Comprehensive Agreement on the Bangsamoro</w:t>
      </w:r>
      <w:r w:rsidR="00670A28" w:rsidRPr="00E80141">
        <w:rPr>
          <w:lang w:eastAsia="zh-CN"/>
        </w:rPr>
        <w:t xml:space="preserve"> on 27 March 2014</w:t>
      </w:r>
      <w:r w:rsidR="008C4FE6" w:rsidRPr="00E80141">
        <w:rPr>
          <w:lang w:eastAsia="zh-CN"/>
        </w:rPr>
        <w:t xml:space="preserve">. </w:t>
      </w:r>
    </w:p>
    <w:p w14:paraId="6B3147F2" w14:textId="04471CDB" w:rsidR="004D318B" w:rsidRPr="00E80141" w:rsidRDefault="006A67C8" w:rsidP="00FE28D6">
      <w:pPr>
        <w:pStyle w:val="BodyText"/>
        <w:rPr>
          <w:lang w:eastAsia="zh-CN"/>
        </w:rPr>
      </w:pPr>
      <w:r w:rsidRPr="00E80141">
        <w:rPr>
          <w:lang w:eastAsia="zh-CN"/>
        </w:rPr>
        <w:t xml:space="preserve">The </w:t>
      </w:r>
      <w:r w:rsidR="00FE28D6" w:rsidRPr="00E80141">
        <w:rPr>
          <w:lang w:eastAsia="zh-CN"/>
        </w:rPr>
        <w:t xml:space="preserve">long running initiative </w:t>
      </w:r>
      <w:r w:rsidRPr="00E80141">
        <w:rPr>
          <w:lang w:eastAsia="zh-CN"/>
        </w:rPr>
        <w:t>Supporting Peace in Mindanao (</w:t>
      </w:r>
      <w:r w:rsidR="00515C07" w:rsidRPr="00E80141">
        <w:rPr>
          <w:lang w:eastAsia="zh-CN"/>
        </w:rPr>
        <w:t>SPIM</w:t>
      </w:r>
      <w:r w:rsidRPr="00E80141">
        <w:rPr>
          <w:lang w:eastAsia="zh-CN"/>
        </w:rPr>
        <w:t xml:space="preserve">) </w:t>
      </w:r>
      <w:r w:rsidR="00515C07" w:rsidRPr="00E80141">
        <w:rPr>
          <w:lang w:eastAsia="zh-CN"/>
        </w:rPr>
        <w:t>commenc</w:t>
      </w:r>
      <w:r w:rsidR="00007832" w:rsidRPr="00E80141">
        <w:rPr>
          <w:lang w:eastAsia="zh-CN"/>
        </w:rPr>
        <w:t xml:space="preserve">ed </w:t>
      </w:r>
      <w:r w:rsidR="00515C07" w:rsidRPr="00E80141">
        <w:rPr>
          <w:lang w:eastAsia="zh-CN"/>
        </w:rPr>
        <w:t>in June 2005 and end</w:t>
      </w:r>
      <w:r w:rsidR="001D44EF" w:rsidRPr="00E80141">
        <w:rPr>
          <w:lang w:eastAsia="zh-CN"/>
        </w:rPr>
        <w:t>ed</w:t>
      </w:r>
      <w:r w:rsidR="00670A28" w:rsidRPr="00E80141">
        <w:rPr>
          <w:lang w:eastAsia="zh-CN"/>
        </w:rPr>
        <w:t xml:space="preserve"> in June 2015</w:t>
      </w:r>
      <w:r w:rsidR="00007832" w:rsidRPr="00E80141">
        <w:rPr>
          <w:lang w:eastAsia="zh-CN"/>
        </w:rPr>
        <w:t xml:space="preserve">. </w:t>
      </w:r>
      <w:r w:rsidR="00FE28D6" w:rsidRPr="00E80141">
        <w:rPr>
          <w:lang w:eastAsia="zh-CN"/>
        </w:rPr>
        <w:t xml:space="preserve">The initiative </w:t>
      </w:r>
      <w:r w:rsidR="00872912" w:rsidRPr="00E80141">
        <w:rPr>
          <w:lang w:eastAsia="zh-CN"/>
        </w:rPr>
        <w:t xml:space="preserve">disbursed </w:t>
      </w:r>
      <w:r w:rsidR="00FE28D6" w:rsidRPr="00E80141">
        <w:rPr>
          <w:lang w:eastAsia="zh-CN"/>
        </w:rPr>
        <w:t>small grants to non-government organisations, Philippine Government and multilateral agencies. Funding</w:t>
      </w:r>
      <w:r w:rsidR="00830175" w:rsidRPr="00E80141">
        <w:rPr>
          <w:lang w:eastAsia="zh-CN"/>
        </w:rPr>
        <w:t xml:space="preserve"> </w:t>
      </w:r>
      <w:r w:rsidR="00872912" w:rsidRPr="00E80141">
        <w:rPr>
          <w:lang w:eastAsia="zh-CN"/>
        </w:rPr>
        <w:t xml:space="preserve">allowed for </w:t>
      </w:r>
      <w:r w:rsidR="005C0AB2" w:rsidRPr="00E80141">
        <w:rPr>
          <w:lang w:eastAsia="zh-CN"/>
        </w:rPr>
        <w:t xml:space="preserve">the provision of </w:t>
      </w:r>
      <w:r w:rsidR="009C3012" w:rsidRPr="00E80141">
        <w:rPr>
          <w:lang w:eastAsia="zh-CN"/>
        </w:rPr>
        <w:t xml:space="preserve">valued technical assistance </w:t>
      </w:r>
      <w:r w:rsidR="008C4FE6" w:rsidRPr="00E80141">
        <w:rPr>
          <w:lang w:eastAsia="zh-CN"/>
        </w:rPr>
        <w:t xml:space="preserve">to the </w:t>
      </w:r>
      <w:r w:rsidR="001A24FB" w:rsidRPr="00E80141">
        <w:rPr>
          <w:lang w:eastAsia="zh-CN"/>
        </w:rPr>
        <w:t>O</w:t>
      </w:r>
      <w:r w:rsidR="008C4FE6" w:rsidRPr="00E80141">
        <w:rPr>
          <w:lang w:eastAsia="zh-CN"/>
        </w:rPr>
        <w:t>ffice of the Presidential Advisor on the Peace Process and</w:t>
      </w:r>
      <w:r w:rsidR="00FE28D6" w:rsidRPr="00E80141">
        <w:rPr>
          <w:lang w:eastAsia="zh-CN"/>
        </w:rPr>
        <w:t xml:space="preserve"> the MILF </w:t>
      </w:r>
      <w:r w:rsidR="00872912" w:rsidRPr="00E80141">
        <w:rPr>
          <w:lang w:eastAsia="zh-CN"/>
        </w:rPr>
        <w:t>(</w:t>
      </w:r>
      <w:r w:rsidR="00FE28D6" w:rsidRPr="00E80141">
        <w:rPr>
          <w:lang w:eastAsia="zh-CN"/>
        </w:rPr>
        <w:t>through</w:t>
      </w:r>
      <w:r w:rsidR="008C4FE6" w:rsidRPr="00E80141">
        <w:rPr>
          <w:lang w:eastAsia="zh-CN"/>
        </w:rPr>
        <w:t xml:space="preserve"> </w:t>
      </w:r>
      <w:r w:rsidR="00B36D92">
        <w:rPr>
          <w:lang w:eastAsia="zh-CN"/>
        </w:rPr>
        <w:t xml:space="preserve">the </w:t>
      </w:r>
      <w:r w:rsidR="008C4FE6" w:rsidRPr="00E80141">
        <w:rPr>
          <w:lang w:eastAsia="zh-CN"/>
        </w:rPr>
        <w:t xml:space="preserve">Facility for Advisory Support for </w:t>
      </w:r>
      <w:r w:rsidR="00830175" w:rsidRPr="00E80141">
        <w:rPr>
          <w:lang w:eastAsia="zh-CN"/>
        </w:rPr>
        <w:t>Transition Capacities</w:t>
      </w:r>
      <w:r w:rsidR="00872912" w:rsidRPr="00E80141">
        <w:rPr>
          <w:lang w:eastAsia="zh-CN"/>
        </w:rPr>
        <w:t xml:space="preserve"> or </w:t>
      </w:r>
      <w:r w:rsidR="00560008" w:rsidRPr="00E80141">
        <w:rPr>
          <w:lang w:eastAsia="zh-CN"/>
        </w:rPr>
        <w:t>FASTRAC</w:t>
      </w:r>
      <w:r w:rsidR="00B36D92">
        <w:rPr>
          <w:lang w:eastAsia="zh-CN"/>
        </w:rPr>
        <w:t xml:space="preserve">, a </w:t>
      </w:r>
      <w:r w:rsidR="00B36D92" w:rsidRPr="00B36D92">
        <w:rPr>
          <w:lang w:eastAsia="zh-CN"/>
        </w:rPr>
        <w:t>joint United Nations and World Bank initiative</w:t>
      </w:r>
      <w:r w:rsidR="00560008" w:rsidRPr="00E80141">
        <w:rPr>
          <w:lang w:eastAsia="zh-CN"/>
        </w:rPr>
        <w:t>)</w:t>
      </w:r>
      <w:r w:rsidR="00872912" w:rsidRPr="00E80141">
        <w:rPr>
          <w:lang w:eastAsia="zh-CN"/>
        </w:rPr>
        <w:t xml:space="preserve"> </w:t>
      </w:r>
      <w:r w:rsidR="005570DC" w:rsidRPr="00E80141">
        <w:rPr>
          <w:lang w:eastAsia="zh-CN"/>
        </w:rPr>
        <w:t xml:space="preserve">in support of </w:t>
      </w:r>
      <w:r w:rsidR="00872912" w:rsidRPr="00E80141">
        <w:rPr>
          <w:lang w:eastAsia="zh-CN"/>
        </w:rPr>
        <w:t xml:space="preserve">the peace negotiations </w:t>
      </w:r>
      <w:r w:rsidR="005570DC" w:rsidRPr="00E80141">
        <w:rPr>
          <w:lang w:eastAsia="zh-CN"/>
        </w:rPr>
        <w:t xml:space="preserve">and subsequent </w:t>
      </w:r>
      <w:r w:rsidR="00872912" w:rsidRPr="00E80141">
        <w:rPr>
          <w:lang w:eastAsia="zh-CN"/>
        </w:rPr>
        <w:t>peace agreement.</w:t>
      </w:r>
      <w:r w:rsidR="007C5511" w:rsidRPr="00E80141">
        <w:rPr>
          <w:lang w:eastAsia="zh-CN"/>
        </w:rPr>
        <w:t xml:space="preserve"> </w:t>
      </w:r>
      <w:r w:rsidR="00FE28D6" w:rsidRPr="00E80141">
        <w:rPr>
          <w:lang w:eastAsia="zh-CN"/>
        </w:rPr>
        <w:t xml:space="preserve">Australia also </w:t>
      </w:r>
      <w:r w:rsidR="001A24FB" w:rsidRPr="00E80141">
        <w:rPr>
          <w:lang w:eastAsia="zh-CN"/>
        </w:rPr>
        <w:t>funded</w:t>
      </w:r>
      <w:r w:rsidR="00FE28D6" w:rsidRPr="00E80141">
        <w:rPr>
          <w:lang w:eastAsia="zh-CN"/>
        </w:rPr>
        <w:t xml:space="preserve"> </w:t>
      </w:r>
      <w:r w:rsidR="001A24FB" w:rsidRPr="00E80141">
        <w:rPr>
          <w:lang w:eastAsia="zh-CN"/>
        </w:rPr>
        <w:t xml:space="preserve">the </w:t>
      </w:r>
      <w:r w:rsidR="00FE28D6" w:rsidRPr="00E80141">
        <w:rPr>
          <w:lang w:eastAsia="zh-CN"/>
        </w:rPr>
        <w:t xml:space="preserve">women’s network ‘WeAct 1325’. The network successfully lobbied to have women </w:t>
      </w:r>
      <w:r w:rsidR="005570DC" w:rsidRPr="00E80141">
        <w:rPr>
          <w:lang w:eastAsia="zh-CN"/>
        </w:rPr>
        <w:t xml:space="preserve">represented on </w:t>
      </w:r>
      <w:r w:rsidR="001A24FB" w:rsidRPr="00E80141">
        <w:rPr>
          <w:lang w:eastAsia="zh-CN"/>
        </w:rPr>
        <w:t>Philippine g</w:t>
      </w:r>
      <w:r w:rsidR="00FE28D6" w:rsidRPr="00E80141">
        <w:rPr>
          <w:lang w:eastAsia="zh-CN"/>
        </w:rPr>
        <w:t>overnment and MILF peace panels and provided input into the Bangsamoro Basic Law</w:t>
      </w:r>
      <w:r w:rsidR="000B1C38" w:rsidRPr="00E80141">
        <w:rPr>
          <w:lang w:eastAsia="zh-CN"/>
        </w:rPr>
        <w:t xml:space="preserve"> drafting process</w:t>
      </w:r>
      <w:r w:rsidR="00A819F6" w:rsidRPr="00E80141">
        <w:rPr>
          <w:lang w:eastAsia="zh-CN"/>
        </w:rPr>
        <w:t xml:space="preserve">. An independent evaluation </w:t>
      </w:r>
      <w:r w:rsidR="00FE28D6" w:rsidRPr="00E80141">
        <w:rPr>
          <w:lang w:eastAsia="zh-CN"/>
        </w:rPr>
        <w:t>of SPIM found that it had great strategic value</w:t>
      </w:r>
      <w:r w:rsidR="00A819F6" w:rsidRPr="00E80141">
        <w:rPr>
          <w:lang w:eastAsia="zh-CN"/>
        </w:rPr>
        <w:t xml:space="preserve"> and </w:t>
      </w:r>
      <w:r w:rsidR="001A24FB" w:rsidRPr="00E80141">
        <w:rPr>
          <w:lang w:eastAsia="zh-CN"/>
        </w:rPr>
        <w:t>support</w:t>
      </w:r>
      <w:r w:rsidR="00A819F6" w:rsidRPr="00E80141">
        <w:rPr>
          <w:lang w:eastAsia="zh-CN"/>
        </w:rPr>
        <w:t>ed</w:t>
      </w:r>
      <w:r w:rsidR="001A24FB" w:rsidRPr="00E80141">
        <w:rPr>
          <w:lang w:eastAsia="zh-CN"/>
        </w:rPr>
        <w:t xml:space="preserve"> innovative programs</w:t>
      </w:r>
      <w:r w:rsidR="00A819F6" w:rsidRPr="00E80141">
        <w:rPr>
          <w:lang w:eastAsia="zh-CN"/>
        </w:rPr>
        <w:t>. SPIM allowed small investments in diverse sectors that were relevant to particular period</w:t>
      </w:r>
      <w:r w:rsidR="00BE53B0">
        <w:rPr>
          <w:lang w:eastAsia="zh-CN"/>
        </w:rPr>
        <w:t>s</w:t>
      </w:r>
      <w:r w:rsidR="00A819F6" w:rsidRPr="00E80141">
        <w:rPr>
          <w:lang w:eastAsia="zh-CN"/>
        </w:rPr>
        <w:t xml:space="preserve"> of </w:t>
      </w:r>
      <w:r w:rsidR="00BE53B0">
        <w:rPr>
          <w:lang w:eastAsia="zh-CN"/>
        </w:rPr>
        <w:t xml:space="preserve">the </w:t>
      </w:r>
      <w:r w:rsidR="00A819F6" w:rsidRPr="00E80141">
        <w:rPr>
          <w:lang w:eastAsia="zh-CN"/>
        </w:rPr>
        <w:t xml:space="preserve">peace negotiations, </w:t>
      </w:r>
      <w:r w:rsidR="00FE28D6" w:rsidRPr="00E80141">
        <w:rPr>
          <w:lang w:eastAsia="zh-CN"/>
        </w:rPr>
        <w:t>including in the early phase</w:t>
      </w:r>
      <w:r w:rsidR="005C0AB2" w:rsidRPr="00E80141">
        <w:rPr>
          <w:lang w:eastAsia="zh-CN"/>
        </w:rPr>
        <w:t xml:space="preserve"> where a </w:t>
      </w:r>
      <w:r w:rsidR="000B1C38" w:rsidRPr="00E80141">
        <w:rPr>
          <w:lang w:eastAsia="zh-CN"/>
        </w:rPr>
        <w:t>formal peace process</w:t>
      </w:r>
      <w:r w:rsidR="005C0AB2" w:rsidRPr="00E80141">
        <w:rPr>
          <w:lang w:eastAsia="zh-CN"/>
        </w:rPr>
        <w:t xml:space="preserve"> was absent</w:t>
      </w:r>
      <w:r w:rsidR="000B1C38" w:rsidRPr="00E80141">
        <w:rPr>
          <w:lang w:eastAsia="zh-CN"/>
        </w:rPr>
        <w:t xml:space="preserve">. </w:t>
      </w:r>
      <w:r w:rsidR="00DB5197" w:rsidRPr="00E80141">
        <w:rPr>
          <w:lang w:eastAsia="zh-CN"/>
        </w:rPr>
        <w:t>Independent and internal e</w:t>
      </w:r>
      <w:r w:rsidR="001A04FE" w:rsidRPr="00E80141">
        <w:rPr>
          <w:lang w:eastAsia="zh-CN"/>
        </w:rPr>
        <w:t xml:space="preserve">valuations </w:t>
      </w:r>
      <w:r w:rsidR="005F30CD" w:rsidRPr="00E80141">
        <w:rPr>
          <w:lang w:eastAsia="zh-CN"/>
        </w:rPr>
        <w:t xml:space="preserve">found that </w:t>
      </w:r>
      <w:r w:rsidR="004B34F1" w:rsidRPr="00E80141">
        <w:rPr>
          <w:lang w:eastAsia="zh-CN"/>
        </w:rPr>
        <w:t xml:space="preserve">SPIM </w:t>
      </w:r>
      <w:r w:rsidR="00035C1E" w:rsidRPr="00E80141">
        <w:rPr>
          <w:lang w:eastAsia="zh-CN"/>
        </w:rPr>
        <w:t xml:space="preserve">could </w:t>
      </w:r>
      <w:r w:rsidR="005F30CD" w:rsidRPr="00E80141">
        <w:rPr>
          <w:lang w:eastAsia="zh-CN"/>
        </w:rPr>
        <w:t xml:space="preserve">do </w:t>
      </w:r>
      <w:r w:rsidR="004B34F1" w:rsidRPr="00E80141">
        <w:rPr>
          <w:lang w:eastAsia="zh-CN"/>
        </w:rPr>
        <w:t xml:space="preserve">better on monitoring and </w:t>
      </w:r>
      <w:r w:rsidR="00DB5197" w:rsidRPr="00E80141">
        <w:rPr>
          <w:lang w:eastAsia="zh-CN"/>
        </w:rPr>
        <w:t>evaluation</w:t>
      </w:r>
      <w:r w:rsidR="005F30CD" w:rsidRPr="00E80141">
        <w:rPr>
          <w:lang w:eastAsia="zh-CN"/>
        </w:rPr>
        <w:t>,</w:t>
      </w:r>
      <w:r w:rsidR="004B34F1" w:rsidRPr="00E80141">
        <w:rPr>
          <w:lang w:eastAsia="zh-CN"/>
        </w:rPr>
        <w:t xml:space="preserve"> </w:t>
      </w:r>
      <w:r w:rsidR="00DB5197" w:rsidRPr="00E80141">
        <w:rPr>
          <w:lang w:eastAsia="zh-CN"/>
        </w:rPr>
        <w:t xml:space="preserve">but </w:t>
      </w:r>
      <w:r w:rsidR="00035C1E" w:rsidRPr="00E80141">
        <w:rPr>
          <w:lang w:eastAsia="zh-CN"/>
        </w:rPr>
        <w:t>ac</w:t>
      </w:r>
      <w:r w:rsidR="00804386" w:rsidRPr="00E80141">
        <w:rPr>
          <w:lang w:eastAsia="zh-CN"/>
        </w:rPr>
        <w:t>knowledged the difficulty of ass</w:t>
      </w:r>
      <w:r w:rsidR="00035C1E" w:rsidRPr="00E80141">
        <w:rPr>
          <w:lang w:eastAsia="zh-CN"/>
        </w:rPr>
        <w:t xml:space="preserve">essing the impact of </w:t>
      </w:r>
      <w:r w:rsidR="004B34F1" w:rsidRPr="00E80141">
        <w:rPr>
          <w:lang w:eastAsia="zh-CN"/>
        </w:rPr>
        <w:t xml:space="preserve">a small </w:t>
      </w:r>
      <w:r w:rsidR="00035C1E" w:rsidRPr="00E80141">
        <w:rPr>
          <w:lang w:eastAsia="zh-CN"/>
        </w:rPr>
        <w:t>grants</w:t>
      </w:r>
      <w:r w:rsidR="004B34F1" w:rsidRPr="00E80141">
        <w:rPr>
          <w:lang w:eastAsia="zh-CN"/>
        </w:rPr>
        <w:t xml:space="preserve"> program on peace. </w:t>
      </w:r>
    </w:p>
    <w:p w14:paraId="0BD106CE" w14:textId="13F5445E" w:rsidR="001A4B54" w:rsidRPr="00E80141" w:rsidRDefault="005570DC" w:rsidP="004B34F1">
      <w:pPr>
        <w:pStyle w:val="BodyText"/>
        <w:rPr>
          <w:lang w:eastAsia="zh-CN"/>
        </w:rPr>
      </w:pPr>
      <w:r w:rsidRPr="00E80141">
        <w:rPr>
          <w:lang w:eastAsia="zh-CN"/>
        </w:rPr>
        <w:t xml:space="preserve">The </w:t>
      </w:r>
      <w:r w:rsidR="00AF55E7" w:rsidRPr="00E80141">
        <w:rPr>
          <w:lang w:eastAsia="zh-CN"/>
        </w:rPr>
        <w:t>Building Autonomous and Stable Institutions and Communities in the Bangsamoro (</w:t>
      </w:r>
      <w:r w:rsidR="006A67C8" w:rsidRPr="00E80141">
        <w:rPr>
          <w:lang w:eastAsia="zh-CN"/>
        </w:rPr>
        <w:t>BASIC</w:t>
      </w:r>
      <w:r w:rsidRPr="00E80141">
        <w:rPr>
          <w:lang w:eastAsia="zh-CN"/>
        </w:rPr>
        <w:t xml:space="preserve">) program </w:t>
      </w:r>
      <w:r w:rsidR="005F30CD" w:rsidRPr="00E80141">
        <w:rPr>
          <w:lang w:eastAsia="zh-CN"/>
        </w:rPr>
        <w:t xml:space="preserve">is the successor of SPIM and </w:t>
      </w:r>
      <w:r w:rsidR="00B47DD7" w:rsidRPr="00E80141">
        <w:rPr>
          <w:lang w:eastAsia="zh-CN"/>
        </w:rPr>
        <w:t xml:space="preserve">was launched in late 2014. BASIC is a partnership </w:t>
      </w:r>
      <w:r w:rsidRPr="00E80141">
        <w:rPr>
          <w:lang w:eastAsia="zh-CN"/>
        </w:rPr>
        <w:t>with non-government organisations, both local and international</w:t>
      </w:r>
      <w:r w:rsidR="00BA0DF4" w:rsidRPr="00E80141">
        <w:rPr>
          <w:lang w:eastAsia="zh-CN"/>
        </w:rPr>
        <w:t>.</w:t>
      </w:r>
      <w:r w:rsidR="00B47DD7" w:rsidRPr="00E80141">
        <w:rPr>
          <w:lang w:eastAsia="zh-CN"/>
        </w:rPr>
        <w:t xml:space="preserve"> </w:t>
      </w:r>
      <w:r w:rsidR="00D04638" w:rsidRPr="00E80141">
        <w:rPr>
          <w:lang w:eastAsia="zh-CN"/>
        </w:rPr>
        <w:t xml:space="preserve">The </w:t>
      </w:r>
      <w:r w:rsidRPr="00E80141">
        <w:rPr>
          <w:lang w:eastAsia="zh-CN"/>
        </w:rPr>
        <w:t>program</w:t>
      </w:r>
      <w:r w:rsidR="00D04638" w:rsidRPr="00E80141">
        <w:rPr>
          <w:lang w:eastAsia="zh-CN"/>
        </w:rPr>
        <w:t>’s</w:t>
      </w:r>
      <w:r w:rsidR="004B34F1" w:rsidRPr="00E80141">
        <w:rPr>
          <w:lang w:eastAsia="zh-CN"/>
        </w:rPr>
        <w:t xml:space="preserve"> </w:t>
      </w:r>
      <w:r w:rsidRPr="00E80141">
        <w:rPr>
          <w:lang w:eastAsia="zh-CN"/>
        </w:rPr>
        <w:t>goal</w:t>
      </w:r>
      <w:r w:rsidR="005C0AB2" w:rsidRPr="00E80141">
        <w:rPr>
          <w:lang w:eastAsia="zh-CN"/>
        </w:rPr>
        <w:t>s</w:t>
      </w:r>
      <w:r w:rsidRPr="00E80141">
        <w:rPr>
          <w:lang w:eastAsia="zh-CN"/>
        </w:rPr>
        <w:t xml:space="preserve"> are</w:t>
      </w:r>
      <w:r w:rsidR="004B34F1" w:rsidRPr="00E80141">
        <w:rPr>
          <w:lang w:eastAsia="zh-CN"/>
        </w:rPr>
        <w:t xml:space="preserve"> to </w:t>
      </w:r>
      <w:r w:rsidR="00D04638" w:rsidRPr="00E80141">
        <w:rPr>
          <w:lang w:eastAsia="zh-CN"/>
        </w:rPr>
        <w:t>improve institutional capacity to implement the peace agreement</w:t>
      </w:r>
      <w:r w:rsidRPr="00E80141">
        <w:rPr>
          <w:lang w:eastAsia="zh-CN"/>
        </w:rPr>
        <w:t>, ensure the peace agreement is more credible</w:t>
      </w:r>
      <w:r w:rsidR="005C0AB2" w:rsidRPr="00E80141">
        <w:rPr>
          <w:lang w:eastAsia="zh-CN"/>
        </w:rPr>
        <w:t>,</w:t>
      </w:r>
      <w:r w:rsidRPr="00E80141">
        <w:rPr>
          <w:lang w:eastAsia="zh-CN"/>
        </w:rPr>
        <w:t xml:space="preserve"> and </w:t>
      </w:r>
      <w:r w:rsidR="00D04638" w:rsidRPr="00E80141">
        <w:rPr>
          <w:lang w:eastAsia="zh-CN"/>
        </w:rPr>
        <w:t>strengthen local mechanism for averting an escalation of violence. BASIC is still in its initial phase but is proving to be useful</w:t>
      </w:r>
      <w:r w:rsidR="00BA0DF4" w:rsidRPr="00E80141">
        <w:rPr>
          <w:lang w:eastAsia="zh-CN"/>
        </w:rPr>
        <w:t xml:space="preserve">. It has encouraged the support of business for the </w:t>
      </w:r>
      <w:r w:rsidR="00BA0DF4" w:rsidRPr="00E80141">
        <w:rPr>
          <w:lang w:eastAsia="zh-CN"/>
        </w:rPr>
        <w:lastRenderedPageBreak/>
        <w:t>peace process and provided</w:t>
      </w:r>
      <w:r w:rsidR="00D04638" w:rsidRPr="00E80141">
        <w:rPr>
          <w:lang w:eastAsia="zh-CN"/>
        </w:rPr>
        <w:t xml:space="preserve"> a space for </w:t>
      </w:r>
      <w:r w:rsidR="00BA0DF4" w:rsidRPr="00E80141">
        <w:rPr>
          <w:lang w:eastAsia="zh-CN"/>
        </w:rPr>
        <w:t xml:space="preserve">the </w:t>
      </w:r>
      <w:r w:rsidR="00D04638" w:rsidRPr="00E80141">
        <w:rPr>
          <w:lang w:eastAsia="zh-CN"/>
        </w:rPr>
        <w:t xml:space="preserve">community to </w:t>
      </w:r>
      <w:r w:rsidR="00BA0DF4" w:rsidRPr="00E80141">
        <w:rPr>
          <w:lang w:eastAsia="zh-CN"/>
        </w:rPr>
        <w:t>express alternative views</w:t>
      </w:r>
      <w:r w:rsidR="00D04638" w:rsidRPr="00E80141">
        <w:rPr>
          <w:lang w:eastAsia="zh-CN"/>
        </w:rPr>
        <w:t xml:space="preserve"> on</w:t>
      </w:r>
      <w:r w:rsidR="00BA0DF4" w:rsidRPr="00E80141">
        <w:rPr>
          <w:lang w:eastAsia="zh-CN"/>
        </w:rPr>
        <w:t xml:space="preserve"> the peace agreement. </w:t>
      </w:r>
      <w:r w:rsidR="00D04638" w:rsidRPr="00E80141">
        <w:rPr>
          <w:lang w:eastAsia="zh-CN"/>
        </w:rPr>
        <w:t xml:space="preserve">In 2014-15 BASIC </w:t>
      </w:r>
      <w:r w:rsidR="00BA5CA3" w:rsidRPr="00E80141">
        <w:rPr>
          <w:lang w:eastAsia="zh-CN"/>
        </w:rPr>
        <w:t>helped resolve</w:t>
      </w:r>
      <w:r w:rsidR="00146F1B" w:rsidRPr="00E80141">
        <w:rPr>
          <w:lang w:eastAsia="zh-CN"/>
        </w:rPr>
        <w:t xml:space="preserve"> a </w:t>
      </w:r>
      <w:r w:rsidRPr="00E80141">
        <w:rPr>
          <w:lang w:eastAsia="zh-CN"/>
        </w:rPr>
        <w:t xml:space="preserve">long-standing </w:t>
      </w:r>
      <w:r w:rsidR="00146F1B" w:rsidRPr="00E80141">
        <w:rPr>
          <w:lang w:eastAsia="zh-CN"/>
        </w:rPr>
        <w:t>clan conflict in North Cotabato</w:t>
      </w:r>
      <w:r w:rsidR="00D04638" w:rsidRPr="00E80141">
        <w:rPr>
          <w:lang w:eastAsia="zh-CN"/>
        </w:rPr>
        <w:t>. T</w:t>
      </w:r>
      <w:r w:rsidR="00146F1B" w:rsidRPr="00E80141">
        <w:rPr>
          <w:lang w:eastAsia="zh-CN"/>
        </w:rPr>
        <w:t xml:space="preserve">hrough </w:t>
      </w:r>
      <w:r w:rsidR="00D04638" w:rsidRPr="00E80141">
        <w:rPr>
          <w:lang w:eastAsia="zh-CN"/>
        </w:rPr>
        <w:t xml:space="preserve">facilitating a </w:t>
      </w:r>
      <w:r w:rsidR="00146F1B" w:rsidRPr="00E80141">
        <w:rPr>
          <w:lang w:eastAsia="zh-CN"/>
        </w:rPr>
        <w:t>dialogue</w:t>
      </w:r>
      <w:r w:rsidR="000357DF" w:rsidRPr="00E80141">
        <w:rPr>
          <w:lang w:eastAsia="zh-CN"/>
        </w:rPr>
        <w:t xml:space="preserve"> between clans, the MILF and </w:t>
      </w:r>
      <w:r w:rsidR="00793A6B" w:rsidRPr="00E80141">
        <w:rPr>
          <w:lang w:eastAsia="zh-CN"/>
        </w:rPr>
        <w:t>Philippine</w:t>
      </w:r>
      <w:r w:rsidR="005F30CD" w:rsidRPr="00E80141">
        <w:rPr>
          <w:lang w:eastAsia="zh-CN"/>
        </w:rPr>
        <w:t xml:space="preserve"> </w:t>
      </w:r>
      <w:r w:rsidR="00D04638" w:rsidRPr="00E80141">
        <w:rPr>
          <w:lang w:eastAsia="zh-CN"/>
        </w:rPr>
        <w:t xml:space="preserve">government, a </w:t>
      </w:r>
      <w:r w:rsidR="00146F1B" w:rsidRPr="00E80141">
        <w:rPr>
          <w:lang w:eastAsia="zh-CN"/>
        </w:rPr>
        <w:t xml:space="preserve">formal agreement </w:t>
      </w:r>
      <w:r w:rsidR="002917F0" w:rsidRPr="00E80141">
        <w:rPr>
          <w:lang w:eastAsia="zh-CN"/>
        </w:rPr>
        <w:t>was reached that set</w:t>
      </w:r>
      <w:r w:rsidR="00146F1B" w:rsidRPr="00E80141">
        <w:rPr>
          <w:lang w:eastAsia="zh-CN"/>
        </w:rPr>
        <w:t xml:space="preserve"> out compensation, a right of return for people who have fled, and land boundaries.</w:t>
      </w:r>
      <w:r w:rsidR="00DC351E" w:rsidRPr="00E80141">
        <w:rPr>
          <w:lang w:eastAsia="zh-CN"/>
        </w:rPr>
        <w:t xml:space="preserve"> </w:t>
      </w:r>
      <w:r w:rsidRPr="00E80141">
        <w:rPr>
          <w:lang w:eastAsia="zh-CN"/>
        </w:rPr>
        <w:t xml:space="preserve">BASIC </w:t>
      </w:r>
      <w:r w:rsidR="001A4B54" w:rsidRPr="00E80141">
        <w:rPr>
          <w:lang w:eastAsia="zh-CN"/>
        </w:rPr>
        <w:t xml:space="preserve">has also </w:t>
      </w:r>
      <w:r w:rsidR="00602902" w:rsidRPr="00E80141">
        <w:rPr>
          <w:lang w:eastAsia="zh-CN"/>
        </w:rPr>
        <w:t xml:space="preserve">improved the gender balance </w:t>
      </w:r>
      <w:r w:rsidR="00BA5CA3" w:rsidRPr="00E80141">
        <w:rPr>
          <w:lang w:eastAsia="zh-CN"/>
        </w:rPr>
        <w:t>in</w:t>
      </w:r>
      <w:r w:rsidR="00602902" w:rsidRPr="00E80141">
        <w:rPr>
          <w:lang w:eastAsia="zh-CN"/>
        </w:rPr>
        <w:t xml:space="preserve"> public consultations for </w:t>
      </w:r>
      <w:r w:rsidR="001A4B54" w:rsidRPr="00E80141">
        <w:rPr>
          <w:lang w:eastAsia="zh-CN"/>
        </w:rPr>
        <w:t xml:space="preserve">the peace process. In 2014-15, BASIC helped facilitate the </w:t>
      </w:r>
      <w:r w:rsidR="00602902" w:rsidRPr="00E80141">
        <w:rPr>
          <w:lang w:eastAsia="zh-CN"/>
        </w:rPr>
        <w:t xml:space="preserve">attendance </w:t>
      </w:r>
      <w:r w:rsidR="001A4B54" w:rsidRPr="00E80141">
        <w:rPr>
          <w:lang w:eastAsia="zh-CN"/>
        </w:rPr>
        <w:t xml:space="preserve">of 1,725 women in public consultations </w:t>
      </w:r>
      <w:r w:rsidR="00602902" w:rsidRPr="00E80141">
        <w:rPr>
          <w:lang w:eastAsia="zh-CN"/>
        </w:rPr>
        <w:t xml:space="preserve">including </w:t>
      </w:r>
      <w:r w:rsidR="001A4B54" w:rsidRPr="00E80141">
        <w:rPr>
          <w:lang w:eastAsia="zh-CN"/>
        </w:rPr>
        <w:t xml:space="preserve">three women specific </w:t>
      </w:r>
      <w:r w:rsidR="00602902" w:rsidRPr="00E80141">
        <w:rPr>
          <w:lang w:eastAsia="zh-CN"/>
        </w:rPr>
        <w:t>meetings.</w:t>
      </w:r>
    </w:p>
    <w:p w14:paraId="2CE9A9EE" w14:textId="5DE4AACE" w:rsidR="00AF55E7" w:rsidRPr="00E80141" w:rsidRDefault="002917F0" w:rsidP="00C028C8">
      <w:pPr>
        <w:pStyle w:val="BodyText"/>
        <w:rPr>
          <w:lang w:eastAsia="zh-CN"/>
        </w:rPr>
      </w:pPr>
      <w:r w:rsidRPr="00E80141">
        <w:rPr>
          <w:lang w:eastAsia="zh-CN"/>
        </w:rPr>
        <w:t>Australia continue</w:t>
      </w:r>
      <w:r w:rsidR="00D166FE" w:rsidRPr="00E80141">
        <w:rPr>
          <w:lang w:eastAsia="zh-CN"/>
        </w:rPr>
        <w:t>d</w:t>
      </w:r>
      <w:r w:rsidR="000357DF" w:rsidRPr="00E80141">
        <w:rPr>
          <w:lang w:eastAsia="zh-CN"/>
        </w:rPr>
        <w:t xml:space="preserve"> to support </w:t>
      </w:r>
      <w:r w:rsidRPr="00E80141">
        <w:rPr>
          <w:lang w:eastAsia="zh-CN"/>
        </w:rPr>
        <w:t xml:space="preserve">FASTRAC </w:t>
      </w:r>
      <w:r w:rsidR="00BA0DF4" w:rsidRPr="00E80141">
        <w:rPr>
          <w:lang w:eastAsia="zh-CN"/>
        </w:rPr>
        <w:t xml:space="preserve">in 2014-15. FASTRAC </w:t>
      </w:r>
      <w:r w:rsidR="00602902" w:rsidRPr="00E80141">
        <w:rPr>
          <w:lang w:eastAsia="zh-CN"/>
        </w:rPr>
        <w:t xml:space="preserve">provided technical assistance to the Bangsamoro Transition Commission in the drafting of </w:t>
      </w:r>
      <w:r w:rsidRPr="00E80141">
        <w:rPr>
          <w:lang w:eastAsia="zh-CN"/>
        </w:rPr>
        <w:t>the B</w:t>
      </w:r>
      <w:r w:rsidR="000357DF" w:rsidRPr="00E80141">
        <w:rPr>
          <w:lang w:eastAsia="zh-CN"/>
        </w:rPr>
        <w:t xml:space="preserve">angsamoro </w:t>
      </w:r>
      <w:r w:rsidRPr="00E80141">
        <w:rPr>
          <w:lang w:eastAsia="zh-CN"/>
        </w:rPr>
        <w:t>Basic L</w:t>
      </w:r>
      <w:r w:rsidR="000357DF" w:rsidRPr="00E80141">
        <w:rPr>
          <w:lang w:eastAsia="zh-CN"/>
        </w:rPr>
        <w:t>aw</w:t>
      </w:r>
      <w:r w:rsidR="00BA0DF4" w:rsidRPr="00E80141">
        <w:rPr>
          <w:lang w:eastAsia="zh-CN"/>
        </w:rPr>
        <w:t xml:space="preserve"> (BBL) which </w:t>
      </w:r>
      <w:r w:rsidR="00F77C69" w:rsidRPr="00E80141">
        <w:rPr>
          <w:lang w:eastAsia="zh-CN"/>
        </w:rPr>
        <w:t xml:space="preserve">enacts the </w:t>
      </w:r>
      <w:r w:rsidR="00BA0DF4" w:rsidRPr="00E80141">
        <w:rPr>
          <w:lang w:eastAsia="zh-CN"/>
        </w:rPr>
        <w:t xml:space="preserve">peace agreement </w:t>
      </w:r>
      <w:r w:rsidR="00F77C69" w:rsidRPr="00E80141">
        <w:rPr>
          <w:lang w:eastAsia="zh-CN"/>
        </w:rPr>
        <w:t xml:space="preserve">and </w:t>
      </w:r>
      <w:r w:rsidR="00560008" w:rsidRPr="00E80141">
        <w:rPr>
          <w:lang w:eastAsia="zh-CN"/>
        </w:rPr>
        <w:t>articulates</w:t>
      </w:r>
      <w:r w:rsidR="00F77C69" w:rsidRPr="00E80141">
        <w:rPr>
          <w:lang w:eastAsia="zh-CN"/>
        </w:rPr>
        <w:t xml:space="preserve"> the basic structure of government for the Bangsamoro. </w:t>
      </w:r>
      <w:r w:rsidR="003A7291" w:rsidRPr="00E80141">
        <w:rPr>
          <w:lang w:eastAsia="zh-CN"/>
        </w:rPr>
        <w:t xml:space="preserve">FASTRAC </w:t>
      </w:r>
      <w:r w:rsidR="00D166FE" w:rsidRPr="00E80141">
        <w:rPr>
          <w:lang w:eastAsia="zh-CN"/>
        </w:rPr>
        <w:t xml:space="preserve">is </w:t>
      </w:r>
      <w:r w:rsidR="003A7291" w:rsidRPr="00E80141">
        <w:rPr>
          <w:lang w:eastAsia="zh-CN"/>
        </w:rPr>
        <w:t xml:space="preserve">also supporting </w:t>
      </w:r>
      <w:r w:rsidR="00E80141" w:rsidRPr="00E80141">
        <w:rPr>
          <w:lang w:eastAsia="zh-CN"/>
        </w:rPr>
        <w:t>key transitional bodies in</w:t>
      </w:r>
      <w:r w:rsidR="00602902" w:rsidRPr="00E80141">
        <w:rPr>
          <w:lang w:eastAsia="zh-CN"/>
        </w:rPr>
        <w:t xml:space="preserve"> the normalisation process. This includes </w:t>
      </w:r>
      <w:r w:rsidR="00C028C8" w:rsidRPr="00E80141">
        <w:rPr>
          <w:lang w:eastAsia="zh-CN"/>
        </w:rPr>
        <w:t xml:space="preserve">the </w:t>
      </w:r>
      <w:r w:rsidR="00D166FE" w:rsidRPr="00E80141">
        <w:rPr>
          <w:lang w:eastAsia="zh-CN"/>
        </w:rPr>
        <w:t>Transitional Justice and Reconciliation Commission</w:t>
      </w:r>
      <w:r w:rsidR="00602902" w:rsidRPr="00E80141">
        <w:rPr>
          <w:lang w:eastAsia="zh-CN"/>
        </w:rPr>
        <w:t xml:space="preserve"> which is redressing unresolved legitimate grievances</w:t>
      </w:r>
      <w:r w:rsidR="00BA5CA3" w:rsidRPr="00E80141">
        <w:rPr>
          <w:lang w:eastAsia="zh-CN"/>
        </w:rPr>
        <w:t>,</w:t>
      </w:r>
      <w:r w:rsidR="00D166FE" w:rsidRPr="00E80141">
        <w:rPr>
          <w:lang w:eastAsia="zh-CN"/>
        </w:rPr>
        <w:t xml:space="preserve"> </w:t>
      </w:r>
      <w:r w:rsidR="00C028C8" w:rsidRPr="00E80141">
        <w:rPr>
          <w:lang w:eastAsia="zh-CN"/>
        </w:rPr>
        <w:t xml:space="preserve">and </w:t>
      </w:r>
      <w:r w:rsidR="00602902" w:rsidRPr="00E80141">
        <w:rPr>
          <w:lang w:eastAsia="zh-CN"/>
        </w:rPr>
        <w:t xml:space="preserve">the </w:t>
      </w:r>
      <w:r w:rsidR="00BA5CA3" w:rsidRPr="00E80141">
        <w:rPr>
          <w:lang w:eastAsia="zh-CN"/>
        </w:rPr>
        <w:t>Joint Normalisation Committee who oversees</w:t>
      </w:r>
      <w:r w:rsidR="00C91CA5">
        <w:rPr>
          <w:lang w:eastAsia="zh-CN"/>
        </w:rPr>
        <w:t xml:space="preserve"> the normalisation process.</w:t>
      </w:r>
    </w:p>
    <w:p w14:paraId="319D2B8B" w14:textId="4EDD29E7" w:rsidR="007418FC" w:rsidRPr="007418FC" w:rsidRDefault="00C028C8" w:rsidP="007418FC">
      <w:pPr>
        <w:pStyle w:val="BodyText"/>
        <w:rPr>
          <w:lang w:val="en-US"/>
        </w:rPr>
      </w:pPr>
      <w:r w:rsidRPr="00776CC7">
        <w:rPr>
          <w:lang w:eastAsia="zh-CN"/>
        </w:rPr>
        <w:t xml:space="preserve">Australia </w:t>
      </w:r>
      <w:r w:rsidR="00BA5CA3" w:rsidRPr="00776CC7">
        <w:rPr>
          <w:lang w:eastAsia="zh-CN"/>
        </w:rPr>
        <w:t xml:space="preserve">also </w:t>
      </w:r>
      <w:r w:rsidR="006B69BA" w:rsidRPr="00776CC7">
        <w:rPr>
          <w:lang w:eastAsia="zh-CN"/>
        </w:rPr>
        <w:t xml:space="preserve">provided funds to </w:t>
      </w:r>
      <w:r w:rsidR="00D87729">
        <w:rPr>
          <w:lang w:eastAsia="zh-CN"/>
        </w:rPr>
        <w:t>the World Bank-</w:t>
      </w:r>
      <w:r w:rsidR="00602902" w:rsidRPr="00776CC7">
        <w:rPr>
          <w:lang w:eastAsia="zh-CN"/>
        </w:rPr>
        <w:t>administered multi-donor</w:t>
      </w:r>
      <w:r w:rsidRPr="00776CC7">
        <w:rPr>
          <w:lang w:eastAsia="zh-CN"/>
        </w:rPr>
        <w:t xml:space="preserve"> Mindan</w:t>
      </w:r>
      <w:r w:rsidR="00AB3E7B" w:rsidRPr="00776CC7">
        <w:rPr>
          <w:lang w:eastAsia="zh-CN"/>
        </w:rPr>
        <w:t>ao Trust Fund</w:t>
      </w:r>
      <w:r w:rsidR="007418FC" w:rsidRPr="00776CC7">
        <w:rPr>
          <w:lang w:eastAsia="zh-CN"/>
        </w:rPr>
        <w:t xml:space="preserve"> </w:t>
      </w:r>
      <w:r w:rsidR="00602902" w:rsidRPr="00776CC7">
        <w:rPr>
          <w:lang w:eastAsia="zh-CN"/>
        </w:rPr>
        <w:t xml:space="preserve">(MTF). The MTF </w:t>
      </w:r>
      <w:r w:rsidR="006B69BA" w:rsidRPr="00776CC7">
        <w:rPr>
          <w:lang w:eastAsia="zh-CN"/>
        </w:rPr>
        <w:t xml:space="preserve">supported the </w:t>
      </w:r>
      <w:r w:rsidR="00804386" w:rsidRPr="00776CC7">
        <w:rPr>
          <w:lang w:eastAsia="zh-CN"/>
        </w:rPr>
        <w:t>draft</w:t>
      </w:r>
      <w:r w:rsidR="006B69BA" w:rsidRPr="00776CC7">
        <w:rPr>
          <w:lang w:eastAsia="zh-CN"/>
        </w:rPr>
        <w:t>ing</w:t>
      </w:r>
      <w:r w:rsidR="007418FC" w:rsidRPr="00776CC7">
        <w:rPr>
          <w:lang w:eastAsia="zh-CN"/>
        </w:rPr>
        <w:t xml:space="preserve"> </w:t>
      </w:r>
      <w:r w:rsidR="006B69BA" w:rsidRPr="00776CC7">
        <w:rPr>
          <w:lang w:eastAsia="zh-CN"/>
        </w:rPr>
        <w:t xml:space="preserve">of </w:t>
      </w:r>
      <w:r w:rsidRPr="00776CC7">
        <w:rPr>
          <w:lang w:eastAsia="zh-CN"/>
        </w:rPr>
        <w:t>the Bangsamoro Development Plan</w:t>
      </w:r>
      <w:r w:rsidR="007418FC" w:rsidRPr="00776CC7">
        <w:rPr>
          <w:lang w:eastAsia="zh-CN"/>
        </w:rPr>
        <w:t xml:space="preserve"> (BDP)</w:t>
      </w:r>
      <w:r w:rsidR="001104E9" w:rsidRPr="00776CC7">
        <w:rPr>
          <w:lang w:eastAsia="zh-CN"/>
        </w:rPr>
        <w:t xml:space="preserve">, </w:t>
      </w:r>
      <w:r w:rsidRPr="00776CC7">
        <w:rPr>
          <w:lang w:eastAsia="zh-CN"/>
        </w:rPr>
        <w:t>agreed to by the Government of the Philippines and th</w:t>
      </w:r>
      <w:r w:rsidR="007418FC" w:rsidRPr="00776CC7">
        <w:rPr>
          <w:lang w:eastAsia="zh-CN"/>
        </w:rPr>
        <w:t xml:space="preserve">e </w:t>
      </w:r>
      <w:r w:rsidR="00EE711E" w:rsidRPr="00776CC7">
        <w:rPr>
          <w:lang w:eastAsia="zh-CN"/>
        </w:rPr>
        <w:t>MILF</w:t>
      </w:r>
      <w:r w:rsidR="007418FC" w:rsidRPr="00776CC7">
        <w:rPr>
          <w:lang w:eastAsia="zh-CN"/>
        </w:rPr>
        <w:t xml:space="preserve"> and released </w:t>
      </w:r>
      <w:r w:rsidR="00602902" w:rsidRPr="00776CC7">
        <w:rPr>
          <w:lang w:eastAsia="zh-CN"/>
        </w:rPr>
        <w:t>in May 2015</w:t>
      </w:r>
      <w:r w:rsidR="007418FC" w:rsidRPr="00776CC7">
        <w:rPr>
          <w:lang w:eastAsia="zh-CN"/>
        </w:rPr>
        <w:t xml:space="preserve">. </w:t>
      </w:r>
      <w:r w:rsidRPr="00776CC7">
        <w:rPr>
          <w:lang w:eastAsia="zh-CN"/>
        </w:rPr>
        <w:t xml:space="preserve">The BDP </w:t>
      </w:r>
      <w:r w:rsidR="007418FC" w:rsidRPr="00776CC7">
        <w:rPr>
          <w:lang w:val="en-US"/>
        </w:rPr>
        <w:t xml:space="preserve">outlines short and medium-term development strategies for </w:t>
      </w:r>
      <w:r w:rsidR="005144EB" w:rsidRPr="00776CC7">
        <w:rPr>
          <w:lang w:val="en-US"/>
        </w:rPr>
        <w:t xml:space="preserve">the </w:t>
      </w:r>
      <w:r w:rsidR="007418FC" w:rsidRPr="00776CC7">
        <w:rPr>
          <w:lang w:val="en-US"/>
        </w:rPr>
        <w:t>region</w:t>
      </w:r>
      <w:r w:rsidR="00602902" w:rsidRPr="00776CC7">
        <w:rPr>
          <w:lang w:val="en-US"/>
        </w:rPr>
        <w:t>, promotes gr</w:t>
      </w:r>
      <w:r w:rsidR="00BA5CA3" w:rsidRPr="00776CC7">
        <w:rPr>
          <w:lang w:val="en-US"/>
        </w:rPr>
        <w:t>eater access to social services and</w:t>
      </w:r>
      <w:r w:rsidR="00602902" w:rsidRPr="00776CC7">
        <w:rPr>
          <w:lang w:val="en-US"/>
        </w:rPr>
        <w:t xml:space="preserve"> jobs</w:t>
      </w:r>
      <w:r w:rsidR="00BA5CA3" w:rsidRPr="00776CC7">
        <w:rPr>
          <w:lang w:val="en-US"/>
        </w:rPr>
        <w:t>,</w:t>
      </w:r>
      <w:r w:rsidR="00602902" w:rsidRPr="00776CC7">
        <w:rPr>
          <w:lang w:val="en-US"/>
        </w:rPr>
        <w:t xml:space="preserve"> and fosters peace in the Bangsa</w:t>
      </w:r>
      <w:r w:rsidR="001104E9" w:rsidRPr="00776CC7">
        <w:rPr>
          <w:lang w:val="en-US"/>
        </w:rPr>
        <w:t>m</w:t>
      </w:r>
      <w:r w:rsidR="00602902" w:rsidRPr="00776CC7">
        <w:rPr>
          <w:lang w:val="en-US"/>
        </w:rPr>
        <w:t xml:space="preserve">oro. </w:t>
      </w:r>
      <w:r w:rsidR="007418FC" w:rsidRPr="00776CC7">
        <w:rPr>
          <w:lang w:val="en-US"/>
        </w:rPr>
        <w:t xml:space="preserve">The </w:t>
      </w:r>
      <w:r w:rsidR="00602902" w:rsidRPr="00776CC7">
        <w:rPr>
          <w:lang w:val="en-US"/>
        </w:rPr>
        <w:t xml:space="preserve">MTF </w:t>
      </w:r>
      <w:r w:rsidR="007418FC" w:rsidRPr="00776CC7">
        <w:rPr>
          <w:lang w:val="en-US"/>
        </w:rPr>
        <w:t>is also providing health, education and livelihood benefits to selected MILF comb</w:t>
      </w:r>
      <w:r w:rsidR="008F27D6" w:rsidRPr="00776CC7">
        <w:rPr>
          <w:lang w:val="en-US"/>
        </w:rPr>
        <w:t>a</w:t>
      </w:r>
      <w:r w:rsidR="007418FC" w:rsidRPr="00776CC7">
        <w:rPr>
          <w:lang w:val="en-US"/>
        </w:rPr>
        <w:t>tants and their families</w:t>
      </w:r>
      <w:r w:rsidR="00007832" w:rsidRPr="00776CC7">
        <w:rPr>
          <w:lang w:val="en-US"/>
        </w:rPr>
        <w:t xml:space="preserve"> through the Saj</w:t>
      </w:r>
      <w:r w:rsidR="00242745" w:rsidRPr="00776CC7">
        <w:rPr>
          <w:lang w:val="en-US"/>
        </w:rPr>
        <w:t xml:space="preserve">ahatra Bangsamoro program. </w:t>
      </w:r>
      <w:r w:rsidR="00BA5CA3" w:rsidRPr="00776CC7">
        <w:rPr>
          <w:lang w:val="en-US"/>
        </w:rPr>
        <w:t xml:space="preserve">Sajahatra is </w:t>
      </w:r>
      <w:r w:rsidR="00242745" w:rsidRPr="00776CC7">
        <w:rPr>
          <w:lang w:val="en-US"/>
        </w:rPr>
        <w:t>h</w:t>
      </w:r>
      <w:r w:rsidR="00BA0DF4" w:rsidRPr="00776CC7">
        <w:rPr>
          <w:lang w:val="en-US"/>
        </w:rPr>
        <w:t xml:space="preserve">elping to build to trust between Government of the Philippines and the </w:t>
      </w:r>
      <w:r w:rsidR="007418FC" w:rsidRPr="00776CC7">
        <w:rPr>
          <w:lang w:val="en-US"/>
        </w:rPr>
        <w:t>MILF.</w:t>
      </w:r>
      <w:r w:rsidR="00140A8E">
        <w:rPr>
          <w:lang w:val="en-US"/>
        </w:rPr>
        <w:t xml:space="preserve"> </w:t>
      </w:r>
    </w:p>
    <w:p w14:paraId="759C3069" w14:textId="77777777" w:rsidR="00C67D5E" w:rsidRPr="00C67D5E" w:rsidRDefault="00C67D5E" w:rsidP="00C67D5E">
      <w:pPr>
        <w:pStyle w:val="Heading3"/>
      </w:pPr>
      <w:r>
        <w:t xml:space="preserve">Objective 5 </w:t>
      </w:r>
      <w:r w:rsidRPr="00C67D5E">
        <w:t>Building stronger institutions for accountable and inclusive governance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4"/>
      </w:tblGrid>
      <w:tr w:rsidR="00C67D5E" w14:paraId="0B770004" w14:textId="77777777" w:rsidTr="008D011A">
        <w:tc>
          <w:tcPr>
            <w:tcW w:w="817" w:type="dxa"/>
          </w:tcPr>
          <w:p w14:paraId="03FA1FD6" w14:textId="77777777" w:rsidR="00C67D5E" w:rsidRDefault="00C67D5E" w:rsidP="008D011A">
            <w:pPr>
              <w:pStyle w:val="ListBullet"/>
              <w:numPr>
                <w:ilvl w:val="0"/>
                <w:numId w:val="0"/>
              </w:numPr>
              <w:tabs>
                <w:tab w:val="clear" w:pos="284"/>
              </w:tabs>
            </w:pPr>
            <w:r>
              <w:t>Rating</w:t>
            </w:r>
          </w:p>
        </w:tc>
        <w:tc>
          <w:tcPr>
            <w:tcW w:w="754" w:type="dxa"/>
            <w:shd w:val="clear" w:color="auto" w:fill="72AF2F"/>
          </w:tcPr>
          <w:p w14:paraId="2DA4199A" w14:textId="77777777" w:rsidR="00C67D5E" w:rsidRDefault="00C67D5E" w:rsidP="008D011A">
            <w:pPr>
              <w:pStyle w:val="ListBullet"/>
              <w:numPr>
                <w:ilvl w:val="0"/>
                <w:numId w:val="0"/>
              </w:numPr>
              <w:tabs>
                <w:tab w:val="clear" w:pos="284"/>
              </w:tabs>
            </w:pPr>
            <w:r w:rsidRPr="00C67D5E">
              <w:rPr>
                <w:color w:val="FFFFFF" w:themeColor="background1"/>
              </w:rPr>
              <w:t>Green</w:t>
            </w:r>
          </w:p>
        </w:tc>
      </w:tr>
    </w:tbl>
    <w:p w14:paraId="6F484F79" w14:textId="24EB4DFA" w:rsidR="00C67D5E" w:rsidRPr="00E80141" w:rsidRDefault="00A27C99" w:rsidP="00C67D5E">
      <w:pPr>
        <w:pStyle w:val="ListBullet"/>
        <w:numPr>
          <w:ilvl w:val="0"/>
          <w:numId w:val="0"/>
        </w:numPr>
        <w:tabs>
          <w:tab w:val="clear" w:pos="284"/>
        </w:tabs>
        <w:rPr>
          <w:i/>
        </w:rPr>
      </w:pPr>
      <w:r w:rsidRPr="00E80141">
        <w:t>The objective is rated green as strong progress has been ma</w:t>
      </w:r>
      <w:r w:rsidR="005144EB" w:rsidRPr="00E80141">
        <w:t xml:space="preserve">de across the three </w:t>
      </w:r>
      <w:r w:rsidRPr="00E80141">
        <w:t xml:space="preserve">governance investments – </w:t>
      </w:r>
      <w:r w:rsidR="0034097D" w:rsidRPr="00E80141">
        <w:t>Pl</w:t>
      </w:r>
      <w:r w:rsidR="0063560C" w:rsidRPr="00E80141">
        <w:t>atforms for Policy Dialogue, Philippines-Australia Human Resource and Organisational Development Facility</w:t>
      </w:r>
      <w:r w:rsidRPr="00E80141">
        <w:t>; and Public Financial Management</w:t>
      </w:r>
      <w:r w:rsidR="0063560C" w:rsidRPr="00E80141">
        <w:t xml:space="preserve"> Program Phase 2</w:t>
      </w:r>
      <w:r w:rsidRPr="00E80141">
        <w:t>.</w:t>
      </w:r>
    </w:p>
    <w:p w14:paraId="24C8BF38" w14:textId="1382F29E" w:rsidR="005144EB" w:rsidRPr="00E80141" w:rsidRDefault="008F27D6" w:rsidP="008F27D6">
      <w:pPr>
        <w:pStyle w:val="BodyText"/>
        <w:rPr>
          <w:lang w:val="en-US"/>
        </w:rPr>
      </w:pPr>
      <w:r w:rsidRPr="00E80141">
        <w:rPr>
          <w:lang w:val="en-US"/>
        </w:rPr>
        <w:t>Achieving successful and lasting reform not only requires the commitment of government, but support from key stakeholders including the private sector and civil society. Australia, through the Asia Foundation’s Coalition for Change Program</w:t>
      </w:r>
      <w:r w:rsidR="00271552" w:rsidRPr="00E80141">
        <w:rPr>
          <w:lang w:val="en-US"/>
        </w:rPr>
        <w:t xml:space="preserve"> (CFC)</w:t>
      </w:r>
      <w:r w:rsidRPr="00E80141">
        <w:rPr>
          <w:lang w:val="en-US"/>
        </w:rPr>
        <w:t>, is building partnerships between civil society, private sector, academe and government to advocate and secure change that improve</w:t>
      </w:r>
      <w:r w:rsidR="005679AD" w:rsidRPr="00E80141">
        <w:rPr>
          <w:lang w:val="en-US"/>
        </w:rPr>
        <w:t>s lives and promotes prosperity</w:t>
      </w:r>
      <w:r w:rsidR="007C13C6" w:rsidRPr="00E80141">
        <w:rPr>
          <w:lang w:val="en-US"/>
        </w:rPr>
        <w:t>.</w:t>
      </w:r>
    </w:p>
    <w:p w14:paraId="7C2BBD62" w14:textId="77777777" w:rsidR="00CE2908" w:rsidRPr="00C60681" w:rsidRDefault="00271552" w:rsidP="005144EB">
      <w:pPr>
        <w:pStyle w:val="ListBullet"/>
        <w:ind w:left="284" w:hanging="284"/>
      </w:pPr>
      <w:r w:rsidRPr="00E80141">
        <w:rPr>
          <w:lang w:val="en-US"/>
        </w:rPr>
        <w:t xml:space="preserve">CFC </w:t>
      </w:r>
      <w:r w:rsidR="007B6C26" w:rsidRPr="00E80141">
        <w:rPr>
          <w:lang w:val="en-US"/>
        </w:rPr>
        <w:t xml:space="preserve">performed strongly in </w:t>
      </w:r>
      <w:r w:rsidR="00580844">
        <w:t>2014-15 and delivered</w:t>
      </w:r>
      <w:r w:rsidR="00DB0CF1" w:rsidRPr="00E80141">
        <w:t xml:space="preserve"> results in priority areas of the </w:t>
      </w:r>
      <w:r w:rsidR="00EE711E">
        <w:t xml:space="preserve">Australian </w:t>
      </w:r>
      <w:r w:rsidR="00DB0CF1" w:rsidRPr="00E80141">
        <w:t xml:space="preserve">aid program. CFC </w:t>
      </w:r>
      <w:r w:rsidR="008F27D6" w:rsidRPr="00E80141">
        <w:t xml:space="preserve">highlighted </w:t>
      </w:r>
      <w:r w:rsidRPr="00E80141">
        <w:t xml:space="preserve">a </w:t>
      </w:r>
      <w:r w:rsidR="008F27D6" w:rsidRPr="00E80141">
        <w:t>shortfall in the government’s K-12 education reform age</w:t>
      </w:r>
      <w:r w:rsidR="00163FB8">
        <w:t>nda and subsequently secured AUD</w:t>
      </w:r>
      <w:r w:rsidR="00390389" w:rsidRPr="00E80141">
        <w:t>46</w:t>
      </w:r>
      <w:r w:rsidRPr="00E80141">
        <w:t xml:space="preserve"> million of additional funding</w:t>
      </w:r>
      <w:r w:rsidR="000207B5" w:rsidRPr="00E80141">
        <w:t xml:space="preserve"> from </w:t>
      </w:r>
      <w:r w:rsidR="005679AD" w:rsidRPr="00E80141">
        <w:t xml:space="preserve">local and national </w:t>
      </w:r>
      <w:r w:rsidR="00FB6FBF" w:rsidRPr="00E80141">
        <w:t xml:space="preserve">government </w:t>
      </w:r>
      <w:r w:rsidR="005679AD" w:rsidRPr="00E80141">
        <w:t>budgets</w:t>
      </w:r>
      <w:r w:rsidRPr="00E80141">
        <w:t xml:space="preserve">. CFC also </w:t>
      </w:r>
      <w:r w:rsidR="008F27D6" w:rsidRPr="00E80141">
        <w:t>helped the Department of Ed</w:t>
      </w:r>
      <w:r w:rsidR="005144EB" w:rsidRPr="00E80141">
        <w:t xml:space="preserve">ucation secure additional </w:t>
      </w:r>
      <w:r w:rsidR="007C13C6" w:rsidRPr="00E80141">
        <w:t xml:space="preserve">government funding of </w:t>
      </w:r>
      <w:r w:rsidR="00163FB8">
        <w:t>AUD</w:t>
      </w:r>
      <w:r w:rsidR="008F27D6" w:rsidRPr="00E80141">
        <w:t>10 million to acquire land for new schools and address overc</w:t>
      </w:r>
      <w:r w:rsidR="00A400BC" w:rsidRPr="00E80141">
        <w:t>rowding in classrooms</w:t>
      </w:r>
      <w:r w:rsidR="000207B5" w:rsidRPr="00E80141">
        <w:t>.</w:t>
      </w:r>
      <w:r w:rsidR="008F27D6" w:rsidRPr="00E80141">
        <w:t xml:space="preserve"> </w:t>
      </w:r>
      <w:r w:rsidR="000207B5" w:rsidRPr="00E80141">
        <w:t xml:space="preserve">Through a partnership between local Chambers of Commerce and </w:t>
      </w:r>
      <w:r w:rsidR="000207B5" w:rsidRPr="00C60681">
        <w:t>government</w:t>
      </w:r>
      <w:r w:rsidR="00804386" w:rsidRPr="00C60681">
        <w:t>,</w:t>
      </w:r>
      <w:r w:rsidR="000207B5" w:rsidRPr="00C60681">
        <w:t xml:space="preserve"> CFC</w:t>
      </w:r>
      <w:r w:rsidR="008F27D6" w:rsidRPr="00C60681">
        <w:t xml:space="preserve"> increased </w:t>
      </w:r>
      <w:r w:rsidR="007C13C6" w:rsidRPr="00C60681">
        <w:t xml:space="preserve">government </w:t>
      </w:r>
      <w:r w:rsidR="00164A48" w:rsidRPr="00C60681">
        <w:t xml:space="preserve">infrastructure </w:t>
      </w:r>
      <w:r w:rsidR="00163FB8" w:rsidRPr="00C60681">
        <w:t>funding by AUD</w:t>
      </w:r>
      <w:r w:rsidR="00390389" w:rsidRPr="00C60681">
        <w:t>42</w:t>
      </w:r>
      <w:r w:rsidR="000207B5" w:rsidRPr="00C60681">
        <w:t xml:space="preserve"> million</w:t>
      </w:r>
      <w:r w:rsidR="008F27D6" w:rsidRPr="00C60681">
        <w:t xml:space="preserve">. </w:t>
      </w:r>
    </w:p>
    <w:p w14:paraId="3FE17E61" w14:textId="46D94881" w:rsidR="005679AD" w:rsidRPr="00C60681" w:rsidRDefault="000D7382" w:rsidP="005144EB">
      <w:pPr>
        <w:pStyle w:val="ListBullet"/>
        <w:ind w:left="284" w:hanging="284"/>
      </w:pPr>
      <w:r w:rsidRPr="00C60681">
        <w:t xml:space="preserve">CFC also supported Fully Abled Nation, a coalition of civil society organisations, media and government agencies, </w:t>
      </w:r>
      <w:r w:rsidR="00CE2908" w:rsidRPr="00C60681">
        <w:t>to register people</w:t>
      </w:r>
      <w:r w:rsidRPr="00C60681">
        <w:t xml:space="preserve"> with disability for the </w:t>
      </w:r>
      <w:r w:rsidR="00CE2908" w:rsidRPr="00C60681">
        <w:t>upcoming 2016 </w:t>
      </w:r>
      <w:r w:rsidRPr="00C60681">
        <w:t xml:space="preserve">Philippine </w:t>
      </w:r>
      <w:r w:rsidR="00CE2908" w:rsidRPr="00C60681">
        <w:t xml:space="preserve">general election. The coalition also helped draft guidelines for the Commission on Elections so </w:t>
      </w:r>
      <w:r w:rsidR="00D87729">
        <w:t>it</w:t>
      </w:r>
      <w:r w:rsidR="00CE2908" w:rsidRPr="00C60681">
        <w:t xml:space="preserve"> can better assist people with disability vote on the day of the election.</w:t>
      </w:r>
    </w:p>
    <w:p w14:paraId="576B798C" w14:textId="0C376A90" w:rsidR="00EF4FD1" w:rsidRPr="00E80141" w:rsidRDefault="00C2700F" w:rsidP="002C5EF9">
      <w:pPr>
        <w:pStyle w:val="ListBullet"/>
        <w:numPr>
          <w:ilvl w:val="0"/>
          <w:numId w:val="0"/>
        </w:numPr>
        <w:tabs>
          <w:tab w:val="clear" w:pos="284"/>
        </w:tabs>
      </w:pPr>
      <w:r w:rsidRPr="00E80141">
        <w:lastRenderedPageBreak/>
        <w:t xml:space="preserve">Australia, </w:t>
      </w:r>
      <w:r w:rsidR="00E1382E" w:rsidRPr="00E80141">
        <w:t xml:space="preserve">working </w:t>
      </w:r>
      <w:r w:rsidRPr="00E80141">
        <w:t>with the Civil Service Commission</w:t>
      </w:r>
      <w:r w:rsidR="00670FDB" w:rsidRPr="00E80141">
        <w:t xml:space="preserve"> (CSC)</w:t>
      </w:r>
      <w:r w:rsidRPr="00E80141">
        <w:t xml:space="preserve">, is enhancing the skills and capability of public servants in the Philippines. </w:t>
      </w:r>
      <w:r w:rsidR="0063560C" w:rsidRPr="00E80141">
        <w:t>The Philippines-Australia Human Resource and Organisational Development Facility (PAHRODF)</w:t>
      </w:r>
      <w:r w:rsidR="00C671F7" w:rsidRPr="00E80141">
        <w:t xml:space="preserve"> </w:t>
      </w:r>
      <w:r w:rsidR="008A6CDC" w:rsidRPr="00E80141">
        <w:t>provide</w:t>
      </w:r>
      <w:r w:rsidR="00EE711E">
        <w:t>s</w:t>
      </w:r>
      <w:r w:rsidR="00EB24CA" w:rsidRPr="00E80141">
        <w:t xml:space="preserve"> </w:t>
      </w:r>
      <w:r w:rsidR="00A07F17" w:rsidRPr="00E80141">
        <w:t xml:space="preserve">public sector organisations </w:t>
      </w:r>
      <w:r w:rsidR="00EB24CA" w:rsidRPr="00E80141">
        <w:t xml:space="preserve">with </w:t>
      </w:r>
      <w:r w:rsidR="00EF4FD1" w:rsidRPr="00E80141">
        <w:t>training and</w:t>
      </w:r>
      <w:r w:rsidR="00C671F7" w:rsidRPr="00E80141">
        <w:t xml:space="preserve"> </w:t>
      </w:r>
      <w:r w:rsidR="00A07F17" w:rsidRPr="00E80141">
        <w:t>men</w:t>
      </w:r>
      <w:r w:rsidR="00EB24CA" w:rsidRPr="00E80141">
        <w:t xml:space="preserve">toring support, </w:t>
      </w:r>
      <w:r w:rsidR="00A07F17" w:rsidRPr="00E80141">
        <w:t xml:space="preserve">advisory </w:t>
      </w:r>
      <w:r w:rsidR="00EB24CA" w:rsidRPr="00E80141">
        <w:t>services</w:t>
      </w:r>
      <w:r w:rsidR="00A07F17" w:rsidRPr="00E80141">
        <w:t>, and post-graduate scholarships.</w:t>
      </w:r>
      <w:r w:rsidR="00892C98" w:rsidRPr="00E80141">
        <w:t xml:space="preserve"> </w:t>
      </w:r>
    </w:p>
    <w:p w14:paraId="5548D868" w14:textId="104D2B56" w:rsidR="00E3266A" w:rsidRPr="00E80141" w:rsidRDefault="0063560C" w:rsidP="003A16B3">
      <w:pPr>
        <w:pStyle w:val="ListBullet"/>
        <w:ind w:left="284" w:hanging="284"/>
        <w:rPr>
          <w:lang w:val="en-US"/>
        </w:rPr>
      </w:pPr>
      <w:r w:rsidRPr="00E80141">
        <w:rPr>
          <w:lang w:val="en-US"/>
        </w:rPr>
        <w:t>PAHRODF</w:t>
      </w:r>
      <w:r w:rsidR="00615653" w:rsidRPr="00E80141">
        <w:rPr>
          <w:lang w:val="en-US"/>
        </w:rPr>
        <w:t xml:space="preserve"> </w:t>
      </w:r>
      <w:r w:rsidR="00390389" w:rsidRPr="00E80141">
        <w:rPr>
          <w:lang w:val="en-US"/>
        </w:rPr>
        <w:t xml:space="preserve">refocused in 2014-15 and supported new government partners who lead on trade, infrastructure policy and peace in Mindanao. The </w:t>
      </w:r>
      <w:r w:rsidR="00E80141" w:rsidRPr="00E80141">
        <w:rPr>
          <w:lang w:val="en-US"/>
        </w:rPr>
        <w:t>PAHRODF</w:t>
      </w:r>
      <w:r w:rsidR="00390389" w:rsidRPr="00E80141">
        <w:rPr>
          <w:lang w:val="en-US"/>
        </w:rPr>
        <w:t xml:space="preserve"> conducted needs and gap analysis and implemented </w:t>
      </w:r>
      <w:r w:rsidR="00D87729">
        <w:rPr>
          <w:lang w:val="en-US"/>
        </w:rPr>
        <w:t>training programs in human resource and organiz</w:t>
      </w:r>
      <w:r w:rsidR="00D87729" w:rsidRPr="00E80141">
        <w:rPr>
          <w:lang w:val="en-US"/>
        </w:rPr>
        <w:t>ation</w:t>
      </w:r>
      <w:r w:rsidR="00D87729">
        <w:rPr>
          <w:lang w:val="en-US"/>
        </w:rPr>
        <w:t>al</w:t>
      </w:r>
      <w:r w:rsidR="006F5A3F" w:rsidRPr="00E80141">
        <w:rPr>
          <w:lang w:val="en-US"/>
        </w:rPr>
        <w:t xml:space="preserve"> development </w:t>
      </w:r>
      <w:r w:rsidR="00580844">
        <w:rPr>
          <w:lang w:val="en-US"/>
        </w:rPr>
        <w:t xml:space="preserve">for these </w:t>
      </w:r>
      <w:r w:rsidR="00EE711E">
        <w:rPr>
          <w:lang w:val="en-US"/>
        </w:rPr>
        <w:t xml:space="preserve">new </w:t>
      </w:r>
      <w:r w:rsidR="00390389" w:rsidRPr="00E80141">
        <w:rPr>
          <w:lang w:val="en-US"/>
        </w:rPr>
        <w:t xml:space="preserve">government </w:t>
      </w:r>
      <w:r w:rsidR="00580844">
        <w:rPr>
          <w:lang w:val="en-US"/>
        </w:rPr>
        <w:t>partners</w:t>
      </w:r>
      <w:r w:rsidR="00390389" w:rsidRPr="00E80141">
        <w:rPr>
          <w:lang w:val="en-US"/>
        </w:rPr>
        <w:t xml:space="preserve">. </w:t>
      </w:r>
      <w:r w:rsidRPr="00E80141">
        <w:rPr>
          <w:lang w:val="en-US"/>
        </w:rPr>
        <w:t xml:space="preserve">The facility </w:t>
      </w:r>
      <w:r w:rsidR="00C03392" w:rsidRPr="00E80141">
        <w:rPr>
          <w:lang w:val="en-US"/>
        </w:rPr>
        <w:t xml:space="preserve">also </w:t>
      </w:r>
      <w:r w:rsidRPr="00E80141">
        <w:rPr>
          <w:lang w:val="en-US"/>
        </w:rPr>
        <w:t>helped t</w:t>
      </w:r>
      <w:r w:rsidR="00615653" w:rsidRPr="00E80141">
        <w:rPr>
          <w:lang w:val="en-US"/>
        </w:rPr>
        <w:t xml:space="preserve">he Department of Social Welfare and Development </w:t>
      </w:r>
      <w:r w:rsidR="00140547">
        <w:rPr>
          <w:lang w:val="en-US"/>
        </w:rPr>
        <w:t>reduce its personnel-</w:t>
      </w:r>
      <w:r w:rsidRPr="00E80141">
        <w:rPr>
          <w:lang w:val="en-US"/>
        </w:rPr>
        <w:t xml:space="preserve">hiring turnaround time by </w:t>
      </w:r>
      <w:r w:rsidR="00EB24CA" w:rsidRPr="00E80141">
        <w:rPr>
          <w:lang w:val="en-US"/>
        </w:rPr>
        <w:t>3</w:t>
      </w:r>
      <w:r w:rsidR="0002075D">
        <w:rPr>
          <w:lang w:val="en-US"/>
        </w:rPr>
        <w:t>0 per</w:t>
      </w:r>
      <w:r w:rsidR="00184946">
        <w:rPr>
          <w:lang w:val="en-US"/>
        </w:rPr>
        <w:t xml:space="preserve"> </w:t>
      </w:r>
      <w:r w:rsidR="0002075D">
        <w:rPr>
          <w:lang w:val="en-US"/>
        </w:rPr>
        <w:t>cent</w:t>
      </w:r>
      <w:r w:rsidR="00622B06" w:rsidRPr="00E80141">
        <w:rPr>
          <w:lang w:val="en-US"/>
        </w:rPr>
        <w:t>, and</w:t>
      </w:r>
      <w:r w:rsidR="00EB24CA" w:rsidRPr="00E80141">
        <w:rPr>
          <w:lang w:val="en-US"/>
        </w:rPr>
        <w:t xml:space="preserve"> </w:t>
      </w:r>
      <w:r w:rsidR="00892C98" w:rsidRPr="00E80141">
        <w:rPr>
          <w:lang w:val="en-US"/>
        </w:rPr>
        <w:t xml:space="preserve">implemented a program to </w:t>
      </w:r>
      <w:r w:rsidR="000207B5" w:rsidRPr="00E80141">
        <w:rPr>
          <w:lang w:val="en-US"/>
        </w:rPr>
        <w:t xml:space="preserve">build </w:t>
      </w:r>
      <w:r w:rsidR="00892C98" w:rsidRPr="00E80141">
        <w:rPr>
          <w:lang w:val="en-US"/>
        </w:rPr>
        <w:t xml:space="preserve">the competencies of </w:t>
      </w:r>
      <w:r w:rsidR="00C40164" w:rsidRPr="00E80141">
        <w:rPr>
          <w:lang w:val="en-US"/>
        </w:rPr>
        <w:t xml:space="preserve">school </w:t>
      </w:r>
      <w:r w:rsidR="00892C98" w:rsidRPr="00E80141">
        <w:rPr>
          <w:lang w:val="en-US"/>
        </w:rPr>
        <w:t xml:space="preserve">teachers and staff for </w:t>
      </w:r>
      <w:r w:rsidR="00670FDB" w:rsidRPr="00E80141">
        <w:rPr>
          <w:lang w:val="en-US"/>
        </w:rPr>
        <w:t>t</w:t>
      </w:r>
      <w:r w:rsidR="005D6A4C" w:rsidRPr="00E80141">
        <w:rPr>
          <w:lang w:val="en-US"/>
        </w:rPr>
        <w:t xml:space="preserve">he Department of Education. </w:t>
      </w:r>
      <w:r w:rsidR="00622B06" w:rsidRPr="00E80141">
        <w:rPr>
          <w:lang w:val="en-US"/>
        </w:rPr>
        <w:t>PAHRODF</w:t>
      </w:r>
      <w:r w:rsidR="00670FDB" w:rsidRPr="00E80141">
        <w:rPr>
          <w:lang w:val="en-US"/>
        </w:rPr>
        <w:t xml:space="preserve"> interventions are consistent with global standards in human resources, management and development</w:t>
      </w:r>
      <w:r w:rsidR="00622B06" w:rsidRPr="00E80141">
        <w:rPr>
          <w:lang w:val="en-US"/>
        </w:rPr>
        <w:t>.</w:t>
      </w:r>
      <w:r w:rsidR="00670FDB" w:rsidRPr="00E80141">
        <w:rPr>
          <w:lang w:val="en-US"/>
        </w:rPr>
        <w:t xml:space="preserve"> </w:t>
      </w:r>
      <w:r w:rsidR="00622B06" w:rsidRPr="00E80141">
        <w:rPr>
          <w:lang w:val="en-US"/>
        </w:rPr>
        <w:t>The CSC maintained its</w:t>
      </w:r>
      <w:r w:rsidR="00670FDB" w:rsidRPr="00E80141">
        <w:rPr>
          <w:lang w:val="en-US"/>
        </w:rPr>
        <w:t xml:space="preserve"> ISO9001:2008 certification</w:t>
      </w:r>
      <w:r w:rsidR="00B36D92">
        <w:rPr>
          <w:lang w:val="en-US"/>
        </w:rPr>
        <w:t xml:space="preserve">, </w:t>
      </w:r>
      <w:r w:rsidR="00E530BA">
        <w:rPr>
          <w:lang w:val="en-US"/>
        </w:rPr>
        <w:t>to institutionalise meritocracy and excellence in human resource m</w:t>
      </w:r>
      <w:r w:rsidR="00B36D92" w:rsidRPr="00B36D92">
        <w:rPr>
          <w:lang w:val="en-US"/>
        </w:rPr>
        <w:t>anagement</w:t>
      </w:r>
      <w:r w:rsidR="00B36D92">
        <w:rPr>
          <w:lang w:val="en-US"/>
        </w:rPr>
        <w:t>,</w:t>
      </w:r>
      <w:r w:rsidR="00307040" w:rsidRPr="00E80141">
        <w:rPr>
          <w:lang w:val="en-US"/>
        </w:rPr>
        <w:t xml:space="preserve"> in 2014-15</w:t>
      </w:r>
      <w:r w:rsidR="00E3266A" w:rsidRPr="00E80141">
        <w:rPr>
          <w:lang w:val="en-US"/>
        </w:rPr>
        <w:t>.</w:t>
      </w:r>
    </w:p>
    <w:p w14:paraId="40CE509C" w14:textId="294A8435" w:rsidR="00670FDB" w:rsidRPr="00E80141" w:rsidRDefault="00307040" w:rsidP="00E3266A">
      <w:pPr>
        <w:pStyle w:val="ListBullet"/>
        <w:ind w:left="284" w:hanging="284"/>
        <w:rPr>
          <w:lang w:val="en-US"/>
        </w:rPr>
      </w:pPr>
      <w:r w:rsidRPr="00E80141">
        <w:rPr>
          <w:lang w:val="en-US"/>
        </w:rPr>
        <w:t xml:space="preserve">Australia continues to help the best and brightest Filipinos access </w:t>
      </w:r>
      <w:r w:rsidR="00E3266A" w:rsidRPr="00E80141">
        <w:rPr>
          <w:lang w:val="en-US"/>
        </w:rPr>
        <w:t xml:space="preserve">a </w:t>
      </w:r>
      <w:r w:rsidRPr="00E80141">
        <w:rPr>
          <w:lang w:val="en-US"/>
        </w:rPr>
        <w:t xml:space="preserve">world-class education. </w:t>
      </w:r>
      <w:r w:rsidR="004B7762" w:rsidRPr="00E80141">
        <w:rPr>
          <w:lang w:val="en-US"/>
        </w:rPr>
        <w:t xml:space="preserve">In 2014-15, 120 people were provided </w:t>
      </w:r>
      <w:r w:rsidR="00C40164" w:rsidRPr="00E80141">
        <w:rPr>
          <w:lang w:val="en-US"/>
        </w:rPr>
        <w:t>s</w:t>
      </w:r>
      <w:r w:rsidR="004B7762" w:rsidRPr="00E80141">
        <w:rPr>
          <w:lang w:val="en-US"/>
        </w:rPr>
        <w:t>cholarships</w:t>
      </w:r>
      <w:r w:rsidR="00C40164" w:rsidRPr="00E80141">
        <w:rPr>
          <w:lang w:val="en-US"/>
        </w:rPr>
        <w:t xml:space="preserve"> to study in Australia.</w:t>
      </w:r>
      <w:r w:rsidR="00487DF6" w:rsidRPr="00E80141">
        <w:rPr>
          <w:lang w:val="en-US"/>
        </w:rPr>
        <w:t xml:space="preserve"> </w:t>
      </w:r>
      <w:r w:rsidR="00EE711E">
        <w:rPr>
          <w:lang w:val="en-US"/>
        </w:rPr>
        <w:t xml:space="preserve">Participants included 60 public servants and 90 women. </w:t>
      </w:r>
      <w:r w:rsidR="00622B06" w:rsidRPr="00E80141">
        <w:rPr>
          <w:lang w:val="en-US"/>
        </w:rPr>
        <w:t>PAHRODF</w:t>
      </w:r>
      <w:r w:rsidR="00487DF6" w:rsidRPr="00E80141">
        <w:rPr>
          <w:lang w:val="en-US"/>
        </w:rPr>
        <w:t xml:space="preserve"> also brokers partnerships between Australian and Philippine Universities for research collaboration and </w:t>
      </w:r>
      <w:r w:rsidR="00622B06" w:rsidRPr="00E80141">
        <w:rPr>
          <w:lang w:val="en-US"/>
        </w:rPr>
        <w:t xml:space="preserve">to deliver </w:t>
      </w:r>
      <w:r w:rsidR="00487DF6" w:rsidRPr="00E80141">
        <w:rPr>
          <w:lang w:val="en-US"/>
        </w:rPr>
        <w:t>joint degree</w:t>
      </w:r>
      <w:r w:rsidR="00622B06" w:rsidRPr="00E80141">
        <w:rPr>
          <w:lang w:val="en-US"/>
        </w:rPr>
        <w:t>s</w:t>
      </w:r>
      <w:r w:rsidR="00487DF6" w:rsidRPr="00E80141">
        <w:rPr>
          <w:lang w:val="en-US"/>
        </w:rPr>
        <w:t>. These partnerships</w:t>
      </w:r>
      <w:r w:rsidR="00D14A5A" w:rsidRPr="00E80141">
        <w:rPr>
          <w:lang w:val="en-US"/>
        </w:rPr>
        <w:t xml:space="preserve"> </w:t>
      </w:r>
      <w:r w:rsidR="002043C6">
        <w:rPr>
          <w:lang w:val="en-US"/>
        </w:rPr>
        <w:t>helped train 201</w:t>
      </w:r>
      <w:r w:rsidR="00487DF6" w:rsidRPr="00E80141">
        <w:rPr>
          <w:lang w:val="en-US"/>
        </w:rPr>
        <w:t xml:space="preserve"> public servants</w:t>
      </w:r>
      <w:r w:rsidR="0002075D">
        <w:rPr>
          <w:lang w:val="en-US"/>
        </w:rPr>
        <w:t xml:space="preserve"> of which 48 per</w:t>
      </w:r>
      <w:r w:rsidR="00184946">
        <w:rPr>
          <w:lang w:val="en-US"/>
        </w:rPr>
        <w:t xml:space="preserve"> </w:t>
      </w:r>
      <w:r w:rsidR="0002075D">
        <w:rPr>
          <w:lang w:val="en-US"/>
        </w:rPr>
        <w:t>cent</w:t>
      </w:r>
      <w:r w:rsidR="002043C6">
        <w:rPr>
          <w:lang w:val="en-US"/>
        </w:rPr>
        <w:t xml:space="preserve"> were women.</w:t>
      </w:r>
      <w:r w:rsidR="00D669B3" w:rsidRPr="00E80141">
        <w:rPr>
          <w:lang w:val="en-US"/>
        </w:rPr>
        <w:t xml:space="preserve"> </w:t>
      </w:r>
    </w:p>
    <w:p w14:paraId="32F97C11" w14:textId="56967452" w:rsidR="00E553EF" w:rsidRPr="00E80141" w:rsidRDefault="00E553EF" w:rsidP="00E3266A">
      <w:pPr>
        <w:pStyle w:val="ListBullet"/>
        <w:ind w:left="284" w:hanging="284"/>
        <w:rPr>
          <w:lang w:val="en-US"/>
        </w:rPr>
      </w:pPr>
      <w:r w:rsidRPr="00E80141">
        <w:rPr>
          <w:lang w:val="en-US"/>
        </w:rPr>
        <w:t>An independent gender assessment of PAHRODF was undertaken by the National Economic a</w:t>
      </w:r>
      <w:r w:rsidR="00E80141" w:rsidRPr="00E80141">
        <w:rPr>
          <w:lang w:val="en-US"/>
        </w:rPr>
        <w:t>nd Development Authority in mid-</w:t>
      </w:r>
      <w:r w:rsidRPr="00E80141">
        <w:rPr>
          <w:lang w:val="en-US"/>
        </w:rPr>
        <w:t>2014. PAHRODF received a high score of 17.5/20</w:t>
      </w:r>
      <w:r w:rsidR="00F35204">
        <w:rPr>
          <w:lang w:val="en-US"/>
        </w:rPr>
        <w:t xml:space="preserve">. </w:t>
      </w:r>
      <w:r w:rsidR="00EE711E">
        <w:rPr>
          <w:lang w:val="en-US"/>
        </w:rPr>
        <w:t xml:space="preserve">It was </w:t>
      </w:r>
      <w:r w:rsidR="00F35204">
        <w:rPr>
          <w:lang w:val="en-US"/>
        </w:rPr>
        <w:t xml:space="preserve">noted that the facility </w:t>
      </w:r>
      <w:r w:rsidRPr="00E80141">
        <w:rPr>
          <w:lang w:val="en-US"/>
        </w:rPr>
        <w:t xml:space="preserve">was successful in ensuring </w:t>
      </w:r>
      <w:r w:rsidR="003A16B3" w:rsidRPr="00E80141">
        <w:rPr>
          <w:lang w:val="en-US"/>
        </w:rPr>
        <w:t xml:space="preserve">that aid activities did not systematically bias women, </w:t>
      </w:r>
      <w:r w:rsidR="00F35204">
        <w:rPr>
          <w:lang w:val="en-US"/>
        </w:rPr>
        <w:t xml:space="preserve">analysed </w:t>
      </w:r>
      <w:r w:rsidR="003A16B3" w:rsidRPr="00E80141">
        <w:rPr>
          <w:lang w:val="en-US"/>
        </w:rPr>
        <w:t>gender issues prior to implementation</w:t>
      </w:r>
      <w:r w:rsidR="00E80141" w:rsidRPr="00E80141">
        <w:rPr>
          <w:lang w:val="en-US"/>
        </w:rPr>
        <w:t xml:space="preserve"> of technical assistance</w:t>
      </w:r>
      <w:r w:rsidR="003A16B3" w:rsidRPr="00E80141">
        <w:rPr>
          <w:lang w:val="en-US"/>
        </w:rPr>
        <w:t xml:space="preserve">, and </w:t>
      </w:r>
      <w:r w:rsidR="00F35204">
        <w:rPr>
          <w:lang w:val="en-US"/>
        </w:rPr>
        <w:t xml:space="preserve">encouraged </w:t>
      </w:r>
      <w:r w:rsidR="003A16B3" w:rsidRPr="00E80141">
        <w:rPr>
          <w:lang w:val="en-US"/>
        </w:rPr>
        <w:t xml:space="preserve">women’s participation </w:t>
      </w:r>
      <w:r w:rsidR="00EE711E">
        <w:rPr>
          <w:lang w:val="en-US"/>
        </w:rPr>
        <w:t xml:space="preserve">especially </w:t>
      </w:r>
      <w:r w:rsidR="003A16B3" w:rsidRPr="00E80141">
        <w:rPr>
          <w:lang w:val="en-US"/>
        </w:rPr>
        <w:t xml:space="preserve">in scholarships. </w:t>
      </w:r>
    </w:p>
    <w:p w14:paraId="51CC9EE5" w14:textId="5A275FED" w:rsidR="00796AD1" w:rsidRPr="00E80141" w:rsidRDefault="00D609DF" w:rsidP="00C67D5E">
      <w:pPr>
        <w:pStyle w:val="ListBullet"/>
        <w:numPr>
          <w:ilvl w:val="0"/>
          <w:numId w:val="0"/>
        </w:numPr>
        <w:tabs>
          <w:tab w:val="clear" w:pos="284"/>
        </w:tabs>
      </w:pPr>
      <w:r w:rsidRPr="00E80141">
        <w:t xml:space="preserve">The Public Financial Management Program (PFMP) </w:t>
      </w:r>
      <w:r w:rsidR="00C40164" w:rsidRPr="00E80141">
        <w:t xml:space="preserve">Phase 2 </w:t>
      </w:r>
      <w:r w:rsidR="009952DA" w:rsidRPr="00E80141">
        <w:t xml:space="preserve">is a partnership between the Governments of Australia and the Philippines to </w:t>
      </w:r>
      <w:r w:rsidR="00796AD1" w:rsidRPr="00E80141">
        <w:t xml:space="preserve">improve </w:t>
      </w:r>
      <w:r w:rsidR="009952DA" w:rsidRPr="00E80141">
        <w:t xml:space="preserve">the </w:t>
      </w:r>
      <w:r w:rsidR="00796AD1" w:rsidRPr="00E80141">
        <w:t>efficiency, ac</w:t>
      </w:r>
      <w:r w:rsidR="00C40164" w:rsidRPr="00E80141">
        <w:t xml:space="preserve">countability and transparency </w:t>
      </w:r>
      <w:r w:rsidR="009952DA" w:rsidRPr="00E80141">
        <w:t xml:space="preserve">of public fund use in the Philippines. </w:t>
      </w:r>
      <w:r w:rsidR="00AB2AE4" w:rsidRPr="00E80141">
        <w:t xml:space="preserve">The program has three objectives. The first </w:t>
      </w:r>
      <w:r w:rsidR="00804386" w:rsidRPr="00E80141">
        <w:t>is to support</w:t>
      </w:r>
      <w:r w:rsidR="00AB2AE4" w:rsidRPr="00E80141">
        <w:t xml:space="preserve"> the </w:t>
      </w:r>
      <w:r w:rsidR="00CA736D" w:rsidRPr="00E80141">
        <w:t>Philippine g</w:t>
      </w:r>
      <w:r w:rsidR="00AB2AE4" w:rsidRPr="00E80141">
        <w:t>overnment to implement its Publi</w:t>
      </w:r>
      <w:r w:rsidR="00804386" w:rsidRPr="00E80141">
        <w:t>c Financial Management Roadmap, t</w:t>
      </w:r>
      <w:r w:rsidR="00273238" w:rsidRPr="00E80141">
        <w:t>he second</w:t>
      </w:r>
      <w:r w:rsidR="00DB5197" w:rsidRPr="00E80141">
        <w:t xml:space="preserve"> objective</w:t>
      </w:r>
      <w:r w:rsidR="00273238" w:rsidRPr="00E80141">
        <w:t xml:space="preserve"> is to help the Department of Education </w:t>
      </w:r>
      <w:r w:rsidR="009952DA" w:rsidRPr="00E80141">
        <w:t>enhance its financial management</w:t>
      </w:r>
      <w:r w:rsidR="00804386" w:rsidRPr="00E80141">
        <w:t xml:space="preserve"> capability</w:t>
      </w:r>
      <w:r w:rsidR="00273238" w:rsidRPr="00E80141">
        <w:t xml:space="preserve">, and the third </w:t>
      </w:r>
      <w:r w:rsidR="00DB5197" w:rsidRPr="00E80141">
        <w:t xml:space="preserve">objective </w:t>
      </w:r>
      <w:r w:rsidR="00273238" w:rsidRPr="00E80141">
        <w:t xml:space="preserve">is to strengthen the engagement between Government and civil society </w:t>
      </w:r>
      <w:r w:rsidR="00804386" w:rsidRPr="00E80141">
        <w:t xml:space="preserve">on </w:t>
      </w:r>
      <w:r w:rsidR="00273238" w:rsidRPr="00E80141">
        <w:t xml:space="preserve">public expenditure matters. </w:t>
      </w:r>
    </w:p>
    <w:p w14:paraId="6BC22626" w14:textId="028FBFC2" w:rsidR="00DF2B70" w:rsidRPr="00E80141" w:rsidRDefault="00D92C54" w:rsidP="00E3266A">
      <w:pPr>
        <w:pStyle w:val="ListBullet"/>
        <w:ind w:left="284" w:hanging="284"/>
        <w:rPr>
          <w:lang w:val="en-US"/>
        </w:rPr>
      </w:pPr>
      <w:r w:rsidRPr="00E80141">
        <w:rPr>
          <w:lang w:val="en-US"/>
        </w:rPr>
        <w:t xml:space="preserve">PFMP’s progress in 2014-15 is as expected.  </w:t>
      </w:r>
      <w:r w:rsidR="00DF2B70" w:rsidRPr="00E80141">
        <w:rPr>
          <w:lang w:val="en-US"/>
        </w:rPr>
        <w:t>PFMP r</w:t>
      </w:r>
      <w:r w:rsidRPr="00E80141">
        <w:rPr>
          <w:lang w:val="en-US"/>
        </w:rPr>
        <w:t xml:space="preserve">eforms </w:t>
      </w:r>
      <w:r w:rsidR="00DF2B70" w:rsidRPr="00E80141">
        <w:rPr>
          <w:lang w:val="en-US"/>
        </w:rPr>
        <w:t xml:space="preserve">including </w:t>
      </w:r>
      <w:r w:rsidRPr="00E80141">
        <w:rPr>
          <w:lang w:val="en-US"/>
        </w:rPr>
        <w:t xml:space="preserve">the Unified Account Code Structure (UACS) and the Treasury Single Account (TSA) are </w:t>
      </w:r>
      <w:r w:rsidR="00DF2B70" w:rsidRPr="00E80141">
        <w:rPr>
          <w:lang w:val="en-US"/>
        </w:rPr>
        <w:t>being implemented</w:t>
      </w:r>
      <w:r w:rsidRPr="00E80141">
        <w:rPr>
          <w:lang w:val="en-US"/>
        </w:rPr>
        <w:t>.  UACS is now being used as the basis of all Government budget and reporting documents. TSA, through the rationalisation of dormant bank accounts, is savin</w:t>
      </w:r>
      <w:r w:rsidR="00163FB8">
        <w:rPr>
          <w:lang w:val="en-US"/>
        </w:rPr>
        <w:t>g the Philippines an estimated AUD</w:t>
      </w:r>
      <w:r w:rsidRPr="00E80141">
        <w:rPr>
          <w:lang w:val="en-US"/>
        </w:rPr>
        <w:t xml:space="preserve">75 million per annum. </w:t>
      </w:r>
      <w:r w:rsidR="00DF2B70" w:rsidRPr="00E80141">
        <w:rPr>
          <w:lang w:val="en-US"/>
        </w:rPr>
        <w:t xml:space="preserve">The Philippine Government has however decided </w:t>
      </w:r>
      <w:r w:rsidR="00B36D92">
        <w:rPr>
          <w:lang w:val="en-US"/>
        </w:rPr>
        <w:t xml:space="preserve">not to proceed with </w:t>
      </w:r>
      <w:r w:rsidR="00DF2B70" w:rsidRPr="00E80141">
        <w:rPr>
          <w:lang w:val="en-US"/>
        </w:rPr>
        <w:t>the technical centerpiece</w:t>
      </w:r>
      <w:r w:rsidRPr="00E80141">
        <w:rPr>
          <w:lang w:val="en-US"/>
        </w:rPr>
        <w:t xml:space="preserve"> </w:t>
      </w:r>
      <w:r w:rsidR="00DF2B70" w:rsidRPr="00E80141">
        <w:rPr>
          <w:lang w:val="en-US"/>
        </w:rPr>
        <w:t xml:space="preserve">of </w:t>
      </w:r>
      <w:r w:rsidR="00140547">
        <w:rPr>
          <w:lang w:val="en-US"/>
        </w:rPr>
        <w:t>its</w:t>
      </w:r>
      <w:r w:rsidR="00DF2B70" w:rsidRPr="00E80141">
        <w:rPr>
          <w:lang w:val="en-US"/>
        </w:rPr>
        <w:t xml:space="preserve"> reform, </w:t>
      </w:r>
      <w:r w:rsidRPr="00E80141">
        <w:rPr>
          <w:lang w:val="en-US"/>
        </w:rPr>
        <w:t>the Government Integrated Financial Management Information System</w:t>
      </w:r>
      <w:r w:rsidR="00DF2B70" w:rsidRPr="00E80141">
        <w:rPr>
          <w:lang w:val="en-US"/>
        </w:rPr>
        <w:t xml:space="preserve">. PFMP has </w:t>
      </w:r>
      <w:r w:rsidR="00D66956" w:rsidRPr="00E80141">
        <w:rPr>
          <w:lang w:val="en-US"/>
        </w:rPr>
        <w:t xml:space="preserve">accommodated this decision and </w:t>
      </w:r>
      <w:r w:rsidR="00DF2B70" w:rsidRPr="00E80141">
        <w:rPr>
          <w:lang w:val="en-US"/>
        </w:rPr>
        <w:t xml:space="preserve">shifted its support </w:t>
      </w:r>
      <w:r w:rsidR="00D66956" w:rsidRPr="00E80141">
        <w:rPr>
          <w:lang w:val="en-US"/>
        </w:rPr>
        <w:t xml:space="preserve">to other areas of the reform process, including advocacy. </w:t>
      </w:r>
    </w:p>
    <w:p w14:paraId="100A058E" w14:textId="77777777" w:rsidR="00823FCA" w:rsidRPr="008A6CDC" w:rsidRDefault="00823FCA" w:rsidP="00823FCA">
      <w:pPr>
        <w:pStyle w:val="Heading3"/>
        <w:rPr>
          <w:sz w:val="32"/>
          <w:szCs w:val="32"/>
        </w:rPr>
      </w:pPr>
      <w:r w:rsidRPr="008A6CDC">
        <w:t>Performance Benchmarks</w:t>
      </w:r>
      <w:r w:rsidRPr="008A6CDC">
        <w:rPr>
          <w:sz w:val="32"/>
          <w:szCs w:val="32"/>
        </w:rPr>
        <w:tab/>
      </w:r>
    </w:p>
    <w:p w14:paraId="10B4B91D" w14:textId="77777777" w:rsidR="00B36D92" w:rsidRDefault="008A7695" w:rsidP="00FA3BDF">
      <w:pPr>
        <w:pStyle w:val="ListBullet"/>
        <w:numPr>
          <w:ilvl w:val="0"/>
          <w:numId w:val="0"/>
        </w:numPr>
        <w:tabs>
          <w:tab w:val="clear" w:pos="284"/>
        </w:tabs>
      </w:pPr>
      <w:r w:rsidRPr="00E80141">
        <w:t>T</w:t>
      </w:r>
      <w:r w:rsidR="00FA3BDF" w:rsidRPr="00E80141">
        <w:t xml:space="preserve">he Philippines </w:t>
      </w:r>
      <w:r w:rsidRPr="00E80141">
        <w:t>Program has fully achieved five</w:t>
      </w:r>
      <w:r w:rsidR="00FA3BDF" w:rsidRPr="00E80141">
        <w:t xml:space="preserve"> out of the nine performance benchmarks</w:t>
      </w:r>
      <w:r w:rsidR="00FD3AEC" w:rsidRPr="00E80141">
        <w:t xml:space="preserve"> identified</w:t>
      </w:r>
      <w:r w:rsidR="000002C6" w:rsidRPr="00E80141">
        <w:t xml:space="preserve"> in last year’s Aid </w:t>
      </w:r>
      <w:r w:rsidR="00B36D92">
        <w:t xml:space="preserve">Program Performance Report. </w:t>
      </w:r>
      <w:r w:rsidR="00E41B5F" w:rsidRPr="00E80141">
        <w:t>Annex B</w:t>
      </w:r>
      <w:r w:rsidR="00B36D92">
        <w:t xml:space="preserve"> details achievements against each performance benchmark</w:t>
      </w:r>
      <w:r w:rsidR="00B20072" w:rsidRPr="00E80141">
        <w:t>.</w:t>
      </w:r>
      <w:r w:rsidRPr="00E80141">
        <w:t xml:space="preserve"> </w:t>
      </w:r>
    </w:p>
    <w:p w14:paraId="5DFE9BC0" w14:textId="733F6EC9" w:rsidR="00E3266A" w:rsidRPr="00E80141" w:rsidRDefault="009F093C" w:rsidP="00FA3BDF">
      <w:pPr>
        <w:pStyle w:val="ListBullet"/>
        <w:numPr>
          <w:ilvl w:val="0"/>
          <w:numId w:val="0"/>
        </w:numPr>
        <w:tabs>
          <w:tab w:val="clear" w:pos="284"/>
        </w:tabs>
      </w:pPr>
      <w:r w:rsidRPr="00C60681">
        <w:lastRenderedPageBreak/>
        <w:t xml:space="preserve">Two economic growth performance benchmarks were partially achieved. </w:t>
      </w:r>
      <w:r w:rsidR="008A7695" w:rsidRPr="00C60681">
        <w:t>Design</w:t>
      </w:r>
      <w:r w:rsidR="00DB2C44" w:rsidRPr="00C60681">
        <w:t>s</w:t>
      </w:r>
      <w:r w:rsidR="008A7695" w:rsidRPr="00C60681">
        <w:t xml:space="preserve"> of </w:t>
      </w:r>
      <w:r w:rsidR="00823E04" w:rsidRPr="00C60681">
        <w:t xml:space="preserve">two </w:t>
      </w:r>
      <w:r w:rsidR="008A7695" w:rsidRPr="00C60681">
        <w:t>new investments to support economic growth</w:t>
      </w:r>
      <w:r w:rsidR="00823E04" w:rsidRPr="00C60681">
        <w:t>, one related to aid for trade and the other on infrastructure,</w:t>
      </w:r>
      <w:r w:rsidR="008A7695" w:rsidRPr="00C60681">
        <w:t xml:space="preserve"> </w:t>
      </w:r>
      <w:r w:rsidR="00DB2C44" w:rsidRPr="00C60681">
        <w:t xml:space="preserve">were not </w:t>
      </w:r>
      <w:r w:rsidR="00CC324F" w:rsidRPr="00C60681">
        <w:t>finalised</w:t>
      </w:r>
      <w:r w:rsidR="00DB2C44" w:rsidRPr="00C60681">
        <w:t xml:space="preserve"> but are</w:t>
      </w:r>
      <w:r w:rsidR="00256F66" w:rsidRPr="00C60681">
        <w:t xml:space="preserve"> </w:t>
      </w:r>
      <w:r w:rsidR="008A7695" w:rsidRPr="00C60681">
        <w:t xml:space="preserve">expected to be </w:t>
      </w:r>
      <w:r w:rsidR="00CC324F" w:rsidRPr="00C60681">
        <w:t>completed</w:t>
      </w:r>
      <w:r w:rsidR="00256F66" w:rsidRPr="00C60681">
        <w:t xml:space="preserve"> </w:t>
      </w:r>
      <w:r w:rsidR="00CC324F" w:rsidRPr="00C60681">
        <w:t>in</w:t>
      </w:r>
      <w:r w:rsidR="001F5D9D" w:rsidRPr="00C60681">
        <w:t xml:space="preserve"> </w:t>
      </w:r>
      <w:r w:rsidR="00256F66" w:rsidRPr="00C60681">
        <w:t xml:space="preserve">2016. </w:t>
      </w:r>
      <w:r w:rsidR="00DC1246" w:rsidRPr="00C60681">
        <w:t xml:space="preserve">The Philippines Program also expected to </w:t>
      </w:r>
      <w:r w:rsidR="00256F66" w:rsidRPr="00C60681">
        <w:t>rehabilitate or maintain</w:t>
      </w:r>
      <w:r w:rsidR="00DC1246" w:rsidRPr="00C60681">
        <w:t xml:space="preserve"> </w:t>
      </w:r>
      <w:r w:rsidR="00F35204" w:rsidRPr="00C60681">
        <w:t>360km of roads in 2014</w:t>
      </w:r>
      <w:r w:rsidR="00F35204" w:rsidRPr="00C60681">
        <w:noBreakHyphen/>
        <w:t>15. A</w:t>
      </w:r>
      <w:r w:rsidR="00256F66" w:rsidRPr="00C60681">
        <w:t>ctual performance was slightly less at 320km.</w:t>
      </w:r>
      <w:r w:rsidR="00256F66" w:rsidRPr="00E80141">
        <w:t xml:space="preserve"> </w:t>
      </w:r>
    </w:p>
    <w:p w14:paraId="5BD6C2B1" w14:textId="0500FCE4" w:rsidR="00A0502D" w:rsidRPr="00E80141" w:rsidRDefault="0004031E" w:rsidP="00FA3BDF">
      <w:pPr>
        <w:pStyle w:val="ListBullet"/>
        <w:numPr>
          <w:ilvl w:val="0"/>
          <w:numId w:val="0"/>
        </w:numPr>
        <w:tabs>
          <w:tab w:val="clear" w:pos="284"/>
        </w:tabs>
      </w:pPr>
      <w:r w:rsidRPr="00C60681">
        <w:t xml:space="preserve">The </w:t>
      </w:r>
      <w:r w:rsidR="00256F66" w:rsidRPr="00C60681">
        <w:t xml:space="preserve">Philippines </w:t>
      </w:r>
      <w:r w:rsidRPr="00C60681">
        <w:t xml:space="preserve">Program </w:t>
      </w:r>
      <w:r w:rsidR="00256F66" w:rsidRPr="00C60681">
        <w:t xml:space="preserve">also </w:t>
      </w:r>
      <w:r w:rsidR="00C4204B" w:rsidRPr="00C60681">
        <w:t xml:space="preserve">marginally </w:t>
      </w:r>
      <w:r w:rsidR="00F3346F" w:rsidRPr="00C60681">
        <w:t>fell short of</w:t>
      </w:r>
      <w:r w:rsidRPr="00C60681">
        <w:t xml:space="preserve"> its objective to </w:t>
      </w:r>
      <w:r w:rsidR="00F3346F" w:rsidRPr="00C60681">
        <w:t>reach 2</w:t>
      </w:r>
      <w:r w:rsidRPr="00C60681">
        <w:t>,000 women at public consultations</w:t>
      </w:r>
      <w:r w:rsidR="00F3346F" w:rsidRPr="00C60681">
        <w:t xml:space="preserve"> on the peace process in Mindanao</w:t>
      </w:r>
      <w:r w:rsidR="006D30CF" w:rsidRPr="00C60681">
        <w:t>. I</w:t>
      </w:r>
      <w:r w:rsidR="00E3266A" w:rsidRPr="00C60681">
        <w:t xml:space="preserve">nstead 1,750 </w:t>
      </w:r>
      <w:r w:rsidR="00256F66" w:rsidRPr="00C60681">
        <w:t xml:space="preserve">women were reached. Three women specific consultations also occurred </w:t>
      </w:r>
      <w:r w:rsidR="006D30CF" w:rsidRPr="00C60681">
        <w:t xml:space="preserve">as opposed to the target of </w:t>
      </w:r>
      <w:r w:rsidRPr="00C60681">
        <w:t>35</w:t>
      </w:r>
      <w:r w:rsidR="0066282E" w:rsidRPr="00C60681">
        <w:t>.</w:t>
      </w:r>
      <w:r w:rsidR="00FB4A9F" w:rsidRPr="00C60681">
        <w:t xml:space="preserve"> </w:t>
      </w:r>
      <w:r w:rsidR="00A92F27" w:rsidRPr="00C60681">
        <w:t>Additional c</w:t>
      </w:r>
      <w:r w:rsidR="00FB4A9F" w:rsidRPr="00C60681">
        <w:t>onsultations were planned</w:t>
      </w:r>
      <w:r w:rsidR="00A92F27" w:rsidRPr="00C60681">
        <w:t>, and performance benchmarks set,</w:t>
      </w:r>
      <w:r w:rsidR="00FB4A9F" w:rsidRPr="00C60681">
        <w:t xml:space="preserve"> to coincide with the passage of the </w:t>
      </w:r>
      <w:r w:rsidR="006D30CF" w:rsidRPr="00C60681">
        <w:t>BBL</w:t>
      </w:r>
      <w:r w:rsidR="00C4204B" w:rsidRPr="00C60681">
        <w:t xml:space="preserve">. </w:t>
      </w:r>
      <w:r w:rsidR="006D30CF" w:rsidRPr="00C60681">
        <w:t>T</w:t>
      </w:r>
      <w:r w:rsidR="00C64D88" w:rsidRPr="00C60681">
        <w:t xml:space="preserve">he </w:t>
      </w:r>
      <w:r w:rsidR="006D30CF" w:rsidRPr="00C60681">
        <w:t xml:space="preserve">BBL however </w:t>
      </w:r>
      <w:r w:rsidR="00C4204B" w:rsidRPr="00C60681">
        <w:t>has not pass</w:t>
      </w:r>
      <w:r w:rsidR="00C64D88" w:rsidRPr="00C60681">
        <w:t>ed</w:t>
      </w:r>
      <w:r w:rsidR="00C4204B" w:rsidRPr="00C60681">
        <w:t xml:space="preserve"> </w:t>
      </w:r>
      <w:r w:rsidR="000002C6" w:rsidRPr="00C60681">
        <w:t xml:space="preserve">the Philippine </w:t>
      </w:r>
      <w:r w:rsidR="00C4204B" w:rsidRPr="00C60681">
        <w:t>Congress</w:t>
      </w:r>
      <w:r w:rsidR="006D30CF" w:rsidRPr="00C60681">
        <w:t xml:space="preserve"> and therefore </w:t>
      </w:r>
      <w:r w:rsidR="00FB4A9F" w:rsidRPr="00C60681">
        <w:t>few</w:t>
      </w:r>
      <w:r w:rsidR="00C4204B" w:rsidRPr="00C60681">
        <w:t>er</w:t>
      </w:r>
      <w:r w:rsidR="00FB4A9F" w:rsidRPr="00C60681">
        <w:t xml:space="preserve"> consultations </w:t>
      </w:r>
      <w:r w:rsidR="00C4204B" w:rsidRPr="00C60681">
        <w:t>occurred.</w:t>
      </w:r>
    </w:p>
    <w:p w14:paraId="15BA43C6" w14:textId="4A400747" w:rsidR="00C4204B" w:rsidRPr="008A6CDC" w:rsidRDefault="00C4204B" w:rsidP="00FA3BDF">
      <w:pPr>
        <w:pStyle w:val="ListBullet"/>
        <w:numPr>
          <w:ilvl w:val="0"/>
          <w:numId w:val="0"/>
        </w:numPr>
        <w:tabs>
          <w:tab w:val="clear" w:pos="284"/>
        </w:tabs>
      </w:pPr>
      <w:r w:rsidRPr="00E80141">
        <w:t>The final performance benchmark</w:t>
      </w:r>
      <w:r w:rsidR="000002C6" w:rsidRPr="00E80141">
        <w:t>,</w:t>
      </w:r>
      <w:r w:rsidRPr="00E80141">
        <w:t xml:space="preserve"> on assisting the implementation of a Government Integrated Financial Management Information System (G</w:t>
      </w:r>
      <w:r w:rsidR="0098685F">
        <w:t>I</w:t>
      </w:r>
      <w:r w:rsidRPr="00E80141">
        <w:t>FMIS)</w:t>
      </w:r>
      <w:r w:rsidR="000002C6" w:rsidRPr="00E80141">
        <w:t>,</w:t>
      </w:r>
      <w:r w:rsidRPr="00E80141">
        <w:t xml:space="preserve"> </w:t>
      </w:r>
      <w:r w:rsidR="000002C6" w:rsidRPr="00E80141">
        <w:t>is no longer relevant</w:t>
      </w:r>
      <w:r w:rsidR="006D30CF" w:rsidRPr="00E80141">
        <w:t>. The Philippine Government</w:t>
      </w:r>
      <w:r w:rsidRPr="00E80141">
        <w:t xml:space="preserve"> has decided not to implement the sy</w:t>
      </w:r>
      <w:r w:rsidR="00C64D88" w:rsidRPr="00E80141">
        <w:t>stem.</w:t>
      </w:r>
    </w:p>
    <w:p w14:paraId="00483298" w14:textId="0321A542" w:rsidR="000D733F" w:rsidRPr="008A6CDC" w:rsidRDefault="000D733F" w:rsidP="00511A0F">
      <w:pPr>
        <w:pStyle w:val="Heading3"/>
        <w:rPr>
          <w:rStyle w:val="BodyTextChar"/>
          <w:b w:val="0"/>
          <w:color w:val="auto"/>
        </w:rPr>
      </w:pPr>
      <w:r w:rsidRPr="008A6CDC">
        <w:t>Mutual Obligations</w:t>
      </w:r>
      <w:r w:rsidRPr="008A6CDC">
        <w:rPr>
          <w:sz w:val="32"/>
          <w:szCs w:val="32"/>
        </w:rPr>
        <w:tab/>
      </w:r>
      <w:r w:rsidRPr="008A6CDC">
        <w:tab/>
      </w:r>
      <w:r w:rsidRPr="008A6CDC">
        <w:tab/>
      </w:r>
      <w:r w:rsidRPr="008A6CDC">
        <w:tab/>
      </w:r>
    </w:p>
    <w:p w14:paraId="41083CA8" w14:textId="6015BB4C" w:rsidR="00C03C78" w:rsidRDefault="00D174C9" w:rsidP="00D174C9">
      <w:pPr>
        <w:pStyle w:val="ListBullet"/>
        <w:numPr>
          <w:ilvl w:val="0"/>
          <w:numId w:val="0"/>
        </w:numPr>
        <w:tabs>
          <w:tab w:val="clear" w:pos="284"/>
        </w:tabs>
      </w:pPr>
      <w:r w:rsidRPr="002D5F64">
        <w:t xml:space="preserve">The </w:t>
      </w:r>
      <w:r w:rsidRPr="002D5F64">
        <w:rPr>
          <w:i/>
        </w:rPr>
        <w:t xml:space="preserve">Philippine Development </w:t>
      </w:r>
      <w:r w:rsidR="00BC5695" w:rsidRPr="002D5F64">
        <w:rPr>
          <w:i/>
        </w:rPr>
        <w:t xml:space="preserve">Plan </w:t>
      </w:r>
      <w:r w:rsidRPr="002D5F64">
        <w:rPr>
          <w:i/>
        </w:rPr>
        <w:t>2011-2016</w:t>
      </w:r>
      <w:r w:rsidRPr="002D5F64">
        <w:t xml:space="preserve"> is </w:t>
      </w:r>
      <w:r w:rsidR="00EE667A" w:rsidRPr="002D5F64">
        <w:t>the Philippine</w:t>
      </w:r>
      <w:r w:rsidR="00BC5695" w:rsidRPr="002D5F64">
        <w:t xml:space="preserve"> Government</w:t>
      </w:r>
      <w:r w:rsidR="00C64D88" w:rsidRPr="002D5F64">
        <w:t>’s</w:t>
      </w:r>
      <w:r w:rsidR="00C4204B" w:rsidRPr="002D5F64">
        <w:t xml:space="preserve"> framework for inclusive growth and </w:t>
      </w:r>
      <w:r w:rsidRPr="002D5F64">
        <w:t>the anchor for the bilateral development agreement be</w:t>
      </w:r>
      <w:r w:rsidR="00C4204B" w:rsidRPr="002D5F64">
        <w:t xml:space="preserve">tween Philippines </w:t>
      </w:r>
      <w:r w:rsidR="006B6E4B">
        <w:t>and Australia:</w:t>
      </w:r>
      <w:r w:rsidR="00C64D88" w:rsidRPr="002D5F64">
        <w:t xml:space="preserve"> </w:t>
      </w:r>
      <w:r w:rsidR="00467E6A" w:rsidRPr="002D5F64">
        <w:t xml:space="preserve">the </w:t>
      </w:r>
      <w:r w:rsidRPr="00412956">
        <w:rPr>
          <w:i/>
        </w:rPr>
        <w:t>Statement of Commitm</w:t>
      </w:r>
      <w:r w:rsidR="00C64D88" w:rsidRPr="00412956">
        <w:rPr>
          <w:i/>
        </w:rPr>
        <w:t>ent</w:t>
      </w:r>
      <w:r w:rsidR="00C64D88" w:rsidRPr="002D5F64">
        <w:t xml:space="preserve"> (SOC) </w:t>
      </w:r>
      <w:r w:rsidRPr="002D5F64">
        <w:t xml:space="preserve">signed in March 2012.  The Philippine Government is making significant progress in its </w:t>
      </w:r>
      <w:r w:rsidR="00D36B23">
        <w:t>eight commitments under the SOC</w:t>
      </w:r>
      <w:r w:rsidR="00C03C78">
        <w:t>:</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45"/>
      </w:tblGrid>
      <w:tr w:rsidR="006D30CF" w:rsidRPr="002D5F64" w14:paraId="57C93982" w14:textId="77777777" w:rsidTr="0061767C">
        <w:tc>
          <w:tcPr>
            <w:tcW w:w="3969" w:type="dxa"/>
            <w:tcBorders>
              <w:top w:val="single" w:sz="12" w:space="0" w:color="auto"/>
              <w:bottom w:val="single" w:sz="12" w:space="0" w:color="auto"/>
            </w:tcBorders>
          </w:tcPr>
          <w:p w14:paraId="1EA1D9CC" w14:textId="33AD03C1" w:rsidR="006D30CF" w:rsidRPr="002D5F64" w:rsidRDefault="00D36B23" w:rsidP="00D174C9">
            <w:pPr>
              <w:pStyle w:val="ListBullet"/>
              <w:numPr>
                <w:ilvl w:val="0"/>
                <w:numId w:val="0"/>
              </w:numPr>
              <w:tabs>
                <w:tab w:val="clear" w:pos="284"/>
              </w:tabs>
              <w:rPr>
                <w:b/>
              </w:rPr>
            </w:pPr>
            <w:r>
              <w:br w:type="page"/>
            </w:r>
            <w:r w:rsidR="006D30CF" w:rsidRPr="002D5F64">
              <w:rPr>
                <w:b/>
              </w:rPr>
              <w:t>Philippine Government commitments</w:t>
            </w:r>
          </w:p>
        </w:tc>
        <w:tc>
          <w:tcPr>
            <w:tcW w:w="5245" w:type="dxa"/>
            <w:tcBorders>
              <w:top w:val="single" w:sz="12" w:space="0" w:color="auto"/>
              <w:bottom w:val="single" w:sz="12" w:space="0" w:color="auto"/>
            </w:tcBorders>
          </w:tcPr>
          <w:p w14:paraId="422D1D48" w14:textId="35746540" w:rsidR="006D30CF" w:rsidRPr="002D5F64" w:rsidRDefault="006D30CF" w:rsidP="00D174C9">
            <w:pPr>
              <w:pStyle w:val="ListBullet"/>
              <w:numPr>
                <w:ilvl w:val="0"/>
                <w:numId w:val="0"/>
              </w:numPr>
              <w:tabs>
                <w:tab w:val="clear" w:pos="284"/>
              </w:tabs>
              <w:rPr>
                <w:b/>
              </w:rPr>
            </w:pPr>
            <w:r w:rsidRPr="002D5F64">
              <w:rPr>
                <w:b/>
              </w:rPr>
              <w:t>Progress</w:t>
            </w:r>
          </w:p>
        </w:tc>
      </w:tr>
      <w:tr w:rsidR="006D30CF" w:rsidRPr="002D5F64" w14:paraId="6937A671" w14:textId="77777777" w:rsidTr="0061767C">
        <w:tc>
          <w:tcPr>
            <w:tcW w:w="3969" w:type="dxa"/>
            <w:tcBorders>
              <w:top w:val="single" w:sz="12" w:space="0" w:color="auto"/>
            </w:tcBorders>
          </w:tcPr>
          <w:p w14:paraId="5DB00EB6" w14:textId="4606E3BD" w:rsidR="006D30CF" w:rsidRPr="009341E9" w:rsidRDefault="00D23737" w:rsidP="00D174C9">
            <w:pPr>
              <w:pStyle w:val="ListBullet"/>
              <w:numPr>
                <w:ilvl w:val="0"/>
                <w:numId w:val="0"/>
              </w:numPr>
              <w:tabs>
                <w:tab w:val="clear" w:pos="284"/>
              </w:tabs>
              <w:rPr>
                <w:sz w:val="18"/>
                <w:szCs w:val="18"/>
              </w:rPr>
            </w:pPr>
            <w:r w:rsidRPr="009341E9">
              <w:rPr>
                <w:sz w:val="18"/>
                <w:szCs w:val="18"/>
              </w:rPr>
              <w:t>Increase public expenditures, through the General Appropriations Act, in basic education and support to local gover</w:t>
            </w:r>
            <w:r w:rsidR="00C60681">
              <w:rPr>
                <w:sz w:val="18"/>
                <w:szCs w:val="18"/>
              </w:rPr>
              <w:t>nment units through performance</w:t>
            </w:r>
            <w:r w:rsidR="00C60681">
              <w:rPr>
                <w:sz w:val="18"/>
                <w:szCs w:val="18"/>
              </w:rPr>
              <w:noBreakHyphen/>
            </w:r>
            <w:r w:rsidRPr="009341E9">
              <w:rPr>
                <w:sz w:val="18"/>
                <w:szCs w:val="18"/>
              </w:rPr>
              <w:t>based mechanisms.</w:t>
            </w:r>
          </w:p>
        </w:tc>
        <w:tc>
          <w:tcPr>
            <w:tcW w:w="5245" w:type="dxa"/>
            <w:tcBorders>
              <w:top w:val="single" w:sz="12" w:space="0" w:color="auto"/>
            </w:tcBorders>
          </w:tcPr>
          <w:p w14:paraId="463137D4" w14:textId="6A76F7EA" w:rsidR="006D30CF" w:rsidRPr="009341E9" w:rsidRDefault="00D23737" w:rsidP="00D174C9">
            <w:pPr>
              <w:pStyle w:val="ListBullet"/>
              <w:numPr>
                <w:ilvl w:val="0"/>
                <w:numId w:val="0"/>
              </w:numPr>
              <w:tabs>
                <w:tab w:val="clear" w:pos="284"/>
              </w:tabs>
              <w:rPr>
                <w:sz w:val="18"/>
                <w:szCs w:val="18"/>
              </w:rPr>
            </w:pPr>
            <w:r w:rsidRPr="009341E9">
              <w:rPr>
                <w:sz w:val="18"/>
                <w:szCs w:val="18"/>
              </w:rPr>
              <w:t>The Philippine Government has increased the education budget year on year: 201</w:t>
            </w:r>
            <w:r w:rsidR="00412956" w:rsidRPr="009341E9">
              <w:rPr>
                <w:sz w:val="18"/>
                <w:szCs w:val="18"/>
              </w:rPr>
              <w:t>1 </w:t>
            </w:r>
            <w:r w:rsidR="00412956" w:rsidRPr="009341E9">
              <w:rPr>
                <w:sz w:val="18"/>
                <w:szCs w:val="18"/>
              </w:rPr>
              <w:noBreakHyphen/>
              <w:t xml:space="preserve"> PHP207.5 billion, 2012 -</w:t>
            </w:r>
            <w:r w:rsidRPr="009341E9">
              <w:rPr>
                <w:sz w:val="18"/>
                <w:szCs w:val="18"/>
              </w:rPr>
              <w:t xml:space="preserve"> PHP238.4 billion,</w:t>
            </w:r>
            <w:r w:rsidR="00412956" w:rsidRPr="009341E9">
              <w:rPr>
                <w:sz w:val="18"/>
                <w:szCs w:val="18"/>
              </w:rPr>
              <w:t xml:space="preserve"> 2013 </w:t>
            </w:r>
            <w:r w:rsidR="00412956" w:rsidRPr="009341E9">
              <w:rPr>
                <w:sz w:val="18"/>
                <w:szCs w:val="18"/>
              </w:rPr>
              <w:noBreakHyphen/>
              <w:t xml:space="preserve"> PHP292.2 billion, 2014 -</w:t>
            </w:r>
            <w:r w:rsidRPr="009341E9">
              <w:rPr>
                <w:sz w:val="18"/>
                <w:szCs w:val="18"/>
              </w:rPr>
              <w:t xml:space="preserve"> PHP307.9 billion, and 2015 </w:t>
            </w:r>
            <w:r w:rsidRPr="009341E9">
              <w:rPr>
                <w:sz w:val="18"/>
                <w:szCs w:val="18"/>
              </w:rPr>
              <w:noBreakHyphen/>
              <w:t xml:space="preserve"> PHP364.7 billion.</w:t>
            </w:r>
          </w:p>
        </w:tc>
      </w:tr>
      <w:tr w:rsidR="006D30CF" w:rsidRPr="002D5F64" w14:paraId="120BF6F2" w14:textId="77777777" w:rsidTr="0061767C">
        <w:tc>
          <w:tcPr>
            <w:tcW w:w="3969" w:type="dxa"/>
          </w:tcPr>
          <w:p w14:paraId="16F92282" w14:textId="6EEF06C2" w:rsidR="006D30CF" w:rsidRPr="009341E9" w:rsidRDefault="00D23737" w:rsidP="00D174C9">
            <w:pPr>
              <w:pStyle w:val="ListBullet"/>
              <w:numPr>
                <w:ilvl w:val="0"/>
                <w:numId w:val="0"/>
              </w:numPr>
              <w:tabs>
                <w:tab w:val="clear" w:pos="284"/>
              </w:tabs>
              <w:rPr>
                <w:sz w:val="18"/>
                <w:szCs w:val="18"/>
              </w:rPr>
            </w:pPr>
            <w:r w:rsidRPr="009341E9">
              <w:rPr>
                <w:sz w:val="18"/>
                <w:szCs w:val="18"/>
              </w:rPr>
              <w:t>Accelerate implementation of the basic education reform agenda.</w:t>
            </w:r>
          </w:p>
        </w:tc>
        <w:tc>
          <w:tcPr>
            <w:tcW w:w="5245" w:type="dxa"/>
          </w:tcPr>
          <w:p w14:paraId="6EAD8674" w14:textId="0F057B72" w:rsidR="006D30CF" w:rsidRPr="009341E9" w:rsidRDefault="00D23737" w:rsidP="00D36B23">
            <w:pPr>
              <w:pStyle w:val="ListBullet"/>
              <w:numPr>
                <w:ilvl w:val="0"/>
                <w:numId w:val="0"/>
              </w:numPr>
              <w:tabs>
                <w:tab w:val="clear" w:pos="284"/>
              </w:tabs>
              <w:rPr>
                <w:sz w:val="18"/>
                <w:szCs w:val="18"/>
              </w:rPr>
            </w:pPr>
            <w:r w:rsidRPr="009341E9">
              <w:rPr>
                <w:sz w:val="18"/>
                <w:szCs w:val="18"/>
              </w:rPr>
              <w:t xml:space="preserve">The </w:t>
            </w:r>
            <w:r w:rsidR="00D36B23" w:rsidRPr="009341E9">
              <w:rPr>
                <w:sz w:val="18"/>
                <w:szCs w:val="18"/>
              </w:rPr>
              <w:t>K-12</w:t>
            </w:r>
            <w:r w:rsidRPr="009341E9">
              <w:rPr>
                <w:sz w:val="18"/>
                <w:szCs w:val="18"/>
              </w:rPr>
              <w:t xml:space="preserve"> program was approved in 2012 through the Enhanced Basic Education Act. The new K-12 curriculum has been completed and is being implemented in nine grade levels (K-4 and 7-10).</w:t>
            </w:r>
          </w:p>
        </w:tc>
      </w:tr>
      <w:tr w:rsidR="006D30CF" w:rsidRPr="002D5F64" w14:paraId="57A818BB" w14:textId="77777777" w:rsidTr="0061767C">
        <w:tc>
          <w:tcPr>
            <w:tcW w:w="3969" w:type="dxa"/>
          </w:tcPr>
          <w:p w14:paraId="700D5D7B" w14:textId="72E1DED2" w:rsidR="006D30CF" w:rsidRPr="009341E9" w:rsidRDefault="00D23737" w:rsidP="00D174C9">
            <w:pPr>
              <w:pStyle w:val="ListBullet"/>
              <w:numPr>
                <w:ilvl w:val="0"/>
                <w:numId w:val="0"/>
              </w:numPr>
              <w:tabs>
                <w:tab w:val="clear" w:pos="284"/>
              </w:tabs>
              <w:rPr>
                <w:sz w:val="18"/>
                <w:szCs w:val="18"/>
              </w:rPr>
            </w:pPr>
            <w:r w:rsidRPr="009341E9">
              <w:rPr>
                <w:sz w:val="18"/>
                <w:szCs w:val="18"/>
              </w:rPr>
              <w:t>Continue investing in human resource management and development for all levels of government bureaucracy to improve service delivery and public sector accountability.</w:t>
            </w:r>
          </w:p>
        </w:tc>
        <w:tc>
          <w:tcPr>
            <w:tcW w:w="5245" w:type="dxa"/>
          </w:tcPr>
          <w:p w14:paraId="4BC82108" w14:textId="3D079D88" w:rsidR="006D30CF" w:rsidRPr="009341E9" w:rsidRDefault="00D23737" w:rsidP="00D36B23">
            <w:pPr>
              <w:pStyle w:val="ListBullet"/>
              <w:numPr>
                <w:ilvl w:val="0"/>
                <w:numId w:val="0"/>
              </w:numPr>
              <w:tabs>
                <w:tab w:val="clear" w:pos="284"/>
              </w:tabs>
              <w:rPr>
                <w:sz w:val="18"/>
                <w:szCs w:val="18"/>
              </w:rPr>
            </w:pPr>
            <w:r w:rsidRPr="009341E9">
              <w:rPr>
                <w:sz w:val="18"/>
                <w:szCs w:val="18"/>
              </w:rPr>
              <w:t>The Civil Service Commissio</w:t>
            </w:r>
            <w:r w:rsidR="00F35204" w:rsidRPr="009341E9">
              <w:rPr>
                <w:sz w:val="18"/>
                <w:szCs w:val="18"/>
              </w:rPr>
              <w:t>n (CSC) is implementing the ISO </w:t>
            </w:r>
            <w:r w:rsidRPr="009341E9">
              <w:rPr>
                <w:sz w:val="18"/>
                <w:szCs w:val="18"/>
              </w:rPr>
              <w:t>9001:2008 Certified Program to Institutionalise Meritocracy and Excellence in Human Resource Management. The CSC has al</w:t>
            </w:r>
            <w:r w:rsidR="00C60681">
              <w:rPr>
                <w:sz w:val="18"/>
                <w:szCs w:val="18"/>
              </w:rPr>
              <w:t>so been certified by Investors I</w:t>
            </w:r>
            <w:r w:rsidRPr="009341E9">
              <w:rPr>
                <w:sz w:val="18"/>
                <w:szCs w:val="18"/>
              </w:rPr>
              <w:t>n People, an international quality standard accrediting agency for excellence in people management.</w:t>
            </w:r>
          </w:p>
        </w:tc>
      </w:tr>
      <w:tr w:rsidR="006D30CF" w:rsidRPr="002D5F64" w14:paraId="641E4CE2" w14:textId="77777777" w:rsidTr="0061767C">
        <w:tc>
          <w:tcPr>
            <w:tcW w:w="3969" w:type="dxa"/>
          </w:tcPr>
          <w:p w14:paraId="66C99C31" w14:textId="4A280C59" w:rsidR="006D30CF" w:rsidRPr="009341E9" w:rsidRDefault="00D23737" w:rsidP="00D174C9">
            <w:pPr>
              <w:pStyle w:val="ListBullet"/>
              <w:numPr>
                <w:ilvl w:val="0"/>
                <w:numId w:val="0"/>
              </w:numPr>
              <w:tabs>
                <w:tab w:val="clear" w:pos="284"/>
              </w:tabs>
              <w:rPr>
                <w:sz w:val="18"/>
                <w:szCs w:val="18"/>
              </w:rPr>
            </w:pPr>
            <w:r w:rsidRPr="009341E9">
              <w:rPr>
                <w:sz w:val="18"/>
                <w:szCs w:val="18"/>
              </w:rPr>
              <w:t>Ensure sufficient resources for the implementation of the national slum upgrading strategy, and the PFM reform roadmap.</w:t>
            </w:r>
          </w:p>
        </w:tc>
        <w:tc>
          <w:tcPr>
            <w:tcW w:w="5245" w:type="dxa"/>
          </w:tcPr>
          <w:p w14:paraId="5F79F0F8" w14:textId="155735FF" w:rsidR="006D30CF" w:rsidRPr="009341E9" w:rsidRDefault="00D23737" w:rsidP="00D36B23">
            <w:pPr>
              <w:pStyle w:val="ListBullet"/>
              <w:numPr>
                <w:ilvl w:val="0"/>
                <w:numId w:val="0"/>
              </w:numPr>
              <w:tabs>
                <w:tab w:val="clear" w:pos="284"/>
              </w:tabs>
              <w:rPr>
                <w:sz w:val="18"/>
                <w:szCs w:val="18"/>
              </w:rPr>
            </w:pPr>
            <w:r w:rsidRPr="009341E9">
              <w:rPr>
                <w:sz w:val="18"/>
                <w:szCs w:val="18"/>
              </w:rPr>
              <w:t>The Philippi</w:t>
            </w:r>
            <w:r w:rsidR="00D36B23" w:rsidRPr="009341E9">
              <w:rPr>
                <w:sz w:val="18"/>
                <w:szCs w:val="18"/>
              </w:rPr>
              <w:t xml:space="preserve">ne Government is </w:t>
            </w:r>
            <w:r w:rsidR="00163FB8" w:rsidRPr="009341E9">
              <w:rPr>
                <w:sz w:val="18"/>
                <w:szCs w:val="18"/>
              </w:rPr>
              <w:t>implement</w:t>
            </w:r>
            <w:r w:rsidR="00D36B23" w:rsidRPr="009341E9">
              <w:rPr>
                <w:sz w:val="18"/>
                <w:szCs w:val="18"/>
              </w:rPr>
              <w:t>ing</w:t>
            </w:r>
            <w:r w:rsidR="00163FB8" w:rsidRPr="009341E9">
              <w:rPr>
                <w:sz w:val="18"/>
                <w:szCs w:val="18"/>
              </w:rPr>
              <w:t xml:space="preserve"> its AUD</w:t>
            </w:r>
            <w:r w:rsidRPr="009341E9">
              <w:rPr>
                <w:sz w:val="18"/>
                <w:szCs w:val="18"/>
              </w:rPr>
              <w:t xml:space="preserve">1.5 billion Interim Shelter Fund Program for Informal Settler Families in Metro Manila. It has </w:t>
            </w:r>
            <w:r w:rsidR="00163FB8" w:rsidRPr="009341E9">
              <w:rPr>
                <w:sz w:val="18"/>
                <w:szCs w:val="18"/>
              </w:rPr>
              <w:t>to date released approximately AUD</w:t>
            </w:r>
            <w:r w:rsidR="0018272C">
              <w:rPr>
                <w:sz w:val="18"/>
                <w:szCs w:val="18"/>
              </w:rPr>
              <w:t>329 </w:t>
            </w:r>
            <w:r w:rsidRPr="009341E9">
              <w:rPr>
                <w:sz w:val="18"/>
                <w:szCs w:val="18"/>
              </w:rPr>
              <w:t>million to build housing units for 32,103 beneficiaries. The government is also designing a USD300 million flood con</w:t>
            </w:r>
            <w:r w:rsidR="00124DC7">
              <w:rPr>
                <w:sz w:val="18"/>
                <w:szCs w:val="18"/>
              </w:rPr>
              <w:t>trol and mitigation project in M</w:t>
            </w:r>
            <w:r w:rsidRPr="009341E9">
              <w:rPr>
                <w:sz w:val="18"/>
                <w:szCs w:val="18"/>
              </w:rPr>
              <w:t>etropolitan Manila to support the Interim Settler Fund Program.</w:t>
            </w:r>
          </w:p>
        </w:tc>
      </w:tr>
      <w:tr w:rsidR="006D30CF" w:rsidRPr="002D5F64" w14:paraId="2F984AF1" w14:textId="77777777" w:rsidTr="0061767C">
        <w:tc>
          <w:tcPr>
            <w:tcW w:w="3969" w:type="dxa"/>
          </w:tcPr>
          <w:p w14:paraId="79785E6D" w14:textId="3939111B" w:rsidR="006D30CF" w:rsidRPr="009341E9" w:rsidRDefault="00D23737" w:rsidP="00D174C9">
            <w:pPr>
              <w:pStyle w:val="ListBullet"/>
              <w:numPr>
                <w:ilvl w:val="0"/>
                <w:numId w:val="0"/>
              </w:numPr>
              <w:tabs>
                <w:tab w:val="clear" w:pos="284"/>
              </w:tabs>
              <w:rPr>
                <w:sz w:val="18"/>
                <w:szCs w:val="18"/>
              </w:rPr>
            </w:pPr>
            <w:r w:rsidRPr="009341E9">
              <w:rPr>
                <w:sz w:val="18"/>
                <w:szCs w:val="18"/>
              </w:rPr>
              <w:t xml:space="preserve">Curb corruption to ensure that resources are effectively and efficiently used for the delivery of </w:t>
            </w:r>
            <w:r w:rsidRPr="009341E9">
              <w:rPr>
                <w:sz w:val="18"/>
                <w:szCs w:val="18"/>
              </w:rPr>
              <w:lastRenderedPageBreak/>
              <w:t>public goods and services.</w:t>
            </w:r>
          </w:p>
        </w:tc>
        <w:tc>
          <w:tcPr>
            <w:tcW w:w="5245" w:type="dxa"/>
          </w:tcPr>
          <w:p w14:paraId="19CB841F" w14:textId="3EE329AD" w:rsidR="00CE2908" w:rsidRPr="009341E9" w:rsidRDefault="00D23737" w:rsidP="005C62FE">
            <w:pPr>
              <w:pStyle w:val="ListBullet"/>
              <w:numPr>
                <w:ilvl w:val="0"/>
                <w:numId w:val="0"/>
              </w:numPr>
              <w:tabs>
                <w:tab w:val="clear" w:pos="284"/>
              </w:tabs>
              <w:rPr>
                <w:sz w:val="18"/>
                <w:szCs w:val="18"/>
              </w:rPr>
            </w:pPr>
            <w:r w:rsidRPr="009341E9">
              <w:rPr>
                <w:sz w:val="18"/>
                <w:szCs w:val="18"/>
              </w:rPr>
              <w:lastRenderedPageBreak/>
              <w:t xml:space="preserve">The Freedom of Information Bill has yet to be enacted but is a priority legislative agenda of the President of the Philippines and </w:t>
            </w:r>
            <w:r w:rsidRPr="009341E9">
              <w:rPr>
                <w:sz w:val="18"/>
                <w:szCs w:val="18"/>
              </w:rPr>
              <w:lastRenderedPageBreak/>
              <w:t>has strong support from civil society.</w:t>
            </w:r>
            <w:r w:rsidR="005C62FE" w:rsidRPr="009341E9">
              <w:rPr>
                <w:sz w:val="18"/>
                <w:szCs w:val="18"/>
              </w:rPr>
              <w:t xml:space="preserve"> The Commission on Audit is conducting a review on provincial road ownership so that asset management and depreciation accounting mechanisms can be established. This will provide greater transparency and accountability in road investment programming.</w:t>
            </w:r>
          </w:p>
        </w:tc>
      </w:tr>
      <w:tr w:rsidR="006D30CF" w:rsidRPr="002D5F64" w14:paraId="0CB9DE6E" w14:textId="77777777" w:rsidTr="0061767C">
        <w:tc>
          <w:tcPr>
            <w:tcW w:w="3969" w:type="dxa"/>
          </w:tcPr>
          <w:p w14:paraId="007FC371" w14:textId="6E09AC31" w:rsidR="006D30CF" w:rsidRPr="009341E9" w:rsidRDefault="00D23737" w:rsidP="00D174C9">
            <w:pPr>
              <w:pStyle w:val="ListBullet"/>
              <w:numPr>
                <w:ilvl w:val="0"/>
                <w:numId w:val="0"/>
              </w:numPr>
              <w:tabs>
                <w:tab w:val="clear" w:pos="284"/>
              </w:tabs>
              <w:rPr>
                <w:sz w:val="18"/>
                <w:szCs w:val="18"/>
              </w:rPr>
            </w:pPr>
            <w:r w:rsidRPr="009341E9">
              <w:rPr>
                <w:sz w:val="18"/>
                <w:szCs w:val="18"/>
              </w:rPr>
              <w:lastRenderedPageBreak/>
              <w:t>Strengthen mechanisms to further boost citizen’s access to information and boost the quality of their participation in local governance.</w:t>
            </w:r>
          </w:p>
        </w:tc>
        <w:tc>
          <w:tcPr>
            <w:tcW w:w="5245" w:type="dxa"/>
          </w:tcPr>
          <w:p w14:paraId="407968E5" w14:textId="058884FE" w:rsidR="006D30CF" w:rsidRPr="009341E9" w:rsidRDefault="00D23737" w:rsidP="00D174C9">
            <w:pPr>
              <w:pStyle w:val="ListBullet"/>
              <w:numPr>
                <w:ilvl w:val="0"/>
                <w:numId w:val="0"/>
              </w:numPr>
              <w:tabs>
                <w:tab w:val="clear" w:pos="284"/>
              </w:tabs>
              <w:rPr>
                <w:sz w:val="18"/>
                <w:szCs w:val="18"/>
              </w:rPr>
            </w:pPr>
            <w:r w:rsidRPr="009341E9">
              <w:rPr>
                <w:sz w:val="18"/>
                <w:szCs w:val="18"/>
              </w:rPr>
              <w:t>The Government is seeking to continue its Grassroots Participatory Budgeting Process beyond 2016. This process helps ensure communities are informed, consulted, and take part in projects implemented by their local government.</w:t>
            </w:r>
          </w:p>
        </w:tc>
      </w:tr>
      <w:tr w:rsidR="00D23737" w:rsidRPr="002D5F64" w14:paraId="68605C44" w14:textId="77777777" w:rsidTr="0061767C">
        <w:tc>
          <w:tcPr>
            <w:tcW w:w="3969" w:type="dxa"/>
          </w:tcPr>
          <w:p w14:paraId="5196DA9B" w14:textId="53485F4E" w:rsidR="00D23737" w:rsidRPr="009341E9" w:rsidRDefault="00D23737" w:rsidP="00D174C9">
            <w:pPr>
              <w:pStyle w:val="ListBullet"/>
              <w:numPr>
                <w:ilvl w:val="0"/>
                <w:numId w:val="0"/>
              </w:numPr>
              <w:tabs>
                <w:tab w:val="clear" w:pos="284"/>
              </w:tabs>
              <w:rPr>
                <w:sz w:val="18"/>
                <w:szCs w:val="18"/>
              </w:rPr>
            </w:pPr>
            <w:r w:rsidRPr="009341E9">
              <w:rPr>
                <w:sz w:val="18"/>
                <w:szCs w:val="18"/>
              </w:rPr>
              <w:t>Work towa</w:t>
            </w:r>
            <w:r w:rsidR="006B6E4B" w:rsidRPr="009341E9">
              <w:rPr>
                <w:sz w:val="18"/>
                <w:szCs w:val="18"/>
              </w:rPr>
              <w:t>rds building safer and disaster</w:t>
            </w:r>
            <w:r w:rsidR="006B6E4B" w:rsidRPr="009341E9">
              <w:rPr>
                <w:sz w:val="18"/>
                <w:szCs w:val="18"/>
              </w:rPr>
              <w:noBreakHyphen/>
            </w:r>
            <w:r w:rsidRPr="009341E9">
              <w:rPr>
                <w:sz w:val="18"/>
                <w:szCs w:val="18"/>
              </w:rPr>
              <w:t>resilient communities.</w:t>
            </w:r>
          </w:p>
        </w:tc>
        <w:tc>
          <w:tcPr>
            <w:tcW w:w="5245" w:type="dxa"/>
          </w:tcPr>
          <w:p w14:paraId="234D5270" w14:textId="2C7C481E" w:rsidR="00D23737" w:rsidRPr="009341E9" w:rsidRDefault="00D23737" w:rsidP="00D174C9">
            <w:pPr>
              <w:pStyle w:val="ListBullet"/>
              <w:numPr>
                <w:ilvl w:val="0"/>
                <w:numId w:val="0"/>
              </w:numPr>
              <w:tabs>
                <w:tab w:val="clear" w:pos="284"/>
              </w:tabs>
              <w:rPr>
                <w:sz w:val="18"/>
                <w:szCs w:val="18"/>
              </w:rPr>
            </w:pPr>
            <w:r w:rsidRPr="009341E9">
              <w:rPr>
                <w:sz w:val="18"/>
                <w:szCs w:val="18"/>
              </w:rPr>
              <w:t xml:space="preserve">A review of </w:t>
            </w:r>
            <w:r w:rsidRPr="00A04025">
              <w:rPr>
                <w:sz w:val="18"/>
                <w:szCs w:val="18"/>
              </w:rPr>
              <w:t xml:space="preserve">the </w:t>
            </w:r>
            <w:r w:rsidRPr="00A04025">
              <w:rPr>
                <w:i/>
                <w:sz w:val="18"/>
                <w:szCs w:val="18"/>
              </w:rPr>
              <w:t>Disaster Risk Reduction and Management Act</w:t>
            </w:r>
            <w:r w:rsidR="00AF6E07" w:rsidRPr="00A04025">
              <w:rPr>
                <w:i/>
                <w:sz w:val="18"/>
                <w:szCs w:val="18"/>
              </w:rPr>
              <w:t xml:space="preserve"> </w:t>
            </w:r>
            <w:r w:rsidR="00AF6E07" w:rsidRPr="00A04025">
              <w:rPr>
                <w:sz w:val="18"/>
                <w:szCs w:val="18"/>
              </w:rPr>
              <w:t>by the Government of the Philippines</w:t>
            </w:r>
            <w:r w:rsidRPr="00A04025">
              <w:rPr>
                <w:sz w:val="18"/>
                <w:szCs w:val="18"/>
              </w:rPr>
              <w:t xml:space="preserve"> is underway and is expecte</w:t>
            </w:r>
            <w:r w:rsidR="00163FB8" w:rsidRPr="00A04025">
              <w:rPr>
                <w:sz w:val="18"/>
                <w:szCs w:val="18"/>
              </w:rPr>
              <w:t>d to be completed in 2015. The AUD</w:t>
            </w:r>
            <w:r w:rsidRPr="00A04025">
              <w:rPr>
                <w:sz w:val="18"/>
                <w:szCs w:val="18"/>
              </w:rPr>
              <w:t>30 million People’s Survival</w:t>
            </w:r>
            <w:r w:rsidRPr="009341E9">
              <w:rPr>
                <w:sz w:val="18"/>
                <w:szCs w:val="18"/>
              </w:rPr>
              <w:t xml:space="preserve"> Fund to finance climate change adaptation programs is expected to be operational in late 2015. The Government of the Ph</w:t>
            </w:r>
            <w:r w:rsidR="00163FB8" w:rsidRPr="009341E9">
              <w:rPr>
                <w:sz w:val="18"/>
                <w:szCs w:val="18"/>
              </w:rPr>
              <w:t>ilippines has committed to the AUD</w:t>
            </w:r>
            <w:r w:rsidR="00E849EE" w:rsidRPr="009341E9">
              <w:rPr>
                <w:sz w:val="18"/>
                <w:szCs w:val="18"/>
              </w:rPr>
              <w:t>5 </w:t>
            </w:r>
            <w:r w:rsidRPr="009341E9">
              <w:rPr>
                <w:sz w:val="18"/>
                <w:szCs w:val="18"/>
              </w:rPr>
              <w:t xml:space="preserve">billion reconstruction of Typhoon Yolanda affected </w:t>
            </w:r>
            <w:r w:rsidR="00163FB8" w:rsidRPr="009341E9">
              <w:rPr>
                <w:sz w:val="18"/>
                <w:szCs w:val="18"/>
              </w:rPr>
              <w:t>areas. To date, AUD</w:t>
            </w:r>
            <w:r w:rsidR="00301CDE" w:rsidRPr="009341E9">
              <w:rPr>
                <w:sz w:val="18"/>
                <w:szCs w:val="18"/>
              </w:rPr>
              <w:t>2.4 </w:t>
            </w:r>
            <w:r w:rsidRPr="009341E9">
              <w:rPr>
                <w:sz w:val="18"/>
                <w:szCs w:val="18"/>
              </w:rPr>
              <w:t>billion has been released.</w:t>
            </w:r>
          </w:p>
        </w:tc>
      </w:tr>
      <w:tr w:rsidR="00D23737" w:rsidRPr="002D5F64" w14:paraId="7A66DB49" w14:textId="77777777" w:rsidTr="0061767C">
        <w:tc>
          <w:tcPr>
            <w:tcW w:w="3969" w:type="dxa"/>
            <w:tcBorders>
              <w:bottom w:val="single" w:sz="12" w:space="0" w:color="auto"/>
            </w:tcBorders>
          </w:tcPr>
          <w:p w14:paraId="306DD63D" w14:textId="42EC9079" w:rsidR="00D23737" w:rsidRPr="009341E9" w:rsidRDefault="00D23737" w:rsidP="00D174C9">
            <w:pPr>
              <w:pStyle w:val="ListBullet"/>
              <w:numPr>
                <w:ilvl w:val="0"/>
                <w:numId w:val="0"/>
              </w:numPr>
              <w:tabs>
                <w:tab w:val="clear" w:pos="284"/>
              </w:tabs>
              <w:rPr>
                <w:sz w:val="18"/>
                <w:szCs w:val="18"/>
              </w:rPr>
            </w:pPr>
            <w:r w:rsidRPr="009341E9">
              <w:rPr>
                <w:sz w:val="18"/>
                <w:szCs w:val="18"/>
              </w:rPr>
              <w:t>Exert all efforts to win peace and ensure national security through negotiated political settlements of all armed conflict and implementation of complementary development tracks to address the causes of conflict.</w:t>
            </w:r>
          </w:p>
        </w:tc>
        <w:tc>
          <w:tcPr>
            <w:tcW w:w="5245" w:type="dxa"/>
            <w:tcBorders>
              <w:bottom w:val="single" w:sz="12" w:space="0" w:color="auto"/>
            </w:tcBorders>
          </w:tcPr>
          <w:p w14:paraId="00C0AAD8" w14:textId="4F282CA1" w:rsidR="00D23737" w:rsidRPr="009341E9" w:rsidRDefault="00D23737" w:rsidP="00301CDE">
            <w:pPr>
              <w:pStyle w:val="ListBullet"/>
              <w:numPr>
                <w:ilvl w:val="0"/>
                <w:numId w:val="0"/>
              </w:numPr>
              <w:tabs>
                <w:tab w:val="clear" w:pos="284"/>
              </w:tabs>
              <w:rPr>
                <w:sz w:val="18"/>
                <w:szCs w:val="18"/>
              </w:rPr>
            </w:pPr>
            <w:r w:rsidRPr="009341E9">
              <w:rPr>
                <w:sz w:val="18"/>
                <w:szCs w:val="18"/>
              </w:rPr>
              <w:t xml:space="preserve">The peace process with the </w:t>
            </w:r>
            <w:r w:rsidR="00301CDE" w:rsidRPr="009341E9">
              <w:rPr>
                <w:sz w:val="18"/>
                <w:szCs w:val="18"/>
              </w:rPr>
              <w:t>MILF</w:t>
            </w:r>
            <w:r w:rsidRPr="009341E9">
              <w:rPr>
                <w:sz w:val="18"/>
                <w:szCs w:val="18"/>
              </w:rPr>
              <w:t xml:space="preserve"> remains a major priority for the government. The President of the Philippines stressed in his 2015 State of the Nation Address that the Bangsamoro Basic Law is the most important legislation he wishes to be passed in the current term of Congress.</w:t>
            </w:r>
          </w:p>
        </w:tc>
      </w:tr>
    </w:tbl>
    <w:p w14:paraId="68FD4E9A" w14:textId="77777777" w:rsidR="00906A81" w:rsidRPr="008A6CDC" w:rsidRDefault="00511A0F" w:rsidP="0007149C">
      <w:pPr>
        <w:pStyle w:val="Heading2"/>
        <w:rPr>
          <w:sz w:val="28"/>
        </w:rPr>
      </w:pPr>
      <w:r w:rsidRPr="002D5F64">
        <w:rPr>
          <w:sz w:val="28"/>
        </w:rPr>
        <w:t>Program Quality</w:t>
      </w:r>
      <w:r w:rsidR="000D733F" w:rsidRPr="002D5F64">
        <w:rPr>
          <w:sz w:val="28"/>
        </w:rPr>
        <w:t xml:space="preserve"> and </w:t>
      </w:r>
      <w:r w:rsidR="00581979" w:rsidRPr="002D5F64">
        <w:rPr>
          <w:sz w:val="28"/>
        </w:rPr>
        <w:t>Partner Performance</w:t>
      </w:r>
      <w:r w:rsidR="000D733F" w:rsidRPr="008A6CDC">
        <w:rPr>
          <w:sz w:val="28"/>
        </w:rPr>
        <w:t xml:space="preserve"> </w:t>
      </w:r>
    </w:p>
    <w:p w14:paraId="58BD5551" w14:textId="77777777" w:rsidR="000D733F" w:rsidRPr="002D5F64" w:rsidRDefault="00906A81" w:rsidP="00511A0F">
      <w:pPr>
        <w:pStyle w:val="Heading3"/>
      </w:pPr>
      <w:r w:rsidRPr="002D5F64">
        <w:t>Overview</w:t>
      </w:r>
      <w:r w:rsidR="000D733F" w:rsidRPr="002D5F64">
        <w:tab/>
      </w:r>
      <w:r w:rsidR="000D733F" w:rsidRPr="002D5F64">
        <w:tab/>
      </w:r>
    </w:p>
    <w:p w14:paraId="6EBEA68E" w14:textId="771E9088" w:rsidR="009F093C" w:rsidRDefault="00FE709C" w:rsidP="00467E6A">
      <w:pPr>
        <w:pStyle w:val="ListBullet"/>
        <w:numPr>
          <w:ilvl w:val="0"/>
          <w:numId w:val="0"/>
        </w:numPr>
        <w:tabs>
          <w:tab w:val="clear" w:pos="284"/>
          <w:tab w:val="left" w:pos="0"/>
        </w:tabs>
      </w:pPr>
      <w:r w:rsidRPr="002D5F64">
        <w:t xml:space="preserve">Australia’s new aid policy and performance framework was launched </w:t>
      </w:r>
      <w:r w:rsidR="00B1489F" w:rsidRPr="002D5F64">
        <w:t xml:space="preserve">in June 2014 and </w:t>
      </w:r>
      <w:r w:rsidR="00412956">
        <w:t>included</w:t>
      </w:r>
      <w:r w:rsidR="00B1489F" w:rsidRPr="002D5F64">
        <w:t xml:space="preserve"> </w:t>
      </w:r>
      <w:r w:rsidRPr="002D5F64">
        <w:t xml:space="preserve">targets to </w:t>
      </w:r>
      <w:r w:rsidR="006E6852" w:rsidRPr="002D5F64">
        <w:t>ensure value for money,</w:t>
      </w:r>
      <w:r w:rsidR="00B1489F" w:rsidRPr="002D5F64">
        <w:t xml:space="preserve"> increase consolidation and empower women and girls. </w:t>
      </w:r>
      <w:r w:rsidR="00B41B9C" w:rsidRPr="002D5F64">
        <w:t>The Philippines P</w:t>
      </w:r>
      <w:r w:rsidR="008B5BDD" w:rsidRPr="002D5F64">
        <w:t xml:space="preserve">rogram </w:t>
      </w:r>
      <w:r w:rsidR="006E6852" w:rsidRPr="002D5F64">
        <w:t xml:space="preserve">has </w:t>
      </w:r>
      <w:r w:rsidR="009E766B" w:rsidRPr="002D5F64">
        <w:t xml:space="preserve">met </w:t>
      </w:r>
      <w:r w:rsidR="006B6E4B">
        <w:t>the value for money target:</w:t>
      </w:r>
      <w:r w:rsidR="00412956">
        <w:t xml:space="preserve"> </w:t>
      </w:r>
      <w:r w:rsidR="00373B9C" w:rsidRPr="002D5F64">
        <w:t>m</w:t>
      </w:r>
      <w:r w:rsidR="0002075D">
        <w:t>ore than 85 per</w:t>
      </w:r>
      <w:r w:rsidR="00184946">
        <w:t xml:space="preserve"> </w:t>
      </w:r>
      <w:r w:rsidR="0002075D">
        <w:t>cent</w:t>
      </w:r>
      <w:r w:rsidR="009E766B" w:rsidRPr="002D5F64">
        <w:t xml:space="preserve"> of</w:t>
      </w:r>
      <w:r w:rsidR="00B41B9C" w:rsidRPr="002D5F64">
        <w:t xml:space="preserve"> </w:t>
      </w:r>
      <w:r w:rsidR="009E766B" w:rsidRPr="002D5F64">
        <w:t xml:space="preserve">investments </w:t>
      </w:r>
      <w:r w:rsidR="00373B9C" w:rsidRPr="002D5F64">
        <w:t xml:space="preserve">to be rated </w:t>
      </w:r>
      <w:r w:rsidR="009E766B" w:rsidRPr="002D5F64">
        <w:t xml:space="preserve">at least “satisfactory” for </w:t>
      </w:r>
      <w:r w:rsidR="00B41B9C" w:rsidRPr="002D5F64">
        <w:t xml:space="preserve">effectiveness and efficiency in aid quality checks (see </w:t>
      </w:r>
      <w:r w:rsidR="00373B9C" w:rsidRPr="002D5F64">
        <w:t>Appendix D</w:t>
      </w:r>
      <w:r w:rsidR="00B41B9C" w:rsidRPr="002D5F64">
        <w:t xml:space="preserve">). The Philippines Program also </w:t>
      </w:r>
      <w:r w:rsidR="00467E6A" w:rsidRPr="002D5F64">
        <w:t xml:space="preserve">met </w:t>
      </w:r>
      <w:r w:rsidR="009E766B" w:rsidRPr="002D5F64">
        <w:t xml:space="preserve">the </w:t>
      </w:r>
      <w:r w:rsidR="0055013B" w:rsidRPr="002D5F64">
        <w:t xml:space="preserve">target of </w:t>
      </w:r>
      <w:r w:rsidR="00467E6A" w:rsidRPr="002D5F64">
        <w:t>reducing the number of individual inv</w:t>
      </w:r>
      <w:r w:rsidR="00BA300A" w:rsidRPr="002D5F64">
        <w:t>estments by 20</w:t>
      </w:r>
      <w:r w:rsidR="0002075D">
        <w:t xml:space="preserve"> per</w:t>
      </w:r>
      <w:r w:rsidR="00184946">
        <w:t xml:space="preserve"> </w:t>
      </w:r>
      <w:r w:rsidR="0002075D">
        <w:t>cent</w:t>
      </w:r>
      <w:r w:rsidR="00BA300A" w:rsidRPr="002D5F64">
        <w:t xml:space="preserve"> by 2016-</w:t>
      </w:r>
      <w:r w:rsidR="00467E6A" w:rsidRPr="002D5F64">
        <w:t>17. Between June 2014 and June 2015 the number of investments decreased from 25 t</w:t>
      </w:r>
      <w:r w:rsidR="0002075D">
        <w:t>o 18 or by 28 per</w:t>
      </w:r>
      <w:r w:rsidR="00184946">
        <w:t xml:space="preserve"> </w:t>
      </w:r>
      <w:r w:rsidR="0002075D">
        <w:t>cent</w:t>
      </w:r>
      <w:r w:rsidR="00D76D57" w:rsidRPr="002D5F64">
        <w:t xml:space="preserve">. </w:t>
      </w:r>
      <w:r w:rsidR="00681333" w:rsidRPr="002D5F64">
        <w:t xml:space="preserve">Consolidation has reduced the administrative and management burden of the Philippines Program. </w:t>
      </w:r>
      <w:r w:rsidR="00B41B9C" w:rsidRPr="002D5F64">
        <w:t xml:space="preserve">The Philippines </w:t>
      </w:r>
      <w:r w:rsidR="0061767C">
        <w:t>Program however did not meet the</w:t>
      </w:r>
      <w:r w:rsidR="00B41B9C" w:rsidRPr="002D5F64">
        <w:t xml:space="preserve"> empowering women</w:t>
      </w:r>
      <w:r w:rsidR="0002075D">
        <w:t xml:space="preserve"> and girls target. </w:t>
      </w:r>
      <w:r w:rsidR="00F35204">
        <w:t xml:space="preserve">Less than eighty </w:t>
      </w:r>
      <w:r w:rsidR="009F093C">
        <w:t>per</w:t>
      </w:r>
      <w:r w:rsidR="00184946">
        <w:t> </w:t>
      </w:r>
      <w:r w:rsidR="009F093C">
        <w:t xml:space="preserve">cent of investments </w:t>
      </w:r>
      <w:r w:rsidR="009F093C" w:rsidRPr="002D5F64">
        <w:t>were rated as satisfactory under the gender equality cri</w:t>
      </w:r>
      <w:r w:rsidR="009F093C">
        <w:t>teria of the aid quality checks.</w:t>
      </w:r>
    </w:p>
    <w:p w14:paraId="613E363D" w14:textId="058E1322" w:rsidR="008B5BDD" w:rsidRPr="002D5F64" w:rsidRDefault="008B5BDD" w:rsidP="008B5BDD">
      <w:pPr>
        <w:pStyle w:val="ListBullet"/>
        <w:numPr>
          <w:ilvl w:val="0"/>
          <w:numId w:val="0"/>
        </w:numPr>
        <w:tabs>
          <w:tab w:val="clear" w:pos="284"/>
        </w:tabs>
      </w:pPr>
      <w:r w:rsidRPr="002D5F64">
        <w:t>A Performance Assessment Framework (PAF) was finalised and approved in early 2014</w:t>
      </w:r>
      <w:r w:rsidR="00D76D57" w:rsidRPr="002D5F64">
        <w:t>. The PAF incorporated</w:t>
      </w:r>
      <w:r w:rsidR="001216F0" w:rsidRPr="002D5F64">
        <w:t xml:space="preserve"> the new prioriti</w:t>
      </w:r>
      <w:r w:rsidR="00D76D57" w:rsidRPr="002D5F64">
        <w:t xml:space="preserve">es of the Australian Government and informed monitoring and evaluation frameworks of </w:t>
      </w:r>
      <w:r w:rsidR="00E332CE" w:rsidRPr="002D5F64">
        <w:t xml:space="preserve">individual </w:t>
      </w:r>
      <w:r w:rsidR="0055013B" w:rsidRPr="002D5F64">
        <w:t>investments</w:t>
      </w:r>
      <w:r w:rsidR="00E332CE" w:rsidRPr="002D5F64">
        <w:t xml:space="preserve"> in the Philippines Program</w:t>
      </w:r>
      <w:r w:rsidR="0055013B" w:rsidRPr="002D5F64">
        <w:t>.</w:t>
      </w:r>
    </w:p>
    <w:p w14:paraId="6B532FBF" w14:textId="49A40AD7" w:rsidR="00EC689F" w:rsidRPr="002D5F64" w:rsidRDefault="00237D0A" w:rsidP="001216F0">
      <w:pPr>
        <w:pStyle w:val="ListBullet"/>
        <w:numPr>
          <w:ilvl w:val="0"/>
          <w:numId w:val="0"/>
        </w:numPr>
        <w:tabs>
          <w:tab w:val="clear" w:pos="284"/>
        </w:tabs>
      </w:pPr>
      <w:r w:rsidRPr="002D5F64">
        <w:t xml:space="preserve">In total </w:t>
      </w:r>
      <w:r w:rsidR="00075FC0" w:rsidRPr="002D5F64">
        <w:t>five</w:t>
      </w:r>
      <w:r w:rsidR="00BD1D8A" w:rsidRPr="002D5F64">
        <w:t xml:space="preserve"> </w:t>
      </w:r>
      <w:r w:rsidR="00EC689F" w:rsidRPr="002D5F64">
        <w:t xml:space="preserve">evaluations were conducted </w:t>
      </w:r>
      <w:r w:rsidR="00BD1D8A" w:rsidRPr="002D5F64">
        <w:t>in 2014-15</w:t>
      </w:r>
      <w:r w:rsidR="00E35C25" w:rsidRPr="002D5F64">
        <w:t xml:space="preserve">, </w:t>
      </w:r>
      <w:r w:rsidR="00620AB4" w:rsidRPr="002D5F64">
        <w:t xml:space="preserve">three independent </w:t>
      </w:r>
      <w:r w:rsidR="00E35C25" w:rsidRPr="002D5F64">
        <w:t>progress reviews</w:t>
      </w:r>
      <w:r w:rsidR="00620AB4" w:rsidRPr="002D5F64">
        <w:t xml:space="preserve"> and two </w:t>
      </w:r>
      <w:r w:rsidR="00E35C25" w:rsidRPr="002D5F64">
        <w:t>final review</w:t>
      </w:r>
      <w:r w:rsidR="00620AB4" w:rsidRPr="002D5F64">
        <w:t xml:space="preserve">s. </w:t>
      </w:r>
      <w:r w:rsidR="00326158" w:rsidRPr="002D5F64">
        <w:t xml:space="preserve">The independent final review for </w:t>
      </w:r>
      <w:r w:rsidR="00002B4F" w:rsidRPr="002D5F64">
        <w:t>BRAC</w:t>
      </w:r>
      <w:r w:rsidR="00075FC0" w:rsidRPr="002D5F64">
        <w:t>E</w:t>
      </w:r>
      <w:r w:rsidR="00002B4F" w:rsidRPr="002D5F64">
        <w:t xml:space="preserve"> found </w:t>
      </w:r>
      <w:r w:rsidR="00326158" w:rsidRPr="002D5F64">
        <w:t xml:space="preserve">that it </w:t>
      </w:r>
      <w:r w:rsidR="00002B4F" w:rsidRPr="002D5F64">
        <w:t xml:space="preserve">met </w:t>
      </w:r>
      <w:r w:rsidR="00326158" w:rsidRPr="002D5F64">
        <w:t xml:space="preserve">its </w:t>
      </w:r>
      <w:r w:rsidR="00002B4F" w:rsidRPr="002D5F64">
        <w:t>objective</w:t>
      </w:r>
      <w:r w:rsidR="00326158" w:rsidRPr="002D5F64">
        <w:t>s</w:t>
      </w:r>
      <w:r w:rsidR="00A06F39" w:rsidRPr="002D5F64">
        <w:t xml:space="preserve">, </w:t>
      </w:r>
      <w:r w:rsidR="00AB31F9" w:rsidRPr="002D5F64">
        <w:t xml:space="preserve">impacted </w:t>
      </w:r>
      <w:r w:rsidR="00A06F39" w:rsidRPr="002D5F64">
        <w:t xml:space="preserve">positively </w:t>
      </w:r>
      <w:r w:rsidR="00002B4F" w:rsidRPr="002D5F64">
        <w:t>on people’</w:t>
      </w:r>
      <w:r w:rsidR="00A06F39" w:rsidRPr="002D5F64">
        <w:t xml:space="preserve">s lives, and </w:t>
      </w:r>
      <w:r w:rsidR="00002B4F" w:rsidRPr="002D5F64">
        <w:t>establish</w:t>
      </w:r>
      <w:r w:rsidR="00075FC0" w:rsidRPr="002D5F64">
        <w:t>ed</w:t>
      </w:r>
      <w:r w:rsidR="00002B4F" w:rsidRPr="002D5F64">
        <w:t xml:space="preserve"> Australia as a favoured partner </w:t>
      </w:r>
      <w:r w:rsidR="00E332CE" w:rsidRPr="002D5F64">
        <w:t xml:space="preserve">for </w:t>
      </w:r>
      <w:r w:rsidR="00075FC0" w:rsidRPr="002D5F64">
        <w:t xml:space="preserve">the Philippines </w:t>
      </w:r>
      <w:r w:rsidR="00E332CE" w:rsidRPr="002D5F64">
        <w:t xml:space="preserve">in </w:t>
      </w:r>
      <w:r w:rsidR="00002B4F" w:rsidRPr="002D5F64">
        <w:t xml:space="preserve">disaster risk reduction and management. </w:t>
      </w:r>
      <w:r w:rsidR="00E332CE" w:rsidRPr="002D5F64">
        <w:t xml:space="preserve">A </w:t>
      </w:r>
      <w:r w:rsidR="00326158" w:rsidRPr="002D5F64">
        <w:t xml:space="preserve">final </w:t>
      </w:r>
      <w:r w:rsidR="00E332CE" w:rsidRPr="002D5F64">
        <w:t xml:space="preserve">internal </w:t>
      </w:r>
      <w:r w:rsidR="00326158" w:rsidRPr="002D5F64">
        <w:t xml:space="preserve">review of SPIM was similarly positive and found that it was </w:t>
      </w:r>
      <w:r w:rsidR="00075FC0" w:rsidRPr="002D5F64">
        <w:t xml:space="preserve">strategic, </w:t>
      </w:r>
      <w:r w:rsidR="00326158" w:rsidRPr="002D5F64">
        <w:t>innovative</w:t>
      </w:r>
      <w:r w:rsidR="00AB31F9" w:rsidRPr="002D5F64">
        <w:t xml:space="preserve"> and established </w:t>
      </w:r>
      <w:r w:rsidR="00A06F39" w:rsidRPr="002D5F64">
        <w:t>Australia</w:t>
      </w:r>
      <w:r w:rsidR="00AB31F9" w:rsidRPr="002D5F64">
        <w:t xml:space="preserve"> as a</w:t>
      </w:r>
      <w:r w:rsidR="00326158" w:rsidRPr="002D5F64">
        <w:t xml:space="preserve"> </w:t>
      </w:r>
      <w:r w:rsidR="00AB31F9" w:rsidRPr="002D5F64">
        <w:t xml:space="preserve">key </w:t>
      </w:r>
      <w:r w:rsidR="00326158" w:rsidRPr="002D5F64">
        <w:t>donor in</w:t>
      </w:r>
      <w:r w:rsidR="00075FC0" w:rsidRPr="002D5F64">
        <w:t xml:space="preserve"> </w:t>
      </w:r>
      <w:r w:rsidR="00326158" w:rsidRPr="002D5F64">
        <w:t>Mindanao.</w:t>
      </w:r>
    </w:p>
    <w:p w14:paraId="36CA1132" w14:textId="00109CE0" w:rsidR="00E32E2B" w:rsidRPr="008A6CDC" w:rsidRDefault="00AB31F9" w:rsidP="00075FC0">
      <w:pPr>
        <w:pStyle w:val="ListBullet"/>
        <w:numPr>
          <w:ilvl w:val="0"/>
          <w:numId w:val="0"/>
        </w:numPr>
        <w:tabs>
          <w:tab w:val="clear" w:pos="284"/>
          <w:tab w:val="left" w:pos="0"/>
        </w:tabs>
      </w:pPr>
      <w:r w:rsidRPr="002D5F64">
        <w:lastRenderedPageBreak/>
        <w:t>Independent progress reviews</w:t>
      </w:r>
      <w:r w:rsidR="00B35D5B" w:rsidRPr="002D5F64">
        <w:t xml:space="preserve"> (</w:t>
      </w:r>
      <w:r w:rsidR="007F117B" w:rsidRPr="002D5F64">
        <w:t xml:space="preserve">for </w:t>
      </w:r>
      <w:r w:rsidR="00075FC0" w:rsidRPr="002D5F64">
        <w:t>BEAM</w:t>
      </w:r>
      <w:r w:rsidR="003540C9">
        <w:t>-</w:t>
      </w:r>
      <w:r w:rsidR="007F117B" w:rsidRPr="002D5F64">
        <w:t xml:space="preserve">ARMM, </w:t>
      </w:r>
      <w:r w:rsidR="007B6409" w:rsidRPr="002D5F64">
        <w:t>DCRM</w:t>
      </w:r>
      <w:r w:rsidR="007F117B" w:rsidRPr="002D5F64">
        <w:t xml:space="preserve">, and </w:t>
      </w:r>
      <w:r w:rsidR="007B6409" w:rsidRPr="002D5F64">
        <w:t>PRMF</w:t>
      </w:r>
      <w:r w:rsidR="007F117B" w:rsidRPr="002D5F64">
        <w:t>) confirmed the investments</w:t>
      </w:r>
      <w:r w:rsidR="00140547">
        <w:t>’</w:t>
      </w:r>
      <w:r w:rsidR="007F117B" w:rsidRPr="002D5F64">
        <w:t xml:space="preserve"> strong relevance to the Philippine</w:t>
      </w:r>
      <w:r w:rsidR="00A06F39" w:rsidRPr="002D5F64">
        <w:t>s</w:t>
      </w:r>
      <w:r w:rsidR="007F117B" w:rsidRPr="002D5F64">
        <w:t xml:space="preserve"> and that progress was </w:t>
      </w:r>
      <w:r w:rsidR="00A06F39" w:rsidRPr="002D5F64">
        <w:t xml:space="preserve">generally </w:t>
      </w:r>
      <w:r w:rsidR="007F117B" w:rsidRPr="002D5F64">
        <w:t xml:space="preserve">on track to achieve intended results. A common area of improvement across </w:t>
      </w:r>
      <w:r w:rsidR="00A06F39" w:rsidRPr="002D5F64">
        <w:t xml:space="preserve">investments </w:t>
      </w:r>
      <w:r w:rsidR="007F117B" w:rsidRPr="002D5F64">
        <w:t xml:space="preserve">was </w:t>
      </w:r>
      <w:r w:rsidR="009E5A92" w:rsidRPr="002D5F64">
        <w:t xml:space="preserve">on </w:t>
      </w:r>
      <w:r w:rsidR="007F117B" w:rsidRPr="002D5F64">
        <w:t>monitoring a</w:t>
      </w:r>
      <w:r w:rsidR="00A06F39" w:rsidRPr="002D5F64">
        <w:t>nd evaluation</w:t>
      </w:r>
      <w:r w:rsidR="000A301B" w:rsidRPr="002D5F64">
        <w:t>.</w:t>
      </w:r>
      <w:r w:rsidR="00A06F39" w:rsidRPr="002D5F64">
        <w:t xml:space="preserve"> </w:t>
      </w:r>
      <w:r w:rsidR="000A301B" w:rsidRPr="002D5F64">
        <w:t xml:space="preserve">Progress reviews highlighted the </w:t>
      </w:r>
      <w:r w:rsidR="00236EE5" w:rsidRPr="002D5F64">
        <w:t>low quality of baseline data</w:t>
      </w:r>
      <w:r w:rsidR="000A301B" w:rsidRPr="002D5F64">
        <w:t xml:space="preserve"> </w:t>
      </w:r>
      <w:r w:rsidR="009E5A92" w:rsidRPr="002D5F64">
        <w:t xml:space="preserve">for </w:t>
      </w:r>
      <w:r w:rsidR="003540C9">
        <w:t>BEAM-</w:t>
      </w:r>
      <w:r w:rsidR="000A301B" w:rsidRPr="002D5F64">
        <w:t xml:space="preserve">ARMM and PRMF and </w:t>
      </w:r>
      <w:r w:rsidR="009E5A92" w:rsidRPr="002D5F64">
        <w:t xml:space="preserve">that </w:t>
      </w:r>
      <w:r w:rsidR="000A301B" w:rsidRPr="002D5F64">
        <w:t>DCRM lacked program level outcomes</w:t>
      </w:r>
      <w:r w:rsidR="007B6409" w:rsidRPr="002D5F64">
        <w:t xml:space="preserve">. The independent progress review </w:t>
      </w:r>
      <w:r w:rsidR="00327DC0" w:rsidRPr="002D5F64">
        <w:t xml:space="preserve">of DCRM </w:t>
      </w:r>
      <w:r w:rsidR="000A301B" w:rsidRPr="002D5F64">
        <w:t xml:space="preserve">also </w:t>
      </w:r>
      <w:r w:rsidR="007B6409" w:rsidRPr="002D5F64">
        <w:t xml:space="preserve">highlighted that Australia pioneered </w:t>
      </w:r>
      <w:r w:rsidR="00327DC0" w:rsidRPr="002D5F64">
        <w:t xml:space="preserve">the use of </w:t>
      </w:r>
      <w:r w:rsidR="00075FC0" w:rsidRPr="002D5F64">
        <w:t>pre</w:t>
      </w:r>
      <w:r w:rsidR="00075FC0" w:rsidRPr="002D5F64">
        <w:noBreakHyphen/>
      </w:r>
      <w:r w:rsidR="00327DC0" w:rsidRPr="002D5F64">
        <w:t>positioned life-saving support</w:t>
      </w:r>
      <w:r w:rsidR="000A301B" w:rsidRPr="002D5F64">
        <w:t xml:space="preserve"> to </w:t>
      </w:r>
      <w:r w:rsidR="009E5A92" w:rsidRPr="002D5F64">
        <w:t>respond</w:t>
      </w:r>
      <w:r w:rsidR="000A301B" w:rsidRPr="002D5F64">
        <w:t xml:space="preserve"> to natural disasters</w:t>
      </w:r>
      <w:r w:rsidR="009E5A92" w:rsidRPr="002D5F64">
        <w:t xml:space="preserve">. This innovation has been </w:t>
      </w:r>
      <w:r w:rsidR="00075FC0" w:rsidRPr="002D5F64">
        <w:t xml:space="preserve">effective </w:t>
      </w:r>
      <w:r w:rsidR="009E5A92" w:rsidRPr="002D5F64">
        <w:t xml:space="preserve">and </w:t>
      </w:r>
      <w:r w:rsidR="00075FC0" w:rsidRPr="002D5F64">
        <w:t>subsequently adopted by th</w:t>
      </w:r>
      <w:r w:rsidR="009E5A92" w:rsidRPr="002D5F64">
        <w:t>e Government of the Philippin</w:t>
      </w:r>
      <w:r w:rsidR="003540C9">
        <w:t>es in their humanitarian relief efforts.</w:t>
      </w:r>
    </w:p>
    <w:p w14:paraId="7DC64102" w14:textId="77777777" w:rsidR="000D733F" w:rsidRPr="008A6CDC" w:rsidRDefault="000D733F" w:rsidP="00511A0F">
      <w:pPr>
        <w:pStyle w:val="Heading3"/>
      </w:pPr>
      <w:r w:rsidRPr="008A6CDC">
        <w:t xml:space="preserve">Analysis of </w:t>
      </w:r>
      <w:r w:rsidR="000D2CDD" w:rsidRPr="008A6CDC">
        <w:t xml:space="preserve">Aid </w:t>
      </w:r>
      <w:r w:rsidRPr="008A6CDC">
        <w:t xml:space="preserve">Quality </w:t>
      </w:r>
      <w:r w:rsidR="000D2CDD" w:rsidRPr="008A6CDC">
        <w:t xml:space="preserve">Checks </w:t>
      </w:r>
      <w:r w:rsidR="0007149C" w:rsidRPr="008A6CDC">
        <w:t>(AQCs)</w:t>
      </w:r>
    </w:p>
    <w:p w14:paraId="1065A64A" w14:textId="0A875327" w:rsidR="00F11DB4" w:rsidRPr="002D5F64" w:rsidRDefault="00651DC9" w:rsidP="00847E0B">
      <w:pPr>
        <w:pStyle w:val="ListBullet"/>
        <w:numPr>
          <w:ilvl w:val="0"/>
          <w:numId w:val="0"/>
        </w:numPr>
        <w:tabs>
          <w:tab w:val="clear" w:pos="284"/>
        </w:tabs>
      </w:pPr>
      <w:r w:rsidRPr="002D5F64">
        <w:t>Thirteen</w:t>
      </w:r>
      <w:r w:rsidR="002D1482" w:rsidRPr="002D5F64">
        <w:t xml:space="preserve"> </w:t>
      </w:r>
      <w:r w:rsidR="00847E0B" w:rsidRPr="002D5F64">
        <w:t xml:space="preserve">investments </w:t>
      </w:r>
      <w:r w:rsidR="00490D05" w:rsidRPr="002D5F64">
        <w:t xml:space="preserve">in the Philippines </w:t>
      </w:r>
      <w:r w:rsidRPr="002D5F64">
        <w:t xml:space="preserve">Program </w:t>
      </w:r>
      <w:r w:rsidR="00847E0B" w:rsidRPr="002D5F64">
        <w:t xml:space="preserve">completed AQCs </w:t>
      </w:r>
      <w:r w:rsidR="00974A0E" w:rsidRPr="002D5F64">
        <w:t>in 20</w:t>
      </w:r>
      <w:r w:rsidR="00802C26">
        <w:t>14-</w:t>
      </w:r>
      <w:r w:rsidR="002D1482" w:rsidRPr="002D5F64">
        <w:t>15</w:t>
      </w:r>
      <w:r w:rsidR="009F093C">
        <w:t xml:space="preserve"> (See Annex D</w:t>
      </w:r>
      <w:r w:rsidR="00290315">
        <w:t xml:space="preserve"> for AQC results for each investment</w:t>
      </w:r>
      <w:r w:rsidR="009F093C">
        <w:t>)</w:t>
      </w:r>
      <w:r w:rsidR="0079029B" w:rsidRPr="002D5F64">
        <w:t>.</w:t>
      </w:r>
      <w:r w:rsidR="00974A0E" w:rsidRPr="002D5F64">
        <w:t xml:space="preserve"> </w:t>
      </w:r>
      <w:r w:rsidR="00290315">
        <w:t>Overall performance was strong</w:t>
      </w:r>
      <w:r w:rsidR="009F093C">
        <w:t xml:space="preserve"> with o</w:t>
      </w:r>
      <w:r w:rsidR="00AF6C8A" w:rsidRPr="002D5F64">
        <w:t xml:space="preserve">nly one </w:t>
      </w:r>
      <w:r w:rsidR="009F093C">
        <w:t xml:space="preserve">investment rated as </w:t>
      </w:r>
      <w:r w:rsidR="00AF6C8A" w:rsidRPr="002D5F64">
        <w:t xml:space="preserve">less than satisfactory under the effectiveness and efficiency </w:t>
      </w:r>
      <w:r w:rsidR="00290315">
        <w:t>criteria</w:t>
      </w:r>
      <w:r w:rsidR="00AF6C8A" w:rsidRPr="002D5F64">
        <w:t xml:space="preserve"> of the AQC. </w:t>
      </w:r>
    </w:p>
    <w:p w14:paraId="5B087EA3" w14:textId="37D014D0" w:rsidR="00A20798" w:rsidRPr="002D5F64" w:rsidRDefault="00F11DB4" w:rsidP="005947DA">
      <w:pPr>
        <w:pStyle w:val="ListBullet"/>
        <w:numPr>
          <w:ilvl w:val="0"/>
          <w:numId w:val="0"/>
        </w:numPr>
        <w:tabs>
          <w:tab w:val="clear" w:pos="284"/>
        </w:tabs>
      </w:pPr>
      <w:r w:rsidRPr="00C60681">
        <w:t>T</w:t>
      </w:r>
      <w:r w:rsidR="00A20798" w:rsidRPr="00C60681">
        <w:t xml:space="preserve">he Philippines Research </w:t>
      </w:r>
      <w:r w:rsidR="00EC25C2" w:rsidRPr="00C60681">
        <w:t xml:space="preserve">Initiative </w:t>
      </w:r>
      <w:r w:rsidR="005947DA" w:rsidRPr="00C60681">
        <w:t>(</w:t>
      </w:r>
      <w:r w:rsidR="00875EE5" w:rsidRPr="00C60681">
        <w:t>INJ168</w:t>
      </w:r>
      <w:r w:rsidR="005947DA" w:rsidRPr="00C60681">
        <w:t xml:space="preserve">) </w:t>
      </w:r>
      <w:r w:rsidR="00EC25C2" w:rsidRPr="00C60681">
        <w:t>has been earmarked as an “Investment Requiring Improvement”</w:t>
      </w:r>
      <w:r w:rsidR="00974A0E" w:rsidRPr="00C60681">
        <w:t xml:space="preserve">. </w:t>
      </w:r>
      <w:r w:rsidR="0079029B" w:rsidRPr="00C60681">
        <w:t>INJ168’s</w:t>
      </w:r>
      <w:r w:rsidR="00151E96" w:rsidRPr="00C60681">
        <w:t xml:space="preserve"> </w:t>
      </w:r>
      <w:r w:rsidRPr="00C60681">
        <w:t xml:space="preserve">objective is to </w:t>
      </w:r>
      <w:r w:rsidR="005947DA" w:rsidRPr="00C60681">
        <w:t>generate</w:t>
      </w:r>
      <w:r w:rsidRPr="00C60681">
        <w:t xml:space="preserve"> high-quality evidence on key development issues and </w:t>
      </w:r>
      <w:r w:rsidR="005947DA" w:rsidRPr="00C60681">
        <w:t>support</w:t>
      </w:r>
      <w:r w:rsidRPr="00C60681">
        <w:t xml:space="preserve"> impact evaluation</w:t>
      </w:r>
      <w:r w:rsidR="005947DA" w:rsidRPr="00C60681">
        <w:t>s</w:t>
      </w:r>
      <w:r w:rsidRPr="00C60681">
        <w:t>.</w:t>
      </w:r>
      <w:r w:rsidR="00151E96" w:rsidRPr="00C60681">
        <w:t xml:space="preserve"> The investment </w:t>
      </w:r>
      <w:r w:rsidR="005947DA" w:rsidRPr="00C60681">
        <w:t xml:space="preserve">however </w:t>
      </w:r>
      <w:r w:rsidR="004B5BD8" w:rsidRPr="00C60681">
        <w:t xml:space="preserve">has not had time to produce specific results, especially </w:t>
      </w:r>
      <w:r w:rsidR="0079029B" w:rsidRPr="00C60681">
        <w:t xml:space="preserve">on economic growth, </w:t>
      </w:r>
      <w:r w:rsidR="00BA300A" w:rsidRPr="00C60681">
        <w:t xml:space="preserve">due to </w:t>
      </w:r>
      <w:r w:rsidR="00015062" w:rsidRPr="00C60681">
        <w:t xml:space="preserve">its </w:t>
      </w:r>
      <w:r w:rsidR="0079029B" w:rsidRPr="00C60681">
        <w:t>transitioning</w:t>
      </w:r>
      <w:r w:rsidRPr="00C60681">
        <w:t xml:space="preserve"> to align with the </w:t>
      </w:r>
      <w:r w:rsidR="0079029B" w:rsidRPr="00C60681">
        <w:t xml:space="preserve">new </w:t>
      </w:r>
      <w:r w:rsidR="00151E96" w:rsidRPr="00C60681">
        <w:t xml:space="preserve">priorities of the </w:t>
      </w:r>
      <w:r w:rsidR="00B86355" w:rsidRPr="00C60681">
        <w:t xml:space="preserve">Australian </w:t>
      </w:r>
      <w:r w:rsidRPr="00C60681">
        <w:t xml:space="preserve">Aid </w:t>
      </w:r>
      <w:r w:rsidR="00151E96" w:rsidRPr="00C60681">
        <w:t>Program</w:t>
      </w:r>
      <w:r w:rsidRPr="00C60681">
        <w:t>.</w:t>
      </w:r>
      <w:r w:rsidR="005947DA" w:rsidRPr="00C60681">
        <w:t xml:space="preserve"> </w:t>
      </w:r>
      <w:r w:rsidR="00B86355" w:rsidRPr="00C60681">
        <w:t xml:space="preserve">Impact evaluations have been delayed and are expected to be finalised in </w:t>
      </w:r>
      <w:r w:rsidR="003540C9" w:rsidRPr="00C60681">
        <w:t>2018-</w:t>
      </w:r>
      <w:r w:rsidR="004B5BD8" w:rsidRPr="00C60681">
        <w:t xml:space="preserve">19. </w:t>
      </w:r>
      <w:r w:rsidR="00B86355" w:rsidRPr="00C60681">
        <w:t xml:space="preserve">The remediation plan for </w:t>
      </w:r>
      <w:r w:rsidR="00015062" w:rsidRPr="00C60681">
        <w:t>INJ168</w:t>
      </w:r>
      <w:r w:rsidR="00B86355" w:rsidRPr="00C60681">
        <w:t xml:space="preserve"> include</w:t>
      </w:r>
      <w:r w:rsidR="00A92F27" w:rsidRPr="00C60681">
        <w:t>s:</w:t>
      </w:r>
      <w:r w:rsidR="00B86355" w:rsidRPr="00C60681">
        <w:t xml:space="preserve"> a reduction in the value of the investment </w:t>
      </w:r>
      <w:r w:rsidR="00875EE5" w:rsidRPr="00C60681">
        <w:t>(</w:t>
      </w:r>
      <w:r w:rsidR="00B86355" w:rsidRPr="00C60681">
        <w:t xml:space="preserve">from </w:t>
      </w:r>
      <w:r w:rsidR="00163FB8" w:rsidRPr="00C60681">
        <w:t>AUD12.4 million to AUD</w:t>
      </w:r>
      <w:r w:rsidR="004B5BD8" w:rsidRPr="00C60681">
        <w:t>5.4 million</w:t>
      </w:r>
      <w:r w:rsidR="00875EE5" w:rsidRPr="00C60681">
        <w:t>)</w:t>
      </w:r>
      <w:r w:rsidR="00B86355" w:rsidRPr="00C60681">
        <w:t>;</w:t>
      </w:r>
      <w:r w:rsidR="004B5BD8" w:rsidRPr="00C60681">
        <w:t xml:space="preserve"> </w:t>
      </w:r>
      <w:r w:rsidR="00B86355" w:rsidRPr="00C60681">
        <w:t>a</w:t>
      </w:r>
      <w:r w:rsidR="00CA3795" w:rsidRPr="00C60681">
        <w:t>t least</w:t>
      </w:r>
      <w:r w:rsidR="00B86355" w:rsidRPr="00C60681">
        <w:t xml:space="preserve"> </w:t>
      </w:r>
      <w:r w:rsidR="00A92F27" w:rsidRPr="00C60681">
        <w:t xml:space="preserve">twice a year </w:t>
      </w:r>
      <w:r w:rsidR="004B5BD8" w:rsidRPr="00C60681">
        <w:t>meeting of the Steering Committee</w:t>
      </w:r>
      <w:r w:rsidR="00B86355" w:rsidRPr="00C60681">
        <w:t xml:space="preserve">; monthly reporting </w:t>
      </w:r>
      <w:r w:rsidR="00151E96" w:rsidRPr="00C60681">
        <w:t xml:space="preserve">from </w:t>
      </w:r>
      <w:r w:rsidR="00B86355" w:rsidRPr="00C60681">
        <w:t xml:space="preserve">the implementing partner to DFAT; and monthly </w:t>
      </w:r>
      <w:r w:rsidR="00CA3795" w:rsidRPr="00C60681">
        <w:t xml:space="preserve">progress </w:t>
      </w:r>
      <w:r w:rsidR="00B86355" w:rsidRPr="00C60681">
        <w:t xml:space="preserve">reporting to </w:t>
      </w:r>
      <w:r w:rsidR="00CA3795" w:rsidRPr="00C60681">
        <w:t xml:space="preserve">Manila Post </w:t>
      </w:r>
      <w:r w:rsidR="00B86355" w:rsidRPr="00C60681">
        <w:t xml:space="preserve">Aid Management </w:t>
      </w:r>
      <w:r w:rsidR="00CA3795" w:rsidRPr="00C60681">
        <w:t>Team</w:t>
      </w:r>
      <w:r w:rsidR="00B86355" w:rsidRPr="00C60681">
        <w:t>.</w:t>
      </w:r>
    </w:p>
    <w:p w14:paraId="4194B0BE" w14:textId="3382A5AE" w:rsidR="00567B97" w:rsidRPr="002D5F64" w:rsidRDefault="00567B97" w:rsidP="00567B97">
      <w:pPr>
        <w:pStyle w:val="ListBullet"/>
        <w:numPr>
          <w:ilvl w:val="0"/>
          <w:numId w:val="0"/>
        </w:numPr>
        <w:tabs>
          <w:tab w:val="clear" w:pos="284"/>
        </w:tabs>
      </w:pPr>
      <w:r w:rsidRPr="002D5F64">
        <w:t xml:space="preserve">The Australia-WB Philippines Development Trust Fund (INI632), while not classified as an “Investment Requiring Improvement”, </w:t>
      </w:r>
      <w:r w:rsidR="00290315">
        <w:t xml:space="preserve">did not perform as strongly as other investments in </w:t>
      </w:r>
      <w:r w:rsidR="005B7071" w:rsidRPr="002D5F64">
        <w:t xml:space="preserve">regards </w:t>
      </w:r>
      <w:r w:rsidR="00290315">
        <w:t>to overall AQC scores. INI632 was also rated as less than satisfactory</w:t>
      </w:r>
      <w:r w:rsidR="00912C79" w:rsidRPr="002D5F64">
        <w:t xml:space="preserve"> on monitoring and evaluation and gender</w:t>
      </w:r>
      <w:r w:rsidR="00290315">
        <w:t xml:space="preserve"> criteria of the AQC</w:t>
      </w:r>
      <w:r w:rsidR="00912C79" w:rsidRPr="002D5F64">
        <w:t>.</w:t>
      </w:r>
      <w:r w:rsidRPr="002D5F64">
        <w:t xml:space="preserve"> </w:t>
      </w:r>
      <w:r w:rsidR="00F27257" w:rsidRPr="002D5F64">
        <w:t xml:space="preserve">The trust fund </w:t>
      </w:r>
      <w:r w:rsidR="000846F7" w:rsidRPr="002D5F64">
        <w:t xml:space="preserve">provides grants </w:t>
      </w:r>
      <w:r w:rsidR="00AF6C8A" w:rsidRPr="002D5F64">
        <w:t>for</w:t>
      </w:r>
      <w:r w:rsidR="003710B3">
        <w:t xml:space="preserve"> </w:t>
      </w:r>
      <w:r w:rsidR="0084751C" w:rsidRPr="002D5F64">
        <w:t xml:space="preserve">analytical work and </w:t>
      </w:r>
      <w:r w:rsidR="000846F7" w:rsidRPr="002D5F64">
        <w:t xml:space="preserve">technical assistance </w:t>
      </w:r>
      <w:r w:rsidR="00AF6C8A" w:rsidRPr="002D5F64">
        <w:t xml:space="preserve">to support the development priorities of </w:t>
      </w:r>
      <w:r w:rsidR="0084751C" w:rsidRPr="002D5F64">
        <w:t>the Philippine Government</w:t>
      </w:r>
      <w:r w:rsidR="000846F7" w:rsidRPr="002D5F64">
        <w:t xml:space="preserve">. </w:t>
      </w:r>
      <w:r w:rsidR="00412956">
        <w:t>The fund’s</w:t>
      </w:r>
      <w:r w:rsidR="0084751C" w:rsidRPr="002D5F64">
        <w:t xml:space="preserve"> large number of priority sectors, seven in total, </w:t>
      </w:r>
      <w:r w:rsidRPr="002D5F64">
        <w:t xml:space="preserve">may be diluting </w:t>
      </w:r>
      <w:r w:rsidR="0084751C" w:rsidRPr="002D5F64">
        <w:t xml:space="preserve">its </w:t>
      </w:r>
      <w:r w:rsidRPr="002D5F64">
        <w:t xml:space="preserve">impact. </w:t>
      </w:r>
      <w:r w:rsidR="0084751C" w:rsidRPr="002D5F64">
        <w:t>T</w:t>
      </w:r>
      <w:r w:rsidR="005B7071" w:rsidRPr="002D5F64">
        <w:t xml:space="preserve">echnical </w:t>
      </w:r>
      <w:r w:rsidR="005B7071" w:rsidRPr="00A04025">
        <w:t xml:space="preserve">assistance produced by the World Bank </w:t>
      </w:r>
      <w:r w:rsidR="00AD31FA" w:rsidRPr="00A04025">
        <w:t xml:space="preserve">is generally </w:t>
      </w:r>
      <w:r w:rsidR="005B7071" w:rsidRPr="00A04025">
        <w:t xml:space="preserve">well </w:t>
      </w:r>
      <w:r w:rsidR="00AD31FA" w:rsidRPr="00A04025">
        <w:t xml:space="preserve">received and </w:t>
      </w:r>
      <w:r w:rsidR="005B7071" w:rsidRPr="00A04025">
        <w:t xml:space="preserve">regarded by the Philippine Government. The trust fund does not </w:t>
      </w:r>
      <w:r w:rsidR="00AD31FA" w:rsidRPr="00A04025">
        <w:t xml:space="preserve">however </w:t>
      </w:r>
      <w:r w:rsidR="005B7071" w:rsidRPr="00A04025">
        <w:t xml:space="preserve">have an approved monitoring and evaluation framework and </w:t>
      </w:r>
      <w:r w:rsidR="003201BD" w:rsidRPr="00A04025">
        <w:t>gender equality outcomes are not systematically reported.</w:t>
      </w:r>
    </w:p>
    <w:p w14:paraId="7AFF5C8A" w14:textId="0065199F" w:rsidR="00A20798" w:rsidRPr="002D5F64" w:rsidRDefault="007E22BF" w:rsidP="00847E0B">
      <w:pPr>
        <w:pStyle w:val="ListBullet"/>
        <w:numPr>
          <w:ilvl w:val="0"/>
          <w:numId w:val="0"/>
        </w:numPr>
        <w:tabs>
          <w:tab w:val="clear" w:pos="284"/>
        </w:tabs>
      </w:pPr>
      <w:r w:rsidRPr="002D5F64">
        <w:t>AQC results show</w:t>
      </w:r>
      <w:r w:rsidR="00991056" w:rsidRPr="002D5F64">
        <w:t xml:space="preserve"> that </w:t>
      </w:r>
      <w:r w:rsidR="00F112BA" w:rsidRPr="002D5F64">
        <w:t xml:space="preserve">Philippines Program </w:t>
      </w:r>
      <w:r w:rsidR="00AF6C8A" w:rsidRPr="002D5F64">
        <w:t xml:space="preserve">overall </w:t>
      </w:r>
      <w:r w:rsidR="00EE0E80" w:rsidRPr="002D5F64">
        <w:t xml:space="preserve">could </w:t>
      </w:r>
      <w:r w:rsidR="00F112BA" w:rsidRPr="002D5F64">
        <w:t xml:space="preserve">do better in making a difference to gender </w:t>
      </w:r>
      <w:r w:rsidR="00991056" w:rsidRPr="002D5F64">
        <w:t xml:space="preserve">equality </w:t>
      </w:r>
      <w:r w:rsidR="00F112BA" w:rsidRPr="002D5F64">
        <w:t>and empowering women and girls. Four investments were rated as less than</w:t>
      </w:r>
      <w:r w:rsidR="00C6198D" w:rsidRPr="002D5F64">
        <w:t xml:space="preserve"> adequate on the gender </w:t>
      </w:r>
      <w:r w:rsidR="00290315">
        <w:t>criteria</w:t>
      </w:r>
      <w:r w:rsidR="006B6E4B">
        <w:t xml:space="preserve"> of the AQC:</w:t>
      </w:r>
      <w:r w:rsidR="00F112BA" w:rsidRPr="002D5F64">
        <w:t xml:space="preserve"> Philippines Research Initiative</w:t>
      </w:r>
      <w:r w:rsidR="00C6198D" w:rsidRPr="002D5F64">
        <w:t xml:space="preserve"> (INJ168)</w:t>
      </w:r>
      <w:r w:rsidR="00F112BA" w:rsidRPr="002D5F64">
        <w:t>; Public Financial Management Program Phase 2</w:t>
      </w:r>
      <w:r w:rsidR="00C6198D" w:rsidRPr="002D5F64">
        <w:t xml:space="preserve"> (INK078)</w:t>
      </w:r>
      <w:r w:rsidR="00F112BA" w:rsidRPr="002D5F64">
        <w:t>; Australia-World Bank Philippines Development Trust Fund</w:t>
      </w:r>
      <w:r w:rsidR="00C6198D" w:rsidRPr="002D5F64">
        <w:t xml:space="preserve"> (INI632)</w:t>
      </w:r>
      <w:r w:rsidR="00F112BA" w:rsidRPr="002D5F64">
        <w:t>; and the Asia Foundation Partnerships Philippines</w:t>
      </w:r>
      <w:r w:rsidR="00C6198D" w:rsidRPr="002D5F64">
        <w:t xml:space="preserve"> (INJ839)</w:t>
      </w:r>
      <w:r w:rsidR="00F112BA" w:rsidRPr="002D5F64">
        <w:t xml:space="preserve">. </w:t>
      </w:r>
      <w:r w:rsidR="0079029B" w:rsidRPr="002D5F64">
        <w:t>AQC’s for e</w:t>
      </w:r>
      <w:r w:rsidR="007004AC" w:rsidRPr="002D5F64">
        <w:t>ach of these investment</w:t>
      </w:r>
      <w:r w:rsidR="00151E96" w:rsidRPr="002D5F64">
        <w:t>s</w:t>
      </w:r>
      <w:r w:rsidR="007004AC" w:rsidRPr="002D5F64">
        <w:t xml:space="preserve"> identified recommendations to improve </w:t>
      </w:r>
      <w:r w:rsidR="00151E96" w:rsidRPr="002D5F64">
        <w:t xml:space="preserve">gender equality </w:t>
      </w:r>
      <w:r w:rsidR="007004AC" w:rsidRPr="002D5F64">
        <w:t>ratings. This includes</w:t>
      </w:r>
      <w:r w:rsidR="006B6E4B">
        <w:t>:</w:t>
      </w:r>
      <w:r w:rsidR="00151E96" w:rsidRPr="002D5F64">
        <w:t xml:space="preserve"> incorporating </w:t>
      </w:r>
      <w:r w:rsidR="00337B87" w:rsidRPr="002D5F64">
        <w:t xml:space="preserve">gender in the design of impact evaluation studies (INJ168); </w:t>
      </w:r>
      <w:r w:rsidR="00D7736F" w:rsidRPr="002D5F64">
        <w:t>improving the monitoring of budget allocations for gender programs (INK078); better capturing gender issues and outcomes in the investment’s monitoring and evaluation framework (INI632); and</w:t>
      </w:r>
      <w:r w:rsidR="00B4348B" w:rsidRPr="002D5F64">
        <w:t xml:space="preserve"> </w:t>
      </w:r>
      <w:r w:rsidR="00B87702" w:rsidRPr="002D5F64">
        <w:t xml:space="preserve">ensuring </w:t>
      </w:r>
      <w:r w:rsidR="0079029B" w:rsidRPr="002D5F64">
        <w:t xml:space="preserve">adequate </w:t>
      </w:r>
      <w:r w:rsidR="00B87702" w:rsidRPr="002D5F64">
        <w:t xml:space="preserve">progress of the </w:t>
      </w:r>
      <w:r w:rsidR="0079029B" w:rsidRPr="002D5F64">
        <w:t xml:space="preserve">investment’s </w:t>
      </w:r>
      <w:r w:rsidR="00B87702" w:rsidRPr="002D5F64">
        <w:t>gender workplan (INJ839).</w:t>
      </w:r>
    </w:p>
    <w:p w14:paraId="0DC64A06" w14:textId="1DB3B586" w:rsidR="00474F91" w:rsidRPr="002D5F64" w:rsidRDefault="000D733F" w:rsidP="00D70F54">
      <w:pPr>
        <w:pStyle w:val="Heading3"/>
      </w:pPr>
      <w:r w:rsidRPr="002D5F64">
        <w:t xml:space="preserve">Performance </w:t>
      </w:r>
      <w:r w:rsidR="004F4630" w:rsidRPr="002D5F64">
        <w:t>of key delivery partners</w:t>
      </w:r>
    </w:p>
    <w:p w14:paraId="50F4ABBA" w14:textId="268BDCAE" w:rsidR="00901FD2" w:rsidRPr="002D5F64" w:rsidRDefault="00985C6C" w:rsidP="00616FCC">
      <w:pPr>
        <w:pStyle w:val="BodyText"/>
        <w:rPr>
          <w:lang w:eastAsia="zh-CN"/>
        </w:rPr>
      </w:pPr>
      <w:r w:rsidRPr="002D5F64">
        <w:rPr>
          <w:lang w:eastAsia="zh-CN"/>
        </w:rPr>
        <w:t xml:space="preserve">The Philippine Government is the principal partner of </w:t>
      </w:r>
      <w:r w:rsidR="003F2839" w:rsidRPr="002D5F64">
        <w:rPr>
          <w:lang w:eastAsia="zh-CN"/>
        </w:rPr>
        <w:t>the Philippines Program</w:t>
      </w:r>
      <w:r w:rsidRPr="002D5F64">
        <w:rPr>
          <w:lang w:eastAsia="zh-CN"/>
        </w:rPr>
        <w:t xml:space="preserve">. We regularly engage with the National Economic Development Authority at the strategic level to confirm that Australia’s priorities remain aligned with and contribute to the development agenda of the </w:t>
      </w:r>
      <w:r w:rsidRPr="002D5F64">
        <w:rPr>
          <w:lang w:eastAsia="zh-CN"/>
        </w:rPr>
        <w:lastRenderedPageBreak/>
        <w:t>Philippines.</w:t>
      </w:r>
      <w:r w:rsidR="00AC2CA9" w:rsidRPr="002D5F64">
        <w:rPr>
          <w:lang w:eastAsia="zh-CN"/>
        </w:rPr>
        <w:t xml:space="preserve"> </w:t>
      </w:r>
      <w:r w:rsidR="00E217C7" w:rsidRPr="002D5F64">
        <w:rPr>
          <w:lang w:eastAsia="zh-CN"/>
        </w:rPr>
        <w:t>The Philippines P</w:t>
      </w:r>
      <w:r w:rsidR="0058462C" w:rsidRPr="002D5F64">
        <w:rPr>
          <w:lang w:eastAsia="zh-CN"/>
        </w:rPr>
        <w:t>rogram also work</w:t>
      </w:r>
      <w:r w:rsidR="00EE0E80" w:rsidRPr="002D5F64">
        <w:rPr>
          <w:lang w:eastAsia="zh-CN"/>
        </w:rPr>
        <w:t>s</w:t>
      </w:r>
      <w:r w:rsidR="0058462C" w:rsidRPr="002D5F64">
        <w:rPr>
          <w:lang w:eastAsia="zh-CN"/>
        </w:rPr>
        <w:t xml:space="preserve"> with </w:t>
      </w:r>
      <w:r w:rsidR="00EE0E80" w:rsidRPr="002D5F64">
        <w:rPr>
          <w:lang w:eastAsia="zh-CN"/>
        </w:rPr>
        <w:t>multilateral organisations, non-government o</w:t>
      </w:r>
      <w:r w:rsidR="00E5534D" w:rsidRPr="002D5F64">
        <w:rPr>
          <w:lang w:eastAsia="zh-CN"/>
        </w:rPr>
        <w:t>rganisations</w:t>
      </w:r>
      <w:r w:rsidR="00901FD2" w:rsidRPr="002D5F64">
        <w:rPr>
          <w:lang w:eastAsia="zh-CN"/>
        </w:rPr>
        <w:t xml:space="preserve"> and managing contractors who provide </w:t>
      </w:r>
      <w:r w:rsidR="00E5534D" w:rsidRPr="002D5F64">
        <w:rPr>
          <w:lang w:eastAsia="zh-CN"/>
        </w:rPr>
        <w:t xml:space="preserve">critical </w:t>
      </w:r>
      <w:r w:rsidR="00901FD2" w:rsidRPr="002D5F64">
        <w:rPr>
          <w:lang w:eastAsia="zh-CN"/>
        </w:rPr>
        <w:t xml:space="preserve">technical, analytical and managerial </w:t>
      </w:r>
      <w:r w:rsidR="00EE0E80" w:rsidRPr="002D5F64">
        <w:rPr>
          <w:lang w:eastAsia="zh-CN"/>
        </w:rPr>
        <w:t>expertise.</w:t>
      </w:r>
    </w:p>
    <w:p w14:paraId="2B677645" w14:textId="207F6DF3" w:rsidR="002A6BF0" w:rsidRPr="002D5F64" w:rsidRDefault="00D70F54" w:rsidP="00616FCC">
      <w:pPr>
        <w:pStyle w:val="BodyText"/>
        <w:rPr>
          <w:lang w:eastAsia="zh-CN"/>
        </w:rPr>
      </w:pPr>
      <w:r w:rsidRPr="002D5F64">
        <w:rPr>
          <w:lang w:eastAsia="zh-CN"/>
        </w:rPr>
        <w:t>The performance of our delivery p</w:t>
      </w:r>
      <w:r w:rsidR="00140547">
        <w:rPr>
          <w:lang w:eastAsia="zh-CN"/>
        </w:rPr>
        <w:t>artners was</w:t>
      </w:r>
      <w:r w:rsidRPr="002D5F64">
        <w:rPr>
          <w:lang w:eastAsia="zh-CN"/>
        </w:rPr>
        <w:t xml:space="preserve"> assessed as part of </w:t>
      </w:r>
      <w:r w:rsidR="00140547">
        <w:rPr>
          <w:lang w:eastAsia="zh-CN"/>
        </w:rPr>
        <w:t xml:space="preserve">the </w:t>
      </w:r>
      <w:r w:rsidR="00414A77" w:rsidRPr="002D5F64">
        <w:rPr>
          <w:i/>
          <w:lang w:eastAsia="zh-CN"/>
        </w:rPr>
        <w:t>201</w:t>
      </w:r>
      <w:r w:rsidRPr="002D5F64">
        <w:rPr>
          <w:i/>
          <w:lang w:eastAsia="zh-CN"/>
        </w:rPr>
        <w:t>5 Aid Investment Quality Reporting</w:t>
      </w:r>
      <w:r w:rsidRPr="002D5F64">
        <w:rPr>
          <w:lang w:eastAsia="zh-CN"/>
        </w:rPr>
        <w:t xml:space="preserve"> process. In total 18 </w:t>
      </w:r>
      <w:r w:rsidR="00563BCF" w:rsidRPr="002D5F64">
        <w:rPr>
          <w:i/>
          <w:lang w:eastAsia="zh-CN"/>
        </w:rPr>
        <w:t>Partner Performance A</w:t>
      </w:r>
      <w:r w:rsidRPr="002D5F64">
        <w:rPr>
          <w:i/>
          <w:lang w:eastAsia="zh-CN"/>
        </w:rPr>
        <w:t>ssessments</w:t>
      </w:r>
      <w:r w:rsidR="00F76B26">
        <w:rPr>
          <w:lang w:eastAsia="zh-CN"/>
        </w:rPr>
        <w:t xml:space="preserve"> (PPAs)</w:t>
      </w:r>
      <w:r w:rsidRPr="002D5F64">
        <w:rPr>
          <w:lang w:eastAsia="zh-CN"/>
        </w:rPr>
        <w:t xml:space="preserve"> </w:t>
      </w:r>
      <w:r w:rsidR="00563BCF" w:rsidRPr="002D5F64">
        <w:rPr>
          <w:lang w:eastAsia="zh-CN"/>
        </w:rPr>
        <w:t xml:space="preserve">were undertaken and </w:t>
      </w:r>
      <w:r w:rsidR="005D51B1" w:rsidRPr="002D5F64">
        <w:rPr>
          <w:lang w:eastAsia="zh-CN"/>
        </w:rPr>
        <w:t>results overa</w:t>
      </w:r>
      <w:r w:rsidR="00140547">
        <w:rPr>
          <w:lang w:eastAsia="zh-CN"/>
        </w:rPr>
        <w:t>ll indicate effective and value-for-</w:t>
      </w:r>
      <w:r w:rsidR="005D51B1" w:rsidRPr="002D5F64">
        <w:rPr>
          <w:lang w:eastAsia="zh-CN"/>
        </w:rPr>
        <w:t xml:space="preserve">money </w:t>
      </w:r>
      <w:r w:rsidR="00290315">
        <w:rPr>
          <w:lang w:eastAsia="zh-CN"/>
        </w:rPr>
        <w:t>partnerships</w:t>
      </w:r>
      <w:r w:rsidR="005D51B1" w:rsidRPr="002D5F64">
        <w:rPr>
          <w:lang w:eastAsia="zh-CN"/>
        </w:rPr>
        <w:t xml:space="preserve">. </w:t>
      </w:r>
      <w:r w:rsidR="00563BCF" w:rsidRPr="002D5F64">
        <w:rPr>
          <w:lang w:eastAsia="zh-CN"/>
        </w:rPr>
        <w:t>Areas for improvement include ensuring partner’s monitoring a</w:t>
      </w:r>
      <w:r w:rsidR="00140547">
        <w:rPr>
          <w:lang w:eastAsia="zh-CN"/>
        </w:rPr>
        <w:t>nd evaluation frameworks match</w:t>
      </w:r>
      <w:r w:rsidR="00563BCF" w:rsidRPr="002D5F64">
        <w:rPr>
          <w:lang w:eastAsia="zh-CN"/>
        </w:rPr>
        <w:t xml:space="preserve"> DFAT’</w:t>
      </w:r>
      <w:r w:rsidR="00414A77" w:rsidRPr="002D5F64">
        <w:rPr>
          <w:lang w:eastAsia="zh-CN"/>
        </w:rPr>
        <w:t>s requirements</w:t>
      </w:r>
      <w:r w:rsidR="005D51B1" w:rsidRPr="002D5F64">
        <w:rPr>
          <w:lang w:eastAsia="zh-CN"/>
        </w:rPr>
        <w:t>;</w:t>
      </w:r>
      <w:r w:rsidR="00563BCF" w:rsidRPr="002D5F64">
        <w:rPr>
          <w:lang w:eastAsia="zh-CN"/>
        </w:rPr>
        <w:t xml:space="preserve"> </w:t>
      </w:r>
      <w:r w:rsidR="00AC2CA9" w:rsidRPr="002D5F64">
        <w:rPr>
          <w:lang w:eastAsia="zh-CN"/>
        </w:rPr>
        <w:t xml:space="preserve">aid </w:t>
      </w:r>
      <w:r w:rsidR="005D51B1" w:rsidRPr="002D5F64">
        <w:rPr>
          <w:lang w:eastAsia="zh-CN"/>
        </w:rPr>
        <w:t xml:space="preserve">activities </w:t>
      </w:r>
      <w:r w:rsidR="00414A77" w:rsidRPr="002D5F64">
        <w:rPr>
          <w:lang w:eastAsia="zh-CN"/>
        </w:rPr>
        <w:t xml:space="preserve">are </w:t>
      </w:r>
      <w:r w:rsidR="005D51B1" w:rsidRPr="002D5F64">
        <w:rPr>
          <w:lang w:eastAsia="zh-CN"/>
        </w:rPr>
        <w:t xml:space="preserve">appropriately branded </w:t>
      </w:r>
      <w:r w:rsidR="00563BCF" w:rsidRPr="002D5F64">
        <w:rPr>
          <w:lang w:eastAsia="zh-CN"/>
        </w:rPr>
        <w:t>with the Australian Aid identifier</w:t>
      </w:r>
      <w:r w:rsidR="005D51B1" w:rsidRPr="002D5F64">
        <w:rPr>
          <w:lang w:eastAsia="zh-CN"/>
        </w:rPr>
        <w:t>;</w:t>
      </w:r>
      <w:r w:rsidR="00563BCF" w:rsidRPr="002D5F64">
        <w:rPr>
          <w:lang w:eastAsia="zh-CN"/>
        </w:rPr>
        <w:t xml:space="preserve"> </w:t>
      </w:r>
      <w:r w:rsidR="005D51B1" w:rsidRPr="002D5F64">
        <w:rPr>
          <w:lang w:eastAsia="zh-CN"/>
        </w:rPr>
        <w:t xml:space="preserve">and </w:t>
      </w:r>
      <w:r w:rsidR="00563BCF" w:rsidRPr="002D5F64">
        <w:rPr>
          <w:lang w:eastAsia="zh-CN"/>
        </w:rPr>
        <w:t>communications between D</w:t>
      </w:r>
      <w:r w:rsidR="005D51B1" w:rsidRPr="002D5F64">
        <w:rPr>
          <w:lang w:eastAsia="zh-CN"/>
        </w:rPr>
        <w:t>F</w:t>
      </w:r>
      <w:r w:rsidR="00563BCF" w:rsidRPr="002D5F64">
        <w:rPr>
          <w:lang w:eastAsia="zh-CN"/>
        </w:rPr>
        <w:t xml:space="preserve">AT and delivery </w:t>
      </w:r>
      <w:r w:rsidR="005D51B1" w:rsidRPr="002D5F64">
        <w:rPr>
          <w:lang w:eastAsia="zh-CN"/>
        </w:rPr>
        <w:t>partner</w:t>
      </w:r>
      <w:r w:rsidR="00AC2CA9" w:rsidRPr="002D5F64">
        <w:rPr>
          <w:lang w:eastAsia="zh-CN"/>
        </w:rPr>
        <w:t>s</w:t>
      </w:r>
      <w:r w:rsidR="005D51B1" w:rsidRPr="002D5F64">
        <w:rPr>
          <w:lang w:eastAsia="zh-CN"/>
        </w:rPr>
        <w:t xml:space="preserve"> occur outside formal reporting mechanisms. </w:t>
      </w:r>
    </w:p>
    <w:p w14:paraId="05E4CE05" w14:textId="4F079B10" w:rsidR="00563BCF" w:rsidRPr="002D5F64" w:rsidRDefault="00563BCF" w:rsidP="00616FCC">
      <w:pPr>
        <w:pStyle w:val="BodyText"/>
        <w:rPr>
          <w:lang w:eastAsia="zh-CN"/>
        </w:rPr>
      </w:pPr>
      <w:r w:rsidRPr="002D5F64">
        <w:rPr>
          <w:lang w:eastAsia="zh-CN"/>
        </w:rPr>
        <w:t xml:space="preserve">The Philippines Program implements several small grant programs in 2014-15. </w:t>
      </w:r>
      <w:r w:rsidR="005D51B1" w:rsidRPr="002D5F64">
        <w:rPr>
          <w:lang w:eastAsia="zh-CN"/>
        </w:rPr>
        <w:t>PPAs</w:t>
      </w:r>
      <w:r w:rsidRPr="002D5F64">
        <w:rPr>
          <w:lang w:eastAsia="zh-CN"/>
        </w:rPr>
        <w:t xml:space="preserve"> highlight that while these small grant programs can yield high impact and a wealth of knowledge, there are also efficiency and effectiveness considerations. Small grant programs have been found to be challenging to manage and results difficult to report at an aggregate level. </w:t>
      </w:r>
    </w:p>
    <w:p w14:paraId="40F3A028" w14:textId="599ABD97" w:rsidR="003178FB" w:rsidRPr="002D5F64" w:rsidRDefault="00CF3C10" w:rsidP="00616FCC">
      <w:pPr>
        <w:pStyle w:val="BodyText"/>
      </w:pPr>
      <w:r w:rsidRPr="002D5F64">
        <w:t>UN agencies (OCHA, UNDP, UN</w:t>
      </w:r>
      <w:r w:rsidR="00EE0E80" w:rsidRPr="002D5F64">
        <w:t>FPA, UNICEF, WFP, and WHO) and non-government o</w:t>
      </w:r>
      <w:r w:rsidRPr="002D5F64">
        <w:t xml:space="preserve">rganisations (Care, Caritas, Oxfam, Plan International, Save the Children and World Vision) delivered critical humanitarian assistance in the aftermath of Typhoon Hagupit and Rammasun in 2014-15. While their assistance was generally effective, coordination could be improved to ensure rapid deployment of goods, adequate geographical coverage of support and </w:t>
      </w:r>
      <w:r w:rsidR="00EE0E80" w:rsidRPr="002D5F64">
        <w:t xml:space="preserve">cost </w:t>
      </w:r>
      <w:r w:rsidRPr="002D5F64">
        <w:t>minimisation.</w:t>
      </w:r>
    </w:p>
    <w:p w14:paraId="290E28E7" w14:textId="109E74AE" w:rsidR="005D51B1" w:rsidRPr="002D5F64" w:rsidRDefault="005D51B1" w:rsidP="00616FCC">
      <w:pPr>
        <w:pStyle w:val="BodyText"/>
        <w:rPr>
          <w:lang w:eastAsia="zh-CN"/>
        </w:rPr>
      </w:pPr>
      <w:r w:rsidRPr="002D5F64">
        <w:rPr>
          <w:lang w:eastAsia="zh-CN"/>
        </w:rPr>
        <w:t xml:space="preserve">Australia and our delivery partners are trialling new and innovative development </w:t>
      </w:r>
      <w:r w:rsidR="005D56A4" w:rsidRPr="002D5F64">
        <w:rPr>
          <w:lang w:eastAsia="zh-CN"/>
        </w:rPr>
        <w:t>approaches</w:t>
      </w:r>
      <w:r w:rsidRPr="002D5F64">
        <w:rPr>
          <w:lang w:eastAsia="zh-CN"/>
        </w:rPr>
        <w:t xml:space="preserve"> which are yielding encouraging results. This includes successful partnerships between Australian and Philippine universities to provide technical advice on education curriculums and </w:t>
      </w:r>
      <w:r w:rsidR="00290315">
        <w:rPr>
          <w:lang w:eastAsia="zh-CN"/>
        </w:rPr>
        <w:t>teacher training;</w:t>
      </w:r>
      <w:r w:rsidRPr="002D5F64">
        <w:rPr>
          <w:lang w:eastAsia="zh-CN"/>
        </w:rPr>
        <w:t xml:space="preserve"> leveraging </w:t>
      </w:r>
      <w:r w:rsidR="005D56A4" w:rsidRPr="002D5F64">
        <w:rPr>
          <w:lang w:eastAsia="zh-CN"/>
        </w:rPr>
        <w:t xml:space="preserve">the </w:t>
      </w:r>
      <w:r w:rsidRPr="002D5F64">
        <w:rPr>
          <w:lang w:eastAsia="zh-CN"/>
        </w:rPr>
        <w:t>private sector funding to build infrastructure</w:t>
      </w:r>
      <w:r w:rsidR="005D56A4" w:rsidRPr="002D5F64">
        <w:rPr>
          <w:lang w:eastAsia="zh-CN"/>
        </w:rPr>
        <w:t>s</w:t>
      </w:r>
      <w:r w:rsidR="00290315">
        <w:rPr>
          <w:lang w:eastAsia="zh-CN"/>
        </w:rPr>
        <w:t>;</w:t>
      </w:r>
      <w:r w:rsidRPr="002D5F64">
        <w:rPr>
          <w:lang w:eastAsia="zh-CN"/>
        </w:rPr>
        <w:t xml:space="preserve"> prepositioning emergency s</w:t>
      </w:r>
      <w:r w:rsidR="00290315">
        <w:rPr>
          <w:lang w:eastAsia="zh-CN"/>
        </w:rPr>
        <w:t>upplies before natural disaster;</w:t>
      </w:r>
      <w:r w:rsidRPr="002D5F64">
        <w:rPr>
          <w:lang w:eastAsia="zh-CN"/>
        </w:rPr>
        <w:t xml:space="preserve"> and working with Australian research organisations to map earthquake fault lines and strengthen local infrastructure against natural disasters. </w:t>
      </w:r>
    </w:p>
    <w:p w14:paraId="12257924" w14:textId="77777777" w:rsidR="000D733F" w:rsidRPr="002D5F64" w:rsidRDefault="000D733F" w:rsidP="00511A0F">
      <w:pPr>
        <w:pStyle w:val="Heading3"/>
      </w:pPr>
      <w:r w:rsidRPr="002D5F64">
        <w:t>Risks</w:t>
      </w:r>
    </w:p>
    <w:p w14:paraId="42A50846" w14:textId="77777777" w:rsidR="000D733F" w:rsidRPr="002D5F64" w:rsidRDefault="00D763C0" w:rsidP="005901D2">
      <w:pPr>
        <w:pStyle w:val="Caption"/>
      </w:pPr>
      <w:r w:rsidRPr="002D5F64">
        <w:t>Table 3 Management of Key Risks to Achieving O</w:t>
      </w:r>
      <w:r w:rsidR="000D733F" w:rsidRPr="002D5F64">
        <w:t>bjectives</w:t>
      </w:r>
    </w:p>
    <w:tbl>
      <w:tblPr>
        <w:tblStyle w:val="APPR"/>
        <w:tblW w:w="5242" w:type="pct"/>
        <w:tblBorders>
          <w:top w:val="none" w:sz="0" w:space="0" w:color="auto"/>
          <w:bottom w:val="none" w:sz="0" w:space="0" w:color="auto"/>
        </w:tblBorders>
        <w:tblLook w:val="0600" w:firstRow="0" w:lastRow="0" w:firstColumn="0" w:lastColumn="0" w:noHBand="1" w:noVBand="1"/>
      </w:tblPr>
      <w:tblGrid>
        <w:gridCol w:w="1755"/>
        <w:gridCol w:w="2746"/>
        <w:gridCol w:w="2819"/>
        <w:gridCol w:w="1882"/>
      </w:tblGrid>
      <w:tr w:rsidR="005C310A" w:rsidRPr="002D5F64" w14:paraId="58D23475" w14:textId="77777777" w:rsidTr="006B69BA">
        <w:tc>
          <w:tcPr>
            <w:tcW w:w="1713" w:type="dxa"/>
            <w:tcBorders>
              <w:top w:val="single" w:sz="12" w:space="0" w:color="auto"/>
              <w:bottom w:val="single" w:sz="12" w:space="0" w:color="auto"/>
            </w:tcBorders>
            <w:hideMark/>
          </w:tcPr>
          <w:p w14:paraId="503B2B60" w14:textId="77777777" w:rsidR="005C310A" w:rsidRPr="002D5F64" w:rsidRDefault="005C310A" w:rsidP="0048469F">
            <w:pPr>
              <w:pStyle w:val="TableTextColumnHeading"/>
            </w:pPr>
            <w:r w:rsidRPr="002D5F64">
              <w:t>Key risks</w:t>
            </w:r>
          </w:p>
        </w:tc>
        <w:tc>
          <w:tcPr>
            <w:tcW w:w="2718" w:type="dxa"/>
            <w:tcBorders>
              <w:top w:val="single" w:sz="12" w:space="0" w:color="auto"/>
              <w:bottom w:val="single" w:sz="12" w:space="0" w:color="auto"/>
            </w:tcBorders>
          </w:tcPr>
          <w:p w14:paraId="08FBDE0A" w14:textId="77777777" w:rsidR="005C310A" w:rsidRPr="002D5F64" w:rsidRDefault="005C310A" w:rsidP="0048469F">
            <w:pPr>
              <w:pStyle w:val="TableTextColumnHeading"/>
            </w:pPr>
            <w:r w:rsidRPr="002D5F64">
              <w:t>What actions were taken to manage the risks over the past year?</w:t>
            </w:r>
          </w:p>
        </w:tc>
        <w:tc>
          <w:tcPr>
            <w:tcW w:w="2791" w:type="dxa"/>
            <w:tcBorders>
              <w:top w:val="single" w:sz="12" w:space="0" w:color="auto"/>
              <w:bottom w:val="single" w:sz="12" w:space="0" w:color="auto"/>
            </w:tcBorders>
          </w:tcPr>
          <w:p w14:paraId="4181E925" w14:textId="77777777" w:rsidR="00ED6FA6" w:rsidRPr="002D5F64" w:rsidRDefault="00966B7A" w:rsidP="0048469F">
            <w:pPr>
              <w:pStyle w:val="TableTextColumnHeading"/>
            </w:pPr>
            <w:r w:rsidRPr="002D5F64">
              <w:t xml:space="preserve">What further actions will be </w:t>
            </w:r>
            <w:r w:rsidR="00BC77E9" w:rsidRPr="002D5F64">
              <w:t>taken to manage the risks in the coming year?</w:t>
            </w:r>
          </w:p>
        </w:tc>
        <w:tc>
          <w:tcPr>
            <w:tcW w:w="1840" w:type="dxa"/>
            <w:tcBorders>
              <w:top w:val="single" w:sz="12" w:space="0" w:color="auto"/>
              <w:bottom w:val="single" w:sz="12" w:space="0" w:color="auto"/>
            </w:tcBorders>
          </w:tcPr>
          <w:p w14:paraId="2FD9FD2B" w14:textId="6CB54AF9" w:rsidR="005C310A" w:rsidRPr="002D5F64" w:rsidRDefault="005C310A" w:rsidP="0048469F">
            <w:pPr>
              <w:pStyle w:val="TableTextColumnHeading"/>
            </w:pPr>
            <w:r w:rsidRPr="002D5F64">
              <w:t>For emerging</w:t>
            </w:r>
            <w:r w:rsidR="00FB2AEE" w:rsidRPr="002D5F64">
              <w:t xml:space="preserve"> </w:t>
            </w:r>
            <w:r w:rsidRPr="002D5F64">
              <w:t>/</w:t>
            </w:r>
            <w:r w:rsidR="00FB2AEE" w:rsidRPr="002D5F64">
              <w:t xml:space="preserve"> </w:t>
            </w:r>
            <w:r w:rsidRPr="002D5F64">
              <w:t>ongoing risks provide a Risk Rating (low, medium, high, very high)</w:t>
            </w:r>
          </w:p>
        </w:tc>
      </w:tr>
      <w:tr w:rsidR="005C310A" w:rsidRPr="005D56A4" w14:paraId="6C4807C4" w14:textId="77777777" w:rsidTr="006B69BA">
        <w:tc>
          <w:tcPr>
            <w:tcW w:w="1713" w:type="dxa"/>
            <w:hideMark/>
          </w:tcPr>
          <w:p w14:paraId="35A4DB86" w14:textId="53A45B64" w:rsidR="00775574" w:rsidRPr="00CE1F3C" w:rsidRDefault="006B76AE" w:rsidP="006B76AE">
            <w:pPr>
              <w:pStyle w:val="TableTextEntries"/>
              <w:rPr>
                <w:sz w:val="16"/>
                <w:szCs w:val="16"/>
              </w:rPr>
            </w:pPr>
            <w:r w:rsidRPr="00CE1F3C">
              <w:t>D</w:t>
            </w:r>
            <w:r w:rsidR="00C86A69" w:rsidRPr="00CE1F3C">
              <w:t xml:space="preserve">elivery of aid is </w:t>
            </w:r>
            <w:r w:rsidR="00061CB9" w:rsidRPr="00CE1F3C">
              <w:t>impacted by</w:t>
            </w:r>
            <w:r w:rsidRPr="00CE1F3C">
              <w:t xml:space="preserve"> the transition</w:t>
            </w:r>
            <w:r w:rsidR="00061CB9" w:rsidRPr="00CE1F3C">
              <w:t xml:space="preserve"> to </w:t>
            </w:r>
            <w:r w:rsidRPr="00CE1F3C">
              <w:t>a new Aid Investment Plan (AIP)</w:t>
            </w:r>
          </w:p>
        </w:tc>
        <w:tc>
          <w:tcPr>
            <w:tcW w:w="2718" w:type="dxa"/>
          </w:tcPr>
          <w:p w14:paraId="108671E8" w14:textId="25BD1469" w:rsidR="003F2F13" w:rsidRPr="00CE1F3C" w:rsidRDefault="006A52E9" w:rsidP="006B76AE">
            <w:pPr>
              <w:pStyle w:val="TableTextEntries"/>
            </w:pPr>
            <w:r w:rsidRPr="00CE1F3C">
              <w:t>A new A</w:t>
            </w:r>
            <w:r w:rsidR="006B76AE" w:rsidRPr="00CE1F3C">
              <w:t>IP</w:t>
            </w:r>
            <w:r w:rsidRPr="00CE1F3C">
              <w:t xml:space="preserve"> </w:t>
            </w:r>
            <w:r w:rsidR="001A5891" w:rsidRPr="00CE1F3C">
              <w:t xml:space="preserve">for the Philippines </w:t>
            </w:r>
            <w:r w:rsidR="00FE16E8" w:rsidRPr="00CE1F3C">
              <w:t xml:space="preserve">was launched on </w:t>
            </w:r>
            <w:r w:rsidR="003F2F13" w:rsidRPr="00CE1F3C">
              <w:t xml:space="preserve">30 September. The AIP articulates the consolidation </w:t>
            </w:r>
            <w:r w:rsidR="00F97722" w:rsidRPr="00CE1F3C">
              <w:t>of</w:t>
            </w:r>
            <w:r w:rsidR="001A5891" w:rsidRPr="00CE1F3C">
              <w:t xml:space="preserve"> </w:t>
            </w:r>
            <w:r w:rsidR="003F2F13" w:rsidRPr="00CE1F3C">
              <w:t>the Philippines P</w:t>
            </w:r>
            <w:r w:rsidR="00865741" w:rsidRPr="00CE1F3C">
              <w:t>rogram</w:t>
            </w:r>
            <w:r w:rsidR="003F2F13" w:rsidRPr="00CE1F3C">
              <w:t xml:space="preserve"> to three central pillars - economic growth, governance and peace</w:t>
            </w:r>
            <w:r w:rsidR="00DC6995" w:rsidRPr="00CE1F3C">
              <w:t>,</w:t>
            </w:r>
            <w:r w:rsidR="003F2F13" w:rsidRPr="00CE1F3C">
              <w:t xml:space="preserve"> and stability.</w:t>
            </w:r>
            <w:r w:rsidR="005D56A4" w:rsidRPr="00CE1F3C">
              <w:t xml:space="preserve"> </w:t>
            </w:r>
          </w:p>
        </w:tc>
        <w:tc>
          <w:tcPr>
            <w:tcW w:w="2791" w:type="dxa"/>
          </w:tcPr>
          <w:p w14:paraId="10CC9D09" w14:textId="0B1DE961" w:rsidR="005C310A" w:rsidRPr="00CE1F3C" w:rsidRDefault="001A5891" w:rsidP="004A514B">
            <w:pPr>
              <w:pStyle w:val="TableTextEntries"/>
            </w:pPr>
            <w:r w:rsidRPr="00CE1F3C">
              <w:t xml:space="preserve">Implementation of the new AIP </w:t>
            </w:r>
            <w:r w:rsidR="00E24548" w:rsidRPr="00CE1F3C">
              <w:t xml:space="preserve">will be </w:t>
            </w:r>
            <w:r w:rsidRPr="00CE1F3C">
              <w:t>monitored again</w:t>
            </w:r>
            <w:r w:rsidR="00E24548" w:rsidRPr="00CE1F3C">
              <w:t>st performance benchmarks</w:t>
            </w:r>
            <w:r w:rsidR="00DC6995" w:rsidRPr="00CE1F3C">
              <w:t xml:space="preserve"> and </w:t>
            </w:r>
            <w:r w:rsidR="00865741" w:rsidRPr="00CE1F3C">
              <w:t xml:space="preserve">the </w:t>
            </w:r>
            <w:r w:rsidR="005D56A4" w:rsidRPr="00CE1F3C">
              <w:t xml:space="preserve">Philippine </w:t>
            </w:r>
            <w:r w:rsidR="00865741" w:rsidRPr="00CE1F3C">
              <w:t>Program</w:t>
            </w:r>
            <w:r w:rsidR="00EE0E80" w:rsidRPr="00CE1F3C">
              <w:t xml:space="preserve">’s </w:t>
            </w:r>
            <w:r w:rsidR="00E24548" w:rsidRPr="00CE1F3C">
              <w:rPr>
                <w:i/>
              </w:rPr>
              <w:t>Performance Assessment Framework</w:t>
            </w:r>
            <w:r w:rsidR="00E24548" w:rsidRPr="00CE1F3C">
              <w:t>.</w:t>
            </w:r>
            <w:r w:rsidR="003F2839" w:rsidRPr="00CE1F3C">
              <w:t xml:space="preserve"> </w:t>
            </w:r>
            <w:r w:rsidR="00E24548" w:rsidRPr="00CE1F3C">
              <w:t xml:space="preserve">New investments including on education, infrastructure and aid for trade </w:t>
            </w:r>
            <w:r w:rsidR="00FB2AEE" w:rsidRPr="00CE1F3C">
              <w:t>are</w:t>
            </w:r>
            <w:r w:rsidR="006D77F6" w:rsidRPr="00CE1F3C">
              <w:t xml:space="preserve"> currently </w:t>
            </w:r>
            <w:r w:rsidR="00E24548" w:rsidRPr="00CE1F3C">
              <w:t>being designed</w:t>
            </w:r>
            <w:r w:rsidR="00C910EA" w:rsidRPr="00CE1F3C">
              <w:t>.</w:t>
            </w:r>
            <w:r w:rsidR="004A514B" w:rsidRPr="00CE1F3C">
              <w:t xml:space="preserve"> The Australian Government will continue regular discussions with the Philippines on our aid priorities.</w:t>
            </w:r>
          </w:p>
        </w:tc>
        <w:tc>
          <w:tcPr>
            <w:tcW w:w="1840" w:type="dxa"/>
          </w:tcPr>
          <w:p w14:paraId="14B12E40" w14:textId="50CD6F6C" w:rsidR="005C310A" w:rsidRPr="00CE1F3C" w:rsidRDefault="00FE16E8" w:rsidP="006D77F6">
            <w:pPr>
              <w:pStyle w:val="TableTextEntries"/>
            </w:pPr>
            <w:r w:rsidRPr="00CE1F3C">
              <w:t>Medium</w:t>
            </w:r>
          </w:p>
        </w:tc>
      </w:tr>
      <w:tr w:rsidR="005C310A" w:rsidRPr="002D5F64" w14:paraId="349483AC" w14:textId="77777777" w:rsidTr="006B69BA">
        <w:tc>
          <w:tcPr>
            <w:tcW w:w="1713" w:type="dxa"/>
          </w:tcPr>
          <w:p w14:paraId="09B2C8EF" w14:textId="0F5B94E0" w:rsidR="005C310A" w:rsidRPr="002D5F64" w:rsidRDefault="002A1625" w:rsidP="006D77F6">
            <w:pPr>
              <w:pStyle w:val="TableTextEntries"/>
            </w:pPr>
            <w:r w:rsidRPr="002D5F64">
              <w:lastRenderedPageBreak/>
              <w:t xml:space="preserve">Passage of the </w:t>
            </w:r>
            <w:r w:rsidR="00EF5B06" w:rsidRPr="002D5F64">
              <w:t>B</w:t>
            </w:r>
            <w:r w:rsidR="005D1719" w:rsidRPr="002D5F64">
              <w:t xml:space="preserve">angsamoro </w:t>
            </w:r>
            <w:r w:rsidR="00633055" w:rsidRPr="002D5F64">
              <w:t xml:space="preserve">Basic </w:t>
            </w:r>
            <w:r w:rsidR="00EF5B06" w:rsidRPr="002D5F64">
              <w:t>L</w:t>
            </w:r>
            <w:r w:rsidR="005D1719" w:rsidRPr="002D5F64">
              <w:t>aw</w:t>
            </w:r>
            <w:r w:rsidRPr="002D5F64">
              <w:t xml:space="preserve"> (BBL)</w:t>
            </w:r>
            <w:r w:rsidR="00EF5B06" w:rsidRPr="002D5F64">
              <w:t xml:space="preserve"> </w:t>
            </w:r>
            <w:r w:rsidRPr="002D5F64">
              <w:t>continues to be stalled, impacting on planned aid investments in Mindanao.</w:t>
            </w:r>
          </w:p>
        </w:tc>
        <w:tc>
          <w:tcPr>
            <w:tcW w:w="2718" w:type="dxa"/>
          </w:tcPr>
          <w:p w14:paraId="2AD32170" w14:textId="5760E0B1" w:rsidR="005C310A" w:rsidRPr="002D5F64" w:rsidRDefault="00633055" w:rsidP="0090757A">
            <w:pPr>
              <w:pStyle w:val="TableTextEntries"/>
            </w:pPr>
            <w:r w:rsidRPr="002D5F64">
              <w:t xml:space="preserve">Australia’s </w:t>
            </w:r>
            <w:r w:rsidR="002A1625" w:rsidRPr="002D5F64">
              <w:t xml:space="preserve">aid investments supporting peace provides us access to key stakeholders </w:t>
            </w:r>
            <w:r w:rsidR="0090757A" w:rsidRPr="002D5F64">
              <w:t>in both the government and the Moro Islamic Liberation Front.</w:t>
            </w:r>
          </w:p>
        </w:tc>
        <w:tc>
          <w:tcPr>
            <w:tcW w:w="2791" w:type="dxa"/>
          </w:tcPr>
          <w:p w14:paraId="00B68A67" w14:textId="2DBE0815" w:rsidR="005C310A" w:rsidRPr="002D5F64" w:rsidRDefault="00966B7A" w:rsidP="0090757A">
            <w:pPr>
              <w:pStyle w:val="TableTextEntries"/>
            </w:pPr>
            <w:r w:rsidRPr="002D5F64">
              <w:t xml:space="preserve">In the event that the BBL </w:t>
            </w:r>
            <w:r w:rsidR="002A1625" w:rsidRPr="002D5F64">
              <w:t>remains stalled</w:t>
            </w:r>
            <w:r w:rsidRPr="002D5F64">
              <w:t>,</w:t>
            </w:r>
            <w:r w:rsidR="00BC77E9" w:rsidRPr="002D5F64">
              <w:t xml:space="preserve"> DFAT</w:t>
            </w:r>
            <w:r w:rsidR="0090757A" w:rsidRPr="002D5F64">
              <w:t>’s</w:t>
            </w:r>
            <w:r w:rsidR="00BC77E9" w:rsidRPr="002D5F64">
              <w:t xml:space="preserve"> investments </w:t>
            </w:r>
            <w:r w:rsidR="0090757A" w:rsidRPr="002D5F64">
              <w:t xml:space="preserve">have the flexibility to respond and demonstrate to </w:t>
            </w:r>
            <w:r w:rsidR="002A1625" w:rsidRPr="002D5F64">
              <w:t xml:space="preserve">stakeholders </w:t>
            </w:r>
            <w:r w:rsidR="00BC77E9" w:rsidRPr="002D5F64">
              <w:t>the benefit of remaining engaged in the peace process.</w:t>
            </w:r>
          </w:p>
        </w:tc>
        <w:tc>
          <w:tcPr>
            <w:tcW w:w="1840" w:type="dxa"/>
          </w:tcPr>
          <w:p w14:paraId="75E8342F" w14:textId="77777777" w:rsidR="005C310A" w:rsidRPr="002D5F64" w:rsidRDefault="00633055" w:rsidP="006D77F6">
            <w:pPr>
              <w:pStyle w:val="TableTextEntries"/>
            </w:pPr>
            <w:r w:rsidRPr="002D5F64">
              <w:t>Medium</w:t>
            </w:r>
          </w:p>
          <w:p w14:paraId="6826D3B4" w14:textId="77777777" w:rsidR="00F33D24" w:rsidRPr="002D5F64" w:rsidRDefault="00F33D24" w:rsidP="006D77F6">
            <w:pPr>
              <w:pStyle w:val="TableTextEntries"/>
            </w:pPr>
          </w:p>
        </w:tc>
      </w:tr>
      <w:tr w:rsidR="00F33D24" w:rsidRPr="002D5F64" w14:paraId="46035FEA" w14:textId="77777777" w:rsidTr="006B69BA">
        <w:tc>
          <w:tcPr>
            <w:tcW w:w="1713" w:type="dxa"/>
            <w:tcBorders>
              <w:bottom w:val="single" w:sz="12" w:space="0" w:color="auto"/>
            </w:tcBorders>
          </w:tcPr>
          <w:p w14:paraId="408C2AD0" w14:textId="7FDBE2BA" w:rsidR="00F33D24" w:rsidRPr="00CE1F3C" w:rsidRDefault="006D77F6" w:rsidP="00FB2AEE">
            <w:pPr>
              <w:pStyle w:val="TableTextEntries"/>
            </w:pPr>
            <w:r w:rsidRPr="00CE1F3C">
              <w:t>Design of new investment</w:t>
            </w:r>
            <w:r w:rsidR="00EE0E80" w:rsidRPr="00CE1F3C">
              <w:t>s</w:t>
            </w:r>
            <w:r w:rsidRPr="00CE1F3C">
              <w:t xml:space="preserve"> </w:t>
            </w:r>
            <w:r w:rsidR="00EE0E80" w:rsidRPr="00CE1F3C">
              <w:t xml:space="preserve">on </w:t>
            </w:r>
            <w:r w:rsidRPr="00CE1F3C">
              <w:t xml:space="preserve">economic growth </w:t>
            </w:r>
            <w:r w:rsidR="00FB2AEE" w:rsidRPr="00CE1F3C">
              <w:t xml:space="preserve">is </w:t>
            </w:r>
            <w:r w:rsidR="00EE0E80" w:rsidRPr="00CE1F3C">
              <w:t xml:space="preserve">further </w:t>
            </w:r>
            <w:r w:rsidRPr="00CE1F3C">
              <w:t>delayed.</w:t>
            </w:r>
          </w:p>
        </w:tc>
        <w:tc>
          <w:tcPr>
            <w:tcW w:w="2718" w:type="dxa"/>
            <w:tcBorders>
              <w:bottom w:val="single" w:sz="12" w:space="0" w:color="auto"/>
            </w:tcBorders>
          </w:tcPr>
          <w:p w14:paraId="5C53326C" w14:textId="04B49A2B" w:rsidR="00683D18" w:rsidRPr="00CE1F3C" w:rsidRDefault="00FB2AEE" w:rsidP="00774221">
            <w:pPr>
              <w:pStyle w:val="TableTextEntries"/>
            </w:pPr>
            <w:r w:rsidRPr="00CE1F3C">
              <w:t>A c</w:t>
            </w:r>
            <w:r w:rsidR="00C2681F" w:rsidRPr="00CE1F3C">
              <w:t>oncept note for a new infrastructure investment has been approved. A scoping study has been completed and consultants hired to design a</w:t>
            </w:r>
            <w:r w:rsidRPr="00CE1F3C">
              <w:t xml:space="preserve"> new aid for trade investment. </w:t>
            </w:r>
          </w:p>
        </w:tc>
        <w:tc>
          <w:tcPr>
            <w:tcW w:w="2791" w:type="dxa"/>
            <w:tcBorders>
              <w:bottom w:val="single" w:sz="12" w:space="0" w:color="auto"/>
            </w:tcBorders>
          </w:tcPr>
          <w:p w14:paraId="7EC2304C" w14:textId="42C5A768" w:rsidR="00F33D24" w:rsidRPr="00CE1F3C" w:rsidRDefault="00774221" w:rsidP="00CC324F">
            <w:pPr>
              <w:pStyle w:val="TableTextEntries"/>
            </w:pPr>
            <w:r w:rsidRPr="00CE1F3C">
              <w:t xml:space="preserve">Design of economic growth investments are expected to be </w:t>
            </w:r>
            <w:r w:rsidR="00CC324F" w:rsidRPr="00CE1F3C">
              <w:t xml:space="preserve">completed </w:t>
            </w:r>
            <w:r w:rsidR="00AE0761" w:rsidRPr="00CE1F3C">
              <w:t>in</w:t>
            </w:r>
            <w:r w:rsidR="005D56A4" w:rsidRPr="00CE1F3C">
              <w:t xml:space="preserve"> 2016.</w:t>
            </w:r>
          </w:p>
        </w:tc>
        <w:tc>
          <w:tcPr>
            <w:tcW w:w="1840" w:type="dxa"/>
            <w:tcBorders>
              <w:bottom w:val="single" w:sz="12" w:space="0" w:color="auto"/>
            </w:tcBorders>
          </w:tcPr>
          <w:p w14:paraId="7AC3D65B" w14:textId="00F8CA07" w:rsidR="00F33D24" w:rsidRPr="00CE1F3C" w:rsidRDefault="00774221" w:rsidP="006D77F6">
            <w:pPr>
              <w:pStyle w:val="TableTextEntries"/>
            </w:pPr>
            <w:r w:rsidRPr="00CE1F3C">
              <w:t>Low</w:t>
            </w:r>
          </w:p>
        </w:tc>
      </w:tr>
    </w:tbl>
    <w:p w14:paraId="45F4628A" w14:textId="6D74A06A" w:rsidR="000D733F" w:rsidRPr="002D5F64" w:rsidRDefault="000D733F" w:rsidP="0007149C">
      <w:pPr>
        <w:pStyle w:val="Heading2"/>
        <w:rPr>
          <w:sz w:val="28"/>
        </w:rPr>
      </w:pPr>
      <w:r w:rsidRPr="002D5F64">
        <w:rPr>
          <w:sz w:val="28"/>
        </w:rPr>
        <w:t xml:space="preserve">Management </w:t>
      </w:r>
      <w:r w:rsidR="00805ADD" w:rsidRPr="002D5F64">
        <w:rPr>
          <w:sz w:val="28"/>
        </w:rPr>
        <w:t>Responses</w:t>
      </w:r>
      <w:r w:rsidRPr="002D5F64">
        <w:rPr>
          <w:sz w:val="28"/>
        </w:rPr>
        <w:tab/>
      </w:r>
      <w:r w:rsidRPr="002D5F64">
        <w:rPr>
          <w:sz w:val="28"/>
        </w:rPr>
        <w:tab/>
      </w:r>
    </w:p>
    <w:p w14:paraId="17C970D6" w14:textId="2E67E759" w:rsidR="00900A3B" w:rsidRDefault="00900A3B" w:rsidP="005C74C7">
      <w:pPr>
        <w:pStyle w:val="ListBullet"/>
        <w:numPr>
          <w:ilvl w:val="0"/>
          <w:numId w:val="0"/>
        </w:numPr>
        <w:tabs>
          <w:tab w:val="clear" w:pos="284"/>
        </w:tabs>
      </w:pPr>
      <w:r w:rsidRPr="00BD2DE6">
        <w:t xml:space="preserve">Results from the 2014-15 APPR indicate that the Philippines Program can improve its performance on gender equality. A new </w:t>
      </w:r>
      <w:r w:rsidR="001D5096" w:rsidRPr="00BD2DE6">
        <w:t xml:space="preserve">Investing in Women Initiative (IIW) </w:t>
      </w:r>
      <w:r w:rsidRPr="00BD2DE6">
        <w:t xml:space="preserve">is scheduled to start in 2016 and will increase investments in small and medium enterprises owned by women and remove regulatory barriers to women’s economic empowerment. A dedicated staff member in DFAT’s Manila Post will manage </w:t>
      </w:r>
      <w:r w:rsidR="007A406C" w:rsidRPr="00BD2DE6">
        <w:t xml:space="preserve">IIW and help </w:t>
      </w:r>
      <w:r w:rsidR="00045AB1" w:rsidRPr="00BD2DE6">
        <w:t xml:space="preserve">identify opportunities </w:t>
      </w:r>
      <w:r w:rsidR="00BD2DE6" w:rsidRPr="00BD2DE6">
        <w:t xml:space="preserve">to </w:t>
      </w:r>
      <w:r w:rsidR="00567417">
        <w:t xml:space="preserve">collaborate with, and </w:t>
      </w:r>
      <w:r w:rsidR="007A406C" w:rsidRPr="00BD2DE6">
        <w:t xml:space="preserve">strengthen existing Philippines Program investments </w:t>
      </w:r>
      <w:r w:rsidR="00BD2DE6" w:rsidRPr="00BD2DE6">
        <w:t xml:space="preserve">for </w:t>
      </w:r>
      <w:r w:rsidR="007A406C" w:rsidRPr="00BD2DE6">
        <w:t>improve</w:t>
      </w:r>
      <w:r w:rsidR="00BD2DE6" w:rsidRPr="00BD2DE6">
        <w:t>d</w:t>
      </w:r>
      <w:r w:rsidR="007A406C" w:rsidRPr="00BD2DE6">
        <w:t xml:space="preserve"> gender outcomes. </w:t>
      </w:r>
      <w:r w:rsidRPr="00BD2DE6">
        <w:t xml:space="preserve">The Philippines Program will also </w:t>
      </w:r>
      <w:r w:rsidR="00140547">
        <w:t xml:space="preserve">aim to improve </w:t>
      </w:r>
      <w:r w:rsidRPr="00BD2DE6">
        <w:t xml:space="preserve">aid investments that </w:t>
      </w:r>
      <w:r w:rsidR="007A406C" w:rsidRPr="00BD2DE6">
        <w:t xml:space="preserve">received low ratings </w:t>
      </w:r>
      <w:r w:rsidR="00140547">
        <w:t xml:space="preserve">under </w:t>
      </w:r>
      <w:r w:rsidRPr="00BD2DE6">
        <w:t xml:space="preserve">the </w:t>
      </w:r>
      <w:r w:rsidR="007A406C" w:rsidRPr="00BD2DE6">
        <w:t xml:space="preserve">gender criteria </w:t>
      </w:r>
      <w:r w:rsidR="00140547">
        <w:t xml:space="preserve">of the </w:t>
      </w:r>
      <w:r w:rsidR="00BD2DE6" w:rsidRPr="00BD2DE6">
        <w:t>20</w:t>
      </w:r>
      <w:r w:rsidR="00802C26">
        <w:t>14</w:t>
      </w:r>
      <w:r w:rsidR="00802C26">
        <w:noBreakHyphen/>
      </w:r>
      <w:r w:rsidR="00BD2DE6" w:rsidRPr="00BD2DE6">
        <w:t>15</w:t>
      </w:r>
      <w:r w:rsidR="00802C26">
        <w:t> </w:t>
      </w:r>
      <w:r w:rsidR="00BD2DE6" w:rsidRPr="00BD2DE6">
        <w:t>AQC</w:t>
      </w:r>
      <w:r w:rsidRPr="00BD2DE6">
        <w:t xml:space="preserve"> (see AQC discussion on p.16 </w:t>
      </w:r>
      <w:r w:rsidR="00D40E1B">
        <w:t xml:space="preserve">which </w:t>
      </w:r>
      <w:r w:rsidRPr="00BD2DE6">
        <w:t xml:space="preserve">highlights how this can be achieved). The goal </w:t>
      </w:r>
      <w:r w:rsidR="00A31585">
        <w:t xml:space="preserve">in 2015-16 </w:t>
      </w:r>
      <w:r w:rsidRPr="00BD2DE6">
        <w:t xml:space="preserve">will be to meet the Australian Aid Program’s target of more than 80 per cent of investments performing satisfactory </w:t>
      </w:r>
      <w:r w:rsidR="00140547">
        <w:t xml:space="preserve">under </w:t>
      </w:r>
      <w:r w:rsidRPr="00BD2DE6">
        <w:t>the gender criteria of the AQC.</w:t>
      </w:r>
      <w:r w:rsidR="00A2548E">
        <w:t xml:space="preserve"> </w:t>
      </w:r>
    </w:p>
    <w:p w14:paraId="61117E9B" w14:textId="3B644A9C" w:rsidR="00A82EAE" w:rsidRDefault="00865741" w:rsidP="00584446">
      <w:pPr>
        <w:pStyle w:val="ListBullet"/>
        <w:numPr>
          <w:ilvl w:val="0"/>
          <w:numId w:val="0"/>
        </w:numPr>
        <w:tabs>
          <w:tab w:val="clear" w:pos="284"/>
        </w:tabs>
      </w:pPr>
      <w:r w:rsidRPr="002D5F64">
        <w:t xml:space="preserve">The </w:t>
      </w:r>
      <w:r w:rsidR="000C1D9D">
        <w:t xml:space="preserve">second area of improvement </w:t>
      </w:r>
      <w:r w:rsidR="00802C26">
        <w:t>highlighted by the 2014-15</w:t>
      </w:r>
      <w:r w:rsidR="00A82EAE">
        <w:t xml:space="preserve"> APPR </w:t>
      </w:r>
      <w:r w:rsidR="001343CD">
        <w:t xml:space="preserve">relates to </w:t>
      </w:r>
      <w:r w:rsidR="000C1D9D">
        <w:t>economic growth</w:t>
      </w:r>
      <w:r w:rsidR="00A87E76">
        <w:t>,</w:t>
      </w:r>
      <w:r w:rsidR="001343CD">
        <w:t xml:space="preserve"> </w:t>
      </w:r>
      <w:r w:rsidR="00A87E76">
        <w:t xml:space="preserve">notably delays in finalising designs of new aid for trade and infrastructure investments. The </w:t>
      </w:r>
      <w:r w:rsidRPr="002D5F64">
        <w:t>Philippines Program</w:t>
      </w:r>
      <w:r w:rsidR="00584446" w:rsidRPr="002D5F64">
        <w:t xml:space="preserve"> will </w:t>
      </w:r>
      <w:r w:rsidR="00A82EAE">
        <w:t xml:space="preserve">ensure that designs of new </w:t>
      </w:r>
      <w:r w:rsidR="001343CD">
        <w:t xml:space="preserve">economic growth </w:t>
      </w:r>
      <w:r w:rsidR="00A82EAE">
        <w:t xml:space="preserve">investments are adequately prioritised and resourced, </w:t>
      </w:r>
      <w:r w:rsidR="001343CD">
        <w:t xml:space="preserve">and </w:t>
      </w:r>
      <w:r w:rsidR="00A82EAE">
        <w:t xml:space="preserve">delays </w:t>
      </w:r>
      <w:r w:rsidR="001343CD">
        <w:t>contained</w:t>
      </w:r>
      <w:r w:rsidR="00A82EAE">
        <w:t xml:space="preserve">. The Philippines Program will </w:t>
      </w:r>
      <w:r w:rsidR="001343CD">
        <w:t>also closely monitor</w:t>
      </w:r>
      <w:r w:rsidR="00A82EAE">
        <w:t xml:space="preserve"> its investment pipeline to ensure that other new investments, including </w:t>
      </w:r>
      <w:r w:rsidR="00A82EAE" w:rsidRPr="002D5F64">
        <w:t>a new education program in Mindanao, and a second phase of the Philippines-Australia Human Resource and Organisational Development Facility</w:t>
      </w:r>
      <w:r w:rsidR="00A82EAE">
        <w:t xml:space="preserve">, are </w:t>
      </w:r>
      <w:r w:rsidR="001343CD">
        <w:t>implemented on-time</w:t>
      </w:r>
      <w:r w:rsidR="00A82EAE">
        <w:t xml:space="preserve">. </w:t>
      </w:r>
    </w:p>
    <w:p w14:paraId="297DC995" w14:textId="2271DFF6" w:rsidR="008A7695" w:rsidRDefault="00CF1F8C" w:rsidP="0065413F">
      <w:pPr>
        <w:pStyle w:val="ListBullet"/>
        <w:numPr>
          <w:ilvl w:val="0"/>
          <w:numId w:val="0"/>
        </w:numPr>
        <w:tabs>
          <w:tab w:val="clear" w:pos="284"/>
        </w:tabs>
        <w:rPr>
          <w:lang w:eastAsia="zh-CN"/>
        </w:rPr>
      </w:pPr>
      <w:r w:rsidRPr="002D5F64">
        <w:t xml:space="preserve">DFAT will continue to ensure that </w:t>
      </w:r>
      <w:r w:rsidR="002C3358" w:rsidRPr="002D5F64">
        <w:t xml:space="preserve">our aid investments </w:t>
      </w:r>
      <w:r w:rsidRPr="002D5F64">
        <w:t xml:space="preserve">remain relevant to the development priorities of the Philippines, given a change of administration following the 9 May 2016 general election. DFAT will </w:t>
      </w:r>
      <w:r w:rsidR="000E2FF7" w:rsidRPr="002D5F64">
        <w:t xml:space="preserve">consult with the incoming administration, </w:t>
      </w:r>
      <w:r w:rsidRPr="002D5F64">
        <w:rPr>
          <w:lang w:eastAsia="zh-CN"/>
        </w:rPr>
        <w:t xml:space="preserve">National Economic Development Authority </w:t>
      </w:r>
      <w:r w:rsidR="002C3358" w:rsidRPr="002D5F64">
        <w:rPr>
          <w:lang w:eastAsia="zh-CN"/>
        </w:rPr>
        <w:t xml:space="preserve">and other government stakeholders </w:t>
      </w:r>
      <w:r w:rsidR="000E2FF7" w:rsidRPr="002D5F64">
        <w:rPr>
          <w:lang w:eastAsia="zh-CN"/>
        </w:rPr>
        <w:t>to ensure the Australian aid program con</w:t>
      </w:r>
      <w:r w:rsidR="004E6791" w:rsidRPr="002D5F64">
        <w:rPr>
          <w:lang w:eastAsia="zh-CN"/>
        </w:rPr>
        <w:t>tinues to align with Philippine</w:t>
      </w:r>
      <w:r w:rsidR="000E2FF7" w:rsidRPr="002D5F64">
        <w:rPr>
          <w:lang w:eastAsia="zh-CN"/>
        </w:rPr>
        <w:t xml:space="preserve"> Government priorities.</w:t>
      </w:r>
      <w:r w:rsidR="000E2FF7" w:rsidRPr="008A6CDC">
        <w:rPr>
          <w:lang w:eastAsia="zh-CN"/>
        </w:rPr>
        <w:t xml:space="preserve"> </w:t>
      </w:r>
    </w:p>
    <w:p w14:paraId="0156CAE2" w14:textId="1B12A6FB" w:rsidR="00C214DC" w:rsidRDefault="001343CD" w:rsidP="00A1413C">
      <w:pPr>
        <w:pStyle w:val="ListBullet"/>
        <w:numPr>
          <w:ilvl w:val="0"/>
          <w:numId w:val="0"/>
        </w:numPr>
        <w:tabs>
          <w:tab w:val="clear" w:pos="284"/>
        </w:tabs>
        <w:rPr>
          <w:lang w:eastAsia="zh-CN"/>
        </w:rPr>
      </w:pPr>
      <w:r>
        <w:rPr>
          <w:lang w:eastAsia="zh-CN"/>
        </w:rPr>
        <w:t xml:space="preserve">Annex A details progress against </w:t>
      </w:r>
      <w:r w:rsidR="002E7097">
        <w:rPr>
          <w:lang w:eastAsia="zh-CN"/>
        </w:rPr>
        <w:t xml:space="preserve">management responses in the </w:t>
      </w:r>
      <w:r>
        <w:rPr>
          <w:lang w:eastAsia="zh-CN"/>
        </w:rPr>
        <w:t>201</w:t>
      </w:r>
      <w:r w:rsidR="00802C26">
        <w:rPr>
          <w:lang w:eastAsia="zh-CN"/>
        </w:rPr>
        <w:t>3-</w:t>
      </w:r>
      <w:r w:rsidR="00567417">
        <w:rPr>
          <w:lang w:eastAsia="zh-CN"/>
        </w:rPr>
        <w:t>1</w:t>
      </w:r>
      <w:r>
        <w:rPr>
          <w:lang w:eastAsia="zh-CN"/>
        </w:rPr>
        <w:t>4 APPR</w:t>
      </w:r>
      <w:r w:rsidR="002E7097">
        <w:rPr>
          <w:lang w:eastAsia="zh-CN"/>
        </w:rPr>
        <w:t xml:space="preserve">. Consistent with the findings above, it </w:t>
      </w:r>
      <w:r w:rsidR="00381445">
        <w:rPr>
          <w:lang w:eastAsia="zh-CN"/>
        </w:rPr>
        <w:t xml:space="preserve">highlights </w:t>
      </w:r>
      <w:r w:rsidR="002E7097">
        <w:rPr>
          <w:lang w:eastAsia="zh-CN"/>
        </w:rPr>
        <w:t xml:space="preserve">that the Philippines Program can perform better on gender and economic growth. </w:t>
      </w:r>
      <w:r w:rsidR="008A7695">
        <w:rPr>
          <w:lang w:eastAsia="zh-CN"/>
        </w:rPr>
        <w:tab/>
      </w:r>
    </w:p>
    <w:p w14:paraId="068DBD2E" w14:textId="77777777" w:rsidR="00A31585" w:rsidRDefault="00A31585" w:rsidP="00A1413C">
      <w:pPr>
        <w:pStyle w:val="ListBullet"/>
        <w:numPr>
          <w:ilvl w:val="0"/>
          <w:numId w:val="0"/>
        </w:numPr>
        <w:tabs>
          <w:tab w:val="clear" w:pos="284"/>
        </w:tabs>
        <w:rPr>
          <w:lang w:eastAsia="zh-CN"/>
        </w:rPr>
      </w:pPr>
    </w:p>
    <w:p w14:paraId="07E9781E" w14:textId="77777777" w:rsidR="00A31585" w:rsidRPr="008A7695" w:rsidRDefault="00A31585" w:rsidP="00A1413C">
      <w:pPr>
        <w:pStyle w:val="ListBullet"/>
        <w:numPr>
          <w:ilvl w:val="0"/>
          <w:numId w:val="0"/>
        </w:numPr>
        <w:tabs>
          <w:tab w:val="clear" w:pos="284"/>
        </w:tabs>
        <w:rPr>
          <w:lang w:eastAsia="zh-CN"/>
        </w:rPr>
        <w:sectPr w:rsidR="00A31585" w:rsidRPr="008A7695" w:rsidSect="009C7C02">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2381" w:right="1701" w:bottom="907" w:left="1701" w:header="850" w:footer="567" w:gutter="0"/>
          <w:pgNumType w:start="1"/>
          <w:cols w:space="720"/>
          <w:docGrid w:linePitch="326"/>
        </w:sectPr>
      </w:pPr>
    </w:p>
    <w:p w14:paraId="532B8220" w14:textId="77777777" w:rsidR="006A1EFA" w:rsidRPr="00416B02" w:rsidRDefault="006A1EFA" w:rsidP="006A1EFA">
      <w:pPr>
        <w:pStyle w:val="ListBullet"/>
        <w:numPr>
          <w:ilvl w:val="0"/>
          <w:numId w:val="0"/>
        </w:numPr>
        <w:tabs>
          <w:tab w:val="clear" w:pos="284"/>
        </w:tabs>
        <w:sectPr w:rsidR="006A1EFA" w:rsidRPr="00416B02" w:rsidSect="009C7C02">
          <w:type w:val="continuous"/>
          <w:pgSz w:w="11907" w:h="16840" w:code="9"/>
          <w:pgMar w:top="2381" w:right="1701" w:bottom="907" w:left="1701" w:header="850" w:footer="567" w:gutter="0"/>
          <w:pgNumType w:start="1"/>
          <w:cols w:space="720"/>
          <w:docGrid w:linePitch="326"/>
        </w:sectPr>
      </w:pPr>
    </w:p>
    <w:p w14:paraId="472BDD11" w14:textId="77777777" w:rsidR="005C310A" w:rsidRPr="00AF2EA7" w:rsidRDefault="005C310A" w:rsidP="00AF2EA7">
      <w:pPr>
        <w:pStyle w:val="Heading2"/>
        <w:rPr>
          <w:sz w:val="28"/>
        </w:rPr>
      </w:pPr>
      <w:r>
        <w:rPr>
          <w:sz w:val="28"/>
        </w:rPr>
        <w:lastRenderedPageBreak/>
        <w:t>Annex A</w:t>
      </w:r>
      <w:r w:rsidRPr="009E38C1">
        <w:rPr>
          <w:sz w:val="28"/>
        </w:rPr>
        <w:t xml:space="preserve"> </w:t>
      </w:r>
      <w:r>
        <w:rPr>
          <w:sz w:val="28"/>
        </w:rPr>
        <w:t>- Progress in Addressing Management R</w:t>
      </w:r>
      <w:r w:rsidRPr="009E38C1">
        <w:rPr>
          <w:sz w:val="28"/>
        </w:rPr>
        <w:t>esponses</w:t>
      </w:r>
    </w:p>
    <w:tbl>
      <w:tblPr>
        <w:tblStyle w:val="APPR"/>
        <w:tblpPr w:leftFromText="180" w:rightFromText="180" w:vertAnchor="text" w:tblpY="1"/>
        <w:tblW w:w="5000" w:type="pct"/>
        <w:tblBorders>
          <w:top w:val="none" w:sz="0" w:space="0" w:color="auto"/>
          <w:bottom w:val="none" w:sz="0" w:space="0" w:color="auto"/>
        </w:tblBorders>
        <w:tblLayout w:type="fixed"/>
        <w:tblLook w:val="0000" w:firstRow="0" w:lastRow="0" w:firstColumn="0" w:lastColumn="0" w:noHBand="0" w:noVBand="0"/>
      </w:tblPr>
      <w:tblGrid>
        <w:gridCol w:w="6761"/>
        <w:gridCol w:w="1028"/>
        <w:gridCol w:w="7200"/>
      </w:tblGrid>
      <w:tr w:rsidR="005C310A" w:rsidRPr="00E24548" w14:paraId="605693E9" w14:textId="77777777" w:rsidTr="00206FC4">
        <w:trPr>
          <w:cnfStyle w:val="000000010000" w:firstRow="0" w:lastRow="0" w:firstColumn="0" w:lastColumn="0" w:oddVBand="0" w:evenVBand="0" w:oddHBand="0" w:evenHBand="1" w:firstRowFirstColumn="0" w:firstRowLastColumn="0" w:lastRowFirstColumn="0" w:lastRowLastColumn="0"/>
        </w:trPr>
        <w:tc>
          <w:tcPr>
            <w:tcW w:w="6597" w:type="dxa"/>
            <w:tcBorders>
              <w:top w:val="single" w:sz="8" w:space="0" w:color="auto"/>
              <w:bottom w:val="single" w:sz="8" w:space="0" w:color="auto"/>
            </w:tcBorders>
            <w:vAlign w:val="center"/>
          </w:tcPr>
          <w:p w14:paraId="78CCAE0A" w14:textId="77777777" w:rsidR="005C310A" w:rsidRPr="00E24548" w:rsidRDefault="005C310A" w:rsidP="0048469F">
            <w:pPr>
              <w:pStyle w:val="TableTextColumnHeading"/>
              <w:rPr>
                <w:rFonts w:ascii="Franklin Gothic Book" w:hAnsi="Franklin Gothic Book"/>
                <w:sz w:val="16"/>
                <w:szCs w:val="16"/>
              </w:rPr>
            </w:pPr>
            <w:r w:rsidRPr="00E24548">
              <w:rPr>
                <w:rFonts w:ascii="Franklin Gothic Book" w:hAnsi="Franklin Gothic Book"/>
                <w:sz w:val="16"/>
                <w:szCs w:val="16"/>
              </w:rPr>
              <w:t>Management respon</w:t>
            </w:r>
            <w:r w:rsidR="00F43B6E" w:rsidRPr="00E24548">
              <w:rPr>
                <w:rFonts w:ascii="Franklin Gothic Book" w:hAnsi="Franklin Gothic Book"/>
                <w:sz w:val="16"/>
                <w:szCs w:val="16"/>
              </w:rPr>
              <w:t>s</w:t>
            </w:r>
            <w:r w:rsidRPr="00E24548">
              <w:rPr>
                <w:rFonts w:ascii="Franklin Gothic Book" w:hAnsi="Franklin Gothic Book"/>
                <w:sz w:val="16"/>
                <w:szCs w:val="16"/>
              </w:rPr>
              <w:t>es identified in 2013-14 APPR</w:t>
            </w:r>
            <w:r w:rsidRPr="00E24548">
              <w:rPr>
                <w:rFonts w:ascii="Franklin Gothic Book" w:hAnsi="Franklin Gothic Book"/>
                <w:sz w:val="16"/>
                <w:szCs w:val="16"/>
              </w:rPr>
              <w:tab/>
            </w:r>
          </w:p>
        </w:tc>
        <w:tc>
          <w:tcPr>
            <w:tcW w:w="982" w:type="dxa"/>
            <w:tcBorders>
              <w:top w:val="single" w:sz="8" w:space="0" w:color="auto"/>
              <w:bottom w:val="single" w:sz="8" w:space="0" w:color="auto"/>
            </w:tcBorders>
            <w:vAlign w:val="center"/>
          </w:tcPr>
          <w:p w14:paraId="5F3D9FCE" w14:textId="77777777" w:rsidR="005C310A" w:rsidRPr="00E24548" w:rsidRDefault="005C310A" w:rsidP="0048469F">
            <w:pPr>
              <w:pStyle w:val="TableTextColumnHeading"/>
              <w:rPr>
                <w:rFonts w:ascii="Franklin Gothic Book" w:hAnsi="Franklin Gothic Book"/>
                <w:sz w:val="16"/>
                <w:szCs w:val="16"/>
              </w:rPr>
            </w:pPr>
            <w:r w:rsidRPr="00E24548">
              <w:rPr>
                <w:rFonts w:ascii="Franklin Gothic Book" w:hAnsi="Franklin Gothic Book"/>
                <w:sz w:val="16"/>
                <w:szCs w:val="16"/>
              </w:rPr>
              <w:t>Rating</w:t>
            </w:r>
          </w:p>
        </w:tc>
        <w:tc>
          <w:tcPr>
            <w:tcW w:w="7028" w:type="dxa"/>
            <w:tcBorders>
              <w:top w:val="single" w:sz="8" w:space="0" w:color="auto"/>
              <w:bottom w:val="single" w:sz="8" w:space="0" w:color="auto"/>
            </w:tcBorders>
            <w:vAlign w:val="center"/>
          </w:tcPr>
          <w:p w14:paraId="5A288A82" w14:textId="77777777" w:rsidR="005C310A" w:rsidRPr="00E24548" w:rsidRDefault="005C310A" w:rsidP="0048469F">
            <w:pPr>
              <w:pStyle w:val="TableTextColumnHeading"/>
              <w:rPr>
                <w:rFonts w:ascii="Franklin Gothic Book" w:hAnsi="Franklin Gothic Book"/>
                <w:sz w:val="16"/>
                <w:szCs w:val="16"/>
              </w:rPr>
            </w:pPr>
            <w:r w:rsidRPr="00E24548">
              <w:rPr>
                <w:rFonts w:ascii="Franklin Gothic Book" w:hAnsi="Franklin Gothic Book"/>
                <w:sz w:val="16"/>
                <w:szCs w:val="16"/>
              </w:rPr>
              <w:t>Progress made in 2014-5</w:t>
            </w:r>
          </w:p>
        </w:tc>
      </w:tr>
      <w:tr w:rsidR="00756CF1" w:rsidRPr="00E24548" w14:paraId="263B9352" w14:textId="77777777" w:rsidTr="00865741">
        <w:trPr>
          <w:cnfStyle w:val="000000010000" w:firstRow="0" w:lastRow="0" w:firstColumn="0" w:lastColumn="0" w:oddVBand="0" w:evenVBand="0" w:oddHBand="0" w:evenHBand="1" w:firstRowFirstColumn="0" w:firstRowLastColumn="0" w:lastRowFirstColumn="0" w:lastRowLastColumn="0"/>
        </w:trPr>
        <w:tc>
          <w:tcPr>
            <w:tcW w:w="6597" w:type="dxa"/>
          </w:tcPr>
          <w:p w14:paraId="5DA514C7" w14:textId="52E7282C" w:rsidR="00756CF1" w:rsidRPr="002D5F64" w:rsidRDefault="0030306D" w:rsidP="00D41A9E">
            <w:pPr>
              <w:pStyle w:val="TableTextEntries"/>
              <w:spacing w:before="0" w:after="0"/>
              <w:rPr>
                <w:sz w:val="16"/>
                <w:szCs w:val="16"/>
              </w:rPr>
            </w:pPr>
            <w:r w:rsidRPr="002D5F64">
              <w:rPr>
                <w:sz w:val="16"/>
                <w:szCs w:val="16"/>
              </w:rPr>
              <w:t xml:space="preserve">A </w:t>
            </w:r>
            <w:r w:rsidR="00756CF1" w:rsidRPr="002D5F64">
              <w:rPr>
                <w:sz w:val="16"/>
                <w:szCs w:val="16"/>
              </w:rPr>
              <w:t xml:space="preserve">new four-year Aid Investment Plan (AIP) </w:t>
            </w:r>
            <w:r w:rsidRPr="002D5F64">
              <w:rPr>
                <w:sz w:val="16"/>
                <w:szCs w:val="16"/>
              </w:rPr>
              <w:t>will be developed in consultation with the Philippine Government. C</w:t>
            </w:r>
            <w:r w:rsidR="00756CF1" w:rsidRPr="002D5F64">
              <w:rPr>
                <w:sz w:val="16"/>
                <w:szCs w:val="16"/>
              </w:rPr>
              <w:t xml:space="preserve">onsideration </w:t>
            </w:r>
            <w:r w:rsidR="00A372F6" w:rsidRPr="002D5F64">
              <w:rPr>
                <w:sz w:val="16"/>
                <w:szCs w:val="16"/>
              </w:rPr>
              <w:t xml:space="preserve">will be </w:t>
            </w:r>
            <w:r w:rsidR="00756CF1" w:rsidRPr="002D5F64">
              <w:rPr>
                <w:sz w:val="16"/>
                <w:szCs w:val="16"/>
              </w:rPr>
              <w:t xml:space="preserve">given to the existing Statement of Commitment agreed in 2012, and the revised aid objectives agreed in February 2014. </w:t>
            </w:r>
          </w:p>
        </w:tc>
        <w:tc>
          <w:tcPr>
            <w:tcW w:w="982" w:type="dxa"/>
            <w:shd w:val="clear" w:color="auto" w:fill="72AF2F"/>
          </w:tcPr>
          <w:p w14:paraId="211AEEEF" w14:textId="75C3BCC2" w:rsidR="00756CF1" w:rsidRPr="002D5F64" w:rsidRDefault="00340EFB" w:rsidP="00865741">
            <w:pPr>
              <w:pStyle w:val="TableTextEntries"/>
              <w:spacing w:before="0" w:after="0"/>
              <w:rPr>
                <w:color w:val="FFFFFF" w:themeColor="background1"/>
                <w:sz w:val="16"/>
                <w:szCs w:val="16"/>
              </w:rPr>
            </w:pPr>
            <w:r w:rsidRPr="002D5F64">
              <w:rPr>
                <w:color w:val="FFFFFF" w:themeColor="background1"/>
                <w:sz w:val="16"/>
                <w:szCs w:val="16"/>
              </w:rPr>
              <w:t>Achieved</w:t>
            </w:r>
          </w:p>
        </w:tc>
        <w:tc>
          <w:tcPr>
            <w:tcW w:w="7028" w:type="dxa"/>
          </w:tcPr>
          <w:p w14:paraId="214D1C18" w14:textId="36D1EAC9" w:rsidR="00756CF1" w:rsidRPr="005515AF" w:rsidRDefault="0030306D" w:rsidP="009A18A2">
            <w:pPr>
              <w:pStyle w:val="TableTextEntries"/>
              <w:spacing w:before="0" w:after="0"/>
              <w:rPr>
                <w:sz w:val="16"/>
                <w:szCs w:val="16"/>
              </w:rPr>
            </w:pPr>
            <w:r w:rsidRPr="005515AF">
              <w:rPr>
                <w:sz w:val="16"/>
                <w:szCs w:val="16"/>
              </w:rPr>
              <w:t xml:space="preserve">The AIP </w:t>
            </w:r>
            <w:r w:rsidR="009A18A2">
              <w:rPr>
                <w:sz w:val="16"/>
                <w:szCs w:val="16"/>
              </w:rPr>
              <w:t xml:space="preserve">was </w:t>
            </w:r>
            <w:r w:rsidRPr="005515AF">
              <w:rPr>
                <w:sz w:val="16"/>
                <w:szCs w:val="16"/>
              </w:rPr>
              <w:t>launched on the DFAT website on 30 September. The AIP consolidates the aid program and focuses on three central pillars - economic growth, governance and peace and stability.</w:t>
            </w:r>
          </w:p>
        </w:tc>
      </w:tr>
      <w:tr w:rsidR="00A636BA" w:rsidRPr="00E24548" w14:paraId="33458F6D" w14:textId="77777777" w:rsidTr="00865741">
        <w:trPr>
          <w:cnfStyle w:val="000000010000" w:firstRow="0" w:lastRow="0" w:firstColumn="0" w:lastColumn="0" w:oddVBand="0" w:evenVBand="0" w:oddHBand="0" w:evenHBand="1" w:firstRowFirstColumn="0" w:firstRowLastColumn="0" w:lastRowFirstColumn="0" w:lastRowLastColumn="0"/>
        </w:trPr>
        <w:tc>
          <w:tcPr>
            <w:tcW w:w="6597" w:type="dxa"/>
          </w:tcPr>
          <w:p w14:paraId="568F7905" w14:textId="0E67B1D1" w:rsidR="00A636BA" w:rsidRPr="002D5F64" w:rsidRDefault="00A636BA" w:rsidP="00865741">
            <w:pPr>
              <w:pStyle w:val="TableTextEntries"/>
              <w:spacing w:before="0" w:after="0"/>
              <w:rPr>
                <w:sz w:val="16"/>
                <w:szCs w:val="16"/>
              </w:rPr>
            </w:pPr>
            <w:r w:rsidRPr="002D5F64">
              <w:rPr>
                <w:sz w:val="16"/>
                <w:szCs w:val="16"/>
              </w:rPr>
              <w:t>DFAT will continue to ensure that the organisational changes brought about by the integration, i.e., new Post structure and new responsibilities, will contribute positively to the effective delivery of the aid program.  Post will work to retain its development expertise by maintaining the high quality of its local staff.</w:t>
            </w:r>
          </w:p>
        </w:tc>
        <w:tc>
          <w:tcPr>
            <w:tcW w:w="982" w:type="dxa"/>
            <w:shd w:val="clear" w:color="auto" w:fill="72AF2F"/>
          </w:tcPr>
          <w:p w14:paraId="5922928D" w14:textId="712D4B32" w:rsidR="00A636BA" w:rsidRPr="002D5F64" w:rsidRDefault="00340EFB" w:rsidP="00865741">
            <w:pPr>
              <w:pStyle w:val="TableTextEntries"/>
              <w:spacing w:before="0" w:after="0"/>
              <w:rPr>
                <w:color w:val="FFFFFF" w:themeColor="background1"/>
                <w:sz w:val="16"/>
                <w:szCs w:val="16"/>
              </w:rPr>
            </w:pPr>
            <w:r w:rsidRPr="002D5F64">
              <w:rPr>
                <w:color w:val="FFFFFF" w:themeColor="background1"/>
                <w:sz w:val="16"/>
                <w:szCs w:val="16"/>
              </w:rPr>
              <w:t>Achieved</w:t>
            </w:r>
          </w:p>
        </w:tc>
        <w:tc>
          <w:tcPr>
            <w:tcW w:w="7028" w:type="dxa"/>
          </w:tcPr>
          <w:p w14:paraId="72EE1917" w14:textId="44E9D2A1" w:rsidR="00A636BA" w:rsidRPr="005515AF" w:rsidRDefault="00756CF1" w:rsidP="00865741">
            <w:pPr>
              <w:pStyle w:val="TableTextEntries"/>
              <w:spacing w:before="0" w:after="0"/>
              <w:rPr>
                <w:sz w:val="16"/>
                <w:szCs w:val="16"/>
              </w:rPr>
            </w:pPr>
            <w:r w:rsidRPr="005515AF">
              <w:rPr>
                <w:sz w:val="16"/>
                <w:szCs w:val="16"/>
              </w:rPr>
              <w:t xml:space="preserve">The Philippines country program has reviewed staffing levels and structural arrangements, and has reorganised its workforce around the three central pillars </w:t>
            </w:r>
            <w:r w:rsidR="0030306D" w:rsidRPr="005515AF">
              <w:rPr>
                <w:sz w:val="16"/>
                <w:szCs w:val="16"/>
              </w:rPr>
              <w:t xml:space="preserve">in the new </w:t>
            </w:r>
            <w:r w:rsidRPr="005515AF">
              <w:rPr>
                <w:sz w:val="16"/>
                <w:szCs w:val="16"/>
              </w:rPr>
              <w:t>AIP.</w:t>
            </w:r>
          </w:p>
        </w:tc>
      </w:tr>
      <w:tr w:rsidR="00F629B4" w:rsidRPr="00E24548" w14:paraId="4EFAD930" w14:textId="77777777" w:rsidTr="005C14DE">
        <w:trPr>
          <w:cnfStyle w:val="000000010000" w:firstRow="0" w:lastRow="0" w:firstColumn="0" w:lastColumn="0" w:oddVBand="0" w:evenVBand="0" w:oddHBand="0" w:evenHBand="1" w:firstRowFirstColumn="0" w:firstRowLastColumn="0" w:lastRowFirstColumn="0" w:lastRowLastColumn="0"/>
        </w:trPr>
        <w:tc>
          <w:tcPr>
            <w:tcW w:w="6597" w:type="dxa"/>
          </w:tcPr>
          <w:p w14:paraId="0E9C1D0C" w14:textId="71AAAC94" w:rsidR="00F629B4" w:rsidRPr="002D5F64" w:rsidRDefault="00F629B4" w:rsidP="00865741">
            <w:pPr>
              <w:pStyle w:val="TableTextEntries"/>
              <w:spacing w:before="0" w:after="0"/>
              <w:rPr>
                <w:sz w:val="16"/>
                <w:szCs w:val="16"/>
              </w:rPr>
            </w:pPr>
            <w:r w:rsidRPr="002D5F64">
              <w:rPr>
                <w:sz w:val="16"/>
                <w:szCs w:val="16"/>
              </w:rPr>
              <w:t>Investments in aid for trade will be</w:t>
            </w:r>
            <w:r w:rsidR="0030306D" w:rsidRPr="002D5F64">
              <w:rPr>
                <w:sz w:val="16"/>
                <w:szCs w:val="16"/>
              </w:rPr>
              <w:t xml:space="preserve"> developed during the next year, </w:t>
            </w:r>
            <w:r w:rsidR="00340EFB" w:rsidRPr="002D5F64">
              <w:rPr>
                <w:sz w:val="16"/>
                <w:szCs w:val="16"/>
              </w:rPr>
              <w:t>and include</w:t>
            </w:r>
            <w:r w:rsidR="0030306D" w:rsidRPr="002D5F64">
              <w:rPr>
                <w:sz w:val="16"/>
                <w:szCs w:val="16"/>
              </w:rPr>
              <w:t xml:space="preserve"> a </w:t>
            </w:r>
            <w:r w:rsidR="00340EFB" w:rsidRPr="002D5F64">
              <w:rPr>
                <w:sz w:val="16"/>
                <w:szCs w:val="16"/>
              </w:rPr>
              <w:t>focus on gender and aid for trade.</w:t>
            </w:r>
          </w:p>
        </w:tc>
        <w:tc>
          <w:tcPr>
            <w:tcW w:w="982" w:type="dxa"/>
            <w:shd w:val="clear" w:color="auto" w:fill="F79646"/>
          </w:tcPr>
          <w:p w14:paraId="1612FDAC" w14:textId="0B8473E4" w:rsidR="00F629B4" w:rsidRPr="002D5F64" w:rsidRDefault="005C14DE" w:rsidP="00865741">
            <w:pPr>
              <w:pStyle w:val="TableTextEntries"/>
              <w:spacing w:before="0" w:after="0"/>
              <w:rPr>
                <w:color w:val="FFFFFF" w:themeColor="background1"/>
                <w:sz w:val="16"/>
                <w:szCs w:val="16"/>
              </w:rPr>
            </w:pPr>
            <w:r w:rsidRPr="002D5F64">
              <w:rPr>
                <w:color w:val="FFFFFF" w:themeColor="background1"/>
                <w:sz w:val="16"/>
                <w:szCs w:val="16"/>
              </w:rPr>
              <w:t>Partly</w:t>
            </w:r>
            <w:r w:rsidR="0030306D" w:rsidRPr="002D5F64">
              <w:rPr>
                <w:color w:val="FFFFFF" w:themeColor="background1"/>
                <w:sz w:val="16"/>
                <w:szCs w:val="16"/>
              </w:rPr>
              <w:t xml:space="preserve"> Achieved</w:t>
            </w:r>
          </w:p>
        </w:tc>
        <w:tc>
          <w:tcPr>
            <w:tcW w:w="7028" w:type="dxa"/>
          </w:tcPr>
          <w:p w14:paraId="719A7EAE" w14:textId="7A717AC6" w:rsidR="00F629B4" w:rsidRPr="005515AF" w:rsidRDefault="00340EFB" w:rsidP="00865741">
            <w:pPr>
              <w:pStyle w:val="TableTextEntries"/>
              <w:spacing w:before="0" w:after="0"/>
              <w:rPr>
                <w:color w:val="92D050"/>
                <w:sz w:val="16"/>
                <w:szCs w:val="16"/>
              </w:rPr>
            </w:pPr>
            <w:r w:rsidRPr="005515AF">
              <w:rPr>
                <w:sz w:val="16"/>
                <w:szCs w:val="16"/>
              </w:rPr>
              <w:t xml:space="preserve">A scoping study has been completed and consultants hired to design a new aid for trade investment.  </w:t>
            </w:r>
          </w:p>
        </w:tc>
      </w:tr>
      <w:tr w:rsidR="00F629B4" w:rsidRPr="00E24548" w14:paraId="2E3E75F5" w14:textId="77777777" w:rsidTr="00865741">
        <w:trPr>
          <w:cnfStyle w:val="000000010000" w:firstRow="0" w:lastRow="0" w:firstColumn="0" w:lastColumn="0" w:oddVBand="0" w:evenVBand="0" w:oddHBand="0" w:evenHBand="1" w:firstRowFirstColumn="0" w:firstRowLastColumn="0" w:lastRowFirstColumn="0" w:lastRowLastColumn="0"/>
        </w:trPr>
        <w:tc>
          <w:tcPr>
            <w:tcW w:w="6597" w:type="dxa"/>
          </w:tcPr>
          <w:p w14:paraId="0A1A4B6C" w14:textId="77777777" w:rsidR="00F629B4" w:rsidRPr="002D5F64" w:rsidRDefault="00A636BA" w:rsidP="00865741">
            <w:pPr>
              <w:pStyle w:val="TableTextEntries"/>
              <w:spacing w:before="0" w:after="0"/>
              <w:rPr>
                <w:sz w:val="16"/>
                <w:szCs w:val="16"/>
              </w:rPr>
            </w:pPr>
            <w:r w:rsidRPr="002D5F64">
              <w:rPr>
                <w:sz w:val="16"/>
                <w:szCs w:val="16"/>
              </w:rPr>
              <w:t>DFAT will continue to support the Philippine Government with the long-term recovery efforts from Super-Typhoon Haiyan.  The challenge is to ensure that our support will help unlock blockages and facilitate the rehabilitation of devastated areas in Eastern Visayas.</w:t>
            </w:r>
          </w:p>
        </w:tc>
        <w:tc>
          <w:tcPr>
            <w:tcW w:w="982" w:type="dxa"/>
            <w:shd w:val="clear" w:color="auto" w:fill="72AF2F"/>
          </w:tcPr>
          <w:p w14:paraId="2DCC2323" w14:textId="77777777" w:rsidR="00F629B4" w:rsidRPr="002D5F64" w:rsidRDefault="00406952" w:rsidP="00865741">
            <w:pPr>
              <w:pStyle w:val="TableTextEntries"/>
              <w:spacing w:before="0" w:after="0" w:line="0" w:lineRule="atLeast"/>
              <w:rPr>
                <w:color w:val="FFFFFF" w:themeColor="background1"/>
                <w:sz w:val="16"/>
                <w:szCs w:val="16"/>
              </w:rPr>
            </w:pPr>
            <w:r w:rsidRPr="002D5F64">
              <w:rPr>
                <w:color w:val="FFFFFF" w:themeColor="background1"/>
                <w:sz w:val="16"/>
                <w:szCs w:val="16"/>
              </w:rPr>
              <w:t>Achieved</w:t>
            </w:r>
          </w:p>
        </w:tc>
        <w:tc>
          <w:tcPr>
            <w:tcW w:w="7028" w:type="dxa"/>
          </w:tcPr>
          <w:p w14:paraId="4B0AD03A" w14:textId="7FD4C8F8" w:rsidR="0097508A" w:rsidRPr="005515AF" w:rsidRDefault="0097508A" w:rsidP="00865741">
            <w:pPr>
              <w:pStyle w:val="TableTextEntries"/>
              <w:spacing w:before="0" w:after="0"/>
              <w:rPr>
                <w:sz w:val="16"/>
                <w:szCs w:val="16"/>
              </w:rPr>
            </w:pPr>
            <w:r w:rsidRPr="005515AF">
              <w:rPr>
                <w:sz w:val="16"/>
                <w:szCs w:val="16"/>
              </w:rPr>
              <w:t>Our recovery efforts for Super-Typhoon Haiyan has:</w:t>
            </w:r>
          </w:p>
          <w:p w14:paraId="0B6CB256" w14:textId="51384056" w:rsidR="009A6D17" w:rsidRPr="005515AF" w:rsidRDefault="0097508A" w:rsidP="00865741">
            <w:pPr>
              <w:pStyle w:val="TableTextEntries"/>
              <w:numPr>
                <w:ilvl w:val="0"/>
                <w:numId w:val="20"/>
              </w:numPr>
              <w:spacing w:before="0" w:after="0"/>
              <w:rPr>
                <w:sz w:val="16"/>
                <w:szCs w:val="16"/>
              </w:rPr>
            </w:pPr>
            <w:r w:rsidRPr="005515AF">
              <w:rPr>
                <w:sz w:val="16"/>
                <w:szCs w:val="16"/>
              </w:rPr>
              <w:t xml:space="preserve">built </w:t>
            </w:r>
            <w:r w:rsidR="009A6D17" w:rsidRPr="005515AF">
              <w:rPr>
                <w:sz w:val="16"/>
                <w:szCs w:val="16"/>
              </w:rPr>
              <w:t>1,533 permanent housing</w:t>
            </w:r>
            <w:r w:rsidR="00F51E3C" w:rsidRPr="005515AF">
              <w:rPr>
                <w:sz w:val="16"/>
                <w:szCs w:val="16"/>
              </w:rPr>
              <w:t xml:space="preserve"> with </w:t>
            </w:r>
            <w:r w:rsidRPr="005515AF">
              <w:rPr>
                <w:sz w:val="16"/>
                <w:szCs w:val="16"/>
              </w:rPr>
              <w:t>water and sanitation facilities</w:t>
            </w:r>
            <w:r w:rsidR="00F51E3C" w:rsidRPr="005515AF">
              <w:rPr>
                <w:sz w:val="16"/>
                <w:szCs w:val="16"/>
              </w:rPr>
              <w:t xml:space="preserve"> </w:t>
            </w:r>
            <w:r w:rsidR="009A6D17" w:rsidRPr="005515AF">
              <w:rPr>
                <w:sz w:val="16"/>
                <w:szCs w:val="16"/>
              </w:rPr>
              <w:t>for t</w:t>
            </w:r>
            <w:r w:rsidR="00E849EE" w:rsidRPr="005515AF">
              <w:rPr>
                <w:sz w:val="16"/>
                <w:szCs w:val="16"/>
              </w:rPr>
              <w:t>he benefit of 7,665 </w:t>
            </w:r>
            <w:r w:rsidRPr="005515AF">
              <w:rPr>
                <w:sz w:val="16"/>
                <w:szCs w:val="16"/>
              </w:rPr>
              <w:t>individuals;</w:t>
            </w:r>
            <w:r w:rsidR="009A6D17" w:rsidRPr="005515AF">
              <w:rPr>
                <w:sz w:val="16"/>
                <w:szCs w:val="16"/>
              </w:rPr>
              <w:t xml:space="preserve"> </w:t>
            </w:r>
          </w:p>
          <w:p w14:paraId="64023EB1" w14:textId="40B5B5FE" w:rsidR="009A6D17" w:rsidRPr="005515AF" w:rsidRDefault="0097508A" w:rsidP="00865741">
            <w:pPr>
              <w:pStyle w:val="TableTextEntries"/>
              <w:numPr>
                <w:ilvl w:val="0"/>
                <w:numId w:val="20"/>
              </w:numPr>
              <w:spacing w:before="0" w:after="0"/>
              <w:rPr>
                <w:sz w:val="16"/>
                <w:szCs w:val="16"/>
              </w:rPr>
            </w:pPr>
            <w:r w:rsidRPr="005515AF">
              <w:rPr>
                <w:sz w:val="16"/>
                <w:szCs w:val="16"/>
              </w:rPr>
              <w:t xml:space="preserve">provided grants to </w:t>
            </w:r>
            <w:r w:rsidR="009A6D17" w:rsidRPr="005515AF">
              <w:rPr>
                <w:sz w:val="16"/>
                <w:szCs w:val="16"/>
              </w:rPr>
              <w:t xml:space="preserve">6,000 </w:t>
            </w:r>
            <w:r w:rsidR="00F0095B" w:rsidRPr="005515AF">
              <w:rPr>
                <w:sz w:val="16"/>
                <w:szCs w:val="16"/>
              </w:rPr>
              <w:t>households</w:t>
            </w:r>
            <w:r w:rsidR="009A6D17" w:rsidRPr="005515AF">
              <w:rPr>
                <w:sz w:val="16"/>
                <w:szCs w:val="16"/>
              </w:rPr>
              <w:t xml:space="preserve"> to rebuild their live</w:t>
            </w:r>
            <w:r w:rsidRPr="005515AF">
              <w:rPr>
                <w:sz w:val="16"/>
                <w:szCs w:val="16"/>
              </w:rPr>
              <w:t>lihoods and earn an income;</w:t>
            </w:r>
            <w:r w:rsidR="009A6D17" w:rsidRPr="005515AF">
              <w:rPr>
                <w:sz w:val="16"/>
                <w:szCs w:val="16"/>
              </w:rPr>
              <w:t xml:space="preserve"> </w:t>
            </w:r>
          </w:p>
          <w:p w14:paraId="452C0802" w14:textId="620BE657" w:rsidR="009A6D17" w:rsidRPr="005515AF" w:rsidRDefault="0097508A" w:rsidP="00865741">
            <w:pPr>
              <w:pStyle w:val="TableTextEntries"/>
              <w:numPr>
                <w:ilvl w:val="0"/>
                <w:numId w:val="20"/>
              </w:numPr>
              <w:spacing w:before="0" w:after="0"/>
              <w:rPr>
                <w:sz w:val="16"/>
                <w:szCs w:val="16"/>
              </w:rPr>
            </w:pPr>
            <w:r w:rsidRPr="005515AF">
              <w:rPr>
                <w:sz w:val="16"/>
                <w:szCs w:val="16"/>
              </w:rPr>
              <w:t xml:space="preserve">constructed </w:t>
            </w:r>
            <w:r w:rsidR="00215E39" w:rsidRPr="005515AF">
              <w:rPr>
                <w:sz w:val="16"/>
                <w:szCs w:val="16"/>
              </w:rPr>
              <w:t>187 class</w:t>
            </w:r>
            <w:r w:rsidR="009A6D17" w:rsidRPr="005515AF">
              <w:rPr>
                <w:sz w:val="16"/>
                <w:szCs w:val="16"/>
              </w:rPr>
              <w:t>rooms</w:t>
            </w:r>
            <w:r w:rsidRPr="005515AF">
              <w:rPr>
                <w:sz w:val="16"/>
                <w:szCs w:val="16"/>
              </w:rPr>
              <w:t>; and</w:t>
            </w:r>
            <w:r w:rsidR="009A6D17" w:rsidRPr="005515AF">
              <w:rPr>
                <w:sz w:val="16"/>
                <w:szCs w:val="16"/>
              </w:rPr>
              <w:t xml:space="preserve"> </w:t>
            </w:r>
          </w:p>
          <w:p w14:paraId="2B63C9B9" w14:textId="319B0B2D" w:rsidR="009A6D17" w:rsidRPr="005515AF" w:rsidRDefault="0097508A" w:rsidP="00865741">
            <w:pPr>
              <w:pStyle w:val="TableTextEntries"/>
              <w:numPr>
                <w:ilvl w:val="0"/>
                <w:numId w:val="20"/>
              </w:numPr>
              <w:spacing w:before="0" w:after="0"/>
              <w:rPr>
                <w:sz w:val="16"/>
                <w:szCs w:val="16"/>
              </w:rPr>
            </w:pPr>
            <w:r w:rsidRPr="005515AF">
              <w:rPr>
                <w:sz w:val="16"/>
                <w:szCs w:val="16"/>
              </w:rPr>
              <w:t xml:space="preserve">built </w:t>
            </w:r>
            <w:r w:rsidR="00F0095B" w:rsidRPr="005515AF">
              <w:rPr>
                <w:sz w:val="16"/>
                <w:szCs w:val="16"/>
              </w:rPr>
              <w:t>65</w:t>
            </w:r>
            <w:r w:rsidR="009A6D17" w:rsidRPr="005515AF">
              <w:rPr>
                <w:sz w:val="16"/>
                <w:szCs w:val="16"/>
              </w:rPr>
              <w:t xml:space="preserve"> daycare centres.</w:t>
            </w:r>
          </w:p>
        </w:tc>
      </w:tr>
      <w:tr w:rsidR="00A636BA" w:rsidRPr="00E24548" w14:paraId="703C7B99" w14:textId="77777777" w:rsidTr="00865741">
        <w:trPr>
          <w:cnfStyle w:val="000000010000" w:firstRow="0" w:lastRow="0" w:firstColumn="0" w:lastColumn="0" w:oddVBand="0" w:evenVBand="0" w:oddHBand="0" w:evenHBand="1" w:firstRowFirstColumn="0" w:firstRowLastColumn="0" w:lastRowFirstColumn="0" w:lastRowLastColumn="0"/>
        </w:trPr>
        <w:tc>
          <w:tcPr>
            <w:tcW w:w="6597" w:type="dxa"/>
          </w:tcPr>
          <w:p w14:paraId="2D3FF0E0" w14:textId="77777777" w:rsidR="00A636BA" w:rsidRPr="002D5F64" w:rsidRDefault="00A636BA" w:rsidP="00865741">
            <w:pPr>
              <w:pStyle w:val="TableTextEntries"/>
              <w:spacing w:before="0" w:after="0"/>
              <w:rPr>
                <w:sz w:val="16"/>
                <w:szCs w:val="16"/>
              </w:rPr>
            </w:pPr>
            <w:r w:rsidRPr="002D5F64">
              <w:rPr>
                <w:sz w:val="16"/>
                <w:szCs w:val="16"/>
              </w:rPr>
              <w:t>DFAT will also monitor developments in the drafting and passage of the Bangsamoro Basic Law.  If the law is passed in Congress this year, this may entail reconfiguring our program to align with the new Bangsamoro political entity.</w:t>
            </w:r>
          </w:p>
        </w:tc>
        <w:tc>
          <w:tcPr>
            <w:tcW w:w="982" w:type="dxa"/>
            <w:shd w:val="clear" w:color="auto" w:fill="72AF2F"/>
          </w:tcPr>
          <w:p w14:paraId="0908960C" w14:textId="77777777" w:rsidR="00A636BA" w:rsidRPr="002D5F64" w:rsidRDefault="009E158D" w:rsidP="00865741">
            <w:pPr>
              <w:pStyle w:val="TableTextEntries"/>
              <w:spacing w:before="0" w:after="0"/>
              <w:rPr>
                <w:color w:val="FFFFFF" w:themeColor="background1"/>
                <w:sz w:val="16"/>
                <w:szCs w:val="16"/>
              </w:rPr>
            </w:pPr>
            <w:r w:rsidRPr="002D5F64">
              <w:rPr>
                <w:color w:val="FFFFFF" w:themeColor="background1"/>
                <w:sz w:val="16"/>
                <w:szCs w:val="16"/>
              </w:rPr>
              <w:t>Achieved</w:t>
            </w:r>
          </w:p>
        </w:tc>
        <w:tc>
          <w:tcPr>
            <w:tcW w:w="7028" w:type="dxa"/>
          </w:tcPr>
          <w:p w14:paraId="29710794" w14:textId="4CC636BA" w:rsidR="00A636BA" w:rsidRPr="005515AF" w:rsidRDefault="00B64950" w:rsidP="0090757A">
            <w:pPr>
              <w:pStyle w:val="TableTextEntries"/>
              <w:spacing w:before="0" w:after="0"/>
              <w:rPr>
                <w:color w:val="92D050"/>
                <w:sz w:val="16"/>
                <w:szCs w:val="16"/>
              </w:rPr>
            </w:pPr>
            <w:r w:rsidRPr="005515AF">
              <w:rPr>
                <w:sz w:val="16"/>
                <w:szCs w:val="16"/>
              </w:rPr>
              <w:t xml:space="preserve">The Bangsamoro Basic Law (BBL) </w:t>
            </w:r>
            <w:r w:rsidR="0090757A" w:rsidRPr="005515AF">
              <w:rPr>
                <w:sz w:val="16"/>
                <w:szCs w:val="16"/>
              </w:rPr>
              <w:t>is stalled in Congress (as at September 2015)</w:t>
            </w:r>
            <w:r w:rsidRPr="005515AF">
              <w:rPr>
                <w:sz w:val="16"/>
                <w:szCs w:val="16"/>
              </w:rPr>
              <w:t xml:space="preserve">. </w:t>
            </w:r>
            <w:r w:rsidR="00A63DC1" w:rsidRPr="005515AF">
              <w:rPr>
                <w:sz w:val="16"/>
                <w:szCs w:val="16"/>
              </w:rPr>
              <w:t>The aid program remains engage</w:t>
            </w:r>
            <w:r w:rsidR="0090757A" w:rsidRPr="005515AF">
              <w:rPr>
                <w:sz w:val="16"/>
                <w:szCs w:val="16"/>
              </w:rPr>
              <w:t>d</w:t>
            </w:r>
            <w:r w:rsidR="00A63DC1" w:rsidRPr="005515AF">
              <w:rPr>
                <w:sz w:val="16"/>
                <w:szCs w:val="16"/>
              </w:rPr>
              <w:t xml:space="preserve"> with key stakeholders and can </w:t>
            </w:r>
            <w:r w:rsidRPr="005515AF">
              <w:rPr>
                <w:sz w:val="16"/>
                <w:szCs w:val="16"/>
              </w:rPr>
              <w:t xml:space="preserve">reconfigure its peace and security investments </w:t>
            </w:r>
            <w:r w:rsidR="0090757A" w:rsidRPr="005515AF">
              <w:rPr>
                <w:sz w:val="16"/>
                <w:szCs w:val="16"/>
              </w:rPr>
              <w:t>to deal with either context of a BBL passing or not passing through Congress.</w:t>
            </w:r>
          </w:p>
        </w:tc>
      </w:tr>
      <w:tr w:rsidR="005C310A" w:rsidRPr="00E24548" w14:paraId="45087FDA" w14:textId="77777777" w:rsidTr="00865741">
        <w:trPr>
          <w:cnfStyle w:val="000000010000" w:firstRow="0" w:lastRow="0" w:firstColumn="0" w:lastColumn="0" w:oddVBand="0" w:evenVBand="0" w:oddHBand="0" w:evenHBand="1" w:firstRowFirstColumn="0" w:firstRowLastColumn="0" w:lastRowFirstColumn="0" w:lastRowLastColumn="0"/>
        </w:trPr>
        <w:tc>
          <w:tcPr>
            <w:tcW w:w="6597" w:type="dxa"/>
          </w:tcPr>
          <w:p w14:paraId="5B5E9DAF" w14:textId="57F9956A" w:rsidR="005C310A" w:rsidRPr="002D5F64" w:rsidRDefault="00EE667A" w:rsidP="00865741">
            <w:pPr>
              <w:pStyle w:val="TableTextEntries"/>
              <w:spacing w:before="0" w:after="0"/>
              <w:rPr>
                <w:sz w:val="16"/>
                <w:szCs w:val="16"/>
              </w:rPr>
            </w:pPr>
            <w:r w:rsidRPr="002D5F64">
              <w:rPr>
                <w:sz w:val="16"/>
                <w:szCs w:val="16"/>
              </w:rPr>
              <w:t xml:space="preserve">The Philippines </w:t>
            </w:r>
            <w:r w:rsidR="00DC68BD" w:rsidRPr="002D5F64">
              <w:rPr>
                <w:sz w:val="16"/>
                <w:szCs w:val="16"/>
              </w:rPr>
              <w:t xml:space="preserve">Program </w:t>
            </w:r>
            <w:r w:rsidR="00DC68BD" w:rsidRPr="002D5F64">
              <w:rPr>
                <w:i/>
                <w:sz w:val="16"/>
                <w:szCs w:val="16"/>
              </w:rPr>
              <w:t>Gender Note</w:t>
            </w:r>
            <w:r w:rsidR="00DC68BD" w:rsidRPr="002D5F64">
              <w:rPr>
                <w:sz w:val="16"/>
                <w:szCs w:val="16"/>
              </w:rPr>
              <w:t xml:space="preserve"> will be updated to reflect Australian Government priorities and identify entry points for women’s economic empowerment and leadership in peace-building, as well as developing a more appropriate </w:t>
            </w:r>
            <w:r w:rsidR="00A63DC1" w:rsidRPr="002D5F64">
              <w:rPr>
                <w:sz w:val="16"/>
                <w:szCs w:val="16"/>
              </w:rPr>
              <w:t>monitoring and evaluation</w:t>
            </w:r>
            <w:r w:rsidR="00DC68BD" w:rsidRPr="002D5F64">
              <w:rPr>
                <w:sz w:val="16"/>
                <w:szCs w:val="16"/>
              </w:rPr>
              <w:t xml:space="preserve"> indicators for capturing outcomes from gender mainstreaming activities.</w:t>
            </w:r>
          </w:p>
        </w:tc>
        <w:tc>
          <w:tcPr>
            <w:tcW w:w="982" w:type="dxa"/>
            <w:shd w:val="clear" w:color="auto" w:fill="FF0000"/>
          </w:tcPr>
          <w:p w14:paraId="57D41B37" w14:textId="5C8A9A1A" w:rsidR="005C310A" w:rsidRPr="002D5F64" w:rsidRDefault="00A63DC1" w:rsidP="00865741">
            <w:pPr>
              <w:pStyle w:val="TableTextEntries"/>
              <w:spacing w:before="0" w:after="0"/>
              <w:rPr>
                <w:color w:val="FFFFFF" w:themeColor="background1"/>
                <w:sz w:val="16"/>
                <w:szCs w:val="16"/>
              </w:rPr>
            </w:pPr>
            <w:r w:rsidRPr="002D5F64">
              <w:rPr>
                <w:color w:val="FFFFFF" w:themeColor="background1"/>
                <w:sz w:val="16"/>
                <w:szCs w:val="16"/>
              </w:rPr>
              <w:t xml:space="preserve">Not </w:t>
            </w:r>
            <w:r w:rsidR="005C310A" w:rsidRPr="002D5F64">
              <w:rPr>
                <w:color w:val="FFFFFF" w:themeColor="background1"/>
                <w:sz w:val="16"/>
                <w:szCs w:val="16"/>
              </w:rPr>
              <w:t>Achieved</w:t>
            </w:r>
          </w:p>
        </w:tc>
        <w:tc>
          <w:tcPr>
            <w:tcW w:w="7028" w:type="dxa"/>
          </w:tcPr>
          <w:p w14:paraId="7F24E23F" w14:textId="5B456266" w:rsidR="005C310A" w:rsidRPr="005515AF" w:rsidRDefault="00BB1A6B" w:rsidP="00676918">
            <w:pPr>
              <w:pStyle w:val="TableTextEntries"/>
              <w:spacing w:before="0" w:after="0"/>
              <w:rPr>
                <w:color w:val="92D050"/>
                <w:sz w:val="16"/>
                <w:szCs w:val="16"/>
              </w:rPr>
            </w:pPr>
            <w:r w:rsidRPr="005515AF">
              <w:rPr>
                <w:sz w:val="16"/>
                <w:szCs w:val="16"/>
              </w:rPr>
              <w:t xml:space="preserve">The gender note has not been updated. </w:t>
            </w:r>
            <w:r w:rsidR="00D41A9E" w:rsidRPr="005515AF">
              <w:rPr>
                <w:sz w:val="16"/>
                <w:szCs w:val="16"/>
              </w:rPr>
              <w:t xml:space="preserve"> A new Investing in Women Initiative (IIW) is scheduled to start in 2016 and will increase investments in small and medium enterprises owned by women and remove regulatory barriers to women’s economic empowerment. A dedicated staff member in DFAT’s Manila Post will manage IIW and help identify opportunities to collaborate with, and strengthen existing Philippines Program investments for improved gender outcomes.</w:t>
            </w:r>
          </w:p>
        </w:tc>
      </w:tr>
      <w:tr w:rsidR="005C310A" w:rsidRPr="00E24548" w14:paraId="23B23C68" w14:textId="77777777" w:rsidTr="005C14DE">
        <w:trPr>
          <w:cnfStyle w:val="000000010000" w:firstRow="0" w:lastRow="0" w:firstColumn="0" w:lastColumn="0" w:oddVBand="0" w:evenVBand="0" w:oddHBand="0" w:evenHBand="1" w:firstRowFirstColumn="0" w:firstRowLastColumn="0" w:lastRowFirstColumn="0" w:lastRowLastColumn="0"/>
        </w:trPr>
        <w:tc>
          <w:tcPr>
            <w:tcW w:w="6597" w:type="dxa"/>
          </w:tcPr>
          <w:p w14:paraId="721D9680" w14:textId="246A518E" w:rsidR="005C310A" w:rsidRPr="002D5F64" w:rsidRDefault="00A63DC1" w:rsidP="00865741">
            <w:pPr>
              <w:pStyle w:val="TableTextEntries"/>
              <w:spacing w:before="0" w:after="0"/>
              <w:rPr>
                <w:sz w:val="16"/>
                <w:szCs w:val="16"/>
              </w:rPr>
            </w:pPr>
            <w:r w:rsidRPr="002D5F64">
              <w:rPr>
                <w:sz w:val="16"/>
                <w:szCs w:val="16"/>
              </w:rPr>
              <w:t>I</w:t>
            </w:r>
            <w:r w:rsidR="00A636BA" w:rsidRPr="002D5F64">
              <w:rPr>
                <w:sz w:val="16"/>
                <w:szCs w:val="16"/>
              </w:rPr>
              <w:t>nvestments will address management response in QAIs particularly in areas that have been rated unsatisfactory.</w:t>
            </w:r>
          </w:p>
        </w:tc>
        <w:tc>
          <w:tcPr>
            <w:tcW w:w="982" w:type="dxa"/>
            <w:shd w:val="clear" w:color="auto" w:fill="F79646"/>
          </w:tcPr>
          <w:p w14:paraId="74239133" w14:textId="77777777" w:rsidR="005C310A" w:rsidRPr="002D5F64" w:rsidRDefault="005C310A" w:rsidP="00865741">
            <w:pPr>
              <w:pStyle w:val="TableTextEntries"/>
              <w:spacing w:before="0" w:after="0"/>
              <w:rPr>
                <w:color w:val="FFFFFF" w:themeColor="background1"/>
                <w:sz w:val="16"/>
                <w:szCs w:val="16"/>
              </w:rPr>
            </w:pPr>
            <w:r w:rsidRPr="002D5F64">
              <w:rPr>
                <w:color w:val="FFFFFF" w:themeColor="background1"/>
                <w:sz w:val="16"/>
                <w:szCs w:val="16"/>
              </w:rPr>
              <w:t>Partly achieved</w:t>
            </w:r>
          </w:p>
        </w:tc>
        <w:tc>
          <w:tcPr>
            <w:tcW w:w="7028" w:type="dxa"/>
          </w:tcPr>
          <w:p w14:paraId="13865687" w14:textId="62A4F783" w:rsidR="005C310A" w:rsidRPr="005515AF" w:rsidRDefault="00661748" w:rsidP="00634E41">
            <w:pPr>
              <w:pStyle w:val="TableTextEntries"/>
              <w:spacing w:before="0" w:after="0"/>
              <w:rPr>
                <w:color w:val="F79646" w:themeColor="accent6"/>
                <w:sz w:val="16"/>
                <w:szCs w:val="16"/>
              </w:rPr>
            </w:pPr>
            <w:r w:rsidRPr="005515AF">
              <w:rPr>
                <w:sz w:val="16"/>
                <w:szCs w:val="16"/>
              </w:rPr>
              <w:t xml:space="preserve">Five investments had </w:t>
            </w:r>
            <w:r w:rsidR="00634E41" w:rsidRPr="005515AF">
              <w:rPr>
                <w:sz w:val="16"/>
                <w:szCs w:val="16"/>
              </w:rPr>
              <w:t>categories</w:t>
            </w:r>
            <w:r w:rsidRPr="005515AF">
              <w:rPr>
                <w:sz w:val="16"/>
                <w:szCs w:val="16"/>
              </w:rPr>
              <w:t xml:space="preserve"> </w:t>
            </w:r>
            <w:r w:rsidR="004A7AC6" w:rsidRPr="005515AF">
              <w:rPr>
                <w:sz w:val="16"/>
                <w:szCs w:val="16"/>
              </w:rPr>
              <w:t>rated as unsatisfactory in the 201</w:t>
            </w:r>
            <w:r w:rsidR="00802C26" w:rsidRPr="005515AF">
              <w:rPr>
                <w:sz w:val="16"/>
                <w:szCs w:val="16"/>
              </w:rPr>
              <w:t>3-1</w:t>
            </w:r>
            <w:r w:rsidRPr="005515AF">
              <w:rPr>
                <w:sz w:val="16"/>
                <w:szCs w:val="16"/>
              </w:rPr>
              <w:t xml:space="preserve">4 QAI. Three investments improved their ratings in the </w:t>
            </w:r>
            <w:r w:rsidR="00FA649E" w:rsidRPr="005515AF">
              <w:rPr>
                <w:sz w:val="16"/>
                <w:szCs w:val="16"/>
              </w:rPr>
              <w:t>20</w:t>
            </w:r>
            <w:r w:rsidRPr="005515AF">
              <w:rPr>
                <w:sz w:val="16"/>
                <w:szCs w:val="16"/>
              </w:rPr>
              <w:t>1</w:t>
            </w:r>
            <w:r w:rsidR="00802C26" w:rsidRPr="005515AF">
              <w:rPr>
                <w:sz w:val="16"/>
                <w:szCs w:val="16"/>
              </w:rPr>
              <w:t>4-1</w:t>
            </w:r>
            <w:r w:rsidRPr="005515AF">
              <w:rPr>
                <w:sz w:val="16"/>
                <w:szCs w:val="16"/>
              </w:rPr>
              <w:t>5 AQC to a satisfactory level</w:t>
            </w:r>
            <w:r w:rsidR="00634E41" w:rsidRPr="005515AF">
              <w:rPr>
                <w:sz w:val="16"/>
                <w:szCs w:val="16"/>
              </w:rPr>
              <w:t xml:space="preserve">. The remaining two investments (Australia-WB Philippines Development Trust Fund on monitoring and evaluation; and the Asia Foundation Partnership Philippines on gender </w:t>
            </w:r>
            <w:r w:rsidR="00FA649E" w:rsidRPr="005515AF">
              <w:rPr>
                <w:sz w:val="16"/>
                <w:szCs w:val="16"/>
              </w:rPr>
              <w:t>equality</w:t>
            </w:r>
            <w:r w:rsidR="00634E41" w:rsidRPr="005515AF">
              <w:rPr>
                <w:sz w:val="16"/>
                <w:szCs w:val="16"/>
              </w:rPr>
              <w:t xml:space="preserve">) </w:t>
            </w:r>
            <w:r w:rsidRPr="005515AF">
              <w:rPr>
                <w:sz w:val="16"/>
                <w:szCs w:val="16"/>
              </w:rPr>
              <w:t>were still rated as unsatisfactory.</w:t>
            </w:r>
          </w:p>
        </w:tc>
      </w:tr>
      <w:tr w:rsidR="005C310A" w:rsidRPr="00E24548" w14:paraId="3D068482" w14:textId="77777777" w:rsidTr="00865741">
        <w:trPr>
          <w:cnfStyle w:val="000000010000" w:firstRow="0" w:lastRow="0" w:firstColumn="0" w:lastColumn="0" w:oddVBand="0" w:evenVBand="0" w:oddHBand="0" w:evenHBand="1" w:firstRowFirstColumn="0" w:firstRowLastColumn="0" w:lastRowFirstColumn="0" w:lastRowLastColumn="0"/>
        </w:trPr>
        <w:tc>
          <w:tcPr>
            <w:tcW w:w="6597" w:type="dxa"/>
            <w:tcBorders>
              <w:bottom w:val="single" w:sz="8" w:space="0" w:color="auto"/>
            </w:tcBorders>
          </w:tcPr>
          <w:p w14:paraId="07C42093" w14:textId="0AC9CC99" w:rsidR="005C310A" w:rsidRPr="002D5F64" w:rsidRDefault="00A636BA" w:rsidP="00865741">
            <w:pPr>
              <w:pStyle w:val="TableTextEntries"/>
              <w:spacing w:before="0" w:after="0"/>
              <w:rPr>
                <w:sz w:val="16"/>
                <w:szCs w:val="16"/>
              </w:rPr>
            </w:pPr>
            <w:r w:rsidRPr="002D5F64">
              <w:rPr>
                <w:sz w:val="16"/>
                <w:szCs w:val="16"/>
              </w:rPr>
              <w:t>Management response to recommendations from independent reviews will be addressed through the specific aid investments.</w:t>
            </w:r>
          </w:p>
        </w:tc>
        <w:tc>
          <w:tcPr>
            <w:tcW w:w="982" w:type="dxa"/>
            <w:tcBorders>
              <w:bottom w:val="single" w:sz="8" w:space="0" w:color="auto"/>
            </w:tcBorders>
            <w:shd w:val="clear" w:color="auto" w:fill="72AF2F"/>
          </w:tcPr>
          <w:p w14:paraId="0A226320" w14:textId="527D80FB" w:rsidR="005C310A" w:rsidRPr="002D5F64" w:rsidRDefault="006655DE" w:rsidP="00865741">
            <w:pPr>
              <w:pStyle w:val="TableTextEntries"/>
              <w:spacing w:before="0" w:after="0"/>
              <w:rPr>
                <w:color w:val="FFFFFF" w:themeColor="background1"/>
                <w:sz w:val="16"/>
                <w:szCs w:val="16"/>
              </w:rPr>
            </w:pPr>
            <w:r w:rsidRPr="002D5F64">
              <w:rPr>
                <w:color w:val="FFFFFF" w:themeColor="background1"/>
                <w:sz w:val="16"/>
                <w:szCs w:val="16"/>
              </w:rPr>
              <w:t>Achieved</w:t>
            </w:r>
          </w:p>
        </w:tc>
        <w:tc>
          <w:tcPr>
            <w:tcW w:w="7028" w:type="dxa"/>
            <w:tcBorders>
              <w:bottom w:val="single" w:sz="8" w:space="0" w:color="auto"/>
            </w:tcBorders>
          </w:tcPr>
          <w:p w14:paraId="64416D2F" w14:textId="702EC3A9" w:rsidR="005C310A" w:rsidRPr="005515AF" w:rsidRDefault="00BB1A6B" w:rsidP="00865741">
            <w:pPr>
              <w:pStyle w:val="TableTextEntries"/>
              <w:spacing w:before="0" w:after="0"/>
              <w:rPr>
                <w:color w:val="F79646" w:themeColor="accent6"/>
                <w:sz w:val="16"/>
                <w:szCs w:val="16"/>
              </w:rPr>
            </w:pPr>
            <w:r w:rsidRPr="005515AF">
              <w:rPr>
                <w:sz w:val="16"/>
                <w:szCs w:val="16"/>
              </w:rPr>
              <w:t xml:space="preserve">All recommendations from independent reviews have been appropriately actioned. </w:t>
            </w:r>
          </w:p>
        </w:tc>
      </w:tr>
    </w:tbl>
    <w:p w14:paraId="3E16404D" w14:textId="77777777" w:rsidR="005C310A" w:rsidRPr="00FE4491" w:rsidRDefault="005C310A" w:rsidP="00757936">
      <w:pPr>
        <w:pStyle w:val="Note"/>
      </w:pPr>
      <w:r w:rsidRPr="00FE4491">
        <w:t xml:space="preserve">Note: </w:t>
      </w:r>
    </w:p>
    <w:p w14:paraId="76AD91FA" w14:textId="77777777" w:rsidR="005C310A" w:rsidRPr="00671434" w:rsidRDefault="005C310A" w:rsidP="00757936">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14:paraId="7BC61303" w14:textId="77777777" w:rsidR="005C310A" w:rsidRPr="00EA3BAD" w:rsidRDefault="005C310A" w:rsidP="00757936">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14:paraId="78D44935" w14:textId="77777777" w:rsidR="005C310A" w:rsidRDefault="005C310A" w:rsidP="00A636BA">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14:paraId="2554EA81" w14:textId="77777777" w:rsidR="00F0095B" w:rsidRPr="00F0095B" w:rsidRDefault="00F0095B" w:rsidP="00F0095B">
      <w:pPr>
        <w:pStyle w:val="BodyText"/>
      </w:pPr>
    </w:p>
    <w:p w14:paraId="03095E7C" w14:textId="7F1E86E5" w:rsidR="00416B02" w:rsidRPr="00AF2EA7" w:rsidRDefault="00416B02" w:rsidP="00AF2EA7">
      <w:pPr>
        <w:pStyle w:val="Heading2"/>
        <w:rPr>
          <w:sz w:val="28"/>
        </w:rPr>
      </w:pPr>
      <w:r w:rsidRPr="009E38C1">
        <w:rPr>
          <w:sz w:val="28"/>
        </w:rPr>
        <w:lastRenderedPageBreak/>
        <w:t>Annex</w:t>
      </w:r>
      <w:r w:rsidR="005C310A">
        <w:rPr>
          <w:sz w:val="28"/>
        </w:rPr>
        <w:t xml:space="preserve"> B</w:t>
      </w:r>
      <w:r w:rsidR="0057490F">
        <w:rPr>
          <w:sz w:val="28"/>
        </w:rPr>
        <w:t xml:space="preserve"> - </w:t>
      </w:r>
      <w:r>
        <w:rPr>
          <w:sz w:val="28"/>
        </w:rPr>
        <w:t xml:space="preserve">Progress towards </w:t>
      </w:r>
      <w:r w:rsidRPr="009E38C1">
        <w:rPr>
          <w:sz w:val="28"/>
        </w:rPr>
        <w:t xml:space="preserve">Performance Benchmarks </w:t>
      </w:r>
      <w:r>
        <w:rPr>
          <w:sz w:val="28"/>
        </w:rPr>
        <w:t xml:space="preserve">in </w:t>
      </w:r>
      <w:r w:rsidR="00DE6B90">
        <w:rPr>
          <w:sz w:val="28"/>
        </w:rPr>
        <w:t>2014</w:t>
      </w:r>
      <w:r w:rsidRPr="009E38C1">
        <w:rPr>
          <w:sz w:val="28"/>
        </w:rPr>
        <w:t>-15</w:t>
      </w:r>
    </w:p>
    <w:tbl>
      <w:tblPr>
        <w:tblStyle w:val="GridTable5Dark-Accent61"/>
        <w:tblW w:w="4908" w:type="pct"/>
        <w:tblLook w:val="04A0" w:firstRow="1" w:lastRow="0" w:firstColumn="1" w:lastColumn="0" w:noHBand="0" w:noVBand="1"/>
      </w:tblPr>
      <w:tblGrid>
        <w:gridCol w:w="1235"/>
        <w:gridCol w:w="3415"/>
        <w:gridCol w:w="1137"/>
        <w:gridCol w:w="8871"/>
      </w:tblGrid>
      <w:tr w:rsidR="00191CF6" w:rsidRPr="00E24548" w14:paraId="1DE0BD11" w14:textId="77777777" w:rsidTr="00206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tcBorders>
              <w:top w:val="single" w:sz="8" w:space="0" w:color="auto"/>
              <w:bottom w:val="single" w:sz="8" w:space="0" w:color="auto"/>
            </w:tcBorders>
            <w:shd w:val="clear" w:color="auto" w:fill="FFFFFF" w:themeFill="background1"/>
            <w:vAlign w:val="center"/>
          </w:tcPr>
          <w:p w14:paraId="197A61A3" w14:textId="77777777" w:rsidR="00416B02" w:rsidRPr="00466BE6" w:rsidRDefault="00416B02" w:rsidP="00206FC4">
            <w:pPr>
              <w:pStyle w:val="TableTextColumnHeading"/>
              <w:rPr>
                <w:rFonts w:ascii="Franklin Gothic Book" w:hAnsi="Franklin Gothic Book"/>
                <w:b/>
                <w:bCs w:val="0"/>
                <w:color w:val="auto"/>
                <w:sz w:val="16"/>
                <w:szCs w:val="16"/>
              </w:rPr>
            </w:pPr>
            <w:r w:rsidRPr="00466BE6">
              <w:rPr>
                <w:rFonts w:ascii="Franklin Gothic Book" w:hAnsi="Franklin Gothic Book"/>
                <w:b/>
                <w:bCs w:val="0"/>
                <w:color w:val="auto"/>
                <w:sz w:val="16"/>
                <w:szCs w:val="16"/>
              </w:rPr>
              <w:t>Aid objective</w:t>
            </w:r>
          </w:p>
        </w:tc>
        <w:tc>
          <w:tcPr>
            <w:tcW w:w="1165" w:type="pct"/>
            <w:tcBorders>
              <w:top w:val="single" w:sz="8" w:space="0" w:color="auto"/>
              <w:bottom w:val="single" w:sz="8" w:space="0" w:color="auto"/>
            </w:tcBorders>
            <w:shd w:val="clear" w:color="auto" w:fill="FFFFFF" w:themeFill="background1"/>
            <w:vAlign w:val="center"/>
          </w:tcPr>
          <w:p w14:paraId="0700729A" w14:textId="77777777" w:rsidR="00416B02" w:rsidRPr="00466BE6" w:rsidRDefault="00416B02" w:rsidP="00206FC4">
            <w:pPr>
              <w:pStyle w:val="TableTextColumnHeading"/>
              <w:cnfStyle w:val="100000000000" w:firstRow="1" w:lastRow="0" w:firstColumn="0" w:lastColumn="0" w:oddVBand="0" w:evenVBand="0" w:oddHBand="0" w:evenHBand="0" w:firstRowFirstColumn="0" w:firstRowLastColumn="0" w:lastRowFirstColumn="0" w:lastRowLastColumn="0"/>
              <w:rPr>
                <w:rFonts w:ascii="Franklin Gothic Book" w:hAnsi="Franklin Gothic Book"/>
                <w:b/>
                <w:bCs w:val="0"/>
                <w:color w:val="auto"/>
                <w:sz w:val="16"/>
                <w:szCs w:val="16"/>
              </w:rPr>
            </w:pPr>
            <w:r w:rsidRPr="00466BE6">
              <w:rPr>
                <w:rFonts w:ascii="Franklin Gothic Book" w:hAnsi="Franklin Gothic Book"/>
                <w:b/>
                <w:bCs w:val="0"/>
                <w:color w:val="auto"/>
                <w:sz w:val="16"/>
                <w:szCs w:val="16"/>
              </w:rPr>
              <w:t xml:space="preserve">2014-15 benchmark </w:t>
            </w:r>
          </w:p>
        </w:tc>
        <w:tc>
          <w:tcPr>
            <w:tcW w:w="388" w:type="pct"/>
            <w:tcBorders>
              <w:top w:val="single" w:sz="8" w:space="0" w:color="auto"/>
              <w:bottom w:val="single" w:sz="8" w:space="0" w:color="auto"/>
            </w:tcBorders>
            <w:shd w:val="clear" w:color="auto" w:fill="FFFFFF" w:themeFill="background1"/>
            <w:vAlign w:val="center"/>
          </w:tcPr>
          <w:p w14:paraId="373933E5" w14:textId="77777777" w:rsidR="00416B02" w:rsidRPr="00466BE6" w:rsidRDefault="00416B02" w:rsidP="00206FC4">
            <w:pPr>
              <w:pStyle w:val="TableTextColumnHeading"/>
              <w:cnfStyle w:val="100000000000" w:firstRow="1" w:lastRow="0" w:firstColumn="0" w:lastColumn="0" w:oddVBand="0" w:evenVBand="0" w:oddHBand="0" w:evenHBand="0" w:firstRowFirstColumn="0" w:firstRowLastColumn="0" w:lastRowFirstColumn="0" w:lastRowLastColumn="0"/>
              <w:rPr>
                <w:rFonts w:ascii="Franklin Gothic Book" w:hAnsi="Franklin Gothic Book"/>
                <w:b/>
                <w:bCs w:val="0"/>
                <w:color w:val="auto"/>
                <w:sz w:val="16"/>
                <w:szCs w:val="16"/>
              </w:rPr>
            </w:pPr>
            <w:r w:rsidRPr="00466BE6">
              <w:rPr>
                <w:rFonts w:ascii="Franklin Gothic Book" w:hAnsi="Franklin Gothic Book"/>
                <w:b/>
                <w:bCs w:val="0"/>
                <w:color w:val="auto"/>
                <w:sz w:val="16"/>
                <w:szCs w:val="16"/>
              </w:rPr>
              <w:t>Rating</w:t>
            </w:r>
          </w:p>
        </w:tc>
        <w:tc>
          <w:tcPr>
            <w:tcW w:w="3027" w:type="pct"/>
            <w:tcBorders>
              <w:top w:val="single" w:sz="8" w:space="0" w:color="auto"/>
              <w:bottom w:val="single" w:sz="8" w:space="0" w:color="auto"/>
            </w:tcBorders>
            <w:shd w:val="clear" w:color="auto" w:fill="FFFFFF" w:themeFill="background1"/>
            <w:vAlign w:val="center"/>
          </w:tcPr>
          <w:p w14:paraId="2888A9A4" w14:textId="77777777" w:rsidR="00416B02" w:rsidRPr="00466BE6" w:rsidRDefault="00416B02" w:rsidP="00206FC4">
            <w:pPr>
              <w:pStyle w:val="TableTextColumnHeading"/>
              <w:cnfStyle w:val="100000000000" w:firstRow="1" w:lastRow="0" w:firstColumn="0" w:lastColumn="0" w:oddVBand="0" w:evenVBand="0" w:oddHBand="0" w:evenHBand="0" w:firstRowFirstColumn="0" w:firstRowLastColumn="0" w:lastRowFirstColumn="0" w:lastRowLastColumn="0"/>
              <w:rPr>
                <w:rFonts w:ascii="Franklin Gothic Book" w:hAnsi="Franklin Gothic Book"/>
                <w:b/>
                <w:bCs w:val="0"/>
                <w:color w:val="auto"/>
                <w:sz w:val="16"/>
                <w:szCs w:val="16"/>
              </w:rPr>
            </w:pPr>
            <w:r w:rsidRPr="00466BE6">
              <w:rPr>
                <w:rFonts w:ascii="Franklin Gothic Book" w:hAnsi="Franklin Gothic Book"/>
                <w:b/>
                <w:bCs w:val="0"/>
                <w:color w:val="auto"/>
                <w:sz w:val="16"/>
                <w:szCs w:val="16"/>
              </w:rPr>
              <w:t>Progress in 2014-15</w:t>
            </w:r>
          </w:p>
        </w:tc>
      </w:tr>
      <w:tr w:rsidR="00191CF6" w:rsidRPr="00E24548" w14:paraId="36E6D9BA" w14:textId="77777777" w:rsidTr="00EE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tcBorders>
              <w:top w:val="single" w:sz="8" w:space="0" w:color="auto"/>
            </w:tcBorders>
            <w:shd w:val="clear" w:color="auto" w:fill="FFFFFF" w:themeFill="background1"/>
          </w:tcPr>
          <w:p w14:paraId="51C1E966" w14:textId="612595CB" w:rsidR="00856335" w:rsidRPr="002D5F64" w:rsidRDefault="00856335" w:rsidP="00EE7CC9">
            <w:pPr>
              <w:pStyle w:val="TableTextEntries"/>
              <w:spacing w:before="0" w:after="0"/>
              <w:jc w:val="center"/>
              <w:rPr>
                <w:b w:val="0"/>
                <w:color w:val="auto"/>
                <w:sz w:val="16"/>
                <w:szCs w:val="16"/>
              </w:rPr>
            </w:pPr>
            <w:r w:rsidRPr="002D5F64">
              <w:rPr>
                <w:b w:val="0"/>
                <w:color w:val="auto"/>
                <w:sz w:val="16"/>
                <w:szCs w:val="16"/>
              </w:rPr>
              <w:t>1</w:t>
            </w:r>
          </w:p>
        </w:tc>
        <w:tc>
          <w:tcPr>
            <w:tcW w:w="1165" w:type="pct"/>
            <w:tcBorders>
              <w:top w:val="single" w:sz="8" w:space="0" w:color="auto"/>
            </w:tcBorders>
            <w:shd w:val="clear" w:color="auto" w:fill="FFFFFF" w:themeFill="background1"/>
          </w:tcPr>
          <w:p w14:paraId="1723DF0D" w14:textId="77777777" w:rsidR="00856335" w:rsidRPr="002D5F64" w:rsidRDefault="00856335"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lang w:eastAsia="en-AU"/>
              </w:rPr>
            </w:pPr>
            <w:r w:rsidRPr="002D5F64">
              <w:rPr>
                <w:sz w:val="16"/>
                <w:szCs w:val="16"/>
                <w:lang w:eastAsia="en-AU"/>
              </w:rPr>
              <w:t>500 new classrooms built</w:t>
            </w:r>
          </w:p>
        </w:tc>
        <w:tc>
          <w:tcPr>
            <w:tcW w:w="388" w:type="pct"/>
            <w:tcBorders>
              <w:top w:val="single" w:sz="8" w:space="0" w:color="auto"/>
            </w:tcBorders>
            <w:shd w:val="clear" w:color="auto" w:fill="72AF2F"/>
          </w:tcPr>
          <w:p w14:paraId="5630A5E7" w14:textId="77777777" w:rsidR="00856335" w:rsidRPr="002D5F64" w:rsidRDefault="00856335"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2D5F64">
              <w:rPr>
                <w:color w:val="FFFFFF" w:themeColor="background1"/>
                <w:sz w:val="16"/>
                <w:szCs w:val="16"/>
              </w:rPr>
              <w:t>Achieved</w:t>
            </w:r>
          </w:p>
        </w:tc>
        <w:tc>
          <w:tcPr>
            <w:tcW w:w="3027" w:type="pct"/>
            <w:tcBorders>
              <w:top w:val="single" w:sz="8" w:space="0" w:color="auto"/>
            </w:tcBorders>
            <w:shd w:val="clear" w:color="auto" w:fill="FFFFFF" w:themeFill="background1"/>
          </w:tcPr>
          <w:p w14:paraId="235960E4" w14:textId="0E0203D5" w:rsidR="00856335" w:rsidRPr="002D5F64" w:rsidRDefault="00F64E38"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D5F64">
              <w:rPr>
                <w:sz w:val="16"/>
                <w:szCs w:val="16"/>
              </w:rPr>
              <w:t xml:space="preserve">1,047 new classrooms </w:t>
            </w:r>
            <w:r w:rsidR="00677081" w:rsidRPr="002D5F64">
              <w:rPr>
                <w:sz w:val="16"/>
                <w:szCs w:val="16"/>
              </w:rPr>
              <w:t>(BEST 187 classrooms; Social Protection Initiative 158 classrooms</w:t>
            </w:r>
            <w:r w:rsidR="00E71465" w:rsidRPr="002D5F64">
              <w:rPr>
                <w:sz w:val="16"/>
                <w:szCs w:val="16"/>
              </w:rPr>
              <w:t>; BEAM-ARM 50</w:t>
            </w:r>
            <w:r w:rsidR="00677081" w:rsidRPr="002D5F64">
              <w:rPr>
                <w:sz w:val="16"/>
                <w:szCs w:val="16"/>
              </w:rPr>
              <w:t xml:space="preserve"> classrooms; Classroom Construction Initiative 652 classrooms)</w:t>
            </w:r>
          </w:p>
        </w:tc>
      </w:tr>
      <w:tr w:rsidR="00191CF6" w:rsidRPr="00E24548" w14:paraId="4DF8D2B7" w14:textId="77777777" w:rsidTr="00EE7CC9">
        <w:tc>
          <w:tcPr>
            <w:cnfStyle w:val="001000000000" w:firstRow="0" w:lastRow="0" w:firstColumn="1" w:lastColumn="0" w:oddVBand="0" w:evenVBand="0" w:oddHBand="0" w:evenHBand="0" w:firstRowFirstColumn="0" w:firstRowLastColumn="0" w:lastRowFirstColumn="0" w:lastRowLastColumn="0"/>
            <w:tcW w:w="421" w:type="pct"/>
            <w:shd w:val="clear" w:color="auto" w:fill="FFFFFF" w:themeFill="background1"/>
          </w:tcPr>
          <w:p w14:paraId="513B98AC" w14:textId="6B808891" w:rsidR="00856335" w:rsidRPr="002D5F64" w:rsidRDefault="00856335" w:rsidP="00EE7CC9">
            <w:pPr>
              <w:pStyle w:val="TableTextEntries"/>
              <w:spacing w:before="0" w:after="0"/>
              <w:jc w:val="center"/>
              <w:rPr>
                <w:b w:val="0"/>
                <w:color w:val="auto"/>
                <w:sz w:val="16"/>
                <w:szCs w:val="16"/>
              </w:rPr>
            </w:pPr>
            <w:r w:rsidRPr="002D5F64">
              <w:rPr>
                <w:b w:val="0"/>
                <w:color w:val="auto"/>
                <w:sz w:val="16"/>
                <w:szCs w:val="16"/>
              </w:rPr>
              <w:t>1</w:t>
            </w:r>
          </w:p>
        </w:tc>
        <w:tc>
          <w:tcPr>
            <w:tcW w:w="1165" w:type="pct"/>
            <w:shd w:val="clear" w:color="auto" w:fill="FFFFFF" w:themeFill="background1"/>
          </w:tcPr>
          <w:p w14:paraId="765CF219" w14:textId="77777777" w:rsidR="00856335" w:rsidRPr="002D5F64" w:rsidRDefault="00856335"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sz w:val="16"/>
                <w:szCs w:val="16"/>
                <w:lang w:eastAsia="en-AU"/>
              </w:rPr>
            </w:pPr>
            <w:r w:rsidRPr="002D5F64">
              <w:rPr>
                <w:sz w:val="16"/>
                <w:szCs w:val="16"/>
                <w:lang w:eastAsia="en-AU"/>
              </w:rPr>
              <w:t>BEST contracted and mobilised</w:t>
            </w:r>
          </w:p>
        </w:tc>
        <w:tc>
          <w:tcPr>
            <w:tcW w:w="388" w:type="pct"/>
            <w:tcBorders>
              <w:bottom w:val="single" w:sz="4" w:space="0" w:color="FFFFFF" w:themeColor="background1"/>
            </w:tcBorders>
            <w:shd w:val="clear" w:color="auto" w:fill="72AF2F"/>
          </w:tcPr>
          <w:p w14:paraId="66C08D56" w14:textId="77777777" w:rsidR="00856335" w:rsidRPr="002D5F64" w:rsidRDefault="00DE25A4"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D5F64">
              <w:rPr>
                <w:color w:val="FFFFFF" w:themeColor="background1"/>
                <w:sz w:val="16"/>
                <w:szCs w:val="16"/>
              </w:rPr>
              <w:t>A</w:t>
            </w:r>
            <w:r w:rsidR="00856335" w:rsidRPr="002D5F64">
              <w:rPr>
                <w:color w:val="FFFFFF" w:themeColor="background1"/>
                <w:sz w:val="16"/>
                <w:szCs w:val="16"/>
              </w:rPr>
              <w:t>chieved</w:t>
            </w:r>
          </w:p>
        </w:tc>
        <w:tc>
          <w:tcPr>
            <w:tcW w:w="3027" w:type="pct"/>
            <w:shd w:val="clear" w:color="auto" w:fill="FFFFFF" w:themeFill="background1"/>
          </w:tcPr>
          <w:p w14:paraId="03FAF795" w14:textId="138D7225" w:rsidR="00856335" w:rsidRPr="002D5F64" w:rsidRDefault="00191CF6"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D5F64">
              <w:rPr>
                <w:sz w:val="16"/>
                <w:szCs w:val="16"/>
              </w:rPr>
              <w:t>BEST is fully operational.</w:t>
            </w:r>
          </w:p>
        </w:tc>
      </w:tr>
      <w:tr w:rsidR="00191CF6" w:rsidRPr="00E24548" w14:paraId="29CE2363" w14:textId="77777777" w:rsidTr="00EE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shd w:val="clear" w:color="auto" w:fill="FFFFFF" w:themeFill="background1"/>
          </w:tcPr>
          <w:p w14:paraId="5DB88A2D" w14:textId="1114B13C" w:rsidR="00856335" w:rsidRPr="002D5F64" w:rsidRDefault="00856335" w:rsidP="00EE7CC9">
            <w:pPr>
              <w:pStyle w:val="TableTextEntries"/>
              <w:spacing w:before="0" w:after="0"/>
              <w:jc w:val="center"/>
              <w:rPr>
                <w:b w:val="0"/>
                <w:color w:val="auto"/>
                <w:sz w:val="16"/>
                <w:szCs w:val="16"/>
              </w:rPr>
            </w:pPr>
            <w:r w:rsidRPr="002D5F64">
              <w:rPr>
                <w:b w:val="0"/>
                <w:color w:val="auto"/>
                <w:sz w:val="16"/>
                <w:szCs w:val="16"/>
              </w:rPr>
              <w:t>2</w:t>
            </w:r>
          </w:p>
        </w:tc>
        <w:tc>
          <w:tcPr>
            <w:tcW w:w="1165" w:type="pct"/>
            <w:shd w:val="clear" w:color="auto" w:fill="FFFFFF" w:themeFill="background1"/>
          </w:tcPr>
          <w:p w14:paraId="0B99B612" w14:textId="77777777" w:rsidR="00856335" w:rsidRPr="002D5F64" w:rsidRDefault="00856335"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D5F64">
              <w:rPr>
                <w:sz w:val="16"/>
                <w:szCs w:val="16"/>
              </w:rPr>
              <w:t>Finalise the design of a new investment to support economic growth</w:t>
            </w:r>
          </w:p>
        </w:tc>
        <w:tc>
          <w:tcPr>
            <w:tcW w:w="388" w:type="pct"/>
            <w:tcBorders>
              <w:bottom w:val="single" w:sz="4" w:space="0" w:color="FFFFFF" w:themeColor="background1"/>
            </w:tcBorders>
            <w:shd w:val="clear" w:color="auto" w:fill="F79646"/>
          </w:tcPr>
          <w:p w14:paraId="22EA7C39" w14:textId="55B65C46" w:rsidR="00856335" w:rsidRPr="002D5F64" w:rsidRDefault="005C14DE"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D5F64">
              <w:rPr>
                <w:color w:val="FFFFFF" w:themeColor="background1"/>
                <w:sz w:val="16"/>
                <w:szCs w:val="16"/>
              </w:rPr>
              <w:t>Partly</w:t>
            </w:r>
            <w:r w:rsidR="00D9520F" w:rsidRPr="002D5F64">
              <w:rPr>
                <w:color w:val="FFFFFF" w:themeColor="background1"/>
                <w:sz w:val="16"/>
                <w:szCs w:val="16"/>
              </w:rPr>
              <w:t xml:space="preserve"> Achieved</w:t>
            </w:r>
            <w:r w:rsidR="00856335" w:rsidRPr="002D5F64">
              <w:rPr>
                <w:color w:val="FFFFFF" w:themeColor="background1"/>
                <w:sz w:val="16"/>
                <w:szCs w:val="16"/>
              </w:rPr>
              <w:t xml:space="preserve"> </w:t>
            </w:r>
          </w:p>
        </w:tc>
        <w:tc>
          <w:tcPr>
            <w:tcW w:w="3027" w:type="pct"/>
            <w:shd w:val="clear" w:color="auto" w:fill="FFFFFF" w:themeFill="background1"/>
          </w:tcPr>
          <w:p w14:paraId="18AC6C94" w14:textId="3AA71BA6" w:rsidR="00856335" w:rsidRPr="002D5F64" w:rsidRDefault="00D9520F"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D5F64">
              <w:rPr>
                <w:sz w:val="16"/>
                <w:szCs w:val="16"/>
              </w:rPr>
              <w:t>Concept note for a new infrastructu</w:t>
            </w:r>
            <w:r w:rsidR="00B27F79" w:rsidRPr="002D5F64">
              <w:rPr>
                <w:sz w:val="16"/>
                <w:szCs w:val="16"/>
              </w:rPr>
              <w:t>re investment has been approved.</w:t>
            </w:r>
            <w:r w:rsidRPr="002D5F64">
              <w:rPr>
                <w:sz w:val="16"/>
                <w:szCs w:val="16"/>
              </w:rPr>
              <w:t xml:space="preserve"> </w:t>
            </w:r>
            <w:r w:rsidR="00B27F79" w:rsidRPr="002D5F64">
              <w:rPr>
                <w:sz w:val="16"/>
                <w:szCs w:val="16"/>
              </w:rPr>
              <w:t>A</w:t>
            </w:r>
            <w:r w:rsidRPr="002D5F64">
              <w:rPr>
                <w:sz w:val="16"/>
                <w:szCs w:val="16"/>
              </w:rPr>
              <w:t xml:space="preserve"> scoping study </w:t>
            </w:r>
            <w:r w:rsidR="00B27F79" w:rsidRPr="002D5F64">
              <w:rPr>
                <w:sz w:val="16"/>
                <w:szCs w:val="16"/>
              </w:rPr>
              <w:t>has been completed and c</w:t>
            </w:r>
            <w:r w:rsidRPr="002D5F64">
              <w:rPr>
                <w:sz w:val="16"/>
                <w:szCs w:val="16"/>
              </w:rPr>
              <w:t xml:space="preserve">onsultants hired to design a new aid for trade investment.  </w:t>
            </w:r>
          </w:p>
        </w:tc>
      </w:tr>
      <w:tr w:rsidR="00191CF6" w:rsidRPr="00E24548" w14:paraId="3D8BFDBB" w14:textId="77777777" w:rsidTr="00EE7CC9">
        <w:tc>
          <w:tcPr>
            <w:cnfStyle w:val="001000000000" w:firstRow="0" w:lastRow="0" w:firstColumn="1" w:lastColumn="0" w:oddVBand="0" w:evenVBand="0" w:oddHBand="0" w:evenHBand="0" w:firstRowFirstColumn="0" w:firstRowLastColumn="0" w:lastRowFirstColumn="0" w:lastRowLastColumn="0"/>
            <w:tcW w:w="421" w:type="pct"/>
            <w:shd w:val="clear" w:color="auto" w:fill="FFFFFF" w:themeFill="background1"/>
          </w:tcPr>
          <w:p w14:paraId="64305A97" w14:textId="263CA9AB" w:rsidR="00B924AF" w:rsidRPr="002D5F64" w:rsidRDefault="00027FB0" w:rsidP="00EE7CC9">
            <w:pPr>
              <w:pStyle w:val="TableTextEntries"/>
              <w:spacing w:before="0" w:after="0"/>
              <w:jc w:val="center"/>
              <w:rPr>
                <w:b w:val="0"/>
                <w:color w:val="auto"/>
                <w:sz w:val="16"/>
                <w:szCs w:val="16"/>
              </w:rPr>
            </w:pPr>
            <w:r w:rsidRPr="002D5F64">
              <w:rPr>
                <w:b w:val="0"/>
                <w:color w:val="auto"/>
                <w:sz w:val="16"/>
                <w:szCs w:val="16"/>
              </w:rPr>
              <w:t>2</w:t>
            </w:r>
          </w:p>
        </w:tc>
        <w:tc>
          <w:tcPr>
            <w:tcW w:w="1165" w:type="pct"/>
            <w:shd w:val="clear" w:color="auto" w:fill="FFFFFF" w:themeFill="background1"/>
          </w:tcPr>
          <w:p w14:paraId="2E103397" w14:textId="56D3AD90" w:rsidR="00B924AF" w:rsidRPr="002D5F64" w:rsidRDefault="003A0C5F"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sz w:val="16"/>
                <w:szCs w:val="16"/>
                <w:lang w:eastAsia="en-AU"/>
              </w:rPr>
            </w:pPr>
            <w:r>
              <w:rPr>
                <w:sz w:val="16"/>
                <w:szCs w:val="16"/>
                <w:lang w:eastAsia="en-AU"/>
              </w:rPr>
              <w:t>360 km</w:t>
            </w:r>
            <w:r w:rsidR="00B924AF" w:rsidRPr="002D5F64">
              <w:rPr>
                <w:sz w:val="16"/>
                <w:szCs w:val="16"/>
                <w:lang w:eastAsia="en-AU"/>
              </w:rPr>
              <w:t xml:space="preserve"> of provincial roads rehabilitated or maintained</w:t>
            </w:r>
          </w:p>
        </w:tc>
        <w:tc>
          <w:tcPr>
            <w:tcW w:w="388" w:type="pct"/>
            <w:shd w:val="clear" w:color="auto" w:fill="F79646"/>
          </w:tcPr>
          <w:p w14:paraId="3E97EE70" w14:textId="294295AE" w:rsidR="00B924AF" w:rsidRPr="002D5F64" w:rsidRDefault="000C5853"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D5F64">
              <w:rPr>
                <w:color w:val="FFFFFF" w:themeColor="background1"/>
                <w:sz w:val="16"/>
                <w:szCs w:val="16"/>
              </w:rPr>
              <w:t xml:space="preserve">Partially </w:t>
            </w:r>
            <w:r w:rsidR="00B924AF" w:rsidRPr="002D5F64">
              <w:rPr>
                <w:color w:val="FFFFFF" w:themeColor="background1"/>
                <w:sz w:val="16"/>
                <w:szCs w:val="16"/>
              </w:rPr>
              <w:t>Achieved</w:t>
            </w:r>
          </w:p>
        </w:tc>
        <w:tc>
          <w:tcPr>
            <w:tcW w:w="3027" w:type="pct"/>
            <w:shd w:val="clear" w:color="auto" w:fill="FFFFFF" w:themeFill="background1"/>
          </w:tcPr>
          <w:p w14:paraId="65A31C92" w14:textId="11B64C06" w:rsidR="00B924AF" w:rsidRPr="002D5F64" w:rsidRDefault="000C5853"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D5F64">
              <w:rPr>
                <w:sz w:val="16"/>
                <w:szCs w:val="16"/>
              </w:rPr>
              <w:t>32</w:t>
            </w:r>
            <w:r w:rsidR="003176C5" w:rsidRPr="002D5F64">
              <w:rPr>
                <w:sz w:val="16"/>
                <w:szCs w:val="16"/>
              </w:rPr>
              <w:t>0</w:t>
            </w:r>
            <w:r w:rsidR="008A6CDC" w:rsidRPr="002D5F64">
              <w:rPr>
                <w:sz w:val="16"/>
                <w:szCs w:val="16"/>
              </w:rPr>
              <w:t xml:space="preserve"> </w:t>
            </w:r>
            <w:r w:rsidR="003176C5" w:rsidRPr="002D5F64">
              <w:rPr>
                <w:sz w:val="16"/>
                <w:szCs w:val="16"/>
              </w:rPr>
              <w:t xml:space="preserve">km </w:t>
            </w:r>
            <w:r w:rsidR="003176C5" w:rsidRPr="002D5F64">
              <w:rPr>
                <w:sz w:val="16"/>
                <w:szCs w:val="16"/>
                <w:lang w:eastAsia="en-AU"/>
              </w:rPr>
              <w:t>rehabilitated or maintained</w:t>
            </w:r>
            <w:r w:rsidRPr="002D5F64">
              <w:rPr>
                <w:sz w:val="16"/>
                <w:szCs w:val="16"/>
              </w:rPr>
              <w:t>.</w:t>
            </w:r>
            <w:r w:rsidR="00DC351E" w:rsidRPr="002D5F64">
              <w:rPr>
                <w:sz w:val="16"/>
                <w:szCs w:val="16"/>
              </w:rPr>
              <w:t xml:space="preserve"> </w:t>
            </w:r>
          </w:p>
        </w:tc>
      </w:tr>
      <w:tr w:rsidR="00191CF6" w:rsidRPr="00E24548" w14:paraId="2C52DE6E" w14:textId="77777777" w:rsidTr="00EE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shd w:val="clear" w:color="auto" w:fill="FFFFFF" w:themeFill="background1"/>
          </w:tcPr>
          <w:p w14:paraId="3E91CFF7" w14:textId="03BB6A3B" w:rsidR="00B924AF" w:rsidRPr="002D5F64" w:rsidRDefault="00B924AF" w:rsidP="00EE7CC9">
            <w:pPr>
              <w:pStyle w:val="TableTextEntries"/>
              <w:spacing w:before="0" w:after="0"/>
              <w:jc w:val="center"/>
              <w:rPr>
                <w:b w:val="0"/>
                <w:color w:val="auto"/>
                <w:sz w:val="16"/>
                <w:szCs w:val="16"/>
              </w:rPr>
            </w:pPr>
            <w:r w:rsidRPr="002D5F64">
              <w:rPr>
                <w:b w:val="0"/>
                <w:color w:val="auto"/>
                <w:sz w:val="16"/>
                <w:szCs w:val="16"/>
              </w:rPr>
              <w:t>3</w:t>
            </w:r>
          </w:p>
        </w:tc>
        <w:tc>
          <w:tcPr>
            <w:tcW w:w="1165" w:type="pct"/>
            <w:shd w:val="clear" w:color="auto" w:fill="FFFFFF" w:themeFill="background1"/>
          </w:tcPr>
          <w:p w14:paraId="7AE4192F" w14:textId="030868DB" w:rsidR="00B924AF" w:rsidRPr="002D5F64" w:rsidRDefault="00B924AF"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lang w:eastAsia="en-AU"/>
              </w:rPr>
            </w:pPr>
            <w:r w:rsidRPr="002D5F64">
              <w:rPr>
                <w:sz w:val="16"/>
                <w:szCs w:val="16"/>
                <w:lang w:eastAsia="en-AU"/>
              </w:rPr>
              <w:t>5 government agencies produce hazard and risk models</w:t>
            </w:r>
            <w:r w:rsidR="006B6E4B">
              <w:rPr>
                <w:sz w:val="16"/>
                <w:szCs w:val="16"/>
                <w:lang w:eastAsia="en-AU"/>
              </w:rPr>
              <w:t xml:space="preserve"> informing the development of 6 </w:t>
            </w:r>
            <w:r w:rsidRPr="002D5F64">
              <w:rPr>
                <w:sz w:val="16"/>
                <w:szCs w:val="16"/>
                <w:lang w:eastAsia="en-AU"/>
              </w:rPr>
              <w:t>risk-sensitive local land use plans, and contingency plans and early warning systems of 115 barangays</w:t>
            </w:r>
          </w:p>
        </w:tc>
        <w:tc>
          <w:tcPr>
            <w:tcW w:w="388" w:type="pct"/>
            <w:tcBorders>
              <w:bottom w:val="single" w:sz="4" w:space="0" w:color="FFFFFF" w:themeColor="background1"/>
            </w:tcBorders>
            <w:shd w:val="clear" w:color="auto" w:fill="72AF2F"/>
          </w:tcPr>
          <w:p w14:paraId="1BA713D7" w14:textId="77777777" w:rsidR="00B924AF" w:rsidRPr="002D5F64" w:rsidRDefault="0028392F"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2D5F64">
              <w:rPr>
                <w:color w:val="FFFFFF" w:themeColor="background1"/>
                <w:sz w:val="16"/>
                <w:szCs w:val="16"/>
              </w:rPr>
              <w:t>Achieved</w:t>
            </w:r>
          </w:p>
        </w:tc>
        <w:tc>
          <w:tcPr>
            <w:tcW w:w="3027" w:type="pct"/>
            <w:shd w:val="clear" w:color="auto" w:fill="FFFFFF" w:themeFill="background1"/>
          </w:tcPr>
          <w:p w14:paraId="73B0EB01" w14:textId="787C0DE9" w:rsidR="00B924AF" w:rsidRPr="002D5F64" w:rsidRDefault="00514DA9"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D5F64">
              <w:rPr>
                <w:sz w:val="16"/>
                <w:szCs w:val="16"/>
              </w:rPr>
              <w:t>24</w:t>
            </w:r>
            <w:r w:rsidR="009823A5" w:rsidRPr="002D5F64">
              <w:rPr>
                <w:sz w:val="16"/>
                <w:szCs w:val="16"/>
              </w:rPr>
              <w:t xml:space="preserve"> h</w:t>
            </w:r>
            <w:r w:rsidR="0028392F" w:rsidRPr="002D5F64">
              <w:rPr>
                <w:sz w:val="16"/>
                <w:szCs w:val="16"/>
              </w:rPr>
              <w:t>azard and risk maps for local governme</w:t>
            </w:r>
            <w:r w:rsidR="00C3063E" w:rsidRPr="002D5F64">
              <w:rPr>
                <w:sz w:val="16"/>
                <w:szCs w:val="16"/>
              </w:rPr>
              <w:t xml:space="preserve">nt units in Metropolitan Manila </w:t>
            </w:r>
            <w:r w:rsidR="00400D93" w:rsidRPr="002D5F64">
              <w:rPr>
                <w:sz w:val="16"/>
                <w:szCs w:val="16"/>
              </w:rPr>
              <w:t>and Northern Mindanao</w:t>
            </w:r>
            <w:r w:rsidRPr="002D5F64">
              <w:rPr>
                <w:sz w:val="16"/>
                <w:szCs w:val="16"/>
              </w:rPr>
              <w:t>.</w:t>
            </w:r>
          </w:p>
          <w:p w14:paraId="7D22E29C" w14:textId="7D10303F" w:rsidR="004E7975" w:rsidRPr="002D5F64" w:rsidRDefault="00400D93"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D5F64">
              <w:rPr>
                <w:sz w:val="16"/>
                <w:szCs w:val="16"/>
              </w:rPr>
              <w:t>26 c</w:t>
            </w:r>
            <w:r w:rsidR="009823A5" w:rsidRPr="002D5F64">
              <w:rPr>
                <w:sz w:val="16"/>
                <w:szCs w:val="16"/>
              </w:rPr>
              <w:t>omprehensive Land Use Plans for cities in Metropolitan M</w:t>
            </w:r>
            <w:r w:rsidRPr="002D5F64">
              <w:rPr>
                <w:sz w:val="16"/>
                <w:szCs w:val="16"/>
              </w:rPr>
              <w:t>anila and Northern Mindanao</w:t>
            </w:r>
            <w:r w:rsidR="00514DA9" w:rsidRPr="002D5F64">
              <w:rPr>
                <w:sz w:val="16"/>
                <w:szCs w:val="16"/>
              </w:rPr>
              <w:t>.</w:t>
            </w:r>
          </w:p>
          <w:p w14:paraId="142A0D74" w14:textId="531D88BF" w:rsidR="009D17E7" w:rsidRPr="002D5F64" w:rsidRDefault="00400D93"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D5F64">
              <w:rPr>
                <w:sz w:val="16"/>
                <w:szCs w:val="16"/>
              </w:rPr>
              <w:t>Improved early warning systems and risk plans for 143 barangays in Metropolitan Manila.</w:t>
            </w:r>
          </w:p>
        </w:tc>
      </w:tr>
      <w:tr w:rsidR="00191CF6" w:rsidRPr="00E24548" w14:paraId="34F5DCAD" w14:textId="77777777" w:rsidTr="00EE7CC9">
        <w:tc>
          <w:tcPr>
            <w:cnfStyle w:val="001000000000" w:firstRow="0" w:lastRow="0" w:firstColumn="1" w:lastColumn="0" w:oddVBand="0" w:evenVBand="0" w:oddHBand="0" w:evenHBand="0" w:firstRowFirstColumn="0" w:firstRowLastColumn="0" w:lastRowFirstColumn="0" w:lastRowLastColumn="0"/>
            <w:tcW w:w="421" w:type="pct"/>
            <w:shd w:val="clear" w:color="auto" w:fill="FFFFFF" w:themeFill="background1"/>
          </w:tcPr>
          <w:p w14:paraId="022BF0CA" w14:textId="4DE25FE2" w:rsidR="00B924AF" w:rsidRPr="002D5F64" w:rsidRDefault="00B924AF" w:rsidP="00EE7CC9">
            <w:pPr>
              <w:pStyle w:val="TableTextEntries"/>
              <w:spacing w:before="0" w:after="0"/>
              <w:jc w:val="center"/>
              <w:rPr>
                <w:b w:val="0"/>
                <w:color w:val="auto"/>
                <w:sz w:val="16"/>
                <w:szCs w:val="16"/>
              </w:rPr>
            </w:pPr>
            <w:r w:rsidRPr="002D5F64">
              <w:rPr>
                <w:b w:val="0"/>
                <w:color w:val="auto"/>
                <w:sz w:val="16"/>
                <w:szCs w:val="16"/>
              </w:rPr>
              <w:t>4</w:t>
            </w:r>
          </w:p>
        </w:tc>
        <w:tc>
          <w:tcPr>
            <w:tcW w:w="1165" w:type="pct"/>
            <w:shd w:val="clear" w:color="auto" w:fill="FFFFFF" w:themeFill="background1"/>
          </w:tcPr>
          <w:p w14:paraId="7EE657CC" w14:textId="1AF7846E" w:rsidR="00B924AF" w:rsidRPr="002D5F64" w:rsidRDefault="00B924AF"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sz w:val="16"/>
                <w:szCs w:val="16"/>
                <w:lang w:eastAsia="en-AU"/>
              </w:rPr>
            </w:pPr>
            <w:r w:rsidRPr="002D5F64">
              <w:rPr>
                <w:sz w:val="16"/>
                <w:szCs w:val="16"/>
                <w:lang w:eastAsia="en-AU"/>
              </w:rPr>
              <w:t>Gender balance in consultations on the peace process:</w:t>
            </w:r>
            <w:r w:rsidR="00027FB0" w:rsidRPr="002D5F64">
              <w:rPr>
                <w:sz w:val="16"/>
                <w:szCs w:val="16"/>
                <w:lang w:eastAsia="en-AU"/>
              </w:rPr>
              <w:t xml:space="preserve"> </w:t>
            </w:r>
            <w:r w:rsidRPr="002D5F64">
              <w:rPr>
                <w:sz w:val="16"/>
                <w:szCs w:val="16"/>
                <w:lang w:eastAsia="en-AU"/>
              </w:rPr>
              <w:t>2,000 women at public consultations</w:t>
            </w:r>
            <w:r w:rsidR="00027FB0" w:rsidRPr="002D5F64">
              <w:rPr>
                <w:sz w:val="16"/>
                <w:szCs w:val="16"/>
                <w:lang w:eastAsia="en-AU"/>
              </w:rPr>
              <w:t>;</w:t>
            </w:r>
            <w:r w:rsidRPr="002D5F64">
              <w:rPr>
                <w:sz w:val="16"/>
                <w:szCs w:val="16"/>
                <w:lang w:eastAsia="en-AU"/>
              </w:rPr>
              <w:t xml:space="preserve"> 35 women specific consultations</w:t>
            </w:r>
          </w:p>
        </w:tc>
        <w:tc>
          <w:tcPr>
            <w:tcW w:w="388" w:type="pct"/>
            <w:shd w:val="clear" w:color="auto" w:fill="F79646"/>
          </w:tcPr>
          <w:p w14:paraId="65C3291D" w14:textId="77777777" w:rsidR="00B924AF" w:rsidRPr="002D5F64" w:rsidRDefault="00550A42"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2D5F64">
              <w:rPr>
                <w:color w:val="FFFFFF" w:themeColor="background1"/>
                <w:sz w:val="16"/>
                <w:szCs w:val="16"/>
              </w:rPr>
              <w:t>Partly Achieved</w:t>
            </w:r>
          </w:p>
        </w:tc>
        <w:tc>
          <w:tcPr>
            <w:tcW w:w="3027" w:type="pct"/>
            <w:shd w:val="clear" w:color="auto" w:fill="FFFFFF" w:themeFill="background1"/>
          </w:tcPr>
          <w:p w14:paraId="0B0D2F0E" w14:textId="77777777" w:rsidR="00B924AF" w:rsidRPr="002D5F64" w:rsidRDefault="00550A42"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D5F64">
              <w:rPr>
                <w:sz w:val="16"/>
                <w:szCs w:val="16"/>
              </w:rPr>
              <w:t>1,725 women at public consultations</w:t>
            </w:r>
          </w:p>
          <w:p w14:paraId="13D2E6AF" w14:textId="77777777" w:rsidR="00550A42" w:rsidRPr="002D5F64" w:rsidRDefault="00550A42"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D5F64">
              <w:rPr>
                <w:sz w:val="16"/>
                <w:szCs w:val="16"/>
              </w:rPr>
              <w:t>3 women specific consultations</w:t>
            </w:r>
          </w:p>
          <w:p w14:paraId="1E04B08D" w14:textId="085C240D" w:rsidR="009E158D" w:rsidRPr="002D5F64" w:rsidRDefault="00FB4A9F"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D5F64">
              <w:rPr>
                <w:sz w:val="16"/>
                <w:szCs w:val="16"/>
              </w:rPr>
              <w:t xml:space="preserve">Consultations </w:t>
            </w:r>
            <w:r w:rsidR="009E158D" w:rsidRPr="002D5F64">
              <w:rPr>
                <w:sz w:val="16"/>
                <w:szCs w:val="16"/>
              </w:rPr>
              <w:t xml:space="preserve">were planned </w:t>
            </w:r>
            <w:r w:rsidRPr="002D5F64">
              <w:rPr>
                <w:sz w:val="16"/>
                <w:szCs w:val="16"/>
              </w:rPr>
              <w:t xml:space="preserve">to coincide with </w:t>
            </w:r>
            <w:r w:rsidR="009E158D" w:rsidRPr="002D5F64">
              <w:rPr>
                <w:sz w:val="16"/>
                <w:szCs w:val="16"/>
              </w:rPr>
              <w:t xml:space="preserve">the </w:t>
            </w:r>
            <w:r w:rsidR="00B64950" w:rsidRPr="002D5F64">
              <w:rPr>
                <w:sz w:val="16"/>
                <w:szCs w:val="16"/>
              </w:rPr>
              <w:t xml:space="preserve">passage </w:t>
            </w:r>
            <w:r w:rsidR="009E158D" w:rsidRPr="002D5F64">
              <w:rPr>
                <w:sz w:val="16"/>
                <w:szCs w:val="16"/>
              </w:rPr>
              <w:t>of the Bangsamoro Basic Law</w:t>
            </w:r>
            <w:r w:rsidRPr="002D5F64">
              <w:rPr>
                <w:sz w:val="16"/>
                <w:szCs w:val="16"/>
              </w:rPr>
              <w:t xml:space="preserve"> (BBL). </w:t>
            </w:r>
            <w:r w:rsidR="00514DA9" w:rsidRPr="002D5F64">
              <w:rPr>
                <w:sz w:val="16"/>
                <w:szCs w:val="16"/>
              </w:rPr>
              <w:t>As</w:t>
            </w:r>
            <w:r w:rsidRPr="002D5F64">
              <w:rPr>
                <w:sz w:val="16"/>
                <w:szCs w:val="16"/>
              </w:rPr>
              <w:t xml:space="preserve"> BBL has yet to </w:t>
            </w:r>
            <w:r w:rsidR="00027FB0" w:rsidRPr="002D5F64">
              <w:rPr>
                <w:sz w:val="16"/>
                <w:szCs w:val="16"/>
              </w:rPr>
              <w:t>pass</w:t>
            </w:r>
            <w:r w:rsidR="00EE667A" w:rsidRPr="002D5F64">
              <w:rPr>
                <w:sz w:val="16"/>
                <w:szCs w:val="16"/>
              </w:rPr>
              <w:t xml:space="preserve"> the Philippine</w:t>
            </w:r>
            <w:r w:rsidR="00191CF6" w:rsidRPr="002D5F64">
              <w:rPr>
                <w:sz w:val="16"/>
                <w:szCs w:val="16"/>
              </w:rPr>
              <w:t xml:space="preserve"> Congress</w:t>
            </w:r>
            <w:r w:rsidR="00514DA9" w:rsidRPr="002D5F64">
              <w:rPr>
                <w:sz w:val="16"/>
                <w:szCs w:val="16"/>
              </w:rPr>
              <w:t>,</w:t>
            </w:r>
            <w:r w:rsidR="0090757A" w:rsidRPr="002D5F64">
              <w:rPr>
                <w:sz w:val="16"/>
                <w:szCs w:val="16"/>
              </w:rPr>
              <w:t xml:space="preserve"> </w:t>
            </w:r>
            <w:r w:rsidRPr="002D5F64">
              <w:rPr>
                <w:sz w:val="16"/>
                <w:szCs w:val="16"/>
              </w:rPr>
              <w:t>consultations did not proceed.</w:t>
            </w:r>
          </w:p>
        </w:tc>
      </w:tr>
      <w:tr w:rsidR="00191CF6" w:rsidRPr="00E24548" w14:paraId="05D424C9" w14:textId="77777777" w:rsidTr="00EE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shd w:val="clear" w:color="auto" w:fill="FFFFFF" w:themeFill="background1"/>
          </w:tcPr>
          <w:p w14:paraId="571FAF50" w14:textId="34DEEFDA" w:rsidR="00B924AF" w:rsidRPr="002D5F64" w:rsidRDefault="00027FB0" w:rsidP="00EE7CC9">
            <w:pPr>
              <w:pStyle w:val="TableTextEntries"/>
              <w:spacing w:before="0" w:after="0"/>
              <w:jc w:val="center"/>
              <w:rPr>
                <w:b w:val="0"/>
                <w:color w:val="auto"/>
                <w:sz w:val="16"/>
                <w:szCs w:val="16"/>
              </w:rPr>
            </w:pPr>
            <w:r w:rsidRPr="002D5F64">
              <w:rPr>
                <w:b w:val="0"/>
                <w:color w:val="auto"/>
                <w:sz w:val="16"/>
                <w:szCs w:val="16"/>
              </w:rPr>
              <w:t>5</w:t>
            </w:r>
          </w:p>
        </w:tc>
        <w:tc>
          <w:tcPr>
            <w:tcW w:w="1165" w:type="pct"/>
            <w:shd w:val="clear" w:color="auto" w:fill="FFFFFF" w:themeFill="background1"/>
          </w:tcPr>
          <w:p w14:paraId="7595816D" w14:textId="6BC181B5" w:rsidR="00B924AF" w:rsidRPr="002D5F64" w:rsidRDefault="00B924AF" w:rsidP="00E530BA">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lang w:eastAsia="en-AU"/>
              </w:rPr>
            </w:pPr>
            <w:r w:rsidRPr="002D5F64">
              <w:rPr>
                <w:sz w:val="16"/>
                <w:szCs w:val="16"/>
              </w:rPr>
              <w:t>Support the acquisition and implementation by the Government of the Philippines of a Government Integrated Financial Management Information System (GIFMIS).</w:t>
            </w:r>
          </w:p>
        </w:tc>
        <w:tc>
          <w:tcPr>
            <w:tcW w:w="388" w:type="pct"/>
            <w:shd w:val="clear" w:color="auto" w:fill="FFFFFF" w:themeFill="background1"/>
          </w:tcPr>
          <w:p w14:paraId="03932BFC" w14:textId="61C634E4" w:rsidR="00B924AF" w:rsidRPr="002D5F64" w:rsidRDefault="00027FB0"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2D5F64">
              <w:rPr>
                <w:sz w:val="16"/>
                <w:szCs w:val="16"/>
              </w:rPr>
              <w:t>n/a</w:t>
            </w:r>
          </w:p>
        </w:tc>
        <w:tc>
          <w:tcPr>
            <w:tcW w:w="3027" w:type="pct"/>
            <w:shd w:val="clear" w:color="auto" w:fill="FFFFFF" w:themeFill="background1"/>
          </w:tcPr>
          <w:p w14:paraId="400B1FEA" w14:textId="42A73B90" w:rsidR="00B924AF" w:rsidRPr="002D5F64" w:rsidRDefault="00027FB0"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D5F64">
              <w:rPr>
                <w:sz w:val="16"/>
                <w:szCs w:val="16"/>
              </w:rPr>
              <w:t xml:space="preserve">The Government of the Philippines </w:t>
            </w:r>
            <w:r w:rsidR="009335FA" w:rsidRPr="002D5F64">
              <w:rPr>
                <w:sz w:val="16"/>
                <w:szCs w:val="16"/>
              </w:rPr>
              <w:t xml:space="preserve">has decided not to </w:t>
            </w:r>
            <w:r w:rsidRPr="002D5F64">
              <w:rPr>
                <w:sz w:val="16"/>
                <w:szCs w:val="16"/>
              </w:rPr>
              <w:t>implement a GIFMIS.</w:t>
            </w:r>
          </w:p>
        </w:tc>
      </w:tr>
      <w:tr w:rsidR="00191CF6" w:rsidRPr="00E24548" w14:paraId="1E9E2339" w14:textId="77777777" w:rsidTr="00EE7CC9">
        <w:tc>
          <w:tcPr>
            <w:cnfStyle w:val="001000000000" w:firstRow="0" w:lastRow="0" w:firstColumn="1" w:lastColumn="0" w:oddVBand="0" w:evenVBand="0" w:oddHBand="0" w:evenHBand="0" w:firstRowFirstColumn="0" w:firstRowLastColumn="0" w:lastRowFirstColumn="0" w:lastRowLastColumn="0"/>
            <w:tcW w:w="421" w:type="pct"/>
            <w:tcBorders>
              <w:bottom w:val="single" w:sz="4" w:space="0" w:color="FFFFFF" w:themeColor="background1"/>
            </w:tcBorders>
            <w:shd w:val="clear" w:color="auto" w:fill="FFFFFF" w:themeFill="background1"/>
          </w:tcPr>
          <w:p w14:paraId="3693DF27" w14:textId="05CC48B6" w:rsidR="00B924AF" w:rsidRPr="002D5F64" w:rsidRDefault="00B924AF" w:rsidP="00EE7CC9">
            <w:pPr>
              <w:pStyle w:val="TableTextEntries"/>
              <w:spacing w:before="0" w:after="0"/>
              <w:jc w:val="center"/>
              <w:rPr>
                <w:b w:val="0"/>
                <w:color w:val="auto"/>
                <w:sz w:val="16"/>
                <w:szCs w:val="16"/>
              </w:rPr>
            </w:pPr>
            <w:r w:rsidRPr="002D5F64">
              <w:rPr>
                <w:b w:val="0"/>
                <w:color w:val="auto"/>
                <w:sz w:val="16"/>
                <w:szCs w:val="16"/>
              </w:rPr>
              <w:t>5</w:t>
            </w:r>
          </w:p>
        </w:tc>
        <w:tc>
          <w:tcPr>
            <w:tcW w:w="1165" w:type="pct"/>
            <w:tcBorders>
              <w:bottom w:val="single" w:sz="4" w:space="0" w:color="FFFFFF" w:themeColor="background1"/>
            </w:tcBorders>
            <w:shd w:val="clear" w:color="auto" w:fill="FFFFFF" w:themeFill="background1"/>
          </w:tcPr>
          <w:p w14:paraId="61E4B47B" w14:textId="77777777" w:rsidR="00B924AF" w:rsidRPr="002D5F64" w:rsidRDefault="00B924AF"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sz w:val="16"/>
                <w:szCs w:val="16"/>
                <w:lang w:eastAsia="en-AU"/>
              </w:rPr>
            </w:pPr>
            <w:r w:rsidRPr="002D5F64">
              <w:rPr>
                <w:sz w:val="16"/>
                <w:szCs w:val="16"/>
                <w:lang w:eastAsia="en-AU"/>
              </w:rPr>
              <w:t>7 new partners assisted in the development of their Human Resource Development Plans</w:t>
            </w:r>
          </w:p>
        </w:tc>
        <w:tc>
          <w:tcPr>
            <w:tcW w:w="388" w:type="pct"/>
            <w:tcBorders>
              <w:bottom w:val="single" w:sz="4" w:space="0" w:color="FFFFFF" w:themeColor="background1"/>
            </w:tcBorders>
            <w:shd w:val="clear" w:color="auto" w:fill="72AF2F"/>
          </w:tcPr>
          <w:p w14:paraId="1DECC04E" w14:textId="77777777" w:rsidR="00B924AF" w:rsidRPr="002D5F64" w:rsidRDefault="001C2248"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2D5F64">
              <w:rPr>
                <w:color w:val="FFFFFF" w:themeColor="background1"/>
                <w:sz w:val="16"/>
                <w:szCs w:val="16"/>
              </w:rPr>
              <w:t>Achieved</w:t>
            </w:r>
          </w:p>
        </w:tc>
        <w:tc>
          <w:tcPr>
            <w:tcW w:w="3027" w:type="pct"/>
            <w:tcBorders>
              <w:bottom w:val="single" w:sz="4" w:space="0" w:color="FFFFFF" w:themeColor="background1"/>
            </w:tcBorders>
            <w:shd w:val="clear" w:color="auto" w:fill="FFFFFF" w:themeFill="background1"/>
          </w:tcPr>
          <w:p w14:paraId="1E9A4036" w14:textId="38036A4F" w:rsidR="00B924AF" w:rsidRPr="002D5F64" w:rsidRDefault="00380866" w:rsidP="00EE7CC9">
            <w:pPr>
              <w:pStyle w:val="TableTextEntries"/>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D5F64">
              <w:rPr>
                <w:sz w:val="16"/>
                <w:szCs w:val="16"/>
              </w:rPr>
              <w:t xml:space="preserve">8 partners have been assisted under </w:t>
            </w:r>
            <w:r w:rsidR="00203189">
              <w:rPr>
                <w:sz w:val="16"/>
                <w:szCs w:val="16"/>
              </w:rPr>
              <w:t xml:space="preserve">the </w:t>
            </w:r>
            <w:r w:rsidR="00203189" w:rsidRPr="00203189">
              <w:rPr>
                <w:sz w:val="16"/>
                <w:szCs w:val="16"/>
              </w:rPr>
              <w:t>Philippines-Australia Human Resource and Organisational Development Facility</w:t>
            </w:r>
            <w:r w:rsidR="00A9119E" w:rsidRPr="002D5F64">
              <w:rPr>
                <w:sz w:val="16"/>
                <w:szCs w:val="16"/>
              </w:rPr>
              <w:t>.</w:t>
            </w:r>
          </w:p>
        </w:tc>
      </w:tr>
      <w:tr w:rsidR="00191CF6" w:rsidRPr="00E24548" w14:paraId="78C20D8F" w14:textId="77777777" w:rsidTr="00EE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tcBorders>
              <w:bottom w:val="single" w:sz="8" w:space="0" w:color="auto"/>
            </w:tcBorders>
            <w:shd w:val="clear" w:color="auto" w:fill="FFFFFF" w:themeFill="background1"/>
          </w:tcPr>
          <w:p w14:paraId="33B9FFC0" w14:textId="40D3A28D" w:rsidR="00B924AF" w:rsidRPr="002D5F64" w:rsidRDefault="00027FB0" w:rsidP="00EE7CC9">
            <w:pPr>
              <w:pStyle w:val="TableTextEntries"/>
              <w:spacing w:before="0" w:after="0"/>
              <w:jc w:val="center"/>
              <w:rPr>
                <w:b w:val="0"/>
                <w:color w:val="auto"/>
                <w:sz w:val="16"/>
                <w:szCs w:val="16"/>
              </w:rPr>
            </w:pPr>
            <w:r w:rsidRPr="002D5F64">
              <w:rPr>
                <w:b w:val="0"/>
                <w:color w:val="auto"/>
                <w:sz w:val="16"/>
                <w:szCs w:val="16"/>
              </w:rPr>
              <w:t>5</w:t>
            </w:r>
          </w:p>
        </w:tc>
        <w:tc>
          <w:tcPr>
            <w:tcW w:w="1165" w:type="pct"/>
            <w:tcBorders>
              <w:bottom w:val="single" w:sz="8" w:space="0" w:color="auto"/>
            </w:tcBorders>
            <w:shd w:val="clear" w:color="auto" w:fill="FFFFFF" w:themeFill="background1"/>
          </w:tcPr>
          <w:p w14:paraId="01952B84" w14:textId="77777777" w:rsidR="00B924AF" w:rsidRPr="002D5F64" w:rsidRDefault="00B924AF"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lang w:eastAsia="en-AU"/>
              </w:rPr>
            </w:pPr>
            <w:r w:rsidRPr="002D5F64">
              <w:rPr>
                <w:sz w:val="16"/>
                <w:szCs w:val="16"/>
                <w:lang w:eastAsia="en-AU"/>
              </w:rPr>
              <w:t>Facilitated 6 partnership agreements  between Philippine and Australian academic institutions</w:t>
            </w:r>
          </w:p>
        </w:tc>
        <w:tc>
          <w:tcPr>
            <w:tcW w:w="388" w:type="pct"/>
            <w:tcBorders>
              <w:bottom w:val="single" w:sz="8" w:space="0" w:color="auto"/>
            </w:tcBorders>
            <w:shd w:val="clear" w:color="auto" w:fill="72AF2F"/>
          </w:tcPr>
          <w:p w14:paraId="52B3145C" w14:textId="77777777" w:rsidR="00B924AF" w:rsidRPr="002D5F64" w:rsidRDefault="00610F0D"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2D5F64">
              <w:rPr>
                <w:color w:val="FFFFFF" w:themeColor="background1"/>
                <w:sz w:val="16"/>
                <w:szCs w:val="16"/>
              </w:rPr>
              <w:t>Achieved</w:t>
            </w:r>
          </w:p>
        </w:tc>
        <w:tc>
          <w:tcPr>
            <w:tcW w:w="3027" w:type="pct"/>
            <w:tcBorders>
              <w:bottom w:val="single" w:sz="8" w:space="0" w:color="auto"/>
            </w:tcBorders>
            <w:shd w:val="clear" w:color="auto" w:fill="FFFFFF" w:themeFill="background1"/>
          </w:tcPr>
          <w:p w14:paraId="3B20EA1C" w14:textId="161F2102" w:rsidR="00B924AF" w:rsidRPr="002D5F64" w:rsidRDefault="007A5CAB" w:rsidP="00EE7CC9">
            <w:pPr>
              <w:pStyle w:val="TableTextEntries"/>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D5F64">
              <w:rPr>
                <w:sz w:val="16"/>
                <w:szCs w:val="16"/>
              </w:rPr>
              <w:t>7 partnerships have been facilitated</w:t>
            </w:r>
            <w:r w:rsidR="00277183" w:rsidRPr="002D5F64">
              <w:rPr>
                <w:sz w:val="16"/>
                <w:szCs w:val="16"/>
              </w:rPr>
              <w:t>.</w:t>
            </w:r>
          </w:p>
        </w:tc>
      </w:tr>
    </w:tbl>
    <w:p w14:paraId="478F1B8A" w14:textId="77777777" w:rsidR="00416B02" w:rsidRPr="00FE4491" w:rsidRDefault="00416B02" w:rsidP="00757936">
      <w:pPr>
        <w:pStyle w:val="Note"/>
      </w:pPr>
      <w:r w:rsidRPr="00FE4491">
        <w:t xml:space="preserve">Note: </w:t>
      </w:r>
    </w:p>
    <w:p w14:paraId="582048E2" w14:textId="77777777" w:rsidR="00416B02" w:rsidRPr="00671434" w:rsidRDefault="00416B02" w:rsidP="00757936">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w:t>
      </w:r>
      <w:r>
        <w:t xml:space="preserve">and the performance benchmark was achieved </w:t>
      </w:r>
    </w:p>
    <w:p w14:paraId="6998F871" w14:textId="77777777" w:rsidR="00416B02" w:rsidRPr="00EA3BAD" w:rsidRDefault="00416B02" w:rsidP="00757936">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towards achieving the performance benchmark, but progress was less than anticipated. </w:t>
      </w:r>
    </w:p>
    <w:p w14:paraId="2C7FE7EF" w14:textId="77777777" w:rsidR="00416B02" w:rsidRDefault="00416B02" w:rsidP="00757936">
      <w:pPr>
        <w:pStyle w:val="Note"/>
      </w:pPr>
      <w:r w:rsidRPr="00EA3BAD">
        <w:rPr>
          <w:color w:val="FF0000"/>
        </w:rPr>
        <w:sym w:font="Webdings" w:char="F067"/>
      </w:r>
      <w:r w:rsidRPr="00EA3BAD">
        <w:t> </w:t>
      </w:r>
      <w:r w:rsidRPr="00EA3BAD">
        <w:t xml:space="preserve"> Not achieved. Progress </w:t>
      </w:r>
      <w:r>
        <w:t xml:space="preserve">towards the performance benchmark </w:t>
      </w:r>
      <w:r w:rsidRPr="00EA3BAD">
        <w:t>has been significantly below expectations</w:t>
      </w:r>
    </w:p>
    <w:p w14:paraId="5E50331D" w14:textId="77777777" w:rsidR="00416B02" w:rsidRPr="00416B02" w:rsidRDefault="00416B02" w:rsidP="00416B02">
      <w:pPr>
        <w:pStyle w:val="BodyText"/>
        <w:sectPr w:rsidR="00416B02" w:rsidRPr="00416B02" w:rsidSect="00702243">
          <w:headerReference w:type="even" r:id="rId17"/>
          <w:footerReference w:type="first" r:id="rId18"/>
          <w:footnotePr>
            <w:numRestart w:val="eachPage"/>
          </w:footnotePr>
          <w:pgSz w:w="16838" w:h="11906" w:orient="landscape" w:code="9"/>
          <w:pgMar w:top="1814" w:right="1270" w:bottom="851" w:left="851" w:header="709" w:footer="425" w:gutter="0"/>
          <w:pgNumType w:start="20"/>
          <w:cols w:space="708"/>
          <w:titlePg/>
          <w:docGrid w:linePitch="360"/>
        </w:sectPr>
      </w:pPr>
    </w:p>
    <w:bookmarkEnd w:id="2"/>
    <w:p w14:paraId="45C5B9AD" w14:textId="77777777" w:rsidR="00416B02" w:rsidRPr="009E38C1" w:rsidRDefault="005C310A" w:rsidP="00416B02">
      <w:pPr>
        <w:pStyle w:val="Heading2"/>
        <w:rPr>
          <w:sz w:val="28"/>
        </w:rPr>
      </w:pPr>
      <w:r>
        <w:rPr>
          <w:sz w:val="28"/>
        </w:rPr>
        <w:lastRenderedPageBreak/>
        <w:t>Annex C</w:t>
      </w:r>
      <w:r w:rsidR="0057490F">
        <w:rPr>
          <w:sz w:val="28"/>
        </w:rPr>
        <w:t xml:space="preserve"> - </w:t>
      </w:r>
      <w:r w:rsidR="00416B02" w:rsidRPr="009E38C1">
        <w:rPr>
          <w:sz w:val="28"/>
        </w:rPr>
        <w:t>Evaluation and Review Pipeline Planning</w:t>
      </w:r>
    </w:p>
    <w:p w14:paraId="4D70E907" w14:textId="77777777" w:rsidR="00416B02" w:rsidRPr="00071B95" w:rsidRDefault="00416B02" w:rsidP="00416B02">
      <w:pPr>
        <w:pStyle w:val="Heading3"/>
      </w:pPr>
      <w:r w:rsidRPr="008A6CDC">
        <w:t>List of evaluations completed in the reporting period</w:t>
      </w:r>
      <w:r w:rsidRPr="00071B95">
        <w:t xml:space="preserve"> </w:t>
      </w:r>
    </w:p>
    <w:tbl>
      <w:tblPr>
        <w:tblStyle w:val="APPR"/>
        <w:tblW w:w="13706" w:type="dxa"/>
        <w:tblLook w:val="04A0" w:firstRow="1" w:lastRow="0" w:firstColumn="1" w:lastColumn="0" w:noHBand="0" w:noVBand="1"/>
      </w:tblPr>
      <w:tblGrid>
        <w:gridCol w:w="3402"/>
        <w:gridCol w:w="904"/>
        <w:gridCol w:w="2059"/>
        <w:gridCol w:w="1967"/>
        <w:gridCol w:w="1561"/>
        <w:gridCol w:w="2268"/>
        <w:gridCol w:w="1545"/>
      </w:tblGrid>
      <w:tr w:rsidR="00416B02" w:rsidRPr="002D5F64" w14:paraId="08CE38B5" w14:textId="77777777" w:rsidTr="00237D0A">
        <w:trPr>
          <w:cnfStyle w:val="100000000000" w:firstRow="1" w:lastRow="0" w:firstColumn="0" w:lastColumn="0" w:oddVBand="0" w:evenVBand="0" w:oddHBand="0" w:evenHBand="0" w:firstRowFirstColumn="0" w:firstRowLastColumn="0" w:lastRowFirstColumn="0" w:lastRowLastColumn="0"/>
          <w:trHeight w:val="656"/>
        </w:trPr>
        <w:tc>
          <w:tcPr>
            <w:tcW w:w="3360" w:type="dxa"/>
          </w:tcPr>
          <w:p w14:paraId="7FA8A0CF" w14:textId="77777777" w:rsidR="00416B02" w:rsidRPr="002D5F64" w:rsidRDefault="00416B02" w:rsidP="0048469F">
            <w:pPr>
              <w:pStyle w:val="TableTextColumnHeading"/>
              <w:rPr>
                <w:b/>
                <w:sz w:val="16"/>
                <w:szCs w:val="16"/>
              </w:rPr>
            </w:pPr>
            <w:r w:rsidRPr="002D5F64">
              <w:rPr>
                <w:b/>
                <w:sz w:val="16"/>
                <w:szCs w:val="16"/>
              </w:rPr>
              <w:t>Name of Investment</w:t>
            </w:r>
          </w:p>
        </w:tc>
        <w:tc>
          <w:tcPr>
            <w:tcW w:w="876" w:type="dxa"/>
          </w:tcPr>
          <w:p w14:paraId="032E1B4A" w14:textId="77777777" w:rsidR="00416B02" w:rsidRPr="002D5F64" w:rsidRDefault="00136CC1" w:rsidP="0048469F">
            <w:pPr>
              <w:pStyle w:val="TableTextColumnHeading"/>
              <w:rPr>
                <w:b/>
                <w:sz w:val="16"/>
                <w:szCs w:val="16"/>
              </w:rPr>
            </w:pPr>
            <w:r w:rsidRPr="002D5F64">
              <w:rPr>
                <w:b/>
                <w:sz w:val="16"/>
                <w:szCs w:val="16"/>
              </w:rPr>
              <w:t>AidWorks</w:t>
            </w:r>
            <w:r w:rsidR="00416B02" w:rsidRPr="002D5F64">
              <w:rPr>
                <w:b/>
                <w:sz w:val="16"/>
                <w:szCs w:val="16"/>
              </w:rPr>
              <w:t xml:space="preserve"> number</w:t>
            </w:r>
          </w:p>
        </w:tc>
        <w:tc>
          <w:tcPr>
            <w:tcW w:w="2031" w:type="dxa"/>
          </w:tcPr>
          <w:p w14:paraId="1AD9A38D" w14:textId="77777777" w:rsidR="00416B02" w:rsidRPr="002D5F64" w:rsidRDefault="00416B02" w:rsidP="0048469F">
            <w:pPr>
              <w:pStyle w:val="TableTextColumnHeading"/>
              <w:rPr>
                <w:b/>
                <w:sz w:val="16"/>
                <w:szCs w:val="16"/>
              </w:rPr>
            </w:pPr>
            <w:r w:rsidRPr="002D5F64">
              <w:rPr>
                <w:b/>
                <w:sz w:val="16"/>
                <w:szCs w:val="16"/>
              </w:rPr>
              <w:t>Name of evaluation</w:t>
            </w:r>
          </w:p>
        </w:tc>
        <w:tc>
          <w:tcPr>
            <w:tcW w:w="1939" w:type="dxa"/>
          </w:tcPr>
          <w:p w14:paraId="2A641E82" w14:textId="77777777" w:rsidR="00416B02" w:rsidRPr="002D5F64" w:rsidRDefault="00416B02" w:rsidP="0048469F">
            <w:pPr>
              <w:pStyle w:val="TableTextColumnHeading"/>
              <w:rPr>
                <w:b/>
                <w:sz w:val="16"/>
                <w:szCs w:val="16"/>
              </w:rPr>
            </w:pPr>
            <w:r w:rsidRPr="002D5F64">
              <w:rPr>
                <w:b/>
                <w:sz w:val="16"/>
                <w:szCs w:val="16"/>
              </w:rPr>
              <w:t>Date finalised</w:t>
            </w:r>
          </w:p>
        </w:tc>
        <w:tc>
          <w:tcPr>
            <w:tcW w:w="1533" w:type="dxa"/>
          </w:tcPr>
          <w:p w14:paraId="5DF33A3D" w14:textId="77777777" w:rsidR="00416B02" w:rsidRPr="002D5F64" w:rsidRDefault="00416B02" w:rsidP="0048469F">
            <w:pPr>
              <w:pStyle w:val="TableTextColumnHeading"/>
              <w:rPr>
                <w:b/>
                <w:sz w:val="16"/>
                <w:szCs w:val="16"/>
              </w:rPr>
            </w:pPr>
            <w:r w:rsidRPr="002D5F64">
              <w:rPr>
                <w:b/>
                <w:sz w:val="16"/>
                <w:szCs w:val="16"/>
              </w:rPr>
              <w:t xml:space="preserve">Date Evaluation report Uploaded into </w:t>
            </w:r>
            <w:r w:rsidR="00136CC1" w:rsidRPr="002D5F64">
              <w:rPr>
                <w:b/>
                <w:sz w:val="16"/>
                <w:szCs w:val="16"/>
              </w:rPr>
              <w:t>AidWorks</w:t>
            </w:r>
          </w:p>
        </w:tc>
        <w:tc>
          <w:tcPr>
            <w:tcW w:w="2240" w:type="dxa"/>
          </w:tcPr>
          <w:p w14:paraId="570E2E45" w14:textId="77777777" w:rsidR="00416B02" w:rsidRPr="002D5F64" w:rsidRDefault="00416B02" w:rsidP="0048469F">
            <w:pPr>
              <w:pStyle w:val="TableTextColumnHeading"/>
              <w:rPr>
                <w:b/>
                <w:sz w:val="16"/>
                <w:szCs w:val="16"/>
              </w:rPr>
            </w:pPr>
            <w:r w:rsidRPr="002D5F64">
              <w:rPr>
                <w:b/>
                <w:sz w:val="16"/>
                <w:szCs w:val="16"/>
              </w:rPr>
              <w:t xml:space="preserve">Date Management response uploaded into </w:t>
            </w:r>
            <w:r w:rsidR="00136CC1" w:rsidRPr="002D5F64">
              <w:rPr>
                <w:b/>
                <w:sz w:val="16"/>
                <w:szCs w:val="16"/>
              </w:rPr>
              <w:t>AidWorks</w:t>
            </w:r>
          </w:p>
        </w:tc>
        <w:tc>
          <w:tcPr>
            <w:tcW w:w="1503" w:type="dxa"/>
          </w:tcPr>
          <w:p w14:paraId="5611ED6C" w14:textId="77777777" w:rsidR="00416B02" w:rsidRPr="002D5F64" w:rsidRDefault="00416B02" w:rsidP="0048469F">
            <w:pPr>
              <w:pStyle w:val="TableTextColumnHeading"/>
              <w:rPr>
                <w:b/>
                <w:sz w:val="16"/>
                <w:szCs w:val="16"/>
              </w:rPr>
            </w:pPr>
            <w:r w:rsidRPr="002D5F64">
              <w:rPr>
                <w:b/>
                <w:sz w:val="16"/>
                <w:szCs w:val="16"/>
              </w:rPr>
              <w:t>Published on website</w:t>
            </w:r>
          </w:p>
        </w:tc>
      </w:tr>
      <w:tr w:rsidR="00416B02" w:rsidRPr="002D5F64" w14:paraId="47A05151" w14:textId="77777777" w:rsidTr="00237D0A">
        <w:trPr>
          <w:cnfStyle w:val="100000000000" w:firstRow="1" w:lastRow="0" w:firstColumn="0" w:lastColumn="0" w:oddVBand="0" w:evenVBand="0" w:oddHBand="0" w:evenHBand="0" w:firstRowFirstColumn="0" w:firstRowLastColumn="0" w:lastRowFirstColumn="0" w:lastRowLastColumn="0"/>
        </w:trPr>
        <w:tc>
          <w:tcPr>
            <w:tcW w:w="3360" w:type="dxa"/>
          </w:tcPr>
          <w:p w14:paraId="6A621D84" w14:textId="170D7966" w:rsidR="00416B02" w:rsidRPr="002D5F64" w:rsidRDefault="004E68F3" w:rsidP="004E68F3">
            <w:pPr>
              <w:pStyle w:val="TableTextEntries"/>
              <w:rPr>
                <w:b w:val="0"/>
                <w:sz w:val="16"/>
                <w:szCs w:val="16"/>
              </w:rPr>
            </w:pPr>
            <w:r w:rsidRPr="002D5F64">
              <w:rPr>
                <w:b w:val="0"/>
                <w:sz w:val="16"/>
                <w:szCs w:val="16"/>
              </w:rPr>
              <w:t>Basic Education Assistance for ARMM</w:t>
            </w:r>
          </w:p>
        </w:tc>
        <w:tc>
          <w:tcPr>
            <w:tcW w:w="876" w:type="dxa"/>
          </w:tcPr>
          <w:p w14:paraId="51133FC5" w14:textId="68A38182" w:rsidR="00416B02" w:rsidRPr="002D5F64" w:rsidRDefault="004E68F3" w:rsidP="004E68F3">
            <w:pPr>
              <w:pStyle w:val="TableTextEntries"/>
              <w:rPr>
                <w:b w:val="0"/>
                <w:sz w:val="16"/>
                <w:szCs w:val="16"/>
              </w:rPr>
            </w:pPr>
            <w:r w:rsidRPr="002D5F64">
              <w:rPr>
                <w:b w:val="0"/>
                <w:sz w:val="16"/>
                <w:szCs w:val="16"/>
              </w:rPr>
              <w:t>INH947</w:t>
            </w:r>
          </w:p>
        </w:tc>
        <w:tc>
          <w:tcPr>
            <w:tcW w:w="2031" w:type="dxa"/>
          </w:tcPr>
          <w:p w14:paraId="6A825B34" w14:textId="4ABC9ACC" w:rsidR="00416B02" w:rsidRPr="002D5F64" w:rsidRDefault="00E35C25" w:rsidP="004E68F3">
            <w:pPr>
              <w:pStyle w:val="TableTextEntries"/>
              <w:rPr>
                <w:b w:val="0"/>
                <w:sz w:val="16"/>
                <w:szCs w:val="16"/>
              </w:rPr>
            </w:pPr>
            <w:r w:rsidRPr="002D5F64">
              <w:rPr>
                <w:b w:val="0"/>
                <w:sz w:val="16"/>
                <w:szCs w:val="16"/>
              </w:rPr>
              <w:t>Independent progress review</w:t>
            </w:r>
          </w:p>
        </w:tc>
        <w:tc>
          <w:tcPr>
            <w:tcW w:w="1939" w:type="dxa"/>
          </w:tcPr>
          <w:p w14:paraId="25F1D6A6" w14:textId="3166C64A" w:rsidR="00416B02" w:rsidRPr="002D5F64" w:rsidRDefault="00BD1D8A" w:rsidP="004E68F3">
            <w:pPr>
              <w:pStyle w:val="TableTextEntries"/>
              <w:rPr>
                <w:b w:val="0"/>
                <w:sz w:val="16"/>
                <w:szCs w:val="16"/>
              </w:rPr>
            </w:pPr>
            <w:r w:rsidRPr="002D5F64">
              <w:rPr>
                <w:b w:val="0"/>
                <w:sz w:val="16"/>
                <w:szCs w:val="16"/>
              </w:rPr>
              <w:t>September</w:t>
            </w:r>
            <w:r w:rsidR="004E68F3" w:rsidRPr="002D5F64">
              <w:rPr>
                <w:b w:val="0"/>
                <w:sz w:val="16"/>
                <w:szCs w:val="16"/>
              </w:rPr>
              <w:t xml:space="preserve"> 201</w:t>
            </w:r>
            <w:r w:rsidR="005A2031">
              <w:rPr>
                <w:b w:val="0"/>
                <w:sz w:val="16"/>
                <w:szCs w:val="16"/>
              </w:rPr>
              <w:t>4</w:t>
            </w:r>
          </w:p>
        </w:tc>
        <w:tc>
          <w:tcPr>
            <w:tcW w:w="1533" w:type="dxa"/>
          </w:tcPr>
          <w:p w14:paraId="49C46257" w14:textId="0C2DDD9F" w:rsidR="00416B02" w:rsidRPr="002D5F64" w:rsidRDefault="00091C9B" w:rsidP="004E68F3">
            <w:pPr>
              <w:pStyle w:val="TableTextEntries"/>
              <w:rPr>
                <w:b w:val="0"/>
                <w:sz w:val="16"/>
                <w:szCs w:val="16"/>
              </w:rPr>
            </w:pPr>
            <w:r w:rsidRPr="002D5F64">
              <w:rPr>
                <w:b w:val="0"/>
                <w:sz w:val="16"/>
                <w:szCs w:val="16"/>
              </w:rPr>
              <w:t>September 201</w:t>
            </w:r>
            <w:r w:rsidR="005A2031">
              <w:rPr>
                <w:b w:val="0"/>
                <w:sz w:val="16"/>
                <w:szCs w:val="16"/>
              </w:rPr>
              <w:t>4</w:t>
            </w:r>
          </w:p>
        </w:tc>
        <w:tc>
          <w:tcPr>
            <w:tcW w:w="2240" w:type="dxa"/>
          </w:tcPr>
          <w:p w14:paraId="0DFD7AC0" w14:textId="3A50F799" w:rsidR="00416B02" w:rsidRPr="002D5F64" w:rsidRDefault="00091C9B" w:rsidP="004E68F3">
            <w:pPr>
              <w:pStyle w:val="TableTextEntries"/>
              <w:rPr>
                <w:b w:val="0"/>
                <w:sz w:val="16"/>
                <w:szCs w:val="16"/>
              </w:rPr>
            </w:pPr>
            <w:r w:rsidRPr="002D5F64">
              <w:rPr>
                <w:b w:val="0"/>
                <w:sz w:val="16"/>
                <w:szCs w:val="16"/>
              </w:rPr>
              <w:t>N/A</w:t>
            </w:r>
          </w:p>
        </w:tc>
        <w:tc>
          <w:tcPr>
            <w:tcW w:w="1503" w:type="dxa"/>
          </w:tcPr>
          <w:p w14:paraId="505AD4BE" w14:textId="250EFFFC" w:rsidR="00416B02" w:rsidRPr="002D5F64" w:rsidRDefault="00091C9B" w:rsidP="004E68F3">
            <w:pPr>
              <w:pStyle w:val="TableTextEntries"/>
              <w:rPr>
                <w:b w:val="0"/>
                <w:sz w:val="16"/>
                <w:szCs w:val="16"/>
              </w:rPr>
            </w:pPr>
            <w:r w:rsidRPr="002D5F64">
              <w:rPr>
                <w:b w:val="0"/>
                <w:sz w:val="16"/>
                <w:szCs w:val="16"/>
              </w:rPr>
              <w:t>No</w:t>
            </w:r>
          </w:p>
        </w:tc>
      </w:tr>
      <w:tr w:rsidR="00416B02" w:rsidRPr="002D5F64" w14:paraId="2B5C1E4A" w14:textId="77777777" w:rsidTr="00237D0A">
        <w:trPr>
          <w:cnfStyle w:val="100000000000" w:firstRow="1" w:lastRow="0" w:firstColumn="0" w:lastColumn="0" w:oddVBand="0" w:evenVBand="0" w:oddHBand="0" w:evenHBand="0" w:firstRowFirstColumn="0" w:firstRowLastColumn="0" w:lastRowFirstColumn="0" w:lastRowLastColumn="0"/>
        </w:trPr>
        <w:tc>
          <w:tcPr>
            <w:tcW w:w="3360" w:type="dxa"/>
          </w:tcPr>
          <w:p w14:paraId="6C5C7786" w14:textId="4AAA1A3B" w:rsidR="00416B02" w:rsidRPr="002D5F64" w:rsidRDefault="00DE52C4" w:rsidP="00E15678">
            <w:pPr>
              <w:pStyle w:val="TableTextEntries"/>
              <w:rPr>
                <w:sz w:val="16"/>
                <w:szCs w:val="16"/>
              </w:rPr>
            </w:pPr>
            <w:r w:rsidRPr="002D5F64">
              <w:rPr>
                <w:b w:val="0"/>
                <w:sz w:val="16"/>
                <w:szCs w:val="16"/>
              </w:rPr>
              <w:t>Supporting Peace in Mindanao</w:t>
            </w:r>
          </w:p>
        </w:tc>
        <w:tc>
          <w:tcPr>
            <w:tcW w:w="876" w:type="dxa"/>
          </w:tcPr>
          <w:p w14:paraId="32624D7C" w14:textId="4F13983C" w:rsidR="00416B02" w:rsidRPr="002D5F64" w:rsidRDefault="00DE52C4" w:rsidP="00E15678">
            <w:pPr>
              <w:pStyle w:val="TableTextEntries"/>
              <w:rPr>
                <w:b w:val="0"/>
                <w:sz w:val="16"/>
                <w:szCs w:val="16"/>
              </w:rPr>
            </w:pPr>
            <w:r w:rsidRPr="002D5F64">
              <w:rPr>
                <w:b w:val="0"/>
                <w:sz w:val="16"/>
                <w:szCs w:val="16"/>
              </w:rPr>
              <w:t>ING238</w:t>
            </w:r>
          </w:p>
        </w:tc>
        <w:tc>
          <w:tcPr>
            <w:tcW w:w="2031" w:type="dxa"/>
          </w:tcPr>
          <w:p w14:paraId="004366FE" w14:textId="4CB03C28" w:rsidR="00416B02" w:rsidRPr="002D5F64" w:rsidRDefault="00DE52C4" w:rsidP="00E15678">
            <w:pPr>
              <w:pStyle w:val="TableTextEntries"/>
              <w:rPr>
                <w:b w:val="0"/>
                <w:sz w:val="16"/>
                <w:szCs w:val="16"/>
              </w:rPr>
            </w:pPr>
            <w:r w:rsidRPr="002D5F64">
              <w:rPr>
                <w:b w:val="0"/>
                <w:sz w:val="16"/>
                <w:szCs w:val="16"/>
              </w:rPr>
              <w:t xml:space="preserve">Internal </w:t>
            </w:r>
            <w:r w:rsidR="00620AB4" w:rsidRPr="002D5F64">
              <w:rPr>
                <w:b w:val="0"/>
                <w:sz w:val="16"/>
                <w:szCs w:val="16"/>
              </w:rPr>
              <w:t>f</w:t>
            </w:r>
            <w:r w:rsidR="00E35C25" w:rsidRPr="002D5F64">
              <w:rPr>
                <w:b w:val="0"/>
                <w:sz w:val="16"/>
                <w:szCs w:val="16"/>
              </w:rPr>
              <w:t>inal r</w:t>
            </w:r>
            <w:r w:rsidRPr="002D5F64">
              <w:rPr>
                <w:b w:val="0"/>
                <w:sz w:val="16"/>
                <w:szCs w:val="16"/>
              </w:rPr>
              <w:t>eview</w:t>
            </w:r>
          </w:p>
        </w:tc>
        <w:tc>
          <w:tcPr>
            <w:tcW w:w="1939" w:type="dxa"/>
          </w:tcPr>
          <w:p w14:paraId="34D2C2B1" w14:textId="558A20B2" w:rsidR="00416B02" w:rsidRPr="002D5F64" w:rsidRDefault="00DE52C4" w:rsidP="00E15678">
            <w:pPr>
              <w:pStyle w:val="TableTextEntries"/>
              <w:rPr>
                <w:b w:val="0"/>
                <w:sz w:val="16"/>
                <w:szCs w:val="16"/>
              </w:rPr>
            </w:pPr>
            <w:r w:rsidRPr="002D5F64">
              <w:rPr>
                <w:b w:val="0"/>
                <w:sz w:val="16"/>
                <w:szCs w:val="16"/>
              </w:rPr>
              <w:t>September 2014</w:t>
            </w:r>
          </w:p>
        </w:tc>
        <w:tc>
          <w:tcPr>
            <w:tcW w:w="1533" w:type="dxa"/>
          </w:tcPr>
          <w:p w14:paraId="1483BE6C" w14:textId="78CFEB02" w:rsidR="00416B02" w:rsidRPr="002D5F64" w:rsidRDefault="0017349F" w:rsidP="00E15678">
            <w:pPr>
              <w:pStyle w:val="TableTextEntries"/>
              <w:rPr>
                <w:b w:val="0"/>
                <w:sz w:val="16"/>
                <w:szCs w:val="16"/>
              </w:rPr>
            </w:pPr>
            <w:r w:rsidRPr="002D5F64">
              <w:rPr>
                <w:b w:val="0"/>
                <w:sz w:val="16"/>
                <w:szCs w:val="16"/>
              </w:rPr>
              <w:t>N/A</w:t>
            </w:r>
          </w:p>
        </w:tc>
        <w:tc>
          <w:tcPr>
            <w:tcW w:w="2240" w:type="dxa"/>
          </w:tcPr>
          <w:p w14:paraId="1D2CE6FD" w14:textId="15971185" w:rsidR="00416B02" w:rsidRPr="002D5F64" w:rsidRDefault="0017349F" w:rsidP="00E15678">
            <w:pPr>
              <w:pStyle w:val="TableTextEntries"/>
              <w:rPr>
                <w:b w:val="0"/>
                <w:sz w:val="16"/>
                <w:szCs w:val="16"/>
              </w:rPr>
            </w:pPr>
            <w:r w:rsidRPr="002D5F64">
              <w:rPr>
                <w:b w:val="0"/>
                <w:sz w:val="16"/>
                <w:szCs w:val="16"/>
              </w:rPr>
              <w:t>N/A</w:t>
            </w:r>
          </w:p>
        </w:tc>
        <w:tc>
          <w:tcPr>
            <w:tcW w:w="1503" w:type="dxa"/>
          </w:tcPr>
          <w:p w14:paraId="5EA642C3" w14:textId="26D61724" w:rsidR="00416B02" w:rsidRPr="002D5F64" w:rsidRDefault="001C5960" w:rsidP="00E15678">
            <w:pPr>
              <w:pStyle w:val="TableTextEntries"/>
              <w:rPr>
                <w:b w:val="0"/>
                <w:sz w:val="16"/>
                <w:szCs w:val="16"/>
              </w:rPr>
            </w:pPr>
            <w:r w:rsidRPr="002D5F64">
              <w:rPr>
                <w:b w:val="0"/>
                <w:sz w:val="16"/>
                <w:szCs w:val="16"/>
              </w:rPr>
              <w:t>N/A</w:t>
            </w:r>
          </w:p>
        </w:tc>
      </w:tr>
      <w:tr w:rsidR="00416B02" w:rsidRPr="002D5F64" w14:paraId="3C0757B7" w14:textId="77777777" w:rsidTr="00237D0A">
        <w:trPr>
          <w:cnfStyle w:val="100000000000" w:firstRow="1" w:lastRow="0" w:firstColumn="0" w:lastColumn="0" w:oddVBand="0" w:evenVBand="0" w:oddHBand="0" w:evenHBand="0" w:firstRowFirstColumn="0" w:firstRowLastColumn="0" w:lastRowFirstColumn="0" w:lastRowLastColumn="0"/>
        </w:trPr>
        <w:tc>
          <w:tcPr>
            <w:tcW w:w="3360" w:type="dxa"/>
            <w:vAlign w:val="center"/>
          </w:tcPr>
          <w:p w14:paraId="0802C27F" w14:textId="2729589B" w:rsidR="00416B02" w:rsidRPr="002D5F64" w:rsidRDefault="00E32E2B" w:rsidP="00E32E2B">
            <w:pPr>
              <w:pStyle w:val="TableTextEntries"/>
              <w:rPr>
                <w:b w:val="0"/>
                <w:sz w:val="16"/>
                <w:szCs w:val="16"/>
              </w:rPr>
            </w:pPr>
            <w:r w:rsidRPr="002D5F64">
              <w:rPr>
                <w:b w:val="0"/>
                <w:sz w:val="16"/>
                <w:szCs w:val="16"/>
              </w:rPr>
              <w:t>Philippines: Disaster and Climate Risks Management</w:t>
            </w:r>
          </w:p>
        </w:tc>
        <w:tc>
          <w:tcPr>
            <w:tcW w:w="876" w:type="dxa"/>
            <w:vAlign w:val="center"/>
          </w:tcPr>
          <w:p w14:paraId="6CEC2BCB" w14:textId="32149C26" w:rsidR="00416B02" w:rsidRPr="002D5F64" w:rsidRDefault="00E32E2B" w:rsidP="00E32E2B">
            <w:pPr>
              <w:pStyle w:val="TableTextEntries"/>
              <w:rPr>
                <w:b w:val="0"/>
                <w:sz w:val="16"/>
                <w:szCs w:val="16"/>
              </w:rPr>
            </w:pPr>
            <w:r w:rsidRPr="002D5F64">
              <w:rPr>
                <w:b w:val="0"/>
                <w:sz w:val="16"/>
                <w:szCs w:val="16"/>
              </w:rPr>
              <w:t>ING581</w:t>
            </w:r>
          </w:p>
        </w:tc>
        <w:tc>
          <w:tcPr>
            <w:tcW w:w="2031" w:type="dxa"/>
            <w:vAlign w:val="center"/>
          </w:tcPr>
          <w:p w14:paraId="3B590AA6" w14:textId="46644AEA" w:rsidR="00416B02" w:rsidRPr="002D5F64" w:rsidRDefault="00E32E2B" w:rsidP="00400D93">
            <w:pPr>
              <w:pStyle w:val="TableTextEntries"/>
              <w:rPr>
                <w:b w:val="0"/>
                <w:sz w:val="16"/>
                <w:szCs w:val="16"/>
              </w:rPr>
            </w:pPr>
            <w:r w:rsidRPr="002D5F64">
              <w:rPr>
                <w:b w:val="0"/>
                <w:sz w:val="16"/>
                <w:szCs w:val="16"/>
              </w:rPr>
              <w:t xml:space="preserve">Independent </w:t>
            </w:r>
            <w:r w:rsidR="00400D93" w:rsidRPr="002D5F64">
              <w:rPr>
                <w:b w:val="0"/>
                <w:sz w:val="16"/>
                <w:szCs w:val="16"/>
              </w:rPr>
              <w:t>progress review</w:t>
            </w:r>
          </w:p>
        </w:tc>
        <w:tc>
          <w:tcPr>
            <w:tcW w:w="1939" w:type="dxa"/>
            <w:vAlign w:val="center"/>
          </w:tcPr>
          <w:p w14:paraId="61FA5E8A" w14:textId="27650158" w:rsidR="00416B02" w:rsidRPr="002D5F64" w:rsidRDefault="00E32E2B" w:rsidP="00E32E2B">
            <w:pPr>
              <w:pStyle w:val="TableTextEntries"/>
              <w:rPr>
                <w:b w:val="0"/>
                <w:sz w:val="16"/>
                <w:szCs w:val="16"/>
              </w:rPr>
            </w:pPr>
            <w:r w:rsidRPr="002D5F64">
              <w:rPr>
                <w:b w:val="0"/>
                <w:sz w:val="16"/>
                <w:szCs w:val="16"/>
              </w:rPr>
              <w:t>June 2015</w:t>
            </w:r>
          </w:p>
        </w:tc>
        <w:tc>
          <w:tcPr>
            <w:tcW w:w="1533" w:type="dxa"/>
            <w:vAlign w:val="center"/>
          </w:tcPr>
          <w:p w14:paraId="5D09C4F9" w14:textId="163E090A" w:rsidR="00416B02" w:rsidRPr="002D5F64" w:rsidRDefault="00E32E2B" w:rsidP="00E32E2B">
            <w:pPr>
              <w:pStyle w:val="TableTextEntries"/>
              <w:rPr>
                <w:b w:val="0"/>
                <w:sz w:val="16"/>
                <w:szCs w:val="16"/>
              </w:rPr>
            </w:pPr>
            <w:r w:rsidRPr="002D5F64">
              <w:rPr>
                <w:b w:val="0"/>
                <w:sz w:val="16"/>
                <w:szCs w:val="16"/>
              </w:rPr>
              <w:t>September 2015</w:t>
            </w:r>
          </w:p>
        </w:tc>
        <w:tc>
          <w:tcPr>
            <w:tcW w:w="2240" w:type="dxa"/>
            <w:vAlign w:val="center"/>
          </w:tcPr>
          <w:p w14:paraId="5AD6736D" w14:textId="7482C41F" w:rsidR="00416B02" w:rsidRPr="002D5F64" w:rsidRDefault="001C5960" w:rsidP="007B6C26">
            <w:pPr>
              <w:pStyle w:val="TableTextEntries"/>
              <w:rPr>
                <w:b w:val="0"/>
                <w:sz w:val="16"/>
                <w:szCs w:val="16"/>
              </w:rPr>
            </w:pPr>
            <w:r w:rsidRPr="002D5F64">
              <w:rPr>
                <w:b w:val="0"/>
                <w:sz w:val="16"/>
                <w:szCs w:val="16"/>
              </w:rPr>
              <w:t xml:space="preserve">N/A </w:t>
            </w:r>
          </w:p>
        </w:tc>
        <w:tc>
          <w:tcPr>
            <w:tcW w:w="1503" w:type="dxa"/>
            <w:vAlign w:val="center"/>
          </w:tcPr>
          <w:p w14:paraId="7016F6CF" w14:textId="248E192B" w:rsidR="00416B02" w:rsidRPr="002D5F64" w:rsidRDefault="00E32E2B" w:rsidP="00E32E2B">
            <w:pPr>
              <w:pStyle w:val="TableTextEntries"/>
              <w:rPr>
                <w:b w:val="0"/>
                <w:sz w:val="16"/>
                <w:szCs w:val="16"/>
              </w:rPr>
            </w:pPr>
            <w:r w:rsidRPr="002D5F64">
              <w:rPr>
                <w:b w:val="0"/>
                <w:sz w:val="16"/>
                <w:szCs w:val="16"/>
              </w:rPr>
              <w:t>No</w:t>
            </w:r>
          </w:p>
        </w:tc>
      </w:tr>
      <w:tr w:rsidR="00E32E2B" w:rsidRPr="002D5F64" w14:paraId="48DA8BF3" w14:textId="77777777" w:rsidTr="00237D0A">
        <w:trPr>
          <w:cnfStyle w:val="100000000000" w:firstRow="1" w:lastRow="0" w:firstColumn="0" w:lastColumn="0" w:oddVBand="0" w:evenVBand="0" w:oddHBand="0" w:evenHBand="0" w:firstRowFirstColumn="0" w:firstRowLastColumn="0" w:lastRowFirstColumn="0" w:lastRowLastColumn="0"/>
        </w:trPr>
        <w:tc>
          <w:tcPr>
            <w:tcW w:w="3360" w:type="dxa"/>
            <w:vAlign w:val="center"/>
          </w:tcPr>
          <w:p w14:paraId="45E7D158" w14:textId="13D3F785" w:rsidR="00E32E2B" w:rsidRPr="002D5F64" w:rsidRDefault="00E32E2B" w:rsidP="00E32E2B">
            <w:pPr>
              <w:pStyle w:val="TableTextEntries"/>
              <w:rPr>
                <w:b w:val="0"/>
                <w:sz w:val="16"/>
                <w:szCs w:val="16"/>
              </w:rPr>
            </w:pPr>
            <w:r w:rsidRPr="002D5F64">
              <w:rPr>
                <w:b w:val="0"/>
                <w:sz w:val="16"/>
                <w:szCs w:val="16"/>
              </w:rPr>
              <w:t>Building Disaster Resilience of Manila Communities</w:t>
            </w:r>
          </w:p>
        </w:tc>
        <w:tc>
          <w:tcPr>
            <w:tcW w:w="876" w:type="dxa"/>
            <w:vAlign w:val="center"/>
          </w:tcPr>
          <w:p w14:paraId="6956FE60" w14:textId="33ADEAC7" w:rsidR="00E32E2B" w:rsidRPr="002D5F64" w:rsidRDefault="00E32E2B" w:rsidP="00E32E2B">
            <w:pPr>
              <w:pStyle w:val="TableTextEntries"/>
              <w:rPr>
                <w:b w:val="0"/>
                <w:sz w:val="16"/>
                <w:szCs w:val="16"/>
              </w:rPr>
            </w:pPr>
            <w:r w:rsidRPr="002D5F64">
              <w:rPr>
                <w:b w:val="0"/>
                <w:sz w:val="16"/>
                <w:szCs w:val="16"/>
              </w:rPr>
              <w:t>INJ138</w:t>
            </w:r>
          </w:p>
        </w:tc>
        <w:tc>
          <w:tcPr>
            <w:tcW w:w="2031" w:type="dxa"/>
            <w:vAlign w:val="center"/>
          </w:tcPr>
          <w:p w14:paraId="496987CF" w14:textId="238EC1B3" w:rsidR="00E32E2B" w:rsidRPr="002D5F64" w:rsidRDefault="00E32E2B" w:rsidP="00E32E2B">
            <w:pPr>
              <w:pStyle w:val="TableTextEntries"/>
              <w:rPr>
                <w:b w:val="0"/>
                <w:sz w:val="16"/>
                <w:szCs w:val="16"/>
              </w:rPr>
            </w:pPr>
            <w:r w:rsidRPr="002D5F64">
              <w:rPr>
                <w:b w:val="0"/>
                <w:sz w:val="16"/>
                <w:szCs w:val="16"/>
              </w:rPr>
              <w:t>Independent final review</w:t>
            </w:r>
          </w:p>
        </w:tc>
        <w:tc>
          <w:tcPr>
            <w:tcW w:w="1939" w:type="dxa"/>
            <w:vAlign w:val="center"/>
          </w:tcPr>
          <w:p w14:paraId="708BEF5B" w14:textId="6F331874" w:rsidR="00E32E2B" w:rsidRPr="002D5F64" w:rsidRDefault="00E32E2B" w:rsidP="00E32E2B">
            <w:pPr>
              <w:pStyle w:val="TableTextEntries"/>
              <w:rPr>
                <w:sz w:val="16"/>
                <w:szCs w:val="16"/>
              </w:rPr>
            </w:pPr>
            <w:r w:rsidRPr="002D5F64">
              <w:rPr>
                <w:b w:val="0"/>
                <w:sz w:val="16"/>
                <w:szCs w:val="16"/>
              </w:rPr>
              <w:t>June 2015</w:t>
            </w:r>
          </w:p>
        </w:tc>
        <w:tc>
          <w:tcPr>
            <w:tcW w:w="1533" w:type="dxa"/>
            <w:vAlign w:val="center"/>
          </w:tcPr>
          <w:p w14:paraId="436A6A1F" w14:textId="26A4207B" w:rsidR="00E32E2B" w:rsidRPr="002D5F64" w:rsidRDefault="00E32E2B" w:rsidP="00E32E2B">
            <w:pPr>
              <w:pStyle w:val="TableTextEntries"/>
              <w:rPr>
                <w:sz w:val="16"/>
                <w:szCs w:val="16"/>
              </w:rPr>
            </w:pPr>
            <w:r w:rsidRPr="002D5F64">
              <w:rPr>
                <w:b w:val="0"/>
                <w:sz w:val="16"/>
                <w:szCs w:val="16"/>
              </w:rPr>
              <w:t>September 2015</w:t>
            </w:r>
          </w:p>
        </w:tc>
        <w:tc>
          <w:tcPr>
            <w:tcW w:w="2240" w:type="dxa"/>
            <w:vAlign w:val="center"/>
          </w:tcPr>
          <w:p w14:paraId="64760F09" w14:textId="57AAC049" w:rsidR="00E32E2B" w:rsidRPr="002D5F64" w:rsidRDefault="00E32E2B" w:rsidP="007B6C26">
            <w:pPr>
              <w:pStyle w:val="TableTextEntries"/>
              <w:rPr>
                <w:b w:val="0"/>
                <w:sz w:val="16"/>
                <w:szCs w:val="16"/>
              </w:rPr>
            </w:pPr>
            <w:r w:rsidRPr="002D5F64">
              <w:rPr>
                <w:b w:val="0"/>
                <w:sz w:val="16"/>
                <w:szCs w:val="16"/>
              </w:rPr>
              <w:t>N/A</w:t>
            </w:r>
            <w:r w:rsidR="001C5960" w:rsidRPr="002D5F64">
              <w:rPr>
                <w:b w:val="0"/>
                <w:sz w:val="16"/>
                <w:szCs w:val="16"/>
              </w:rPr>
              <w:t xml:space="preserve"> </w:t>
            </w:r>
          </w:p>
        </w:tc>
        <w:tc>
          <w:tcPr>
            <w:tcW w:w="1503" w:type="dxa"/>
            <w:vAlign w:val="center"/>
          </w:tcPr>
          <w:p w14:paraId="202BBC11" w14:textId="0BC3202C" w:rsidR="00E32E2B" w:rsidRPr="002D5F64" w:rsidRDefault="00E32E2B" w:rsidP="00E32E2B">
            <w:pPr>
              <w:pStyle w:val="TableTextEntries"/>
              <w:rPr>
                <w:b w:val="0"/>
                <w:sz w:val="16"/>
                <w:szCs w:val="16"/>
              </w:rPr>
            </w:pPr>
            <w:r w:rsidRPr="002D5F64">
              <w:rPr>
                <w:b w:val="0"/>
                <w:sz w:val="16"/>
                <w:szCs w:val="16"/>
              </w:rPr>
              <w:t>No</w:t>
            </w:r>
          </w:p>
        </w:tc>
      </w:tr>
      <w:tr w:rsidR="00237D0A" w:rsidRPr="00071B95" w14:paraId="0E75D38D" w14:textId="77777777" w:rsidTr="00237D0A">
        <w:trPr>
          <w:cnfStyle w:val="100000000000" w:firstRow="1" w:lastRow="0" w:firstColumn="0" w:lastColumn="0" w:oddVBand="0" w:evenVBand="0" w:oddHBand="0" w:evenHBand="0" w:firstRowFirstColumn="0" w:firstRowLastColumn="0" w:lastRowFirstColumn="0" w:lastRowLastColumn="0"/>
        </w:trPr>
        <w:tc>
          <w:tcPr>
            <w:tcW w:w="3360" w:type="dxa"/>
            <w:vAlign w:val="center"/>
          </w:tcPr>
          <w:p w14:paraId="14F5C678" w14:textId="3F251FDB" w:rsidR="00237D0A" w:rsidRPr="002D5F64" w:rsidRDefault="00237D0A" w:rsidP="00E32E2B">
            <w:pPr>
              <w:pStyle w:val="TableTextEntries"/>
              <w:rPr>
                <w:b w:val="0"/>
                <w:sz w:val="16"/>
                <w:szCs w:val="16"/>
              </w:rPr>
            </w:pPr>
            <w:r w:rsidRPr="002D5F64">
              <w:rPr>
                <w:b w:val="0"/>
                <w:sz w:val="16"/>
                <w:szCs w:val="16"/>
              </w:rPr>
              <w:t>Provincial Road Management Facility (PRMF)</w:t>
            </w:r>
          </w:p>
        </w:tc>
        <w:tc>
          <w:tcPr>
            <w:tcW w:w="876" w:type="dxa"/>
            <w:vAlign w:val="center"/>
          </w:tcPr>
          <w:p w14:paraId="33CBA709" w14:textId="4947BE8D" w:rsidR="00237D0A" w:rsidRPr="002D5F64" w:rsidRDefault="00237D0A" w:rsidP="00E32E2B">
            <w:pPr>
              <w:pStyle w:val="TableTextEntries"/>
              <w:rPr>
                <w:b w:val="0"/>
                <w:sz w:val="16"/>
                <w:szCs w:val="16"/>
              </w:rPr>
            </w:pPr>
            <w:r w:rsidRPr="002D5F64">
              <w:rPr>
                <w:b w:val="0"/>
              </w:rPr>
              <w:t>INI171</w:t>
            </w:r>
          </w:p>
        </w:tc>
        <w:tc>
          <w:tcPr>
            <w:tcW w:w="2031" w:type="dxa"/>
            <w:vAlign w:val="center"/>
          </w:tcPr>
          <w:p w14:paraId="26D3DC03" w14:textId="02091DF9" w:rsidR="00237D0A" w:rsidRPr="002D5F64" w:rsidRDefault="00E35C25" w:rsidP="00E32E2B">
            <w:pPr>
              <w:pStyle w:val="TableTextEntries"/>
              <w:rPr>
                <w:b w:val="0"/>
                <w:sz w:val="16"/>
                <w:szCs w:val="16"/>
              </w:rPr>
            </w:pPr>
            <w:r w:rsidRPr="002D5F64">
              <w:rPr>
                <w:b w:val="0"/>
                <w:sz w:val="16"/>
                <w:szCs w:val="16"/>
              </w:rPr>
              <w:t>Independent progress review</w:t>
            </w:r>
          </w:p>
        </w:tc>
        <w:tc>
          <w:tcPr>
            <w:tcW w:w="1939" w:type="dxa"/>
            <w:vAlign w:val="center"/>
          </w:tcPr>
          <w:p w14:paraId="28AC2D77" w14:textId="44F8AC56" w:rsidR="00237D0A" w:rsidRPr="002D5F64" w:rsidRDefault="00237D0A" w:rsidP="00E32E2B">
            <w:pPr>
              <w:pStyle w:val="TableTextEntries"/>
              <w:rPr>
                <w:b w:val="0"/>
                <w:sz w:val="16"/>
                <w:szCs w:val="16"/>
              </w:rPr>
            </w:pPr>
            <w:r w:rsidRPr="002D5F64">
              <w:rPr>
                <w:b w:val="0"/>
                <w:sz w:val="16"/>
                <w:szCs w:val="16"/>
              </w:rPr>
              <w:t>February 2015</w:t>
            </w:r>
          </w:p>
        </w:tc>
        <w:tc>
          <w:tcPr>
            <w:tcW w:w="1533" w:type="dxa"/>
            <w:vAlign w:val="center"/>
          </w:tcPr>
          <w:p w14:paraId="705907EB" w14:textId="10A8987E" w:rsidR="00237D0A" w:rsidRPr="002D5F64" w:rsidRDefault="007B6C26" w:rsidP="00E32E2B">
            <w:pPr>
              <w:pStyle w:val="TableTextEntries"/>
              <w:rPr>
                <w:b w:val="0"/>
                <w:sz w:val="16"/>
                <w:szCs w:val="16"/>
              </w:rPr>
            </w:pPr>
            <w:r w:rsidRPr="002D5F64">
              <w:rPr>
                <w:b w:val="0"/>
                <w:sz w:val="16"/>
                <w:szCs w:val="16"/>
              </w:rPr>
              <w:t>February 2015</w:t>
            </w:r>
          </w:p>
        </w:tc>
        <w:tc>
          <w:tcPr>
            <w:tcW w:w="2240" w:type="dxa"/>
            <w:vAlign w:val="center"/>
          </w:tcPr>
          <w:p w14:paraId="2291AC79" w14:textId="4B5FE86A" w:rsidR="00237D0A" w:rsidRPr="002D5F64" w:rsidRDefault="007B6C26" w:rsidP="001C5960">
            <w:pPr>
              <w:pStyle w:val="TableTextEntries"/>
              <w:rPr>
                <w:b w:val="0"/>
                <w:sz w:val="16"/>
                <w:szCs w:val="16"/>
              </w:rPr>
            </w:pPr>
            <w:r w:rsidRPr="002D5F64">
              <w:rPr>
                <w:b w:val="0"/>
                <w:sz w:val="16"/>
                <w:szCs w:val="16"/>
              </w:rPr>
              <w:t>September 2015</w:t>
            </w:r>
          </w:p>
        </w:tc>
        <w:tc>
          <w:tcPr>
            <w:tcW w:w="1503" w:type="dxa"/>
            <w:vAlign w:val="center"/>
          </w:tcPr>
          <w:p w14:paraId="4992593A" w14:textId="31E74757" w:rsidR="00237D0A" w:rsidRPr="002D5F64" w:rsidRDefault="007B6C26" w:rsidP="00E32E2B">
            <w:pPr>
              <w:pStyle w:val="TableTextEntries"/>
              <w:rPr>
                <w:b w:val="0"/>
                <w:sz w:val="16"/>
                <w:szCs w:val="16"/>
              </w:rPr>
            </w:pPr>
            <w:r w:rsidRPr="002D5F64">
              <w:rPr>
                <w:b w:val="0"/>
                <w:sz w:val="16"/>
                <w:szCs w:val="16"/>
              </w:rPr>
              <w:t>No</w:t>
            </w:r>
          </w:p>
        </w:tc>
      </w:tr>
    </w:tbl>
    <w:p w14:paraId="00BCCC58" w14:textId="77777777" w:rsidR="00416B02" w:rsidRPr="00071B95" w:rsidRDefault="00416B02" w:rsidP="00416B02">
      <w:pPr>
        <w:rPr>
          <w:b/>
        </w:rPr>
      </w:pPr>
    </w:p>
    <w:p w14:paraId="75A52EDF" w14:textId="6C61CF6C" w:rsidR="00416B02" w:rsidRPr="008A6CDC" w:rsidRDefault="00416B02" w:rsidP="0045575B">
      <w:pPr>
        <w:pStyle w:val="Heading3"/>
        <w:sectPr w:rsidR="00416B02" w:rsidRPr="008A6CDC" w:rsidSect="009C7C02">
          <w:headerReference w:type="even" r:id="rId19"/>
          <w:footerReference w:type="first" r:id="rId20"/>
          <w:pgSz w:w="16838" w:h="11906" w:orient="landscape" w:code="9"/>
          <w:pgMar w:top="1814" w:right="1814" w:bottom="851" w:left="851" w:header="709" w:footer="425" w:gutter="0"/>
          <w:cols w:space="708"/>
          <w:docGrid w:linePitch="360"/>
        </w:sectPr>
      </w:pPr>
      <w:r w:rsidRPr="008A6CDC">
        <w:t>List of evaluation</w:t>
      </w:r>
      <w:r w:rsidR="0045575B" w:rsidRPr="008A6CDC">
        <w:t>s planned in the next 12 months</w:t>
      </w:r>
    </w:p>
    <w:tbl>
      <w:tblPr>
        <w:tblStyle w:val="APPR"/>
        <w:tblW w:w="0" w:type="auto"/>
        <w:tblBorders>
          <w:top w:val="none" w:sz="0" w:space="0" w:color="auto"/>
          <w:bottom w:val="none" w:sz="0" w:space="0" w:color="auto"/>
        </w:tblBorders>
        <w:tblLook w:val="0600" w:firstRow="0" w:lastRow="0" w:firstColumn="0" w:lastColumn="0" w:noHBand="1" w:noVBand="1"/>
      </w:tblPr>
      <w:tblGrid>
        <w:gridCol w:w="2643"/>
        <w:gridCol w:w="2558"/>
        <w:gridCol w:w="2640"/>
        <w:gridCol w:w="2640"/>
        <w:gridCol w:w="2659"/>
      </w:tblGrid>
      <w:tr w:rsidR="00416B02" w:rsidRPr="002D5F64" w14:paraId="2C9A0587" w14:textId="77777777" w:rsidTr="00EF02E8">
        <w:tc>
          <w:tcPr>
            <w:tcW w:w="2601" w:type="dxa"/>
            <w:tcBorders>
              <w:top w:val="single" w:sz="12" w:space="0" w:color="auto"/>
            </w:tcBorders>
            <w:vAlign w:val="center"/>
          </w:tcPr>
          <w:p w14:paraId="5D0404E4" w14:textId="77777777" w:rsidR="00416B02" w:rsidRPr="002D5F64" w:rsidRDefault="00416B02" w:rsidP="0048469F">
            <w:pPr>
              <w:pStyle w:val="TableTextColumnHeading"/>
            </w:pPr>
            <w:r w:rsidRPr="002D5F64">
              <w:lastRenderedPageBreak/>
              <w:t>Name of Investment</w:t>
            </w:r>
          </w:p>
        </w:tc>
        <w:tc>
          <w:tcPr>
            <w:tcW w:w="2530" w:type="dxa"/>
            <w:tcBorders>
              <w:top w:val="single" w:sz="12" w:space="0" w:color="auto"/>
            </w:tcBorders>
            <w:vAlign w:val="center"/>
          </w:tcPr>
          <w:p w14:paraId="7E3C7D9C" w14:textId="77777777" w:rsidR="00416B02" w:rsidRPr="002D5F64" w:rsidRDefault="00136CC1" w:rsidP="0048469F">
            <w:pPr>
              <w:pStyle w:val="TableTextColumnHeading"/>
            </w:pPr>
            <w:r w:rsidRPr="002D5F64">
              <w:t>AidWorks</w:t>
            </w:r>
            <w:r w:rsidR="00416B02" w:rsidRPr="002D5F64">
              <w:t xml:space="preserve"> number</w:t>
            </w:r>
          </w:p>
        </w:tc>
        <w:tc>
          <w:tcPr>
            <w:tcW w:w="2612" w:type="dxa"/>
            <w:tcBorders>
              <w:top w:val="single" w:sz="12" w:space="0" w:color="auto"/>
            </w:tcBorders>
            <w:vAlign w:val="center"/>
          </w:tcPr>
          <w:p w14:paraId="71ABC141" w14:textId="77777777" w:rsidR="00416B02" w:rsidRPr="002D5F64" w:rsidRDefault="00416B02" w:rsidP="0048469F">
            <w:pPr>
              <w:pStyle w:val="TableTextColumnHeading"/>
            </w:pPr>
            <w:r w:rsidRPr="002D5F64">
              <w:t>Type of evaluation</w:t>
            </w:r>
          </w:p>
        </w:tc>
        <w:tc>
          <w:tcPr>
            <w:tcW w:w="2612" w:type="dxa"/>
            <w:tcBorders>
              <w:top w:val="single" w:sz="12" w:space="0" w:color="auto"/>
            </w:tcBorders>
            <w:vAlign w:val="center"/>
          </w:tcPr>
          <w:p w14:paraId="6521D6EB" w14:textId="77777777" w:rsidR="00416B02" w:rsidRPr="002D5F64" w:rsidRDefault="00416B02" w:rsidP="0048469F">
            <w:pPr>
              <w:pStyle w:val="TableTextColumnHeading"/>
            </w:pPr>
            <w:r w:rsidRPr="002D5F64">
              <w:t>Purpose of evaluation</w:t>
            </w:r>
          </w:p>
        </w:tc>
        <w:tc>
          <w:tcPr>
            <w:tcW w:w="2617" w:type="dxa"/>
            <w:tcBorders>
              <w:top w:val="single" w:sz="12" w:space="0" w:color="auto"/>
            </w:tcBorders>
            <w:vAlign w:val="center"/>
          </w:tcPr>
          <w:p w14:paraId="5E3EDC65" w14:textId="77777777" w:rsidR="00416B02" w:rsidRPr="002D5F64" w:rsidRDefault="00416B02" w:rsidP="0048469F">
            <w:pPr>
              <w:pStyle w:val="TableTextColumnHeading"/>
            </w:pPr>
            <w:r w:rsidRPr="002D5F64">
              <w:t>Expected completion date</w:t>
            </w:r>
          </w:p>
        </w:tc>
      </w:tr>
      <w:tr w:rsidR="00076D88" w:rsidRPr="002D5F64" w14:paraId="04FCB067" w14:textId="77777777" w:rsidTr="00004F0F">
        <w:trPr>
          <w:trHeight w:val="406"/>
        </w:trPr>
        <w:tc>
          <w:tcPr>
            <w:tcW w:w="2601" w:type="dxa"/>
            <w:vAlign w:val="center"/>
          </w:tcPr>
          <w:p w14:paraId="62917595" w14:textId="77777777" w:rsidR="00076D88" w:rsidRPr="002D5F64" w:rsidRDefault="00076D88" w:rsidP="00004F0F">
            <w:pPr>
              <w:pStyle w:val="TableTextEntries"/>
            </w:pPr>
            <w:r w:rsidRPr="002D5F64">
              <w:t>The Asia Foundation Partnership Philippines</w:t>
            </w:r>
          </w:p>
        </w:tc>
        <w:tc>
          <w:tcPr>
            <w:tcW w:w="2530" w:type="dxa"/>
            <w:vAlign w:val="center"/>
          </w:tcPr>
          <w:p w14:paraId="0158C620" w14:textId="77777777" w:rsidR="00076D88" w:rsidRPr="002D5F64" w:rsidRDefault="00076D88" w:rsidP="00004F0F">
            <w:pPr>
              <w:pStyle w:val="TableTextEntries"/>
            </w:pPr>
            <w:r w:rsidRPr="002D5F64">
              <w:t>INJ839</w:t>
            </w:r>
          </w:p>
        </w:tc>
        <w:tc>
          <w:tcPr>
            <w:tcW w:w="2612" w:type="dxa"/>
            <w:vAlign w:val="center"/>
          </w:tcPr>
          <w:p w14:paraId="45B569CE" w14:textId="77777777" w:rsidR="00076D88" w:rsidRPr="002D5F64" w:rsidRDefault="00076D88" w:rsidP="00004F0F">
            <w:pPr>
              <w:pStyle w:val="TableTextEntries"/>
            </w:pPr>
            <w:r w:rsidRPr="002D5F64">
              <w:t>Independent Progress Review</w:t>
            </w:r>
          </w:p>
        </w:tc>
        <w:tc>
          <w:tcPr>
            <w:tcW w:w="2612" w:type="dxa"/>
            <w:vAlign w:val="center"/>
          </w:tcPr>
          <w:p w14:paraId="5BA8D5CF" w14:textId="6BB9FBD5" w:rsidR="00076D88" w:rsidRPr="002D5F64" w:rsidRDefault="008031E2" w:rsidP="00004F0F">
            <w:pPr>
              <w:pStyle w:val="TableTextEntries"/>
            </w:pPr>
            <w:r w:rsidRPr="002D5F64">
              <w:t>To demonstrate achievements</w:t>
            </w:r>
            <w:r>
              <w:t xml:space="preserve"> and</w:t>
            </w:r>
            <w:r w:rsidRPr="002D5F64">
              <w:t xml:space="preserve"> identify areas for improvement</w:t>
            </w:r>
          </w:p>
        </w:tc>
        <w:tc>
          <w:tcPr>
            <w:tcW w:w="2617" w:type="dxa"/>
            <w:vAlign w:val="center"/>
          </w:tcPr>
          <w:p w14:paraId="771F408F" w14:textId="653EF088" w:rsidR="00076D88" w:rsidRPr="002D5F64" w:rsidRDefault="00076D88" w:rsidP="00004F0F">
            <w:pPr>
              <w:pStyle w:val="TableTextEntries"/>
            </w:pPr>
            <w:r w:rsidRPr="002D5F64">
              <w:rPr>
                <w:lang w:eastAsia="en-AU"/>
              </w:rPr>
              <w:t xml:space="preserve">July 2016 </w:t>
            </w:r>
          </w:p>
        </w:tc>
      </w:tr>
      <w:tr w:rsidR="00076D88" w:rsidRPr="002D5F64" w14:paraId="591FD3A7" w14:textId="77777777" w:rsidTr="00004F0F">
        <w:trPr>
          <w:trHeight w:val="406"/>
        </w:trPr>
        <w:tc>
          <w:tcPr>
            <w:tcW w:w="2601" w:type="dxa"/>
            <w:vAlign w:val="center"/>
          </w:tcPr>
          <w:p w14:paraId="6D081C08" w14:textId="35EEDF09" w:rsidR="00076D88" w:rsidRPr="002D5F64" w:rsidRDefault="00076D88" w:rsidP="00004F0F">
            <w:pPr>
              <w:pStyle w:val="TableTextEntries"/>
            </w:pPr>
            <w:r w:rsidRPr="002D5F64">
              <w:t>Basic Education Sector Transformation (BEST) Prog</w:t>
            </w:r>
            <w:r w:rsidR="005A2031">
              <w:t>ram</w:t>
            </w:r>
          </w:p>
        </w:tc>
        <w:tc>
          <w:tcPr>
            <w:tcW w:w="2530" w:type="dxa"/>
            <w:vAlign w:val="center"/>
          </w:tcPr>
          <w:p w14:paraId="6B285D15" w14:textId="77777777" w:rsidR="00076D88" w:rsidRPr="002D5F64" w:rsidRDefault="00076D88" w:rsidP="00004F0F">
            <w:pPr>
              <w:pStyle w:val="TableTextEntries"/>
            </w:pPr>
            <w:r w:rsidRPr="002D5F64">
              <w:t>INJ223</w:t>
            </w:r>
          </w:p>
        </w:tc>
        <w:tc>
          <w:tcPr>
            <w:tcW w:w="2612" w:type="dxa"/>
            <w:vAlign w:val="center"/>
          </w:tcPr>
          <w:p w14:paraId="0687EA57" w14:textId="77777777" w:rsidR="00076D88" w:rsidRPr="002D5F64" w:rsidRDefault="00076D88" w:rsidP="00004F0F">
            <w:pPr>
              <w:spacing w:before="40" w:after="40" w:line="200" w:lineRule="atLeast"/>
              <w:rPr>
                <w:rFonts w:ascii="Franklin Gothic Book" w:hAnsi="Franklin Gothic Book"/>
                <w:sz w:val="17"/>
                <w:szCs w:val="17"/>
              </w:rPr>
            </w:pPr>
            <w:r w:rsidRPr="002D5F64">
              <w:rPr>
                <w:rFonts w:ascii="Franklin Gothic Book" w:hAnsi="Franklin Gothic Book"/>
                <w:sz w:val="17"/>
                <w:szCs w:val="17"/>
              </w:rPr>
              <w:t>Independent progress review</w:t>
            </w:r>
          </w:p>
        </w:tc>
        <w:tc>
          <w:tcPr>
            <w:tcW w:w="2612" w:type="dxa"/>
            <w:vAlign w:val="center"/>
          </w:tcPr>
          <w:p w14:paraId="2735BAE3" w14:textId="6CE49B00" w:rsidR="00076D88" w:rsidRPr="002D5F64" w:rsidRDefault="00076D88" w:rsidP="008031E2">
            <w:pPr>
              <w:spacing w:before="40" w:after="40" w:line="200" w:lineRule="atLeast"/>
              <w:rPr>
                <w:rFonts w:ascii="Franklin Gothic Book" w:hAnsi="Franklin Gothic Book"/>
                <w:color w:val="808080"/>
                <w:sz w:val="17"/>
                <w:szCs w:val="17"/>
              </w:rPr>
            </w:pPr>
            <w:r w:rsidRPr="002D5F64">
              <w:rPr>
                <w:rFonts w:ascii="Franklin Gothic Book" w:hAnsi="Franklin Gothic Book"/>
                <w:sz w:val="17"/>
                <w:szCs w:val="17"/>
              </w:rPr>
              <w:t>To demonstrate achievements</w:t>
            </w:r>
            <w:r w:rsidR="008031E2">
              <w:rPr>
                <w:rFonts w:ascii="Franklin Gothic Book" w:hAnsi="Franklin Gothic Book"/>
                <w:sz w:val="17"/>
                <w:szCs w:val="17"/>
              </w:rPr>
              <w:t xml:space="preserve"> and</w:t>
            </w:r>
            <w:r w:rsidRPr="002D5F64">
              <w:rPr>
                <w:rFonts w:ascii="Franklin Gothic Book" w:hAnsi="Franklin Gothic Book"/>
                <w:sz w:val="17"/>
                <w:szCs w:val="17"/>
              </w:rPr>
              <w:t xml:space="preserve"> identify </w:t>
            </w:r>
            <w:r w:rsidR="00004F0F" w:rsidRPr="002D5F64">
              <w:rPr>
                <w:rFonts w:ascii="Franklin Gothic Book" w:hAnsi="Franklin Gothic Book"/>
                <w:sz w:val="17"/>
                <w:szCs w:val="17"/>
              </w:rPr>
              <w:t>areas for improvement</w:t>
            </w:r>
          </w:p>
        </w:tc>
        <w:tc>
          <w:tcPr>
            <w:tcW w:w="2617" w:type="dxa"/>
            <w:vAlign w:val="center"/>
          </w:tcPr>
          <w:p w14:paraId="534F618B" w14:textId="77777777" w:rsidR="00076D88" w:rsidRPr="002D5F64" w:rsidRDefault="00076D88" w:rsidP="00004F0F">
            <w:pPr>
              <w:spacing w:before="40" w:after="40" w:line="200" w:lineRule="atLeast"/>
              <w:rPr>
                <w:rFonts w:ascii="Franklin Gothic Book" w:hAnsi="Franklin Gothic Book"/>
                <w:sz w:val="17"/>
                <w:szCs w:val="17"/>
              </w:rPr>
            </w:pPr>
            <w:r w:rsidRPr="002D5F64">
              <w:rPr>
                <w:rFonts w:ascii="Franklin Gothic Book" w:hAnsi="Franklin Gothic Book"/>
                <w:sz w:val="17"/>
                <w:szCs w:val="17"/>
              </w:rPr>
              <w:t>July 2016 - October 2016</w:t>
            </w:r>
          </w:p>
          <w:p w14:paraId="275DEB7D" w14:textId="77777777" w:rsidR="00076D88" w:rsidRPr="002D5F64" w:rsidRDefault="00076D88" w:rsidP="00004F0F">
            <w:pPr>
              <w:pStyle w:val="TableTextEntries"/>
              <w:rPr>
                <w:lang w:eastAsia="en-AU"/>
              </w:rPr>
            </w:pPr>
          </w:p>
        </w:tc>
      </w:tr>
      <w:tr w:rsidR="00D55449" w:rsidRPr="008A6CDC" w14:paraId="191B2B86" w14:textId="77777777" w:rsidTr="00004F0F">
        <w:trPr>
          <w:trHeight w:val="406"/>
        </w:trPr>
        <w:tc>
          <w:tcPr>
            <w:tcW w:w="2601" w:type="dxa"/>
            <w:tcBorders>
              <w:bottom w:val="single" w:sz="12" w:space="0" w:color="auto"/>
            </w:tcBorders>
            <w:vAlign w:val="center"/>
          </w:tcPr>
          <w:p w14:paraId="3507A52E" w14:textId="671ADBC5" w:rsidR="00D55449" w:rsidRPr="002D5F64" w:rsidRDefault="006B6E4B" w:rsidP="00004F0F">
            <w:pPr>
              <w:pStyle w:val="TableTextEntries"/>
            </w:pPr>
            <w:r>
              <w:t>Peacebuilding in Conflict</w:t>
            </w:r>
            <w:r>
              <w:noBreakHyphen/>
            </w:r>
            <w:r w:rsidR="00D55449" w:rsidRPr="002D5F64">
              <w:t>Affected Mindanao</w:t>
            </w:r>
          </w:p>
        </w:tc>
        <w:tc>
          <w:tcPr>
            <w:tcW w:w="2530" w:type="dxa"/>
            <w:tcBorders>
              <w:bottom w:val="single" w:sz="12" w:space="0" w:color="auto"/>
            </w:tcBorders>
            <w:vAlign w:val="center"/>
          </w:tcPr>
          <w:p w14:paraId="0158A4B1" w14:textId="77777777" w:rsidR="00D55449" w:rsidRPr="002D5F64" w:rsidRDefault="00D55449" w:rsidP="00004F0F">
            <w:pPr>
              <w:pStyle w:val="TableTextEntries"/>
            </w:pPr>
            <w:r w:rsidRPr="002D5F64">
              <w:t>INL343</w:t>
            </w:r>
          </w:p>
        </w:tc>
        <w:tc>
          <w:tcPr>
            <w:tcW w:w="2612" w:type="dxa"/>
            <w:tcBorders>
              <w:bottom w:val="single" w:sz="12" w:space="0" w:color="auto"/>
            </w:tcBorders>
            <w:vAlign w:val="center"/>
          </w:tcPr>
          <w:p w14:paraId="40B2B8A6" w14:textId="77777777" w:rsidR="00D55449" w:rsidRPr="002D5F64" w:rsidRDefault="00D55449" w:rsidP="00004F0F">
            <w:pPr>
              <w:spacing w:before="40" w:after="40" w:line="200" w:lineRule="atLeast"/>
              <w:rPr>
                <w:rFonts w:ascii="Franklin Gothic Book" w:hAnsi="Franklin Gothic Book"/>
                <w:szCs w:val="20"/>
              </w:rPr>
            </w:pPr>
            <w:r w:rsidRPr="002D5F64">
              <w:rPr>
                <w:rFonts w:ascii="Franklin Gothic Book" w:hAnsi="Franklin Gothic Book"/>
                <w:sz w:val="17"/>
                <w:szCs w:val="17"/>
              </w:rPr>
              <w:t>Independent progress review</w:t>
            </w:r>
          </w:p>
        </w:tc>
        <w:tc>
          <w:tcPr>
            <w:tcW w:w="2612" w:type="dxa"/>
            <w:tcBorders>
              <w:bottom w:val="single" w:sz="12" w:space="0" w:color="auto"/>
            </w:tcBorders>
            <w:vAlign w:val="center"/>
          </w:tcPr>
          <w:p w14:paraId="23628170" w14:textId="77777777" w:rsidR="00D55449" w:rsidRPr="002D5F64" w:rsidRDefault="00D55449" w:rsidP="00004F0F">
            <w:pPr>
              <w:spacing w:before="40" w:after="40" w:line="200" w:lineRule="atLeast"/>
              <w:rPr>
                <w:rFonts w:ascii="Franklin Gothic Book" w:hAnsi="Franklin Gothic Book"/>
                <w:sz w:val="17"/>
                <w:szCs w:val="17"/>
              </w:rPr>
            </w:pPr>
            <w:r w:rsidRPr="002D5F64">
              <w:rPr>
                <w:rFonts w:ascii="Franklin Gothic Book" w:hAnsi="Franklin Gothic Book"/>
                <w:sz w:val="17"/>
                <w:szCs w:val="17"/>
              </w:rPr>
              <w:t>To inform a new investment</w:t>
            </w:r>
          </w:p>
        </w:tc>
        <w:tc>
          <w:tcPr>
            <w:tcW w:w="2617" w:type="dxa"/>
            <w:tcBorders>
              <w:bottom w:val="single" w:sz="12" w:space="0" w:color="auto"/>
            </w:tcBorders>
            <w:vAlign w:val="center"/>
          </w:tcPr>
          <w:p w14:paraId="150C6F6B" w14:textId="77777777" w:rsidR="00D55449" w:rsidRPr="002D5F64" w:rsidRDefault="00D55449" w:rsidP="00004F0F">
            <w:pPr>
              <w:spacing w:before="40" w:after="40" w:line="200" w:lineRule="atLeast"/>
              <w:rPr>
                <w:rFonts w:ascii="Franklin Gothic Book" w:hAnsi="Franklin Gothic Book"/>
                <w:sz w:val="17"/>
                <w:szCs w:val="17"/>
              </w:rPr>
            </w:pPr>
            <w:r w:rsidRPr="002D5F64">
              <w:rPr>
                <w:rFonts w:ascii="Franklin Gothic Book" w:hAnsi="Franklin Gothic Book"/>
                <w:sz w:val="17"/>
                <w:szCs w:val="17"/>
              </w:rPr>
              <w:t>July 2016 - September 2016</w:t>
            </w:r>
          </w:p>
        </w:tc>
      </w:tr>
    </w:tbl>
    <w:p w14:paraId="6F6AE1CA" w14:textId="77777777" w:rsidR="00416B02" w:rsidRDefault="00416B02" w:rsidP="00416B02">
      <w:pPr>
        <w:rPr>
          <w:b/>
        </w:rPr>
        <w:sectPr w:rsidR="00416B02" w:rsidSect="009C7C02">
          <w:footnotePr>
            <w:numRestart w:val="eachPage"/>
          </w:footnotePr>
          <w:type w:val="continuous"/>
          <w:pgSz w:w="16838" w:h="11906" w:orient="landscape" w:code="9"/>
          <w:pgMar w:top="1814" w:right="1814" w:bottom="851" w:left="851" w:header="709" w:footer="425" w:gutter="0"/>
          <w:cols w:space="708"/>
          <w:titlePg/>
          <w:docGrid w:linePitch="360"/>
        </w:sectPr>
      </w:pPr>
    </w:p>
    <w:p w14:paraId="0B441438" w14:textId="77777777" w:rsidR="0001554C" w:rsidRDefault="005C310A" w:rsidP="0001554C">
      <w:pPr>
        <w:pStyle w:val="Heading2"/>
        <w:tabs>
          <w:tab w:val="left" w:pos="1560"/>
        </w:tabs>
        <w:rPr>
          <w:sz w:val="28"/>
        </w:rPr>
      </w:pPr>
      <w:r>
        <w:rPr>
          <w:sz w:val="28"/>
        </w:rPr>
        <w:lastRenderedPageBreak/>
        <w:t>Annex D</w:t>
      </w:r>
      <w:r w:rsidR="0057490F">
        <w:rPr>
          <w:sz w:val="28"/>
        </w:rPr>
        <w:t xml:space="preserve"> - </w:t>
      </w:r>
      <w:r w:rsidR="00416B02">
        <w:rPr>
          <w:sz w:val="28"/>
        </w:rPr>
        <w:t xml:space="preserve">Aid </w:t>
      </w:r>
      <w:r w:rsidR="00416B02" w:rsidRPr="009E38C1">
        <w:rPr>
          <w:sz w:val="28"/>
        </w:rPr>
        <w:t xml:space="preserve">Quality </w:t>
      </w:r>
      <w:r w:rsidR="00416B02">
        <w:rPr>
          <w:sz w:val="28"/>
        </w:rPr>
        <w:t xml:space="preserve">Check </w:t>
      </w:r>
      <w:r w:rsidR="00416B02" w:rsidRPr="009E38C1">
        <w:rPr>
          <w:sz w:val="28"/>
        </w:rPr>
        <w:t>ratings</w:t>
      </w:r>
    </w:p>
    <w:p w14:paraId="1196660A" w14:textId="4DC8553A" w:rsidR="002E3942" w:rsidRPr="0001554C" w:rsidRDefault="002E3942" w:rsidP="00FD5DE3">
      <w:pPr>
        <w:pStyle w:val="Heading3"/>
        <w:rPr>
          <w:sz w:val="28"/>
        </w:rPr>
      </w:pPr>
      <w:r>
        <w:t>AQC ratings</w:t>
      </w:r>
    </w:p>
    <w:tbl>
      <w:tblPr>
        <w:tblStyle w:val="APPR"/>
        <w:tblW w:w="5256" w:type="pct"/>
        <w:tblBorders>
          <w:top w:val="none" w:sz="0" w:space="0" w:color="auto"/>
          <w:bottom w:val="none" w:sz="0" w:space="0" w:color="auto"/>
        </w:tblBorders>
        <w:tblLook w:val="0000" w:firstRow="0" w:lastRow="0" w:firstColumn="0" w:lastColumn="0" w:noHBand="0" w:noVBand="0"/>
      </w:tblPr>
      <w:tblGrid>
        <w:gridCol w:w="2749"/>
        <w:gridCol w:w="2382"/>
        <w:gridCol w:w="1186"/>
        <w:gridCol w:w="1192"/>
        <w:gridCol w:w="1186"/>
        <w:gridCol w:w="1192"/>
        <w:gridCol w:w="1189"/>
        <w:gridCol w:w="1193"/>
        <w:gridCol w:w="1190"/>
        <w:gridCol w:w="1192"/>
      </w:tblGrid>
      <w:tr w:rsidR="002E3942" w:rsidRPr="0048469F" w14:paraId="4A9D6B7D" w14:textId="77777777" w:rsidTr="00206FC4">
        <w:trPr>
          <w:cnfStyle w:val="000000010000" w:firstRow="0" w:lastRow="0" w:firstColumn="0" w:lastColumn="0" w:oddVBand="0" w:evenVBand="0" w:oddHBand="0" w:evenHBand="1" w:firstRowFirstColumn="0" w:firstRowLastColumn="0" w:lastRowFirstColumn="0" w:lastRowLastColumn="0"/>
          <w:trHeight w:val="1023"/>
        </w:trPr>
        <w:tc>
          <w:tcPr>
            <w:tcW w:w="924" w:type="pct"/>
            <w:tcBorders>
              <w:top w:val="single" w:sz="8" w:space="0" w:color="auto"/>
              <w:bottom w:val="single" w:sz="8" w:space="0" w:color="auto"/>
            </w:tcBorders>
            <w:vAlign w:val="center"/>
          </w:tcPr>
          <w:p w14:paraId="2793AB99" w14:textId="77777777" w:rsidR="00416B02" w:rsidRPr="0048469F" w:rsidRDefault="00416B02" w:rsidP="0048469F">
            <w:pPr>
              <w:pStyle w:val="TableTextColumnHeading"/>
            </w:pPr>
            <w:r w:rsidRPr="0048469F">
              <w:rPr>
                <w:noProof/>
                <w:lang w:eastAsia="en-AU"/>
              </w:rPr>
              <w:drawing>
                <wp:anchor distT="0" distB="0" distL="114300" distR="114300" simplePos="0" relativeHeight="251666432" behindDoc="0" locked="0" layoutInCell="1" allowOverlap="1" wp14:anchorId="541F9264" wp14:editId="5A3FEB08">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69F">
              <w:t>Investment name</w:t>
            </w:r>
          </w:p>
        </w:tc>
        <w:tc>
          <w:tcPr>
            <w:tcW w:w="803" w:type="pct"/>
            <w:tcBorders>
              <w:top w:val="single" w:sz="8" w:space="0" w:color="auto"/>
              <w:bottom w:val="single" w:sz="8" w:space="0" w:color="auto"/>
            </w:tcBorders>
            <w:textDirection w:val="btLr"/>
            <w:vAlign w:val="center"/>
          </w:tcPr>
          <w:p w14:paraId="672ACF44" w14:textId="77777777" w:rsidR="00416B02" w:rsidRPr="0048469F" w:rsidRDefault="00416B02" w:rsidP="0048469F">
            <w:pPr>
              <w:pStyle w:val="TableTextColumnHeading"/>
            </w:pPr>
            <w:r w:rsidRPr="0048469F">
              <w:t>Approved budget and duration</w:t>
            </w:r>
          </w:p>
        </w:tc>
        <w:tc>
          <w:tcPr>
            <w:tcW w:w="395" w:type="pct"/>
            <w:tcBorders>
              <w:top w:val="single" w:sz="8" w:space="0" w:color="auto"/>
              <w:bottom w:val="single" w:sz="8" w:space="0" w:color="auto"/>
            </w:tcBorders>
            <w:textDirection w:val="btLr"/>
            <w:vAlign w:val="center"/>
          </w:tcPr>
          <w:p w14:paraId="705E56DE" w14:textId="77777777" w:rsidR="00416B02" w:rsidRPr="0048469F" w:rsidRDefault="00416B02" w:rsidP="0048469F">
            <w:pPr>
              <w:pStyle w:val="TableTextColumnHeading"/>
            </w:pPr>
            <w:r w:rsidRPr="0048469F">
              <w:t>AQC/QAI year</w:t>
            </w:r>
          </w:p>
        </w:tc>
        <w:tc>
          <w:tcPr>
            <w:tcW w:w="397" w:type="pct"/>
            <w:tcBorders>
              <w:top w:val="single" w:sz="8" w:space="0" w:color="auto"/>
              <w:bottom w:val="single" w:sz="8" w:space="0" w:color="auto"/>
            </w:tcBorders>
            <w:textDirection w:val="btLr"/>
            <w:vAlign w:val="center"/>
          </w:tcPr>
          <w:p w14:paraId="6E376374" w14:textId="77777777" w:rsidR="00416B02" w:rsidRPr="0048469F" w:rsidRDefault="00416B02" w:rsidP="0048469F">
            <w:pPr>
              <w:pStyle w:val="TableTextColumnHeading"/>
            </w:pPr>
            <w:r w:rsidRPr="0048469F">
              <w:t>Relevance</w:t>
            </w:r>
          </w:p>
        </w:tc>
        <w:tc>
          <w:tcPr>
            <w:tcW w:w="395" w:type="pct"/>
            <w:tcBorders>
              <w:top w:val="single" w:sz="8" w:space="0" w:color="auto"/>
              <w:bottom w:val="single" w:sz="8" w:space="0" w:color="auto"/>
            </w:tcBorders>
            <w:textDirection w:val="btLr"/>
            <w:vAlign w:val="center"/>
          </w:tcPr>
          <w:p w14:paraId="5DEF4D0E" w14:textId="77777777" w:rsidR="00416B02" w:rsidRPr="0048469F" w:rsidRDefault="00416B02" w:rsidP="0048469F">
            <w:pPr>
              <w:pStyle w:val="TableTextColumnHeading"/>
            </w:pPr>
            <w:r w:rsidRPr="0048469F">
              <w:t>Effectiveness</w:t>
            </w:r>
          </w:p>
        </w:tc>
        <w:tc>
          <w:tcPr>
            <w:tcW w:w="397" w:type="pct"/>
            <w:tcBorders>
              <w:top w:val="single" w:sz="8" w:space="0" w:color="auto"/>
              <w:bottom w:val="single" w:sz="8" w:space="0" w:color="auto"/>
            </w:tcBorders>
            <w:textDirection w:val="btLr"/>
            <w:vAlign w:val="center"/>
          </w:tcPr>
          <w:p w14:paraId="406BEBED" w14:textId="77777777" w:rsidR="00416B02" w:rsidRPr="0048469F" w:rsidRDefault="00416B02" w:rsidP="0048469F">
            <w:pPr>
              <w:pStyle w:val="TableTextColumnHeading"/>
            </w:pPr>
            <w:r w:rsidRPr="0048469F">
              <w:t>Efficiency</w:t>
            </w:r>
          </w:p>
        </w:tc>
        <w:tc>
          <w:tcPr>
            <w:tcW w:w="396" w:type="pct"/>
            <w:tcBorders>
              <w:top w:val="single" w:sz="8" w:space="0" w:color="auto"/>
              <w:bottom w:val="single" w:sz="8" w:space="0" w:color="auto"/>
            </w:tcBorders>
            <w:textDirection w:val="btLr"/>
            <w:vAlign w:val="center"/>
          </w:tcPr>
          <w:p w14:paraId="0746B4C6" w14:textId="77777777" w:rsidR="00416B02" w:rsidRPr="0048469F" w:rsidRDefault="00416B02" w:rsidP="0048469F">
            <w:pPr>
              <w:pStyle w:val="TableTextColumnHeading"/>
            </w:pPr>
            <w:r w:rsidRPr="0048469F">
              <w:t>Monitoring and Evaluation</w:t>
            </w:r>
          </w:p>
        </w:tc>
        <w:tc>
          <w:tcPr>
            <w:tcW w:w="397" w:type="pct"/>
            <w:tcBorders>
              <w:top w:val="single" w:sz="8" w:space="0" w:color="auto"/>
              <w:bottom w:val="single" w:sz="8" w:space="0" w:color="auto"/>
            </w:tcBorders>
            <w:textDirection w:val="btLr"/>
            <w:vAlign w:val="center"/>
          </w:tcPr>
          <w:p w14:paraId="3E91C2F5" w14:textId="77777777" w:rsidR="00416B02" w:rsidRPr="0048469F" w:rsidRDefault="00416B02" w:rsidP="0048469F">
            <w:pPr>
              <w:pStyle w:val="TableTextColumnHeading"/>
            </w:pPr>
            <w:r w:rsidRPr="0048469F">
              <w:t>Sustainability</w:t>
            </w:r>
          </w:p>
        </w:tc>
        <w:tc>
          <w:tcPr>
            <w:tcW w:w="396" w:type="pct"/>
            <w:tcBorders>
              <w:top w:val="single" w:sz="8" w:space="0" w:color="auto"/>
              <w:bottom w:val="single" w:sz="8" w:space="0" w:color="auto"/>
            </w:tcBorders>
            <w:textDirection w:val="btLr"/>
            <w:vAlign w:val="center"/>
          </w:tcPr>
          <w:p w14:paraId="78F0FF3A" w14:textId="77777777" w:rsidR="00416B02" w:rsidRPr="0048469F" w:rsidRDefault="00416B02" w:rsidP="0048469F">
            <w:pPr>
              <w:pStyle w:val="TableTextColumnHeading"/>
            </w:pPr>
            <w:r w:rsidRPr="0048469F">
              <w:t>Gender equality</w:t>
            </w:r>
          </w:p>
        </w:tc>
        <w:tc>
          <w:tcPr>
            <w:tcW w:w="392" w:type="pct"/>
            <w:tcBorders>
              <w:top w:val="single" w:sz="8" w:space="0" w:color="auto"/>
              <w:bottom w:val="single" w:sz="8" w:space="0" w:color="auto"/>
            </w:tcBorders>
            <w:textDirection w:val="btLr"/>
            <w:vAlign w:val="center"/>
          </w:tcPr>
          <w:p w14:paraId="507C462F" w14:textId="77777777" w:rsidR="00416B02" w:rsidRPr="0048469F" w:rsidRDefault="00416B02" w:rsidP="0048469F">
            <w:pPr>
              <w:pStyle w:val="TableTextColumnHeading"/>
            </w:pPr>
            <w:r w:rsidRPr="0048469F">
              <w:t>Risks  and Safeguards</w:t>
            </w:r>
          </w:p>
        </w:tc>
      </w:tr>
      <w:tr w:rsidR="002E3942" w:rsidRPr="0048469F" w14:paraId="42F17143"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14318244" w14:textId="77777777" w:rsidR="000E5000" w:rsidRPr="0048469F" w:rsidRDefault="000E5000" w:rsidP="002E3942">
            <w:pPr>
              <w:pStyle w:val="TableTextEntries"/>
              <w:spacing w:before="0" w:after="0" w:line="240" w:lineRule="auto"/>
            </w:pPr>
            <w:r w:rsidRPr="0048469F">
              <w:t>INI171 - Provincial Road Management Facility (PRMF)</w:t>
            </w:r>
          </w:p>
        </w:tc>
        <w:tc>
          <w:tcPr>
            <w:tcW w:w="803" w:type="pct"/>
            <w:vMerge w:val="restart"/>
            <w:vAlign w:val="center"/>
          </w:tcPr>
          <w:p w14:paraId="4A5F14BD" w14:textId="11BDB7CF" w:rsidR="000E5000" w:rsidRPr="0048469F" w:rsidRDefault="00163FB8" w:rsidP="002E3942">
            <w:pPr>
              <w:pStyle w:val="TableTextEntries"/>
              <w:spacing w:before="0" w:after="0" w:line="240" w:lineRule="auto"/>
              <w:jc w:val="center"/>
            </w:pPr>
            <w:r>
              <w:t>AUD</w:t>
            </w:r>
            <w:r w:rsidR="000E5000" w:rsidRPr="0048469F">
              <w:t>100,000,000</w:t>
            </w:r>
          </w:p>
          <w:p w14:paraId="3CAB6CAE" w14:textId="77777777" w:rsidR="000E5000" w:rsidRPr="0048469F" w:rsidRDefault="000E5000" w:rsidP="002E3942">
            <w:pPr>
              <w:pStyle w:val="TableTextEntries"/>
              <w:spacing w:before="0" w:after="0" w:line="240" w:lineRule="auto"/>
              <w:jc w:val="center"/>
            </w:pPr>
            <w:r w:rsidRPr="0048469F">
              <w:t>1/09/09</w:t>
            </w:r>
            <w:r w:rsidR="00116D15" w:rsidRPr="0048469F">
              <w:t xml:space="preserve"> </w:t>
            </w:r>
            <w:r w:rsidRPr="0048469F">
              <w:t>-</w:t>
            </w:r>
            <w:r w:rsidR="00116D15" w:rsidRPr="0048469F">
              <w:t xml:space="preserve"> </w:t>
            </w:r>
            <w:r w:rsidRPr="0048469F">
              <w:t>30/06/16</w:t>
            </w:r>
          </w:p>
        </w:tc>
        <w:tc>
          <w:tcPr>
            <w:tcW w:w="395" w:type="pct"/>
            <w:vAlign w:val="center"/>
          </w:tcPr>
          <w:p w14:paraId="177516C5" w14:textId="77777777" w:rsidR="000E5000" w:rsidRPr="0048469F" w:rsidRDefault="000E5000" w:rsidP="002E3942">
            <w:pPr>
              <w:pStyle w:val="TableTextEntries"/>
              <w:spacing w:before="0" w:after="0" w:line="240" w:lineRule="auto"/>
              <w:jc w:val="center"/>
            </w:pPr>
            <w:r w:rsidRPr="0048469F">
              <w:t>2014 AQC</w:t>
            </w:r>
          </w:p>
        </w:tc>
        <w:tc>
          <w:tcPr>
            <w:tcW w:w="397" w:type="pct"/>
            <w:shd w:val="clear" w:color="auto" w:fill="72AF2F"/>
            <w:noWrap/>
            <w:vAlign w:val="center"/>
          </w:tcPr>
          <w:p w14:paraId="01F748F4" w14:textId="77777777" w:rsidR="000E5000" w:rsidRPr="0048469F" w:rsidRDefault="000E500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5" w:type="pct"/>
            <w:shd w:val="clear" w:color="auto" w:fill="FFFF00"/>
            <w:noWrap/>
            <w:vAlign w:val="center"/>
          </w:tcPr>
          <w:p w14:paraId="06B673C3" w14:textId="77777777" w:rsidR="000E5000" w:rsidRPr="0048469F" w:rsidRDefault="000E500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72AF2F"/>
            <w:noWrap/>
            <w:vAlign w:val="center"/>
          </w:tcPr>
          <w:p w14:paraId="2083BF62" w14:textId="77777777" w:rsidR="000E5000" w:rsidRPr="0048469F" w:rsidRDefault="000E500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7951DE44" w14:textId="77777777" w:rsidR="000E5000" w:rsidRPr="0048469F" w:rsidRDefault="000E500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FFFF00"/>
            <w:noWrap/>
            <w:vAlign w:val="center"/>
          </w:tcPr>
          <w:p w14:paraId="54C8D931" w14:textId="77777777" w:rsidR="000E5000" w:rsidRPr="0048469F" w:rsidRDefault="000E500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72AF2F"/>
            <w:noWrap/>
            <w:vAlign w:val="center"/>
          </w:tcPr>
          <w:p w14:paraId="3841000C" w14:textId="77777777" w:rsidR="000E5000" w:rsidRPr="0048469F" w:rsidRDefault="000E500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2" w:type="pct"/>
            <w:shd w:val="clear" w:color="auto" w:fill="72AF2F"/>
            <w:vAlign w:val="center"/>
          </w:tcPr>
          <w:p w14:paraId="30AB9EA2" w14:textId="77777777" w:rsidR="000E5000" w:rsidRPr="0048469F" w:rsidRDefault="000E500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r>
      <w:tr w:rsidR="002E3942" w:rsidRPr="0048469F" w14:paraId="7FB7FF10"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ign w:val="center"/>
          </w:tcPr>
          <w:p w14:paraId="4392EAF6" w14:textId="77777777" w:rsidR="005676D4" w:rsidRPr="0048469F" w:rsidRDefault="005676D4" w:rsidP="002E3942">
            <w:pPr>
              <w:pStyle w:val="TableTextEntries"/>
              <w:spacing w:before="0" w:after="0" w:line="240" w:lineRule="auto"/>
            </w:pPr>
          </w:p>
        </w:tc>
        <w:tc>
          <w:tcPr>
            <w:tcW w:w="803" w:type="pct"/>
            <w:vMerge/>
            <w:vAlign w:val="center"/>
          </w:tcPr>
          <w:p w14:paraId="764CAE1D" w14:textId="77777777" w:rsidR="005676D4" w:rsidRPr="0048469F" w:rsidRDefault="005676D4" w:rsidP="002E3942">
            <w:pPr>
              <w:pStyle w:val="TableTextEntries"/>
              <w:spacing w:before="0" w:after="0" w:line="240" w:lineRule="auto"/>
              <w:jc w:val="center"/>
            </w:pPr>
          </w:p>
        </w:tc>
        <w:tc>
          <w:tcPr>
            <w:tcW w:w="395" w:type="pct"/>
            <w:vAlign w:val="center"/>
          </w:tcPr>
          <w:p w14:paraId="76C08B10" w14:textId="77777777" w:rsidR="005676D4" w:rsidRPr="0048469F" w:rsidRDefault="005676D4" w:rsidP="002E3942">
            <w:pPr>
              <w:pStyle w:val="TableTextEntries"/>
              <w:spacing w:before="0" w:after="0" w:line="240" w:lineRule="auto"/>
              <w:jc w:val="center"/>
            </w:pPr>
            <w:r w:rsidRPr="0048469F">
              <w:t>2013 QAI</w:t>
            </w:r>
          </w:p>
        </w:tc>
        <w:tc>
          <w:tcPr>
            <w:tcW w:w="397" w:type="pct"/>
            <w:shd w:val="clear" w:color="auto" w:fill="FFFF00"/>
            <w:noWrap/>
            <w:vAlign w:val="center"/>
          </w:tcPr>
          <w:p w14:paraId="53A3E0D1" w14:textId="77777777" w:rsidR="005676D4" w:rsidRPr="0048469F" w:rsidRDefault="005676D4"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5" w:type="pct"/>
            <w:shd w:val="clear" w:color="auto" w:fill="FFFF00"/>
            <w:noWrap/>
            <w:vAlign w:val="center"/>
          </w:tcPr>
          <w:p w14:paraId="50F4A371" w14:textId="77777777" w:rsidR="005676D4" w:rsidRPr="0048469F" w:rsidRDefault="005676D4"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FFFF00"/>
            <w:noWrap/>
            <w:vAlign w:val="center"/>
          </w:tcPr>
          <w:p w14:paraId="542F0702" w14:textId="77777777" w:rsidR="005676D4" w:rsidRPr="0048469F" w:rsidRDefault="005676D4"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FFF00"/>
            <w:noWrap/>
            <w:vAlign w:val="center"/>
          </w:tcPr>
          <w:p w14:paraId="2B2CB337" w14:textId="77777777" w:rsidR="005676D4" w:rsidRPr="0048469F" w:rsidRDefault="005676D4"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FFFF00"/>
            <w:noWrap/>
            <w:vAlign w:val="center"/>
          </w:tcPr>
          <w:p w14:paraId="6CE41680" w14:textId="77777777" w:rsidR="005676D4" w:rsidRPr="0048469F" w:rsidRDefault="005676D4"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79646"/>
            <w:noWrap/>
            <w:vAlign w:val="center"/>
          </w:tcPr>
          <w:p w14:paraId="05401E52" w14:textId="77777777" w:rsidR="005676D4" w:rsidRPr="0048469F" w:rsidRDefault="005676D4"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2" w:type="pct"/>
            <w:vAlign w:val="center"/>
          </w:tcPr>
          <w:p w14:paraId="07D7DFF9" w14:textId="77777777" w:rsidR="005676D4" w:rsidRPr="0048469F" w:rsidRDefault="005676D4" w:rsidP="002E3942">
            <w:pPr>
              <w:pStyle w:val="TableTextEntries"/>
              <w:spacing w:before="0" w:after="0" w:line="240" w:lineRule="auto"/>
              <w:jc w:val="center"/>
            </w:pPr>
            <w:r w:rsidRPr="0048469F">
              <w:t>n/a</w:t>
            </w:r>
          </w:p>
        </w:tc>
      </w:tr>
      <w:tr w:rsidR="002E3942" w:rsidRPr="0048469F" w14:paraId="4480E898"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50C0FE13" w14:textId="77777777" w:rsidR="00FC7A80" w:rsidRPr="0048469F" w:rsidRDefault="00FC7A80" w:rsidP="002E3942">
            <w:pPr>
              <w:pStyle w:val="TableTextEntries"/>
              <w:spacing w:before="0" w:after="0" w:line="240" w:lineRule="auto"/>
            </w:pPr>
            <w:r w:rsidRPr="0048469F">
              <w:t>INI294 - Human Resource Organisational</w:t>
            </w:r>
          </w:p>
        </w:tc>
        <w:tc>
          <w:tcPr>
            <w:tcW w:w="803" w:type="pct"/>
            <w:vMerge w:val="restart"/>
            <w:vAlign w:val="center"/>
          </w:tcPr>
          <w:p w14:paraId="16E00316" w14:textId="36163633" w:rsidR="00FC7A80" w:rsidRPr="0048469F" w:rsidRDefault="00163FB8" w:rsidP="002E3942">
            <w:pPr>
              <w:pStyle w:val="TableTextEntries"/>
              <w:spacing w:before="0" w:after="0" w:line="240" w:lineRule="auto"/>
              <w:jc w:val="center"/>
            </w:pPr>
            <w:r>
              <w:t>AUD</w:t>
            </w:r>
            <w:r w:rsidR="00FC7A80" w:rsidRPr="0048469F">
              <w:t>73,408,909</w:t>
            </w:r>
          </w:p>
          <w:p w14:paraId="2AE310DA" w14:textId="77777777" w:rsidR="00FC7A80" w:rsidRPr="0048469F" w:rsidRDefault="00FC7A80" w:rsidP="002E3942">
            <w:pPr>
              <w:pStyle w:val="TableTextEntries"/>
              <w:spacing w:before="0" w:after="0" w:line="240" w:lineRule="auto"/>
              <w:jc w:val="center"/>
            </w:pPr>
            <w:r w:rsidRPr="0048469F">
              <w:t>23/03/09</w:t>
            </w:r>
            <w:r w:rsidR="00116D15" w:rsidRPr="0048469F">
              <w:t xml:space="preserve"> </w:t>
            </w:r>
            <w:r w:rsidRPr="0048469F">
              <w:t>-</w:t>
            </w:r>
            <w:r w:rsidR="00116D15" w:rsidRPr="0048469F">
              <w:t xml:space="preserve"> </w:t>
            </w:r>
            <w:r w:rsidRPr="0048469F">
              <w:t>30/06/19</w:t>
            </w:r>
          </w:p>
        </w:tc>
        <w:tc>
          <w:tcPr>
            <w:tcW w:w="395" w:type="pct"/>
            <w:vAlign w:val="center"/>
          </w:tcPr>
          <w:p w14:paraId="640A34F7" w14:textId="77777777" w:rsidR="00FC7A80" w:rsidRPr="0048469F" w:rsidRDefault="00FC7A80" w:rsidP="002E3942">
            <w:pPr>
              <w:pStyle w:val="TableTextEntries"/>
              <w:spacing w:before="0" w:after="0" w:line="240" w:lineRule="auto"/>
              <w:jc w:val="center"/>
            </w:pPr>
            <w:r w:rsidRPr="0048469F">
              <w:t>2014 AQC</w:t>
            </w:r>
          </w:p>
        </w:tc>
        <w:tc>
          <w:tcPr>
            <w:tcW w:w="397" w:type="pct"/>
            <w:shd w:val="clear" w:color="auto" w:fill="72AF2F"/>
            <w:noWrap/>
            <w:vAlign w:val="center"/>
          </w:tcPr>
          <w:p w14:paraId="769EC34A"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72AF2F"/>
            <w:noWrap/>
            <w:vAlign w:val="center"/>
          </w:tcPr>
          <w:p w14:paraId="43B6ECBD"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7" w:type="pct"/>
            <w:shd w:val="clear" w:color="auto" w:fill="72AF2F"/>
            <w:noWrap/>
            <w:vAlign w:val="center"/>
          </w:tcPr>
          <w:p w14:paraId="5BA4D611"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6" w:type="pct"/>
            <w:shd w:val="clear" w:color="auto" w:fill="72AF2F"/>
            <w:noWrap/>
            <w:vAlign w:val="center"/>
          </w:tcPr>
          <w:p w14:paraId="5DB527FC"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7" w:type="pct"/>
            <w:shd w:val="clear" w:color="auto" w:fill="72AF2F"/>
            <w:noWrap/>
            <w:vAlign w:val="center"/>
          </w:tcPr>
          <w:p w14:paraId="09CBD846"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6C34B438"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2" w:type="pct"/>
            <w:shd w:val="clear" w:color="auto" w:fill="72AF2F"/>
            <w:vAlign w:val="center"/>
          </w:tcPr>
          <w:p w14:paraId="3CF2AA6D"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r>
      <w:tr w:rsidR="002E3942" w:rsidRPr="0048469F" w14:paraId="1AB10D1A"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ign w:val="center"/>
          </w:tcPr>
          <w:p w14:paraId="2067F69F" w14:textId="77777777" w:rsidR="00757E62" w:rsidRPr="0048469F" w:rsidRDefault="00757E62" w:rsidP="002E3942">
            <w:pPr>
              <w:pStyle w:val="TableTextEntries"/>
              <w:spacing w:before="0" w:after="0" w:line="240" w:lineRule="auto"/>
            </w:pPr>
          </w:p>
        </w:tc>
        <w:tc>
          <w:tcPr>
            <w:tcW w:w="803" w:type="pct"/>
            <w:vMerge/>
            <w:vAlign w:val="center"/>
          </w:tcPr>
          <w:p w14:paraId="4F6CFEB6" w14:textId="77777777" w:rsidR="00757E62" w:rsidRPr="0048469F" w:rsidRDefault="00757E62" w:rsidP="002E3942">
            <w:pPr>
              <w:pStyle w:val="TableTextEntries"/>
              <w:spacing w:before="0" w:after="0" w:line="240" w:lineRule="auto"/>
              <w:jc w:val="center"/>
            </w:pPr>
          </w:p>
        </w:tc>
        <w:tc>
          <w:tcPr>
            <w:tcW w:w="395" w:type="pct"/>
            <w:vAlign w:val="center"/>
          </w:tcPr>
          <w:p w14:paraId="23747ADD" w14:textId="77777777" w:rsidR="00757E62" w:rsidRPr="0048469F" w:rsidRDefault="00757E62" w:rsidP="002E3942">
            <w:pPr>
              <w:pStyle w:val="TableTextEntries"/>
              <w:spacing w:before="0" w:after="0" w:line="240" w:lineRule="auto"/>
              <w:jc w:val="center"/>
            </w:pPr>
            <w:r w:rsidRPr="0048469F">
              <w:t>2013 QAI</w:t>
            </w:r>
          </w:p>
        </w:tc>
        <w:tc>
          <w:tcPr>
            <w:tcW w:w="397" w:type="pct"/>
            <w:shd w:val="clear" w:color="auto" w:fill="72AF2F"/>
            <w:noWrap/>
            <w:vAlign w:val="center"/>
          </w:tcPr>
          <w:p w14:paraId="469A3598"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72AF2F"/>
            <w:noWrap/>
            <w:vAlign w:val="center"/>
          </w:tcPr>
          <w:p w14:paraId="2506E2BC"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FFFF00"/>
            <w:noWrap/>
            <w:vAlign w:val="center"/>
          </w:tcPr>
          <w:p w14:paraId="143509F6"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72AF2F"/>
            <w:noWrap/>
            <w:vAlign w:val="center"/>
          </w:tcPr>
          <w:p w14:paraId="51CBD6AB"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7" w:type="pct"/>
            <w:shd w:val="clear" w:color="auto" w:fill="72AF2F"/>
            <w:noWrap/>
            <w:vAlign w:val="center"/>
          </w:tcPr>
          <w:p w14:paraId="13F72FB9"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0CEE7845"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2" w:type="pct"/>
            <w:vAlign w:val="center"/>
          </w:tcPr>
          <w:p w14:paraId="33889B0D" w14:textId="77777777" w:rsidR="00757E62" w:rsidRPr="0048469F" w:rsidRDefault="00757E62" w:rsidP="002E3942">
            <w:pPr>
              <w:pStyle w:val="TableTextEntries"/>
              <w:spacing w:before="0" w:after="0" w:line="240" w:lineRule="auto"/>
              <w:jc w:val="center"/>
            </w:pPr>
            <w:r w:rsidRPr="0048469F">
              <w:t>n/a</w:t>
            </w:r>
          </w:p>
        </w:tc>
      </w:tr>
      <w:tr w:rsidR="002E3942" w:rsidRPr="0048469F" w14:paraId="38C3E2B1"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15506DF2" w14:textId="77777777" w:rsidR="00FC7A80" w:rsidRPr="0048469F" w:rsidRDefault="00FC7A80" w:rsidP="002E3942">
            <w:pPr>
              <w:pStyle w:val="TableTextEntries"/>
              <w:spacing w:before="0" w:after="0" w:line="240" w:lineRule="auto"/>
            </w:pPr>
            <w:r w:rsidRPr="0048469F">
              <w:t>INI428 - Philippines Social Protection</w:t>
            </w:r>
          </w:p>
        </w:tc>
        <w:tc>
          <w:tcPr>
            <w:tcW w:w="803" w:type="pct"/>
            <w:vMerge w:val="restart"/>
            <w:vAlign w:val="center"/>
          </w:tcPr>
          <w:p w14:paraId="4996AC0A" w14:textId="1F816282" w:rsidR="00FC7A80" w:rsidRPr="0048469F" w:rsidRDefault="00163FB8" w:rsidP="002E3942">
            <w:pPr>
              <w:pStyle w:val="TableTextEntries"/>
              <w:spacing w:before="0" w:after="0" w:line="240" w:lineRule="auto"/>
              <w:jc w:val="center"/>
            </w:pPr>
            <w:r>
              <w:t>AUD</w:t>
            </w:r>
            <w:r w:rsidR="00FC7A80" w:rsidRPr="0048469F">
              <w:t>27,926,895</w:t>
            </w:r>
          </w:p>
          <w:p w14:paraId="3452CE48" w14:textId="77777777" w:rsidR="00FC7A80" w:rsidRPr="0048469F" w:rsidRDefault="00FC7A80" w:rsidP="002E3942">
            <w:pPr>
              <w:pStyle w:val="TableTextEntries"/>
              <w:spacing w:before="0" w:after="0" w:line="240" w:lineRule="auto"/>
              <w:jc w:val="center"/>
            </w:pPr>
            <w:r w:rsidRPr="0048469F">
              <w:t>3/02/09</w:t>
            </w:r>
            <w:r w:rsidR="00116D15" w:rsidRPr="0048469F">
              <w:t xml:space="preserve"> </w:t>
            </w:r>
            <w:r w:rsidRPr="0048469F">
              <w:t>-</w:t>
            </w:r>
            <w:r w:rsidR="00116D15" w:rsidRPr="0048469F">
              <w:t xml:space="preserve"> </w:t>
            </w:r>
            <w:r w:rsidRPr="0048469F">
              <w:t>30/06/17</w:t>
            </w:r>
          </w:p>
        </w:tc>
        <w:tc>
          <w:tcPr>
            <w:tcW w:w="395" w:type="pct"/>
            <w:vAlign w:val="center"/>
          </w:tcPr>
          <w:p w14:paraId="67C0610B" w14:textId="77777777" w:rsidR="00FC7A80" w:rsidRPr="0048469F" w:rsidRDefault="00FC7A80" w:rsidP="002E3942">
            <w:pPr>
              <w:pStyle w:val="TableTextEntries"/>
              <w:spacing w:before="0" w:after="0" w:line="240" w:lineRule="auto"/>
              <w:jc w:val="center"/>
            </w:pPr>
            <w:r w:rsidRPr="0048469F">
              <w:t>2014 AQC</w:t>
            </w:r>
          </w:p>
        </w:tc>
        <w:tc>
          <w:tcPr>
            <w:tcW w:w="397" w:type="pct"/>
            <w:shd w:val="clear" w:color="auto" w:fill="72AF2F"/>
            <w:noWrap/>
            <w:vAlign w:val="center"/>
          </w:tcPr>
          <w:p w14:paraId="5A57C85F"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72AF2F"/>
            <w:noWrap/>
            <w:vAlign w:val="center"/>
          </w:tcPr>
          <w:p w14:paraId="74AEDB7F"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72AF2F"/>
            <w:noWrap/>
            <w:vAlign w:val="center"/>
          </w:tcPr>
          <w:p w14:paraId="7327820E"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FFFF00"/>
            <w:noWrap/>
            <w:vAlign w:val="center"/>
          </w:tcPr>
          <w:p w14:paraId="4DB55B15"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72AF2F"/>
            <w:noWrap/>
            <w:vAlign w:val="center"/>
          </w:tcPr>
          <w:p w14:paraId="4174022E"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FFFF00"/>
            <w:noWrap/>
            <w:vAlign w:val="center"/>
          </w:tcPr>
          <w:p w14:paraId="1A84787A"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2" w:type="pct"/>
            <w:shd w:val="clear" w:color="auto" w:fill="72AF2F"/>
            <w:vAlign w:val="center"/>
          </w:tcPr>
          <w:p w14:paraId="670EAB06" w14:textId="77777777" w:rsidR="00FC7A80" w:rsidRPr="0048469F" w:rsidRDefault="00FC7A80"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r>
      <w:tr w:rsidR="002E3942" w:rsidRPr="0048469F" w14:paraId="628B9D5B"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ign w:val="center"/>
          </w:tcPr>
          <w:p w14:paraId="4DDC6E27" w14:textId="77777777" w:rsidR="00757E62" w:rsidRPr="0048469F" w:rsidRDefault="00757E62" w:rsidP="002E3942">
            <w:pPr>
              <w:pStyle w:val="TableTextEntries"/>
              <w:spacing w:before="0" w:after="0" w:line="240" w:lineRule="auto"/>
            </w:pPr>
          </w:p>
        </w:tc>
        <w:tc>
          <w:tcPr>
            <w:tcW w:w="803" w:type="pct"/>
            <w:vMerge/>
            <w:vAlign w:val="center"/>
          </w:tcPr>
          <w:p w14:paraId="1C7A9D72" w14:textId="77777777" w:rsidR="00757E62" w:rsidRPr="0048469F" w:rsidRDefault="00757E62" w:rsidP="002E3942">
            <w:pPr>
              <w:pStyle w:val="TableTextEntries"/>
              <w:spacing w:before="0" w:after="0" w:line="240" w:lineRule="auto"/>
              <w:jc w:val="center"/>
            </w:pPr>
          </w:p>
        </w:tc>
        <w:tc>
          <w:tcPr>
            <w:tcW w:w="395" w:type="pct"/>
            <w:vAlign w:val="center"/>
          </w:tcPr>
          <w:p w14:paraId="26F6D8A3" w14:textId="77777777" w:rsidR="00757E62" w:rsidRPr="0048469F" w:rsidRDefault="00757E62" w:rsidP="002E3942">
            <w:pPr>
              <w:pStyle w:val="TableTextEntries"/>
              <w:spacing w:before="0" w:after="0" w:line="240" w:lineRule="auto"/>
              <w:jc w:val="center"/>
            </w:pPr>
            <w:r w:rsidRPr="0048469F">
              <w:t>2013 QAI</w:t>
            </w:r>
          </w:p>
        </w:tc>
        <w:tc>
          <w:tcPr>
            <w:tcW w:w="397" w:type="pct"/>
            <w:shd w:val="clear" w:color="auto" w:fill="72AF2F"/>
            <w:noWrap/>
            <w:vAlign w:val="center"/>
          </w:tcPr>
          <w:p w14:paraId="66E19DDC"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72AF2F"/>
            <w:noWrap/>
            <w:vAlign w:val="center"/>
          </w:tcPr>
          <w:p w14:paraId="7871E70C"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F79646"/>
            <w:noWrap/>
            <w:vAlign w:val="center"/>
          </w:tcPr>
          <w:p w14:paraId="44B9A74D"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6" w:type="pct"/>
            <w:shd w:val="clear" w:color="auto" w:fill="FFFF00"/>
            <w:noWrap/>
            <w:vAlign w:val="center"/>
          </w:tcPr>
          <w:p w14:paraId="21541D33"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72AF2F"/>
            <w:noWrap/>
            <w:vAlign w:val="center"/>
          </w:tcPr>
          <w:p w14:paraId="32F0FA68"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6" w:type="pct"/>
            <w:shd w:val="clear" w:color="auto" w:fill="72AF2F"/>
            <w:noWrap/>
            <w:vAlign w:val="center"/>
          </w:tcPr>
          <w:p w14:paraId="61C32931"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2" w:type="pct"/>
            <w:vAlign w:val="center"/>
          </w:tcPr>
          <w:p w14:paraId="17102C99" w14:textId="77777777" w:rsidR="00757E62" w:rsidRPr="0048469F" w:rsidRDefault="00757E62" w:rsidP="002E3942">
            <w:pPr>
              <w:pStyle w:val="TableTextEntries"/>
              <w:spacing w:before="0" w:after="0" w:line="240" w:lineRule="auto"/>
              <w:jc w:val="center"/>
            </w:pPr>
            <w:r w:rsidRPr="0048469F">
              <w:t>n/a</w:t>
            </w:r>
          </w:p>
        </w:tc>
      </w:tr>
      <w:tr w:rsidR="002E3942" w:rsidRPr="0048469F" w14:paraId="4675AA7E"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2120999B" w14:textId="77777777" w:rsidR="00241F57" w:rsidRPr="0048469F" w:rsidRDefault="00241F57" w:rsidP="002E3942">
            <w:pPr>
              <w:pStyle w:val="TableTextEntries"/>
              <w:spacing w:before="0" w:after="0" w:line="240" w:lineRule="auto"/>
            </w:pPr>
            <w:r w:rsidRPr="0048469F">
              <w:t>INJ168 - Philippines Research Initiative</w:t>
            </w:r>
          </w:p>
        </w:tc>
        <w:tc>
          <w:tcPr>
            <w:tcW w:w="803" w:type="pct"/>
            <w:vMerge w:val="restart"/>
            <w:vAlign w:val="center"/>
          </w:tcPr>
          <w:p w14:paraId="7AB19836" w14:textId="510AC0DF" w:rsidR="00241F57" w:rsidRPr="0048469F" w:rsidRDefault="00163FB8" w:rsidP="002E3942">
            <w:pPr>
              <w:pStyle w:val="TableTextEntries"/>
              <w:spacing w:before="0" w:after="0" w:line="240" w:lineRule="auto"/>
              <w:jc w:val="center"/>
            </w:pPr>
            <w:r>
              <w:t>AUD</w:t>
            </w:r>
            <w:r w:rsidR="00241F57" w:rsidRPr="0048469F">
              <w:t>5,844,268</w:t>
            </w:r>
          </w:p>
          <w:p w14:paraId="0A2945B5" w14:textId="77777777" w:rsidR="00241F57" w:rsidRPr="0048469F" w:rsidRDefault="00241F57" w:rsidP="002E3942">
            <w:pPr>
              <w:pStyle w:val="TableTextEntries"/>
              <w:spacing w:before="0" w:after="0" w:line="240" w:lineRule="auto"/>
              <w:jc w:val="center"/>
            </w:pPr>
            <w:r w:rsidRPr="0048469F">
              <w:t>1/01/10</w:t>
            </w:r>
            <w:r w:rsidR="00116D15" w:rsidRPr="0048469F">
              <w:t xml:space="preserve"> </w:t>
            </w:r>
            <w:r w:rsidRPr="0048469F">
              <w:t>-</w:t>
            </w:r>
            <w:r w:rsidR="00116D15" w:rsidRPr="0048469F">
              <w:t xml:space="preserve"> </w:t>
            </w:r>
            <w:r w:rsidRPr="0048469F">
              <w:t>30/06/19</w:t>
            </w:r>
          </w:p>
        </w:tc>
        <w:tc>
          <w:tcPr>
            <w:tcW w:w="395" w:type="pct"/>
            <w:vAlign w:val="center"/>
          </w:tcPr>
          <w:p w14:paraId="6C63EE6B" w14:textId="77777777" w:rsidR="00241F57" w:rsidRPr="0048469F" w:rsidRDefault="00241F57" w:rsidP="002E3942">
            <w:pPr>
              <w:pStyle w:val="TableTextEntries"/>
              <w:spacing w:before="0" w:after="0" w:line="240" w:lineRule="auto"/>
              <w:jc w:val="center"/>
            </w:pPr>
            <w:r w:rsidRPr="0048469F">
              <w:t>2014 AQC</w:t>
            </w:r>
          </w:p>
        </w:tc>
        <w:tc>
          <w:tcPr>
            <w:tcW w:w="397" w:type="pct"/>
            <w:shd w:val="clear" w:color="auto" w:fill="F79646"/>
            <w:noWrap/>
            <w:vAlign w:val="center"/>
          </w:tcPr>
          <w:p w14:paraId="50BE6B84" w14:textId="77777777" w:rsidR="00241F57" w:rsidRPr="0048469F" w:rsidRDefault="00241F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5" w:type="pct"/>
            <w:shd w:val="clear" w:color="auto" w:fill="F79646"/>
            <w:noWrap/>
            <w:vAlign w:val="center"/>
          </w:tcPr>
          <w:p w14:paraId="342F8F7B" w14:textId="77777777" w:rsidR="00241F57" w:rsidRPr="0048469F" w:rsidRDefault="00241F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7" w:type="pct"/>
            <w:shd w:val="clear" w:color="auto" w:fill="F79646"/>
            <w:noWrap/>
            <w:vAlign w:val="center"/>
          </w:tcPr>
          <w:p w14:paraId="1FA02413" w14:textId="77777777" w:rsidR="00241F57" w:rsidRPr="0048469F" w:rsidRDefault="00241F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6" w:type="pct"/>
            <w:shd w:val="clear" w:color="auto" w:fill="F79646"/>
            <w:noWrap/>
            <w:vAlign w:val="center"/>
          </w:tcPr>
          <w:p w14:paraId="5D949DD4" w14:textId="77777777" w:rsidR="00241F57" w:rsidRPr="0048469F" w:rsidRDefault="00241F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7" w:type="pct"/>
            <w:shd w:val="clear" w:color="auto" w:fill="F79646"/>
            <w:noWrap/>
            <w:vAlign w:val="center"/>
          </w:tcPr>
          <w:p w14:paraId="2977BF4F" w14:textId="77777777" w:rsidR="00241F57" w:rsidRPr="0048469F" w:rsidRDefault="00241F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6" w:type="pct"/>
            <w:shd w:val="clear" w:color="auto" w:fill="F79646"/>
            <w:noWrap/>
            <w:vAlign w:val="center"/>
          </w:tcPr>
          <w:p w14:paraId="71F305C0" w14:textId="77777777" w:rsidR="00241F57" w:rsidRPr="0048469F" w:rsidRDefault="00241F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2" w:type="pct"/>
            <w:shd w:val="clear" w:color="auto" w:fill="F79646"/>
            <w:vAlign w:val="center"/>
          </w:tcPr>
          <w:p w14:paraId="13307E9B" w14:textId="77777777" w:rsidR="00241F57" w:rsidRPr="0048469F" w:rsidRDefault="00241F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r>
      <w:tr w:rsidR="002E3942" w:rsidRPr="0048469F" w14:paraId="2579EA34"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ign w:val="center"/>
          </w:tcPr>
          <w:p w14:paraId="2B1A87BB" w14:textId="77777777" w:rsidR="00241F57" w:rsidRPr="0048469F" w:rsidRDefault="00241F57" w:rsidP="002E3942">
            <w:pPr>
              <w:pStyle w:val="TableTextEntries"/>
              <w:spacing w:before="0" w:after="0" w:line="240" w:lineRule="auto"/>
            </w:pPr>
          </w:p>
        </w:tc>
        <w:tc>
          <w:tcPr>
            <w:tcW w:w="803" w:type="pct"/>
            <w:vMerge/>
            <w:vAlign w:val="center"/>
          </w:tcPr>
          <w:p w14:paraId="33D5D040" w14:textId="77777777" w:rsidR="00241F57" w:rsidRPr="0048469F" w:rsidRDefault="00241F57" w:rsidP="002E3942">
            <w:pPr>
              <w:pStyle w:val="TableTextEntries"/>
              <w:spacing w:before="0" w:after="0" w:line="240" w:lineRule="auto"/>
              <w:jc w:val="center"/>
            </w:pPr>
          </w:p>
        </w:tc>
        <w:tc>
          <w:tcPr>
            <w:tcW w:w="395" w:type="pct"/>
            <w:vAlign w:val="center"/>
          </w:tcPr>
          <w:p w14:paraId="2CA2ED62" w14:textId="77777777" w:rsidR="00241F57" w:rsidRPr="0048469F" w:rsidRDefault="00241F57" w:rsidP="002E3942">
            <w:pPr>
              <w:pStyle w:val="TableTextEntries"/>
              <w:spacing w:before="0" w:after="0" w:line="240" w:lineRule="auto"/>
              <w:jc w:val="center"/>
            </w:pPr>
            <w:r w:rsidRPr="0048469F">
              <w:t>2013 QAI</w:t>
            </w:r>
          </w:p>
        </w:tc>
        <w:tc>
          <w:tcPr>
            <w:tcW w:w="397" w:type="pct"/>
            <w:noWrap/>
            <w:vAlign w:val="center"/>
          </w:tcPr>
          <w:p w14:paraId="0179A30B" w14:textId="77777777" w:rsidR="00241F57" w:rsidRPr="0048469F" w:rsidRDefault="00214FE1" w:rsidP="002E3942">
            <w:pPr>
              <w:pStyle w:val="TableTextEntries"/>
              <w:spacing w:before="0" w:after="0" w:line="240" w:lineRule="auto"/>
              <w:jc w:val="center"/>
            </w:pPr>
            <w:r w:rsidRPr="0048469F">
              <w:t>Exempt</w:t>
            </w:r>
          </w:p>
        </w:tc>
        <w:tc>
          <w:tcPr>
            <w:tcW w:w="395" w:type="pct"/>
            <w:noWrap/>
            <w:vAlign w:val="center"/>
          </w:tcPr>
          <w:p w14:paraId="327099B0" w14:textId="77777777" w:rsidR="00241F57" w:rsidRPr="0048469F" w:rsidRDefault="00214FE1" w:rsidP="002E3942">
            <w:pPr>
              <w:pStyle w:val="TableTextEntries"/>
              <w:spacing w:before="0" w:after="0" w:line="240" w:lineRule="auto"/>
              <w:jc w:val="center"/>
            </w:pPr>
            <w:r w:rsidRPr="0048469F">
              <w:t>Exempt</w:t>
            </w:r>
          </w:p>
        </w:tc>
        <w:tc>
          <w:tcPr>
            <w:tcW w:w="397" w:type="pct"/>
            <w:noWrap/>
            <w:vAlign w:val="center"/>
          </w:tcPr>
          <w:p w14:paraId="24C4D3BA" w14:textId="77777777" w:rsidR="00241F57" w:rsidRPr="0048469F" w:rsidRDefault="00214FE1" w:rsidP="002E3942">
            <w:pPr>
              <w:pStyle w:val="TableTextEntries"/>
              <w:spacing w:before="0" w:after="0" w:line="240" w:lineRule="auto"/>
              <w:jc w:val="center"/>
            </w:pPr>
            <w:r w:rsidRPr="0048469F">
              <w:t>Exempt</w:t>
            </w:r>
          </w:p>
        </w:tc>
        <w:tc>
          <w:tcPr>
            <w:tcW w:w="396" w:type="pct"/>
            <w:noWrap/>
            <w:vAlign w:val="center"/>
          </w:tcPr>
          <w:p w14:paraId="2DFB3CEF" w14:textId="77777777" w:rsidR="00241F57" w:rsidRPr="0048469F" w:rsidRDefault="00214FE1" w:rsidP="002E3942">
            <w:pPr>
              <w:pStyle w:val="TableTextEntries"/>
              <w:spacing w:before="0" w:after="0" w:line="240" w:lineRule="auto"/>
              <w:jc w:val="center"/>
            </w:pPr>
            <w:r w:rsidRPr="0048469F">
              <w:t>Exempt</w:t>
            </w:r>
          </w:p>
        </w:tc>
        <w:tc>
          <w:tcPr>
            <w:tcW w:w="397" w:type="pct"/>
            <w:noWrap/>
            <w:vAlign w:val="center"/>
          </w:tcPr>
          <w:p w14:paraId="1A5D5B0E" w14:textId="77777777" w:rsidR="00241F57" w:rsidRPr="0048469F" w:rsidRDefault="00214FE1" w:rsidP="002E3942">
            <w:pPr>
              <w:pStyle w:val="TableTextEntries"/>
              <w:spacing w:before="0" w:after="0" w:line="240" w:lineRule="auto"/>
              <w:jc w:val="center"/>
            </w:pPr>
            <w:r w:rsidRPr="0048469F">
              <w:t>Exempt</w:t>
            </w:r>
          </w:p>
        </w:tc>
        <w:tc>
          <w:tcPr>
            <w:tcW w:w="396" w:type="pct"/>
            <w:noWrap/>
            <w:vAlign w:val="center"/>
          </w:tcPr>
          <w:p w14:paraId="0A7AE917" w14:textId="77777777" w:rsidR="00241F57" w:rsidRPr="0048469F" w:rsidRDefault="00214FE1" w:rsidP="002E3942">
            <w:pPr>
              <w:pStyle w:val="TableTextEntries"/>
              <w:spacing w:before="0" w:after="0" w:line="240" w:lineRule="auto"/>
              <w:jc w:val="center"/>
            </w:pPr>
            <w:r w:rsidRPr="0048469F">
              <w:t>Exempt</w:t>
            </w:r>
          </w:p>
        </w:tc>
        <w:tc>
          <w:tcPr>
            <w:tcW w:w="392" w:type="pct"/>
            <w:vAlign w:val="center"/>
          </w:tcPr>
          <w:p w14:paraId="284CCDA5" w14:textId="77777777" w:rsidR="00241F57" w:rsidRPr="0048469F" w:rsidRDefault="00214FE1" w:rsidP="002E3942">
            <w:pPr>
              <w:pStyle w:val="TableTextEntries"/>
              <w:spacing w:before="0" w:after="0" w:line="240" w:lineRule="auto"/>
              <w:jc w:val="center"/>
            </w:pPr>
            <w:r w:rsidRPr="0048469F">
              <w:t>n/a</w:t>
            </w:r>
          </w:p>
        </w:tc>
      </w:tr>
      <w:tr w:rsidR="002E3942" w:rsidRPr="0048469F" w14:paraId="617805D2"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511A9203" w14:textId="569BE6B7" w:rsidR="00DA0612" w:rsidRPr="0048469F" w:rsidRDefault="00DA0612" w:rsidP="002E3942">
            <w:pPr>
              <w:pStyle w:val="TableTextEntries"/>
              <w:spacing w:before="0" w:after="0" w:line="240" w:lineRule="auto"/>
            </w:pPr>
            <w:r w:rsidRPr="0048469F">
              <w:t>INJ223 - Basic Educatio</w:t>
            </w:r>
            <w:r w:rsidR="0095322E" w:rsidRPr="0048469F">
              <w:t xml:space="preserve">n Sector Transformation (BEST) </w:t>
            </w:r>
            <w:r w:rsidRPr="0048469F">
              <w:t>Prog</w:t>
            </w:r>
            <w:r w:rsidR="005A2031">
              <w:t>ram</w:t>
            </w:r>
          </w:p>
        </w:tc>
        <w:tc>
          <w:tcPr>
            <w:tcW w:w="803" w:type="pct"/>
            <w:vMerge w:val="restart"/>
            <w:vAlign w:val="center"/>
          </w:tcPr>
          <w:p w14:paraId="0360595E" w14:textId="3EA1A8B0" w:rsidR="00DA0612" w:rsidRPr="0048469F" w:rsidRDefault="00163FB8" w:rsidP="002E3942">
            <w:pPr>
              <w:pStyle w:val="TableTextEntries"/>
              <w:spacing w:before="0" w:after="0" w:line="240" w:lineRule="auto"/>
              <w:jc w:val="center"/>
            </w:pPr>
            <w:r>
              <w:t>AUD</w:t>
            </w:r>
            <w:r w:rsidR="00DA0612" w:rsidRPr="0048469F">
              <w:t>157,465,811</w:t>
            </w:r>
          </w:p>
          <w:p w14:paraId="225125E5" w14:textId="77777777" w:rsidR="00DA0612" w:rsidRPr="0048469F" w:rsidRDefault="00DA0612" w:rsidP="002E3942">
            <w:pPr>
              <w:pStyle w:val="TableTextEntries"/>
              <w:spacing w:before="0" w:after="0" w:line="240" w:lineRule="auto"/>
              <w:jc w:val="center"/>
            </w:pPr>
            <w:r w:rsidRPr="0048469F">
              <w:t>1/07/10</w:t>
            </w:r>
            <w:r w:rsidR="00116D15" w:rsidRPr="0048469F">
              <w:t xml:space="preserve"> </w:t>
            </w:r>
            <w:r w:rsidRPr="0048469F">
              <w:t>-</w:t>
            </w:r>
            <w:r w:rsidR="00116D15" w:rsidRPr="0048469F">
              <w:t xml:space="preserve"> </w:t>
            </w:r>
            <w:r w:rsidRPr="0048469F">
              <w:t>30/06/19</w:t>
            </w:r>
          </w:p>
        </w:tc>
        <w:tc>
          <w:tcPr>
            <w:tcW w:w="395" w:type="pct"/>
            <w:vAlign w:val="center"/>
          </w:tcPr>
          <w:p w14:paraId="1E278541" w14:textId="77777777" w:rsidR="00DA0612" w:rsidRPr="0048469F" w:rsidRDefault="00DA0612" w:rsidP="002E3942">
            <w:pPr>
              <w:pStyle w:val="TableTextEntries"/>
              <w:spacing w:before="0" w:after="0" w:line="240" w:lineRule="auto"/>
              <w:jc w:val="center"/>
            </w:pPr>
            <w:r w:rsidRPr="0048469F">
              <w:t>2014 AQC</w:t>
            </w:r>
          </w:p>
        </w:tc>
        <w:tc>
          <w:tcPr>
            <w:tcW w:w="397" w:type="pct"/>
            <w:shd w:val="clear" w:color="auto" w:fill="72AF2F"/>
            <w:noWrap/>
            <w:vAlign w:val="center"/>
          </w:tcPr>
          <w:p w14:paraId="6D2FD7E4"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72AF2F"/>
            <w:noWrap/>
            <w:vAlign w:val="center"/>
          </w:tcPr>
          <w:p w14:paraId="5F7A3864"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72AF2F"/>
            <w:noWrap/>
            <w:vAlign w:val="center"/>
          </w:tcPr>
          <w:p w14:paraId="6ED24A30"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147508EE"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72AF2F"/>
            <w:noWrap/>
            <w:vAlign w:val="center"/>
          </w:tcPr>
          <w:p w14:paraId="68E43EBE"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1747E647"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2" w:type="pct"/>
            <w:shd w:val="clear" w:color="auto" w:fill="72AF2F"/>
            <w:vAlign w:val="center"/>
          </w:tcPr>
          <w:p w14:paraId="3C59F0CF"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r>
      <w:tr w:rsidR="002E3942" w:rsidRPr="0048469F" w14:paraId="09D76297"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ign w:val="center"/>
          </w:tcPr>
          <w:p w14:paraId="54843436" w14:textId="77777777" w:rsidR="00BC39AE" w:rsidRPr="0048469F" w:rsidRDefault="00BC39AE" w:rsidP="002E3942">
            <w:pPr>
              <w:pStyle w:val="TableTextEntries"/>
              <w:spacing w:before="0" w:after="0" w:line="240" w:lineRule="auto"/>
            </w:pPr>
          </w:p>
        </w:tc>
        <w:tc>
          <w:tcPr>
            <w:tcW w:w="803" w:type="pct"/>
            <w:vMerge/>
            <w:vAlign w:val="center"/>
          </w:tcPr>
          <w:p w14:paraId="6ED3DD2C" w14:textId="77777777" w:rsidR="00BC39AE" w:rsidRPr="0048469F" w:rsidRDefault="00BC39AE" w:rsidP="002E3942">
            <w:pPr>
              <w:pStyle w:val="TableTextEntries"/>
              <w:spacing w:before="0" w:after="0" w:line="240" w:lineRule="auto"/>
              <w:jc w:val="center"/>
            </w:pPr>
          </w:p>
        </w:tc>
        <w:tc>
          <w:tcPr>
            <w:tcW w:w="395" w:type="pct"/>
            <w:vAlign w:val="center"/>
          </w:tcPr>
          <w:p w14:paraId="50D8CDDB" w14:textId="77777777" w:rsidR="00BC39AE" w:rsidRPr="0048469F" w:rsidRDefault="00BC39AE" w:rsidP="002E3942">
            <w:pPr>
              <w:pStyle w:val="TableTextEntries"/>
              <w:spacing w:before="0" w:after="0" w:line="240" w:lineRule="auto"/>
              <w:jc w:val="center"/>
            </w:pPr>
            <w:r w:rsidRPr="0048469F">
              <w:t>2013 QAI</w:t>
            </w:r>
          </w:p>
        </w:tc>
        <w:tc>
          <w:tcPr>
            <w:tcW w:w="397" w:type="pct"/>
            <w:shd w:val="clear" w:color="auto" w:fill="72AF2F"/>
            <w:noWrap/>
            <w:vAlign w:val="center"/>
          </w:tcPr>
          <w:p w14:paraId="285E218D" w14:textId="77777777" w:rsidR="00BC39AE" w:rsidRPr="0048469F" w:rsidRDefault="00BC39AE"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72AF2F"/>
            <w:noWrap/>
            <w:vAlign w:val="center"/>
          </w:tcPr>
          <w:p w14:paraId="3E39F3A4" w14:textId="77777777" w:rsidR="00BC39AE" w:rsidRPr="0048469F" w:rsidRDefault="00BC39AE"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72AF2F"/>
            <w:noWrap/>
            <w:vAlign w:val="center"/>
          </w:tcPr>
          <w:p w14:paraId="5044B71D" w14:textId="77777777" w:rsidR="00BC39AE" w:rsidRPr="0048469F" w:rsidRDefault="00BC39AE"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7731B9E2" w14:textId="77777777" w:rsidR="00BC39AE" w:rsidRPr="0048469F" w:rsidRDefault="00BC39AE"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72AF2F"/>
            <w:noWrap/>
            <w:vAlign w:val="center"/>
          </w:tcPr>
          <w:p w14:paraId="49B517F3" w14:textId="77777777" w:rsidR="00BC39AE" w:rsidRPr="0048469F" w:rsidRDefault="00BC39AE"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6" w:type="pct"/>
            <w:shd w:val="clear" w:color="auto" w:fill="72AF2F"/>
            <w:noWrap/>
            <w:vAlign w:val="center"/>
          </w:tcPr>
          <w:p w14:paraId="4364A111" w14:textId="77777777" w:rsidR="00BC39AE" w:rsidRPr="0048469F" w:rsidRDefault="00BC39AE"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2" w:type="pct"/>
            <w:vAlign w:val="center"/>
          </w:tcPr>
          <w:p w14:paraId="0683D036" w14:textId="77777777" w:rsidR="00BC39AE" w:rsidRPr="0048469F" w:rsidRDefault="00BC39AE" w:rsidP="002E3942">
            <w:pPr>
              <w:pStyle w:val="TableTextEntries"/>
              <w:spacing w:before="0" w:after="0" w:line="240" w:lineRule="auto"/>
              <w:jc w:val="center"/>
            </w:pPr>
            <w:r w:rsidRPr="0048469F">
              <w:t>n/a</w:t>
            </w:r>
          </w:p>
        </w:tc>
      </w:tr>
      <w:tr w:rsidR="002E3942" w:rsidRPr="0048469F" w14:paraId="23CCC081"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26EDEC76" w14:textId="77777777" w:rsidR="00DA0612" w:rsidRPr="0048469F" w:rsidRDefault="00DA0612" w:rsidP="002E3942">
            <w:pPr>
              <w:pStyle w:val="TableTextEntries"/>
              <w:spacing w:before="0" w:after="0" w:line="240" w:lineRule="auto"/>
            </w:pPr>
            <w:r w:rsidRPr="0048469F">
              <w:t>INJ251 - UN Maternal and Neonatal Mortality Reduction</w:t>
            </w:r>
          </w:p>
        </w:tc>
        <w:tc>
          <w:tcPr>
            <w:tcW w:w="803" w:type="pct"/>
            <w:vMerge w:val="restart"/>
            <w:vAlign w:val="center"/>
          </w:tcPr>
          <w:p w14:paraId="109527CA" w14:textId="3C111B6B" w:rsidR="00DA0612" w:rsidRPr="0048469F" w:rsidRDefault="00163FB8" w:rsidP="002E3942">
            <w:pPr>
              <w:pStyle w:val="TableTextEntries"/>
              <w:spacing w:before="0" w:after="0" w:line="240" w:lineRule="auto"/>
              <w:jc w:val="center"/>
            </w:pPr>
            <w:r>
              <w:t>AUD</w:t>
            </w:r>
            <w:r w:rsidR="00DA0612" w:rsidRPr="0048469F">
              <w:t>20,257,892</w:t>
            </w:r>
          </w:p>
          <w:p w14:paraId="45241758" w14:textId="77777777" w:rsidR="00DA0612" w:rsidRPr="0048469F" w:rsidRDefault="00DA0612" w:rsidP="002E3942">
            <w:pPr>
              <w:pStyle w:val="TableTextEntries"/>
              <w:spacing w:before="0" w:after="0" w:line="240" w:lineRule="auto"/>
              <w:jc w:val="center"/>
            </w:pPr>
            <w:r w:rsidRPr="0048469F">
              <w:t>30/05/10</w:t>
            </w:r>
            <w:r w:rsidR="00116D15" w:rsidRPr="0048469F">
              <w:t xml:space="preserve"> </w:t>
            </w:r>
            <w:r w:rsidRPr="0048469F">
              <w:t>-</w:t>
            </w:r>
            <w:r w:rsidR="00116D15" w:rsidRPr="0048469F">
              <w:t xml:space="preserve"> </w:t>
            </w:r>
            <w:r w:rsidRPr="0048469F">
              <w:t>30/06/16</w:t>
            </w:r>
          </w:p>
        </w:tc>
        <w:tc>
          <w:tcPr>
            <w:tcW w:w="395" w:type="pct"/>
            <w:vAlign w:val="center"/>
          </w:tcPr>
          <w:p w14:paraId="14A07632" w14:textId="77777777" w:rsidR="00DA0612" w:rsidRPr="0048469F" w:rsidRDefault="00DA0612" w:rsidP="002E3942">
            <w:pPr>
              <w:pStyle w:val="TableTextEntries"/>
              <w:spacing w:before="0" w:after="0" w:line="240" w:lineRule="auto"/>
              <w:jc w:val="center"/>
            </w:pPr>
            <w:r w:rsidRPr="0048469F">
              <w:t>2014 AQC</w:t>
            </w:r>
          </w:p>
        </w:tc>
        <w:tc>
          <w:tcPr>
            <w:tcW w:w="397" w:type="pct"/>
            <w:shd w:val="clear" w:color="auto" w:fill="72AF2F"/>
            <w:noWrap/>
            <w:vAlign w:val="center"/>
          </w:tcPr>
          <w:p w14:paraId="6AE30CDD"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5" w:type="pct"/>
            <w:shd w:val="clear" w:color="auto" w:fill="72AF2F"/>
            <w:noWrap/>
            <w:vAlign w:val="center"/>
          </w:tcPr>
          <w:p w14:paraId="23717D09"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FFFF00"/>
            <w:noWrap/>
            <w:vAlign w:val="center"/>
          </w:tcPr>
          <w:p w14:paraId="53D69AC2"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FFF00"/>
            <w:noWrap/>
            <w:vAlign w:val="center"/>
          </w:tcPr>
          <w:p w14:paraId="6AFBF22B"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72AF2F"/>
            <w:noWrap/>
            <w:vAlign w:val="center"/>
          </w:tcPr>
          <w:p w14:paraId="5E8658D3"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630A8492"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2" w:type="pct"/>
            <w:shd w:val="clear" w:color="auto" w:fill="FFFF00"/>
            <w:vAlign w:val="center"/>
          </w:tcPr>
          <w:p w14:paraId="258CC0CA" w14:textId="77777777" w:rsidR="00DA0612" w:rsidRPr="0048469F" w:rsidRDefault="00DA061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r>
      <w:tr w:rsidR="002E3942" w:rsidRPr="0048469F" w14:paraId="1603DF0E"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ign w:val="center"/>
          </w:tcPr>
          <w:p w14:paraId="0101D468" w14:textId="77777777" w:rsidR="00BC39AE" w:rsidRPr="0048469F" w:rsidRDefault="00BC39AE" w:rsidP="002E3942">
            <w:pPr>
              <w:pStyle w:val="TableTextEntries"/>
              <w:spacing w:before="0" w:after="0" w:line="240" w:lineRule="auto"/>
            </w:pPr>
          </w:p>
        </w:tc>
        <w:tc>
          <w:tcPr>
            <w:tcW w:w="803" w:type="pct"/>
            <w:vMerge/>
            <w:vAlign w:val="center"/>
          </w:tcPr>
          <w:p w14:paraId="3E3E4E75" w14:textId="77777777" w:rsidR="00BC39AE" w:rsidRPr="0048469F" w:rsidRDefault="00BC39AE" w:rsidP="002E3942">
            <w:pPr>
              <w:pStyle w:val="TableTextEntries"/>
              <w:spacing w:before="0" w:after="0" w:line="240" w:lineRule="auto"/>
              <w:jc w:val="center"/>
            </w:pPr>
          </w:p>
        </w:tc>
        <w:tc>
          <w:tcPr>
            <w:tcW w:w="395" w:type="pct"/>
            <w:vAlign w:val="center"/>
          </w:tcPr>
          <w:p w14:paraId="7754AC94" w14:textId="77777777" w:rsidR="00BC39AE" w:rsidRPr="0048469F" w:rsidRDefault="00BC39AE" w:rsidP="002E3942">
            <w:pPr>
              <w:pStyle w:val="TableTextEntries"/>
              <w:spacing w:before="0" w:after="0" w:line="240" w:lineRule="auto"/>
              <w:jc w:val="center"/>
            </w:pPr>
            <w:r w:rsidRPr="0048469F">
              <w:t>2013 QAI</w:t>
            </w:r>
          </w:p>
        </w:tc>
        <w:tc>
          <w:tcPr>
            <w:tcW w:w="397" w:type="pct"/>
            <w:shd w:val="clear" w:color="auto" w:fill="FFFF00"/>
            <w:noWrap/>
            <w:vAlign w:val="center"/>
          </w:tcPr>
          <w:p w14:paraId="066D996A" w14:textId="77777777" w:rsidR="00BC39AE" w:rsidRPr="0048469F" w:rsidRDefault="00BC39AE"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5" w:type="pct"/>
            <w:shd w:val="clear" w:color="auto" w:fill="FFFF00"/>
            <w:noWrap/>
            <w:vAlign w:val="center"/>
          </w:tcPr>
          <w:p w14:paraId="35A31D7F" w14:textId="77777777" w:rsidR="00BC39AE" w:rsidRPr="0048469F" w:rsidRDefault="00BC39AE"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F79646"/>
            <w:noWrap/>
            <w:vAlign w:val="center"/>
          </w:tcPr>
          <w:p w14:paraId="4DAF6E7F" w14:textId="77777777" w:rsidR="00BC39AE" w:rsidRPr="0048469F" w:rsidRDefault="00BC39AE"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6" w:type="pct"/>
            <w:shd w:val="clear" w:color="auto" w:fill="FFFF00"/>
            <w:noWrap/>
            <w:vAlign w:val="center"/>
          </w:tcPr>
          <w:p w14:paraId="5E2EE46A" w14:textId="77777777" w:rsidR="00BC39AE" w:rsidRPr="0048469F" w:rsidRDefault="00BC39AE"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72AF2F"/>
            <w:noWrap/>
            <w:vAlign w:val="center"/>
          </w:tcPr>
          <w:p w14:paraId="47FD8E06" w14:textId="77777777" w:rsidR="00BC39AE" w:rsidRPr="0048469F" w:rsidRDefault="00BC39AE"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653E5C03" w14:textId="77777777" w:rsidR="00BC39AE" w:rsidRPr="0048469F" w:rsidRDefault="00BC39AE"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2" w:type="pct"/>
            <w:vAlign w:val="center"/>
          </w:tcPr>
          <w:p w14:paraId="245CC525" w14:textId="77777777" w:rsidR="00BC39AE" w:rsidRPr="0048469F" w:rsidRDefault="00BC39AE" w:rsidP="002E3942">
            <w:pPr>
              <w:pStyle w:val="TableTextEntries"/>
              <w:spacing w:before="0" w:after="0" w:line="240" w:lineRule="auto"/>
              <w:jc w:val="center"/>
            </w:pPr>
            <w:r w:rsidRPr="0048469F">
              <w:t>n/a</w:t>
            </w:r>
          </w:p>
        </w:tc>
      </w:tr>
      <w:tr w:rsidR="002E3942" w:rsidRPr="0048469F" w14:paraId="5A0395E5"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2D90E1EC" w14:textId="77777777" w:rsidR="00C90945" w:rsidRPr="0048469F" w:rsidRDefault="00C90945" w:rsidP="002E3942">
            <w:pPr>
              <w:pStyle w:val="TableTextEntries"/>
              <w:spacing w:before="0" w:after="0" w:line="240" w:lineRule="auto"/>
            </w:pPr>
            <w:r w:rsidRPr="0048469F">
              <w:t>INJ766 - Strengthening Public Private Partnership Program</w:t>
            </w:r>
          </w:p>
        </w:tc>
        <w:tc>
          <w:tcPr>
            <w:tcW w:w="803" w:type="pct"/>
            <w:vMerge w:val="restart"/>
            <w:vAlign w:val="center"/>
          </w:tcPr>
          <w:p w14:paraId="2A37D94D" w14:textId="79F572AD" w:rsidR="00C90945" w:rsidRPr="0048469F" w:rsidRDefault="00163FB8" w:rsidP="002E3942">
            <w:pPr>
              <w:pStyle w:val="TableTextEntries"/>
              <w:spacing w:before="0" w:after="0" w:line="240" w:lineRule="auto"/>
              <w:jc w:val="center"/>
            </w:pPr>
            <w:r>
              <w:t>AUD</w:t>
            </w:r>
            <w:r w:rsidR="00C90945" w:rsidRPr="0048469F">
              <w:t>26,277,692</w:t>
            </w:r>
          </w:p>
          <w:p w14:paraId="3B982C26" w14:textId="77777777" w:rsidR="00C90945" w:rsidRPr="0048469F" w:rsidRDefault="00C90945" w:rsidP="002E3942">
            <w:pPr>
              <w:pStyle w:val="TableTextEntries"/>
              <w:spacing w:before="0" w:after="0" w:line="240" w:lineRule="auto"/>
              <w:jc w:val="center"/>
            </w:pPr>
            <w:r w:rsidRPr="0048469F">
              <w:t>22/03/11</w:t>
            </w:r>
            <w:r w:rsidR="00116D15" w:rsidRPr="0048469F">
              <w:t xml:space="preserve"> </w:t>
            </w:r>
            <w:r w:rsidRPr="0048469F">
              <w:t>-</w:t>
            </w:r>
            <w:r w:rsidR="00116D15" w:rsidRPr="0048469F">
              <w:t xml:space="preserve"> </w:t>
            </w:r>
            <w:r w:rsidRPr="0048469F">
              <w:t>30/06/17</w:t>
            </w:r>
          </w:p>
        </w:tc>
        <w:tc>
          <w:tcPr>
            <w:tcW w:w="395" w:type="pct"/>
            <w:vAlign w:val="center"/>
          </w:tcPr>
          <w:p w14:paraId="57E28B17" w14:textId="77777777" w:rsidR="00C90945" w:rsidRPr="0048469F" w:rsidRDefault="00C90945" w:rsidP="002E3942">
            <w:pPr>
              <w:pStyle w:val="TableTextEntries"/>
              <w:spacing w:before="0" w:after="0" w:line="240" w:lineRule="auto"/>
              <w:jc w:val="center"/>
            </w:pPr>
            <w:r w:rsidRPr="0048469F">
              <w:t>2014 AQC</w:t>
            </w:r>
          </w:p>
        </w:tc>
        <w:tc>
          <w:tcPr>
            <w:tcW w:w="397" w:type="pct"/>
            <w:shd w:val="clear" w:color="auto" w:fill="72AF2F"/>
            <w:noWrap/>
            <w:vAlign w:val="center"/>
          </w:tcPr>
          <w:p w14:paraId="28FED0AA" w14:textId="77777777" w:rsidR="00C90945" w:rsidRPr="0048469F" w:rsidRDefault="00C9094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72AF2F"/>
            <w:noWrap/>
            <w:vAlign w:val="center"/>
          </w:tcPr>
          <w:p w14:paraId="5297E565" w14:textId="77777777" w:rsidR="00C90945" w:rsidRPr="0048469F" w:rsidRDefault="00C9094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7" w:type="pct"/>
            <w:shd w:val="clear" w:color="auto" w:fill="72AF2F"/>
            <w:noWrap/>
            <w:vAlign w:val="center"/>
          </w:tcPr>
          <w:p w14:paraId="28483327" w14:textId="77777777" w:rsidR="00C90945" w:rsidRPr="0048469F" w:rsidRDefault="00C9094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74DF2260" w14:textId="77777777" w:rsidR="00C90945" w:rsidRPr="0048469F" w:rsidRDefault="00C9094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72AF2F"/>
            <w:noWrap/>
            <w:vAlign w:val="center"/>
          </w:tcPr>
          <w:p w14:paraId="2F36BA75" w14:textId="77777777" w:rsidR="00C90945" w:rsidRPr="0048469F" w:rsidRDefault="00C9094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FFFF00"/>
            <w:noWrap/>
            <w:vAlign w:val="center"/>
          </w:tcPr>
          <w:p w14:paraId="619BDE76" w14:textId="77777777" w:rsidR="00C90945" w:rsidRPr="0048469F" w:rsidRDefault="00C9094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2" w:type="pct"/>
            <w:shd w:val="clear" w:color="auto" w:fill="72AF2F"/>
            <w:vAlign w:val="center"/>
          </w:tcPr>
          <w:p w14:paraId="33B24B68" w14:textId="77777777" w:rsidR="00C90945" w:rsidRPr="0048469F" w:rsidRDefault="00C9094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r>
      <w:tr w:rsidR="002E3942" w:rsidRPr="0048469F" w14:paraId="321EF47B"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ign w:val="center"/>
          </w:tcPr>
          <w:p w14:paraId="569A461C" w14:textId="77777777" w:rsidR="00116D15" w:rsidRPr="0048469F" w:rsidRDefault="00116D15" w:rsidP="002E3942">
            <w:pPr>
              <w:pStyle w:val="TableTextEntries"/>
              <w:spacing w:before="0" w:after="0" w:line="240" w:lineRule="auto"/>
            </w:pPr>
          </w:p>
        </w:tc>
        <w:tc>
          <w:tcPr>
            <w:tcW w:w="803" w:type="pct"/>
            <w:vMerge/>
            <w:vAlign w:val="center"/>
          </w:tcPr>
          <w:p w14:paraId="77808ACB" w14:textId="77777777" w:rsidR="00116D15" w:rsidRPr="0048469F" w:rsidRDefault="00116D15" w:rsidP="002E3942">
            <w:pPr>
              <w:pStyle w:val="TableTextEntries"/>
              <w:spacing w:before="0" w:after="0" w:line="240" w:lineRule="auto"/>
              <w:jc w:val="center"/>
            </w:pPr>
          </w:p>
        </w:tc>
        <w:tc>
          <w:tcPr>
            <w:tcW w:w="395" w:type="pct"/>
            <w:vAlign w:val="center"/>
          </w:tcPr>
          <w:p w14:paraId="195979CC" w14:textId="77777777" w:rsidR="00116D15" w:rsidRPr="0048469F" w:rsidRDefault="00116D15" w:rsidP="002E3942">
            <w:pPr>
              <w:pStyle w:val="TableTextEntries"/>
              <w:spacing w:before="0" w:after="0" w:line="240" w:lineRule="auto"/>
              <w:jc w:val="center"/>
            </w:pPr>
            <w:r w:rsidRPr="0048469F">
              <w:t>2013 QAI</w:t>
            </w:r>
          </w:p>
        </w:tc>
        <w:tc>
          <w:tcPr>
            <w:tcW w:w="397" w:type="pct"/>
            <w:shd w:val="clear" w:color="auto" w:fill="72AF2F"/>
            <w:noWrap/>
            <w:vAlign w:val="center"/>
          </w:tcPr>
          <w:p w14:paraId="18A237E4" w14:textId="77777777" w:rsidR="00116D15" w:rsidRPr="0048469F" w:rsidRDefault="00116D1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72AF2F"/>
            <w:noWrap/>
            <w:vAlign w:val="center"/>
          </w:tcPr>
          <w:p w14:paraId="2246E2D2" w14:textId="77777777" w:rsidR="00116D15" w:rsidRPr="0048469F" w:rsidRDefault="00116D1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7" w:type="pct"/>
            <w:shd w:val="clear" w:color="auto" w:fill="72AF2F"/>
            <w:noWrap/>
            <w:vAlign w:val="center"/>
          </w:tcPr>
          <w:p w14:paraId="14786696" w14:textId="77777777" w:rsidR="00116D15" w:rsidRPr="0048469F" w:rsidRDefault="00116D1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6A04493A" w14:textId="77777777" w:rsidR="00116D15" w:rsidRPr="0048469F" w:rsidRDefault="00116D1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72AF2F"/>
            <w:noWrap/>
            <w:vAlign w:val="center"/>
          </w:tcPr>
          <w:p w14:paraId="417A33E0" w14:textId="77777777" w:rsidR="00116D15" w:rsidRPr="0048469F" w:rsidRDefault="00116D1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0824F13E" w14:textId="77777777" w:rsidR="00116D15" w:rsidRPr="0048469F" w:rsidRDefault="00116D1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2" w:type="pct"/>
            <w:vAlign w:val="center"/>
          </w:tcPr>
          <w:p w14:paraId="0C479B56" w14:textId="77777777" w:rsidR="00116D15" w:rsidRPr="0048469F" w:rsidRDefault="00116D15" w:rsidP="002E3942">
            <w:pPr>
              <w:pStyle w:val="TableTextEntries"/>
              <w:spacing w:before="0" w:after="0" w:line="240" w:lineRule="auto"/>
              <w:jc w:val="center"/>
            </w:pPr>
            <w:r w:rsidRPr="0048469F">
              <w:t>n/a</w:t>
            </w:r>
          </w:p>
        </w:tc>
      </w:tr>
      <w:tr w:rsidR="002E3942" w:rsidRPr="0048469F" w14:paraId="1DE7CA6B"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3894B0A4" w14:textId="77777777" w:rsidR="00100557" w:rsidRPr="0048469F" w:rsidRDefault="00100557" w:rsidP="002E3942">
            <w:pPr>
              <w:pStyle w:val="TableTextEntries"/>
              <w:spacing w:before="0" w:after="0" w:line="240" w:lineRule="auto"/>
            </w:pPr>
            <w:r w:rsidRPr="0048469F">
              <w:t>ING581 - Philippines: Disaster and Climate Risks Management</w:t>
            </w:r>
          </w:p>
        </w:tc>
        <w:tc>
          <w:tcPr>
            <w:tcW w:w="803" w:type="pct"/>
            <w:vMerge w:val="restart"/>
            <w:vAlign w:val="center"/>
          </w:tcPr>
          <w:p w14:paraId="3B4959AC" w14:textId="7A2483FC" w:rsidR="00100557" w:rsidRPr="0048469F" w:rsidRDefault="00163FB8" w:rsidP="002E3942">
            <w:pPr>
              <w:pStyle w:val="TableTextEntries"/>
              <w:spacing w:before="0" w:after="0" w:line="240" w:lineRule="auto"/>
              <w:jc w:val="center"/>
            </w:pPr>
            <w:r>
              <w:t>AUD</w:t>
            </w:r>
            <w:r w:rsidR="00100557" w:rsidRPr="0048469F">
              <w:t>70,532,185</w:t>
            </w:r>
          </w:p>
          <w:p w14:paraId="0801EA03" w14:textId="77777777" w:rsidR="00100557" w:rsidRPr="0048469F" w:rsidRDefault="00100557" w:rsidP="002E3942">
            <w:pPr>
              <w:pStyle w:val="TableTextEntries"/>
              <w:spacing w:before="0" w:after="0" w:line="240" w:lineRule="auto"/>
              <w:jc w:val="center"/>
            </w:pPr>
            <w:r w:rsidRPr="0048469F">
              <w:t>2/06/06</w:t>
            </w:r>
            <w:r w:rsidR="00116D15" w:rsidRPr="0048469F">
              <w:t xml:space="preserve"> </w:t>
            </w:r>
            <w:r w:rsidRPr="0048469F">
              <w:t>-</w:t>
            </w:r>
            <w:r w:rsidR="00116D15" w:rsidRPr="0048469F">
              <w:t xml:space="preserve"> </w:t>
            </w:r>
            <w:r w:rsidRPr="0048469F">
              <w:t>31/12/17</w:t>
            </w:r>
          </w:p>
        </w:tc>
        <w:tc>
          <w:tcPr>
            <w:tcW w:w="395" w:type="pct"/>
            <w:vAlign w:val="center"/>
          </w:tcPr>
          <w:p w14:paraId="4C7B365A" w14:textId="77777777" w:rsidR="00100557" w:rsidRPr="0048469F" w:rsidRDefault="00100557" w:rsidP="002E3942">
            <w:pPr>
              <w:pStyle w:val="TableTextEntries"/>
              <w:spacing w:before="0" w:after="0" w:line="240" w:lineRule="auto"/>
              <w:jc w:val="center"/>
            </w:pPr>
            <w:r w:rsidRPr="0048469F">
              <w:t>2014 AQC</w:t>
            </w:r>
          </w:p>
        </w:tc>
        <w:tc>
          <w:tcPr>
            <w:tcW w:w="397" w:type="pct"/>
            <w:shd w:val="clear" w:color="auto" w:fill="72AF2F"/>
            <w:noWrap/>
            <w:vAlign w:val="center"/>
          </w:tcPr>
          <w:p w14:paraId="2DE0FC8E"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FFFF00"/>
            <w:noWrap/>
            <w:vAlign w:val="center"/>
          </w:tcPr>
          <w:p w14:paraId="2B458F9B"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FFFF00"/>
            <w:noWrap/>
            <w:vAlign w:val="center"/>
          </w:tcPr>
          <w:p w14:paraId="26A2F3BE"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FFF00"/>
            <w:noWrap/>
            <w:vAlign w:val="center"/>
          </w:tcPr>
          <w:p w14:paraId="546D8FF9"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72AF2F"/>
            <w:noWrap/>
            <w:vAlign w:val="center"/>
          </w:tcPr>
          <w:p w14:paraId="0A391608"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6" w:type="pct"/>
            <w:shd w:val="clear" w:color="auto" w:fill="FFFF00"/>
            <w:noWrap/>
            <w:vAlign w:val="center"/>
          </w:tcPr>
          <w:p w14:paraId="4B0EEAD3"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2" w:type="pct"/>
            <w:shd w:val="clear" w:color="auto" w:fill="72AF2F"/>
            <w:vAlign w:val="center"/>
          </w:tcPr>
          <w:p w14:paraId="16538A27"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r>
      <w:tr w:rsidR="002E3942" w:rsidRPr="0048469F" w14:paraId="5013D507"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ign w:val="center"/>
          </w:tcPr>
          <w:p w14:paraId="604D32F3" w14:textId="77777777" w:rsidR="001B0621" w:rsidRPr="0048469F" w:rsidRDefault="001B0621" w:rsidP="002E3942">
            <w:pPr>
              <w:pStyle w:val="TableTextEntries"/>
              <w:spacing w:before="0" w:after="0" w:line="240" w:lineRule="auto"/>
            </w:pPr>
          </w:p>
        </w:tc>
        <w:tc>
          <w:tcPr>
            <w:tcW w:w="803" w:type="pct"/>
            <w:vMerge/>
            <w:vAlign w:val="center"/>
          </w:tcPr>
          <w:p w14:paraId="0CA88A71" w14:textId="77777777" w:rsidR="001B0621" w:rsidRPr="0048469F" w:rsidRDefault="001B0621" w:rsidP="002E3942">
            <w:pPr>
              <w:pStyle w:val="TableTextEntries"/>
              <w:spacing w:before="0" w:after="0" w:line="240" w:lineRule="auto"/>
              <w:jc w:val="center"/>
            </w:pPr>
          </w:p>
        </w:tc>
        <w:tc>
          <w:tcPr>
            <w:tcW w:w="395" w:type="pct"/>
            <w:vAlign w:val="center"/>
          </w:tcPr>
          <w:p w14:paraId="38D3D5B0" w14:textId="77777777" w:rsidR="001B0621" w:rsidRPr="0048469F" w:rsidRDefault="001B0621" w:rsidP="002E3942">
            <w:pPr>
              <w:pStyle w:val="TableTextEntries"/>
              <w:spacing w:before="0" w:after="0" w:line="240" w:lineRule="auto"/>
              <w:jc w:val="center"/>
            </w:pPr>
            <w:r w:rsidRPr="0048469F">
              <w:t>2013 QAI</w:t>
            </w:r>
          </w:p>
        </w:tc>
        <w:tc>
          <w:tcPr>
            <w:tcW w:w="397" w:type="pct"/>
            <w:shd w:val="clear" w:color="auto" w:fill="72AF2F"/>
            <w:noWrap/>
            <w:vAlign w:val="center"/>
          </w:tcPr>
          <w:p w14:paraId="31B9831A" w14:textId="77777777" w:rsidR="001B0621" w:rsidRPr="0048469F" w:rsidRDefault="001B0621"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72AF2F"/>
            <w:noWrap/>
            <w:vAlign w:val="center"/>
          </w:tcPr>
          <w:p w14:paraId="34E73ED5" w14:textId="77777777" w:rsidR="001B0621" w:rsidRPr="0048469F" w:rsidRDefault="001B0621"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7" w:type="pct"/>
            <w:shd w:val="clear" w:color="auto" w:fill="FFFF00"/>
            <w:noWrap/>
            <w:vAlign w:val="center"/>
          </w:tcPr>
          <w:p w14:paraId="266248AC" w14:textId="77777777" w:rsidR="001B0621" w:rsidRPr="0048469F" w:rsidRDefault="001B0621"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FFF00"/>
            <w:noWrap/>
            <w:vAlign w:val="center"/>
          </w:tcPr>
          <w:p w14:paraId="238AB96A" w14:textId="77777777" w:rsidR="001B0621" w:rsidRPr="0048469F" w:rsidRDefault="001B0621"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72AF2F"/>
            <w:noWrap/>
            <w:vAlign w:val="center"/>
          </w:tcPr>
          <w:p w14:paraId="1BF7E390" w14:textId="77777777" w:rsidR="001B0621" w:rsidRPr="0048469F" w:rsidRDefault="001B0621"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6" w:type="pct"/>
            <w:shd w:val="clear" w:color="auto" w:fill="FFFF00"/>
            <w:noWrap/>
            <w:vAlign w:val="center"/>
          </w:tcPr>
          <w:p w14:paraId="0FE1CCCE" w14:textId="77777777" w:rsidR="001B0621" w:rsidRPr="0048469F" w:rsidRDefault="001B0621"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2" w:type="pct"/>
            <w:vAlign w:val="center"/>
          </w:tcPr>
          <w:p w14:paraId="647AA4DE" w14:textId="77777777" w:rsidR="001B0621" w:rsidRPr="0048469F" w:rsidRDefault="001B0621" w:rsidP="002E3942">
            <w:pPr>
              <w:pStyle w:val="TableTextEntries"/>
              <w:spacing w:before="0" w:after="0" w:line="240" w:lineRule="auto"/>
              <w:jc w:val="center"/>
            </w:pPr>
            <w:r w:rsidRPr="0048469F">
              <w:t>n/a</w:t>
            </w:r>
          </w:p>
        </w:tc>
      </w:tr>
      <w:tr w:rsidR="002E3942" w:rsidRPr="0048469F" w14:paraId="3FC30B6F" w14:textId="77777777" w:rsidTr="007F40EC">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23E05B77" w14:textId="77777777" w:rsidR="00100557" w:rsidRPr="0048469F" w:rsidRDefault="00100557" w:rsidP="002E3942">
            <w:pPr>
              <w:pStyle w:val="TableTextEntries"/>
              <w:spacing w:before="0" w:after="0" w:line="240" w:lineRule="auto"/>
            </w:pPr>
            <w:r w:rsidRPr="0048469F">
              <w:t>INK078 - Public Financial Management Program Phase 2</w:t>
            </w:r>
          </w:p>
        </w:tc>
        <w:tc>
          <w:tcPr>
            <w:tcW w:w="803" w:type="pct"/>
            <w:vMerge w:val="restart"/>
            <w:vAlign w:val="center"/>
          </w:tcPr>
          <w:p w14:paraId="7121A99D" w14:textId="3DF79D7D" w:rsidR="00100557" w:rsidRPr="0048469F" w:rsidRDefault="00163FB8" w:rsidP="002E3942">
            <w:pPr>
              <w:pStyle w:val="TableTextEntries"/>
              <w:spacing w:before="0" w:after="0" w:line="240" w:lineRule="auto"/>
              <w:jc w:val="center"/>
            </w:pPr>
            <w:r>
              <w:t>AUD</w:t>
            </w:r>
            <w:r w:rsidR="00100557" w:rsidRPr="0048469F">
              <w:t>30,000,000</w:t>
            </w:r>
          </w:p>
          <w:p w14:paraId="3374CD85" w14:textId="77777777" w:rsidR="00100557" w:rsidRPr="0048469F" w:rsidRDefault="00100557" w:rsidP="002E3942">
            <w:pPr>
              <w:pStyle w:val="TableTextEntries"/>
              <w:spacing w:before="0" w:after="0" w:line="240" w:lineRule="auto"/>
              <w:jc w:val="center"/>
            </w:pPr>
            <w:r w:rsidRPr="0048469F">
              <w:t>1/07/11</w:t>
            </w:r>
            <w:r w:rsidR="00116D15" w:rsidRPr="0048469F">
              <w:t xml:space="preserve"> </w:t>
            </w:r>
            <w:r w:rsidRPr="0048469F">
              <w:t>-</w:t>
            </w:r>
            <w:r w:rsidR="00116D15" w:rsidRPr="0048469F">
              <w:t xml:space="preserve"> </w:t>
            </w:r>
            <w:r w:rsidRPr="0048469F">
              <w:t>30/06/17</w:t>
            </w:r>
          </w:p>
        </w:tc>
        <w:tc>
          <w:tcPr>
            <w:tcW w:w="395" w:type="pct"/>
            <w:vAlign w:val="center"/>
          </w:tcPr>
          <w:p w14:paraId="22FD26EF" w14:textId="77777777" w:rsidR="00100557" w:rsidRPr="0048469F" w:rsidRDefault="00100557" w:rsidP="002E3942">
            <w:pPr>
              <w:pStyle w:val="TableTextEntries"/>
              <w:spacing w:before="0" w:after="0" w:line="240" w:lineRule="auto"/>
              <w:jc w:val="center"/>
            </w:pPr>
            <w:r w:rsidRPr="0048469F">
              <w:t>2014 AQC</w:t>
            </w:r>
          </w:p>
        </w:tc>
        <w:tc>
          <w:tcPr>
            <w:tcW w:w="397" w:type="pct"/>
            <w:shd w:val="clear" w:color="auto" w:fill="72AF2F"/>
            <w:noWrap/>
            <w:vAlign w:val="center"/>
          </w:tcPr>
          <w:p w14:paraId="64CB5A77"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5" w:type="pct"/>
            <w:shd w:val="clear" w:color="auto" w:fill="72AF2F"/>
            <w:noWrap/>
            <w:vAlign w:val="center"/>
          </w:tcPr>
          <w:p w14:paraId="685A778C"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FFFF00"/>
            <w:noWrap/>
            <w:vAlign w:val="center"/>
          </w:tcPr>
          <w:p w14:paraId="71A91A69"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72AF2F"/>
            <w:noWrap/>
            <w:vAlign w:val="center"/>
          </w:tcPr>
          <w:p w14:paraId="7F672534"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FFFF00"/>
            <w:noWrap/>
            <w:vAlign w:val="center"/>
          </w:tcPr>
          <w:p w14:paraId="330B2DDC"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79646"/>
            <w:noWrap/>
            <w:vAlign w:val="center"/>
          </w:tcPr>
          <w:p w14:paraId="4EEB0F09"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2" w:type="pct"/>
            <w:shd w:val="clear" w:color="auto" w:fill="72AF2F"/>
            <w:vAlign w:val="center"/>
          </w:tcPr>
          <w:p w14:paraId="2AACBC5D"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r>
      <w:tr w:rsidR="002E3942" w:rsidRPr="0048469F" w14:paraId="7378A053"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ign w:val="center"/>
          </w:tcPr>
          <w:p w14:paraId="389A7E63" w14:textId="77777777" w:rsidR="00116D15" w:rsidRPr="0048469F" w:rsidRDefault="00116D15" w:rsidP="002E3942">
            <w:pPr>
              <w:pStyle w:val="TableTextEntries"/>
              <w:spacing w:before="0" w:after="0" w:line="240" w:lineRule="auto"/>
            </w:pPr>
          </w:p>
        </w:tc>
        <w:tc>
          <w:tcPr>
            <w:tcW w:w="803" w:type="pct"/>
            <w:vMerge/>
            <w:vAlign w:val="center"/>
          </w:tcPr>
          <w:p w14:paraId="19EF665F" w14:textId="77777777" w:rsidR="00116D15" w:rsidRPr="0048469F" w:rsidRDefault="00116D15" w:rsidP="002E3942">
            <w:pPr>
              <w:pStyle w:val="TableTextEntries"/>
              <w:spacing w:before="0" w:after="0" w:line="240" w:lineRule="auto"/>
              <w:jc w:val="center"/>
            </w:pPr>
          </w:p>
        </w:tc>
        <w:tc>
          <w:tcPr>
            <w:tcW w:w="395" w:type="pct"/>
            <w:vAlign w:val="center"/>
          </w:tcPr>
          <w:p w14:paraId="10370C27" w14:textId="77777777" w:rsidR="00116D15" w:rsidRPr="0048469F" w:rsidRDefault="00116D15" w:rsidP="002E3942">
            <w:pPr>
              <w:pStyle w:val="TableTextEntries"/>
              <w:spacing w:before="0" w:after="0" w:line="240" w:lineRule="auto"/>
              <w:jc w:val="center"/>
            </w:pPr>
            <w:r w:rsidRPr="0048469F">
              <w:t>2013 QAI</w:t>
            </w:r>
          </w:p>
        </w:tc>
        <w:tc>
          <w:tcPr>
            <w:tcW w:w="397" w:type="pct"/>
            <w:shd w:val="clear" w:color="auto" w:fill="72AF2F"/>
            <w:noWrap/>
            <w:vAlign w:val="center"/>
          </w:tcPr>
          <w:p w14:paraId="2AD9EC24" w14:textId="77777777" w:rsidR="00116D15" w:rsidRPr="0048469F" w:rsidRDefault="00116D1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5" w:type="pct"/>
            <w:shd w:val="clear" w:color="auto" w:fill="FFFF00"/>
            <w:noWrap/>
            <w:vAlign w:val="center"/>
          </w:tcPr>
          <w:p w14:paraId="0544EEDC" w14:textId="77777777" w:rsidR="00116D15" w:rsidRPr="0048469F" w:rsidRDefault="00116D1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FFFF00"/>
            <w:noWrap/>
            <w:vAlign w:val="center"/>
          </w:tcPr>
          <w:p w14:paraId="408C0FDD" w14:textId="77777777" w:rsidR="00116D15" w:rsidRPr="0048469F" w:rsidRDefault="00116D1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FFF00"/>
            <w:noWrap/>
            <w:vAlign w:val="center"/>
          </w:tcPr>
          <w:p w14:paraId="584975FD" w14:textId="77777777" w:rsidR="00116D15" w:rsidRPr="0048469F" w:rsidRDefault="00116D1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72AF2F"/>
            <w:noWrap/>
            <w:vAlign w:val="center"/>
          </w:tcPr>
          <w:p w14:paraId="1540498C" w14:textId="77777777" w:rsidR="00116D15" w:rsidRPr="0048469F" w:rsidRDefault="00116D1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5E524325" w14:textId="77777777" w:rsidR="00116D15" w:rsidRPr="0048469F" w:rsidRDefault="00116D15"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2" w:type="pct"/>
            <w:vAlign w:val="center"/>
          </w:tcPr>
          <w:p w14:paraId="14E6C0A1" w14:textId="77777777" w:rsidR="00116D15" w:rsidRPr="0048469F" w:rsidRDefault="00116D15" w:rsidP="002E3942">
            <w:pPr>
              <w:pStyle w:val="TableTextEntries"/>
              <w:spacing w:before="0" w:after="0" w:line="240" w:lineRule="auto"/>
              <w:jc w:val="center"/>
            </w:pPr>
            <w:r w:rsidRPr="0048469F">
              <w:t>n/a</w:t>
            </w:r>
          </w:p>
        </w:tc>
      </w:tr>
      <w:tr w:rsidR="002E3942" w:rsidRPr="0048469F" w14:paraId="11BD94BB"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75AB8710" w14:textId="77777777" w:rsidR="00100557" w:rsidRPr="0048469F" w:rsidRDefault="00100557" w:rsidP="002E3942">
            <w:pPr>
              <w:pStyle w:val="TableTextEntries"/>
              <w:spacing w:before="0" w:after="0" w:line="240" w:lineRule="auto"/>
            </w:pPr>
            <w:r w:rsidRPr="0048469F">
              <w:t>INH947 - Basic Education Assistance for ARMM</w:t>
            </w:r>
          </w:p>
        </w:tc>
        <w:tc>
          <w:tcPr>
            <w:tcW w:w="803" w:type="pct"/>
            <w:vMerge w:val="restart"/>
            <w:vAlign w:val="center"/>
          </w:tcPr>
          <w:p w14:paraId="506954D7" w14:textId="68986A63" w:rsidR="00100557" w:rsidRPr="0048469F" w:rsidRDefault="00163FB8" w:rsidP="002E3942">
            <w:pPr>
              <w:pStyle w:val="TableTextEntries"/>
              <w:spacing w:before="0" w:after="0" w:line="240" w:lineRule="auto"/>
              <w:jc w:val="center"/>
            </w:pPr>
            <w:r>
              <w:t>AUD</w:t>
            </w:r>
            <w:r w:rsidR="00100557" w:rsidRPr="0048469F">
              <w:t>108,247,248</w:t>
            </w:r>
          </w:p>
          <w:p w14:paraId="73E8A8D3" w14:textId="77777777" w:rsidR="00100557" w:rsidRPr="0048469F" w:rsidRDefault="00100557" w:rsidP="002E3942">
            <w:pPr>
              <w:pStyle w:val="TableTextEntries"/>
              <w:spacing w:before="0" w:after="0" w:line="240" w:lineRule="auto"/>
              <w:jc w:val="center"/>
            </w:pPr>
            <w:r w:rsidRPr="0048469F">
              <w:t>1/09/09</w:t>
            </w:r>
            <w:r w:rsidR="00116D15" w:rsidRPr="0048469F">
              <w:t xml:space="preserve"> </w:t>
            </w:r>
            <w:r w:rsidRPr="0048469F">
              <w:t>-</w:t>
            </w:r>
            <w:r w:rsidR="00116D15" w:rsidRPr="0048469F">
              <w:t xml:space="preserve"> </w:t>
            </w:r>
            <w:r w:rsidRPr="0048469F">
              <w:t>30/06/17</w:t>
            </w:r>
          </w:p>
        </w:tc>
        <w:tc>
          <w:tcPr>
            <w:tcW w:w="395" w:type="pct"/>
            <w:vAlign w:val="center"/>
          </w:tcPr>
          <w:p w14:paraId="3FA195FF" w14:textId="77777777" w:rsidR="00100557" w:rsidRPr="0048469F" w:rsidRDefault="00100557" w:rsidP="002E3942">
            <w:pPr>
              <w:pStyle w:val="TableTextEntries"/>
              <w:spacing w:before="0" w:after="0" w:line="240" w:lineRule="auto"/>
              <w:jc w:val="center"/>
            </w:pPr>
            <w:r w:rsidRPr="0048469F">
              <w:t>2014 AQC</w:t>
            </w:r>
          </w:p>
        </w:tc>
        <w:tc>
          <w:tcPr>
            <w:tcW w:w="397" w:type="pct"/>
            <w:shd w:val="clear" w:color="auto" w:fill="72AF2F"/>
            <w:noWrap/>
            <w:vAlign w:val="center"/>
          </w:tcPr>
          <w:p w14:paraId="35042E7B"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FFFF00"/>
            <w:noWrap/>
            <w:vAlign w:val="center"/>
          </w:tcPr>
          <w:p w14:paraId="7C77EC29"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FFFF00"/>
            <w:noWrap/>
            <w:vAlign w:val="center"/>
          </w:tcPr>
          <w:p w14:paraId="1FABEC0A"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FFF00"/>
            <w:noWrap/>
            <w:vAlign w:val="center"/>
          </w:tcPr>
          <w:p w14:paraId="218AFAF3"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FFFF00"/>
            <w:noWrap/>
            <w:vAlign w:val="center"/>
          </w:tcPr>
          <w:p w14:paraId="6BCA0268"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FFF00"/>
            <w:noWrap/>
            <w:vAlign w:val="center"/>
          </w:tcPr>
          <w:p w14:paraId="3FCB5095"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2" w:type="pct"/>
            <w:shd w:val="clear" w:color="auto" w:fill="72AF2F"/>
            <w:vAlign w:val="center"/>
          </w:tcPr>
          <w:p w14:paraId="75DF4742" w14:textId="77777777" w:rsidR="00100557" w:rsidRPr="0048469F" w:rsidRDefault="00100557"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r>
      <w:tr w:rsidR="002E3942" w:rsidRPr="0048469F" w14:paraId="2BD00004"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ign w:val="center"/>
          </w:tcPr>
          <w:p w14:paraId="30FF9730" w14:textId="77777777" w:rsidR="005676D4" w:rsidRPr="0048469F" w:rsidRDefault="005676D4" w:rsidP="002E3942">
            <w:pPr>
              <w:pStyle w:val="TableTextEntries"/>
              <w:spacing w:before="0" w:after="0" w:line="240" w:lineRule="auto"/>
            </w:pPr>
          </w:p>
        </w:tc>
        <w:tc>
          <w:tcPr>
            <w:tcW w:w="803" w:type="pct"/>
            <w:vMerge/>
            <w:vAlign w:val="center"/>
          </w:tcPr>
          <w:p w14:paraId="5857CA54" w14:textId="77777777" w:rsidR="005676D4" w:rsidRPr="0048469F" w:rsidRDefault="005676D4" w:rsidP="002E3942">
            <w:pPr>
              <w:pStyle w:val="TableTextEntries"/>
              <w:spacing w:before="0" w:after="0" w:line="240" w:lineRule="auto"/>
              <w:jc w:val="center"/>
            </w:pPr>
          </w:p>
        </w:tc>
        <w:tc>
          <w:tcPr>
            <w:tcW w:w="395" w:type="pct"/>
            <w:vAlign w:val="center"/>
          </w:tcPr>
          <w:p w14:paraId="3AF9D3B4" w14:textId="77777777" w:rsidR="005676D4" w:rsidRPr="0048469F" w:rsidRDefault="005676D4" w:rsidP="002E3942">
            <w:pPr>
              <w:pStyle w:val="TableTextEntries"/>
              <w:spacing w:before="0" w:after="0" w:line="240" w:lineRule="auto"/>
              <w:jc w:val="center"/>
            </w:pPr>
            <w:r w:rsidRPr="0048469F">
              <w:t>2013 QAI</w:t>
            </w:r>
          </w:p>
        </w:tc>
        <w:tc>
          <w:tcPr>
            <w:tcW w:w="397" w:type="pct"/>
            <w:shd w:val="clear" w:color="auto" w:fill="72AF2F"/>
            <w:noWrap/>
            <w:vAlign w:val="center"/>
          </w:tcPr>
          <w:p w14:paraId="1D3B7C68" w14:textId="77777777" w:rsidR="005676D4" w:rsidRPr="0048469F" w:rsidRDefault="005676D4"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72AF2F"/>
            <w:noWrap/>
            <w:vAlign w:val="center"/>
          </w:tcPr>
          <w:p w14:paraId="0E20575C" w14:textId="77777777" w:rsidR="005676D4" w:rsidRPr="0048469F" w:rsidRDefault="005676D4"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FFFF00"/>
            <w:noWrap/>
            <w:vAlign w:val="center"/>
          </w:tcPr>
          <w:p w14:paraId="09C41308" w14:textId="77777777" w:rsidR="005676D4" w:rsidRPr="0048469F" w:rsidRDefault="005676D4"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FFF00"/>
            <w:noWrap/>
            <w:vAlign w:val="center"/>
          </w:tcPr>
          <w:p w14:paraId="421ACCA2" w14:textId="77777777" w:rsidR="005676D4" w:rsidRPr="0048469F" w:rsidRDefault="005676D4"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72AF2F"/>
            <w:noWrap/>
            <w:vAlign w:val="center"/>
          </w:tcPr>
          <w:p w14:paraId="19293B92" w14:textId="77777777" w:rsidR="005676D4" w:rsidRPr="0048469F" w:rsidRDefault="005676D4"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5DDF05E9" w14:textId="77777777" w:rsidR="005676D4" w:rsidRPr="0048469F" w:rsidRDefault="005676D4"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2" w:type="pct"/>
            <w:vAlign w:val="center"/>
          </w:tcPr>
          <w:p w14:paraId="4FF2AC7C" w14:textId="77777777" w:rsidR="005676D4" w:rsidRPr="0048469F" w:rsidRDefault="005676D4" w:rsidP="002E3942">
            <w:pPr>
              <w:pStyle w:val="TableTextEntries"/>
              <w:spacing w:before="0" w:after="0" w:line="240" w:lineRule="auto"/>
              <w:jc w:val="center"/>
            </w:pPr>
            <w:r w:rsidRPr="0048469F">
              <w:t>n/a</w:t>
            </w:r>
          </w:p>
        </w:tc>
      </w:tr>
      <w:tr w:rsidR="002E3942" w:rsidRPr="0048469F" w14:paraId="2A34A1DB" w14:textId="77777777" w:rsidTr="007F40EC">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659D73AA" w14:textId="77777777" w:rsidR="00A147CB" w:rsidRPr="0048469F" w:rsidRDefault="00A147CB" w:rsidP="002E3942">
            <w:pPr>
              <w:pStyle w:val="TableTextEntries"/>
              <w:spacing w:before="0" w:after="0" w:line="240" w:lineRule="auto"/>
            </w:pPr>
            <w:r w:rsidRPr="0048469F">
              <w:t>INI632 - Australia-WB Philippines Development Trust Fund</w:t>
            </w:r>
          </w:p>
        </w:tc>
        <w:tc>
          <w:tcPr>
            <w:tcW w:w="803" w:type="pct"/>
            <w:vMerge w:val="restart"/>
            <w:vAlign w:val="center"/>
          </w:tcPr>
          <w:p w14:paraId="646B3545" w14:textId="59B8A0A9" w:rsidR="00A147CB" w:rsidRPr="0048469F" w:rsidRDefault="00163FB8" w:rsidP="002E3942">
            <w:pPr>
              <w:pStyle w:val="TableTextEntries"/>
              <w:spacing w:before="0" w:after="0" w:line="240" w:lineRule="auto"/>
              <w:jc w:val="center"/>
            </w:pPr>
            <w:r>
              <w:t>AUD</w:t>
            </w:r>
            <w:r w:rsidR="00A147CB" w:rsidRPr="0048469F">
              <w:t>50,000,000</w:t>
            </w:r>
          </w:p>
          <w:p w14:paraId="7FE78336" w14:textId="77777777" w:rsidR="00A147CB" w:rsidRPr="0048469F" w:rsidRDefault="00A147CB" w:rsidP="002E3942">
            <w:pPr>
              <w:pStyle w:val="TableTextEntries"/>
              <w:spacing w:before="0" w:after="0" w:line="240" w:lineRule="auto"/>
              <w:jc w:val="center"/>
            </w:pPr>
            <w:r w:rsidRPr="0048469F">
              <w:t>1/06/09</w:t>
            </w:r>
            <w:r w:rsidR="00116D15" w:rsidRPr="0048469F">
              <w:t xml:space="preserve"> </w:t>
            </w:r>
            <w:r w:rsidRPr="0048469F">
              <w:t>-</w:t>
            </w:r>
            <w:r w:rsidR="00116D15" w:rsidRPr="0048469F">
              <w:t xml:space="preserve"> </w:t>
            </w:r>
            <w:r w:rsidRPr="0048469F">
              <w:t>30/06/16</w:t>
            </w:r>
          </w:p>
        </w:tc>
        <w:tc>
          <w:tcPr>
            <w:tcW w:w="395" w:type="pct"/>
            <w:vAlign w:val="center"/>
          </w:tcPr>
          <w:p w14:paraId="6FA1A514" w14:textId="77777777" w:rsidR="00A147CB" w:rsidRPr="0048469F" w:rsidRDefault="00A147CB" w:rsidP="002E3942">
            <w:pPr>
              <w:pStyle w:val="TableTextEntries"/>
              <w:spacing w:before="0" w:after="0" w:line="240" w:lineRule="auto"/>
              <w:jc w:val="center"/>
            </w:pPr>
            <w:r w:rsidRPr="0048469F">
              <w:t>2014 AQC</w:t>
            </w:r>
          </w:p>
        </w:tc>
        <w:tc>
          <w:tcPr>
            <w:tcW w:w="397" w:type="pct"/>
            <w:shd w:val="clear" w:color="auto" w:fill="FFFF00"/>
            <w:noWrap/>
            <w:vAlign w:val="center"/>
          </w:tcPr>
          <w:p w14:paraId="2746D0DA"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5" w:type="pct"/>
            <w:shd w:val="clear" w:color="auto" w:fill="FFFF00"/>
            <w:noWrap/>
            <w:vAlign w:val="center"/>
          </w:tcPr>
          <w:p w14:paraId="62C6F3EA"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FFFF00"/>
            <w:noWrap/>
            <w:vAlign w:val="center"/>
          </w:tcPr>
          <w:p w14:paraId="0588451B"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79646"/>
            <w:noWrap/>
            <w:vAlign w:val="center"/>
          </w:tcPr>
          <w:p w14:paraId="57CFE244"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7" w:type="pct"/>
            <w:shd w:val="clear" w:color="auto" w:fill="FFFF00"/>
            <w:noWrap/>
            <w:vAlign w:val="center"/>
          </w:tcPr>
          <w:p w14:paraId="5D283327"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79646"/>
            <w:noWrap/>
            <w:vAlign w:val="center"/>
          </w:tcPr>
          <w:p w14:paraId="6A3F40F2"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2" w:type="pct"/>
            <w:shd w:val="clear" w:color="auto" w:fill="FFFF00"/>
            <w:vAlign w:val="center"/>
          </w:tcPr>
          <w:p w14:paraId="17AB85B1"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r>
      <w:tr w:rsidR="002E3942" w:rsidRPr="0048469F" w14:paraId="4047C412" w14:textId="77777777" w:rsidTr="007F40EC">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ign w:val="center"/>
          </w:tcPr>
          <w:p w14:paraId="40321E22" w14:textId="77777777" w:rsidR="00757E62" w:rsidRPr="0048469F" w:rsidRDefault="00757E62" w:rsidP="002E3942">
            <w:pPr>
              <w:pStyle w:val="TableTextEntries"/>
              <w:spacing w:before="0" w:after="0" w:line="240" w:lineRule="auto"/>
            </w:pPr>
          </w:p>
        </w:tc>
        <w:tc>
          <w:tcPr>
            <w:tcW w:w="803" w:type="pct"/>
            <w:vMerge/>
            <w:vAlign w:val="center"/>
          </w:tcPr>
          <w:p w14:paraId="5DBAD471" w14:textId="77777777" w:rsidR="00757E62" w:rsidRPr="0048469F" w:rsidRDefault="00757E62" w:rsidP="002E3942">
            <w:pPr>
              <w:pStyle w:val="TableTextEntries"/>
              <w:spacing w:before="0" w:after="0" w:line="240" w:lineRule="auto"/>
              <w:jc w:val="center"/>
            </w:pPr>
          </w:p>
        </w:tc>
        <w:tc>
          <w:tcPr>
            <w:tcW w:w="395" w:type="pct"/>
            <w:vAlign w:val="center"/>
          </w:tcPr>
          <w:p w14:paraId="6374E7F0" w14:textId="77777777" w:rsidR="00757E62" w:rsidRPr="0048469F" w:rsidRDefault="00757E62" w:rsidP="002E3942">
            <w:pPr>
              <w:pStyle w:val="TableTextEntries"/>
              <w:spacing w:before="0" w:after="0" w:line="240" w:lineRule="auto"/>
              <w:jc w:val="center"/>
            </w:pPr>
            <w:r w:rsidRPr="0048469F">
              <w:t>2013 QAI</w:t>
            </w:r>
          </w:p>
        </w:tc>
        <w:tc>
          <w:tcPr>
            <w:tcW w:w="397" w:type="pct"/>
            <w:shd w:val="clear" w:color="auto" w:fill="72AF2F"/>
            <w:noWrap/>
            <w:vAlign w:val="center"/>
          </w:tcPr>
          <w:p w14:paraId="16F2C9D1"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5" w:type="pct"/>
            <w:shd w:val="clear" w:color="auto" w:fill="FFFF00"/>
            <w:noWrap/>
            <w:vAlign w:val="center"/>
          </w:tcPr>
          <w:p w14:paraId="7B35126A"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72AF2F"/>
            <w:noWrap/>
            <w:vAlign w:val="center"/>
          </w:tcPr>
          <w:p w14:paraId="3E107541"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F79646"/>
            <w:noWrap/>
            <w:vAlign w:val="center"/>
          </w:tcPr>
          <w:p w14:paraId="186F0520"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7" w:type="pct"/>
            <w:shd w:val="clear" w:color="auto" w:fill="72AF2F"/>
            <w:noWrap/>
            <w:vAlign w:val="center"/>
          </w:tcPr>
          <w:p w14:paraId="76244D2D"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69B1AC29" w14:textId="77777777" w:rsidR="00757E62" w:rsidRPr="0048469F" w:rsidRDefault="00757E62"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2" w:type="pct"/>
            <w:vAlign w:val="center"/>
          </w:tcPr>
          <w:p w14:paraId="602681A0" w14:textId="77777777" w:rsidR="00757E62" w:rsidRPr="0048469F" w:rsidRDefault="00757E62" w:rsidP="002E3942">
            <w:pPr>
              <w:pStyle w:val="TableTextEntries"/>
              <w:spacing w:before="0" w:after="0" w:line="240" w:lineRule="auto"/>
              <w:jc w:val="center"/>
            </w:pPr>
            <w:r w:rsidRPr="0048469F">
              <w:t>n/a</w:t>
            </w:r>
          </w:p>
        </w:tc>
      </w:tr>
      <w:tr w:rsidR="002E3942" w:rsidRPr="0048469F" w14:paraId="59A3313F" w14:textId="77777777" w:rsidTr="007F40EC">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1C39C46D" w14:textId="77777777" w:rsidR="00A147CB" w:rsidRPr="0048469F" w:rsidRDefault="00A147CB" w:rsidP="002E3942">
            <w:pPr>
              <w:pStyle w:val="TableTextEntries"/>
              <w:spacing w:before="0" w:after="0" w:line="240" w:lineRule="auto"/>
            </w:pPr>
            <w:r w:rsidRPr="0048469F">
              <w:t>INJ839 - The Asia Foundation Partnership Philippines</w:t>
            </w:r>
          </w:p>
        </w:tc>
        <w:tc>
          <w:tcPr>
            <w:tcW w:w="803" w:type="pct"/>
            <w:vMerge w:val="restart"/>
            <w:vAlign w:val="center"/>
          </w:tcPr>
          <w:p w14:paraId="6F3153ED" w14:textId="32B72378" w:rsidR="00A147CB" w:rsidRPr="0048469F" w:rsidRDefault="00163FB8" w:rsidP="002E3942">
            <w:pPr>
              <w:pStyle w:val="TableTextEntries"/>
              <w:spacing w:before="0" w:after="0" w:line="240" w:lineRule="auto"/>
              <w:jc w:val="center"/>
            </w:pPr>
            <w:r>
              <w:t>AUD</w:t>
            </w:r>
            <w:r w:rsidR="00A147CB" w:rsidRPr="0048469F">
              <w:t>33,920,001</w:t>
            </w:r>
          </w:p>
          <w:p w14:paraId="526D8C21" w14:textId="77777777" w:rsidR="00A147CB" w:rsidRPr="0048469F" w:rsidRDefault="00A147CB" w:rsidP="002E3942">
            <w:pPr>
              <w:pStyle w:val="TableTextEntries"/>
              <w:spacing w:before="0" w:after="0" w:line="240" w:lineRule="auto"/>
              <w:jc w:val="center"/>
            </w:pPr>
            <w:r w:rsidRPr="0048469F">
              <w:t>1/07/11</w:t>
            </w:r>
            <w:r w:rsidR="00116D15" w:rsidRPr="0048469F">
              <w:t xml:space="preserve"> </w:t>
            </w:r>
            <w:r w:rsidRPr="0048469F">
              <w:t>-</w:t>
            </w:r>
            <w:r w:rsidR="00116D15" w:rsidRPr="0048469F">
              <w:t xml:space="preserve"> </w:t>
            </w:r>
            <w:r w:rsidRPr="0048469F">
              <w:t>30/06/17</w:t>
            </w:r>
          </w:p>
        </w:tc>
        <w:tc>
          <w:tcPr>
            <w:tcW w:w="395" w:type="pct"/>
            <w:vAlign w:val="center"/>
          </w:tcPr>
          <w:p w14:paraId="4FA5B085" w14:textId="77777777" w:rsidR="00A147CB" w:rsidRPr="0048469F" w:rsidRDefault="00A147CB" w:rsidP="002E3942">
            <w:pPr>
              <w:pStyle w:val="TableTextEntries"/>
              <w:spacing w:before="0" w:after="0" w:line="240" w:lineRule="auto"/>
              <w:jc w:val="center"/>
            </w:pPr>
            <w:r w:rsidRPr="0048469F">
              <w:t>2014 AQC</w:t>
            </w:r>
          </w:p>
        </w:tc>
        <w:tc>
          <w:tcPr>
            <w:tcW w:w="397" w:type="pct"/>
            <w:shd w:val="clear" w:color="auto" w:fill="72AF2F"/>
            <w:noWrap/>
            <w:vAlign w:val="center"/>
          </w:tcPr>
          <w:p w14:paraId="2271B2B0"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FFFF00"/>
            <w:noWrap/>
            <w:vAlign w:val="center"/>
          </w:tcPr>
          <w:p w14:paraId="7EE0D1A4"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FFFF00"/>
            <w:noWrap/>
            <w:vAlign w:val="center"/>
          </w:tcPr>
          <w:p w14:paraId="11D77A44"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6" w:type="pct"/>
            <w:shd w:val="clear" w:color="auto" w:fill="FFFF00"/>
            <w:noWrap/>
            <w:vAlign w:val="center"/>
          </w:tcPr>
          <w:p w14:paraId="127A3595"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72AF2F"/>
            <w:noWrap/>
            <w:vAlign w:val="center"/>
          </w:tcPr>
          <w:p w14:paraId="7566556A"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F79646"/>
            <w:noWrap/>
            <w:vAlign w:val="center"/>
          </w:tcPr>
          <w:p w14:paraId="71E7BDDD"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2" w:type="pct"/>
            <w:shd w:val="clear" w:color="auto" w:fill="72AF2F"/>
            <w:vAlign w:val="center"/>
          </w:tcPr>
          <w:p w14:paraId="626BB8F3"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r>
      <w:tr w:rsidR="002E3942" w:rsidRPr="0048469F" w14:paraId="2A505128" w14:textId="77777777" w:rsidTr="007F40EC">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ign w:val="center"/>
          </w:tcPr>
          <w:p w14:paraId="64A51819" w14:textId="77777777" w:rsidR="00214FE1" w:rsidRPr="0048469F" w:rsidRDefault="00214FE1" w:rsidP="002E3942">
            <w:pPr>
              <w:pStyle w:val="TableTextEntries"/>
              <w:spacing w:before="0" w:after="0" w:line="240" w:lineRule="auto"/>
            </w:pPr>
          </w:p>
        </w:tc>
        <w:tc>
          <w:tcPr>
            <w:tcW w:w="803" w:type="pct"/>
            <w:vMerge/>
            <w:vAlign w:val="center"/>
          </w:tcPr>
          <w:p w14:paraId="2C9A6B99" w14:textId="77777777" w:rsidR="00214FE1" w:rsidRPr="0048469F" w:rsidRDefault="00214FE1" w:rsidP="002E3942">
            <w:pPr>
              <w:pStyle w:val="TableTextEntries"/>
              <w:spacing w:before="0" w:after="0" w:line="240" w:lineRule="auto"/>
              <w:jc w:val="center"/>
            </w:pPr>
          </w:p>
        </w:tc>
        <w:tc>
          <w:tcPr>
            <w:tcW w:w="395" w:type="pct"/>
            <w:vAlign w:val="center"/>
          </w:tcPr>
          <w:p w14:paraId="3B1E915E" w14:textId="77777777" w:rsidR="00214FE1" w:rsidRPr="0048469F" w:rsidRDefault="00214FE1" w:rsidP="002E3942">
            <w:pPr>
              <w:pStyle w:val="TableTextEntries"/>
              <w:spacing w:before="0" w:after="0" w:line="240" w:lineRule="auto"/>
              <w:jc w:val="center"/>
            </w:pPr>
            <w:r w:rsidRPr="0048469F">
              <w:t>2013 QAI</w:t>
            </w:r>
          </w:p>
        </w:tc>
        <w:tc>
          <w:tcPr>
            <w:tcW w:w="397" w:type="pct"/>
            <w:shd w:val="clear" w:color="auto" w:fill="72AF2F"/>
            <w:noWrap/>
            <w:vAlign w:val="center"/>
          </w:tcPr>
          <w:p w14:paraId="1EBB9340" w14:textId="77777777" w:rsidR="00214FE1" w:rsidRPr="0048469F" w:rsidRDefault="00214FE1"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6</w:t>
            </w:r>
          </w:p>
        </w:tc>
        <w:tc>
          <w:tcPr>
            <w:tcW w:w="395" w:type="pct"/>
            <w:shd w:val="clear" w:color="auto" w:fill="72AF2F"/>
            <w:noWrap/>
            <w:vAlign w:val="center"/>
          </w:tcPr>
          <w:p w14:paraId="1D0CB866" w14:textId="77777777" w:rsidR="00214FE1" w:rsidRPr="0048469F" w:rsidRDefault="00214FE1"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72AF2F"/>
            <w:noWrap/>
            <w:vAlign w:val="center"/>
          </w:tcPr>
          <w:p w14:paraId="0C0AD2BC" w14:textId="77777777" w:rsidR="00214FE1" w:rsidRPr="0048469F" w:rsidRDefault="00214FE1"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FFFF00"/>
            <w:noWrap/>
            <w:vAlign w:val="center"/>
          </w:tcPr>
          <w:p w14:paraId="16433A2F" w14:textId="77777777" w:rsidR="00214FE1" w:rsidRPr="0048469F" w:rsidRDefault="00214FE1"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4</w:t>
            </w:r>
          </w:p>
        </w:tc>
        <w:tc>
          <w:tcPr>
            <w:tcW w:w="397" w:type="pct"/>
            <w:shd w:val="clear" w:color="auto" w:fill="72AF2F"/>
            <w:noWrap/>
            <w:vAlign w:val="center"/>
          </w:tcPr>
          <w:p w14:paraId="2C1BE648" w14:textId="77777777" w:rsidR="00214FE1" w:rsidRPr="0048469F" w:rsidRDefault="00214FE1"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F79646"/>
            <w:noWrap/>
            <w:vAlign w:val="center"/>
          </w:tcPr>
          <w:p w14:paraId="455E1D64" w14:textId="77777777" w:rsidR="00214FE1" w:rsidRPr="0048469F" w:rsidRDefault="00214FE1"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3</w:t>
            </w:r>
          </w:p>
        </w:tc>
        <w:tc>
          <w:tcPr>
            <w:tcW w:w="392" w:type="pct"/>
            <w:vAlign w:val="center"/>
          </w:tcPr>
          <w:p w14:paraId="469A58E0" w14:textId="77777777" w:rsidR="00214FE1" w:rsidRPr="0048469F" w:rsidRDefault="00214FE1" w:rsidP="002E3942">
            <w:pPr>
              <w:pStyle w:val="TableTextEntries"/>
              <w:spacing w:before="0" w:after="0" w:line="240" w:lineRule="auto"/>
              <w:jc w:val="center"/>
            </w:pPr>
            <w:r w:rsidRPr="0048469F">
              <w:t>n/a</w:t>
            </w:r>
          </w:p>
        </w:tc>
      </w:tr>
      <w:tr w:rsidR="002E3942" w:rsidRPr="0048469F" w14:paraId="58C71F23"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val="restart"/>
            <w:vAlign w:val="center"/>
          </w:tcPr>
          <w:p w14:paraId="664645D1" w14:textId="2843101B" w:rsidR="00A147CB" w:rsidRPr="0048469F" w:rsidRDefault="00A147CB" w:rsidP="002E3942">
            <w:pPr>
              <w:pStyle w:val="TableTextEntries"/>
              <w:spacing w:before="0" w:after="0" w:line="240" w:lineRule="auto"/>
            </w:pPr>
            <w:r w:rsidRPr="0048469F">
              <w:t>INL</w:t>
            </w:r>
            <w:r w:rsidR="006B6E4B">
              <w:t>343 - Peacebuilding in Conflict</w:t>
            </w:r>
            <w:r w:rsidR="006B6E4B">
              <w:noBreakHyphen/>
            </w:r>
            <w:r w:rsidRPr="0048469F">
              <w:t>Affected Mindanao</w:t>
            </w:r>
          </w:p>
        </w:tc>
        <w:tc>
          <w:tcPr>
            <w:tcW w:w="803" w:type="pct"/>
            <w:vMerge w:val="restart"/>
            <w:vAlign w:val="center"/>
          </w:tcPr>
          <w:p w14:paraId="30F15E69" w14:textId="49B14E19" w:rsidR="00A147CB" w:rsidRPr="0048469F" w:rsidRDefault="00163FB8" w:rsidP="002E3942">
            <w:pPr>
              <w:pStyle w:val="TableTextEntries"/>
              <w:spacing w:before="0" w:after="0" w:line="240" w:lineRule="auto"/>
              <w:jc w:val="center"/>
            </w:pPr>
            <w:r>
              <w:t>AUD</w:t>
            </w:r>
            <w:r w:rsidR="00A147CB" w:rsidRPr="0048469F">
              <w:t>13,750,000</w:t>
            </w:r>
          </w:p>
          <w:p w14:paraId="36BFA2CF" w14:textId="77777777" w:rsidR="00A147CB" w:rsidRPr="0048469F" w:rsidRDefault="00A147CB" w:rsidP="002E3942">
            <w:pPr>
              <w:pStyle w:val="TableTextEntries"/>
              <w:spacing w:before="0" w:after="0" w:line="240" w:lineRule="auto"/>
              <w:jc w:val="center"/>
            </w:pPr>
            <w:r w:rsidRPr="0048469F">
              <w:t>1/04/14</w:t>
            </w:r>
            <w:r w:rsidR="00116D15" w:rsidRPr="0048469F">
              <w:t xml:space="preserve"> </w:t>
            </w:r>
            <w:r w:rsidRPr="0048469F">
              <w:t>-</w:t>
            </w:r>
            <w:r w:rsidR="00116D15" w:rsidRPr="0048469F">
              <w:t xml:space="preserve"> </w:t>
            </w:r>
            <w:r w:rsidRPr="0048469F">
              <w:t>30/06/17</w:t>
            </w:r>
          </w:p>
        </w:tc>
        <w:tc>
          <w:tcPr>
            <w:tcW w:w="395" w:type="pct"/>
            <w:vAlign w:val="center"/>
          </w:tcPr>
          <w:p w14:paraId="70D5AFAB" w14:textId="77777777" w:rsidR="00A147CB" w:rsidRPr="0048469F" w:rsidRDefault="00A147CB" w:rsidP="002E3942">
            <w:pPr>
              <w:pStyle w:val="TableTextEntries"/>
              <w:spacing w:before="0" w:after="0" w:line="240" w:lineRule="auto"/>
              <w:jc w:val="center"/>
            </w:pPr>
            <w:r w:rsidRPr="0048469F">
              <w:t>2014 AQC</w:t>
            </w:r>
          </w:p>
        </w:tc>
        <w:tc>
          <w:tcPr>
            <w:tcW w:w="397" w:type="pct"/>
            <w:shd w:val="clear" w:color="auto" w:fill="72AF2F"/>
            <w:noWrap/>
            <w:vAlign w:val="center"/>
          </w:tcPr>
          <w:p w14:paraId="50C13678"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5" w:type="pct"/>
            <w:shd w:val="clear" w:color="auto" w:fill="72AF2F"/>
            <w:noWrap/>
            <w:vAlign w:val="center"/>
          </w:tcPr>
          <w:p w14:paraId="1F538378"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72AF2F"/>
            <w:noWrap/>
            <w:vAlign w:val="center"/>
          </w:tcPr>
          <w:p w14:paraId="61E75F52"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0440A6A2"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7" w:type="pct"/>
            <w:shd w:val="clear" w:color="auto" w:fill="72AF2F"/>
            <w:noWrap/>
            <w:vAlign w:val="center"/>
          </w:tcPr>
          <w:p w14:paraId="3F454029"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6" w:type="pct"/>
            <w:shd w:val="clear" w:color="auto" w:fill="72AF2F"/>
            <w:noWrap/>
            <w:vAlign w:val="center"/>
          </w:tcPr>
          <w:p w14:paraId="5EBB3E48"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c>
          <w:tcPr>
            <w:tcW w:w="392" w:type="pct"/>
            <w:shd w:val="clear" w:color="auto" w:fill="72AF2F"/>
            <w:vAlign w:val="center"/>
          </w:tcPr>
          <w:p w14:paraId="505144BE" w14:textId="77777777" w:rsidR="00A147CB" w:rsidRPr="0048469F" w:rsidRDefault="00A147CB" w:rsidP="002E3942">
            <w:pPr>
              <w:jc w:val="center"/>
              <w:rPr>
                <w:rFonts w:ascii="Franklin Gothic Book" w:hAnsi="Franklin Gothic Book" w:cs="Calibri"/>
                <w:color w:val="000000"/>
                <w:sz w:val="17"/>
                <w:szCs w:val="17"/>
              </w:rPr>
            </w:pPr>
            <w:r w:rsidRPr="0048469F">
              <w:rPr>
                <w:rFonts w:ascii="Franklin Gothic Book" w:hAnsi="Franklin Gothic Book" w:cs="Calibri"/>
                <w:color w:val="000000"/>
                <w:sz w:val="17"/>
                <w:szCs w:val="17"/>
              </w:rPr>
              <w:t>5</w:t>
            </w:r>
          </w:p>
        </w:tc>
      </w:tr>
      <w:tr w:rsidR="002E3942" w:rsidRPr="0048469F" w14:paraId="05695317" w14:textId="77777777" w:rsidTr="00206FC4">
        <w:trPr>
          <w:cnfStyle w:val="000000010000" w:firstRow="0" w:lastRow="0" w:firstColumn="0" w:lastColumn="0" w:oddVBand="0" w:evenVBand="0" w:oddHBand="0" w:evenHBand="1" w:firstRowFirstColumn="0" w:firstRowLastColumn="0" w:lastRowFirstColumn="0" w:lastRowLastColumn="0"/>
          <w:trHeight w:hRule="exact" w:val="227"/>
        </w:trPr>
        <w:tc>
          <w:tcPr>
            <w:tcW w:w="924" w:type="pct"/>
            <w:vMerge/>
            <w:tcBorders>
              <w:bottom w:val="single" w:sz="8" w:space="0" w:color="auto"/>
            </w:tcBorders>
          </w:tcPr>
          <w:p w14:paraId="6A02740E" w14:textId="77777777" w:rsidR="00A147CB" w:rsidRPr="0048469F" w:rsidRDefault="00A147CB" w:rsidP="002E3942">
            <w:pPr>
              <w:pStyle w:val="TableTextEntries"/>
              <w:spacing w:before="0" w:after="0" w:line="240" w:lineRule="auto"/>
            </w:pPr>
          </w:p>
        </w:tc>
        <w:tc>
          <w:tcPr>
            <w:tcW w:w="803" w:type="pct"/>
            <w:vMerge/>
            <w:tcBorders>
              <w:bottom w:val="single" w:sz="8" w:space="0" w:color="auto"/>
            </w:tcBorders>
            <w:vAlign w:val="center"/>
          </w:tcPr>
          <w:p w14:paraId="7B2B1DF7" w14:textId="77777777" w:rsidR="00A147CB" w:rsidRPr="0048469F" w:rsidRDefault="00A147CB" w:rsidP="002E3942">
            <w:pPr>
              <w:pStyle w:val="TableTextEntries"/>
              <w:spacing w:before="0" w:after="0" w:line="240" w:lineRule="auto"/>
              <w:jc w:val="center"/>
            </w:pPr>
          </w:p>
        </w:tc>
        <w:tc>
          <w:tcPr>
            <w:tcW w:w="395" w:type="pct"/>
            <w:tcBorders>
              <w:bottom w:val="single" w:sz="8" w:space="0" w:color="auto"/>
            </w:tcBorders>
            <w:vAlign w:val="center"/>
          </w:tcPr>
          <w:p w14:paraId="4029879D" w14:textId="77777777" w:rsidR="00A147CB" w:rsidRPr="0048469F" w:rsidRDefault="00A147CB" w:rsidP="002E3942">
            <w:pPr>
              <w:pStyle w:val="TableTextEntries"/>
              <w:spacing w:before="0" w:after="0" w:line="240" w:lineRule="auto"/>
              <w:jc w:val="center"/>
            </w:pPr>
            <w:r w:rsidRPr="0048469F">
              <w:t>2013 QAI</w:t>
            </w:r>
          </w:p>
        </w:tc>
        <w:tc>
          <w:tcPr>
            <w:tcW w:w="397" w:type="pct"/>
            <w:tcBorders>
              <w:bottom w:val="single" w:sz="8" w:space="0" w:color="auto"/>
            </w:tcBorders>
            <w:noWrap/>
            <w:vAlign w:val="center"/>
          </w:tcPr>
          <w:p w14:paraId="144467AE" w14:textId="77777777" w:rsidR="00A147CB" w:rsidRPr="0048469F" w:rsidRDefault="00FB681C" w:rsidP="002E3942">
            <w:pPr>
              <w:pStyle w:val="TableTextEntries"/>
              <w:spacing w:before="0" w:after="0" w:line="240" w:lineRule="auto"/>
              <w:jc w:val="center"/>
            </w:pPr>
            <w:r w:rsidRPr="0048469F">
              <w:t>n/a</w:t>
            </w:r>
          </w:p>
        </w:tc>
        <w:tc>
          <w:tcPr>
            <w:tcW w:w="395" w:type="pct"/>
            <w:tcBorders>
              <w:bottom w:val="single" w:sz="8" w:space="0" w:color="auto"/>
            </w:tcBorders>
            <w:noWrap/>
            <w:vAlign w:val="center"/>
          </w:tcPr>
          <w:p w14:paraId="1F4A494B" w14:textId="77777777" w:rsidR="00A147CB" w:rsidRPr="0048469F" w:rsidRDefault="00FB681C" w:rsidP="002E3942">
            <w:pPr>
              <w:pStyle w:val="TableTextEntries"/>
              <w:spacing w:before="0" w:after="0" w:line="240" w:lineRule="auto"/>
              <w:jc w:val="center"/>
            </w:pPr>
            <w:r w:rsidRPr="0048469F">
              <w:t>n/a</w:t>
            </w:r>
          </w:p>
        </w:tc>
        <w:tc>
          <w:tcPr>
            <w:tcW w:w="397" w:type="pct"/>
            <w:tcBorders>
              <w:bottom w:val="single" w:sz="8" w:space="0" w:color="auto"/>
            </w:tcBorders>
            <w:noWrap/>
            <w:vAlign w:val="center"/>
          </w:tcPr>
          <w:p w14:paraId="7FEA75DE" w14:textId="77777777" w:rsidR="00A147CB" w:rsidRPr="0048469F" w:rsidRDefault="00FB681C" w:rsidP="002E3942">
            <w:pPr>
              <w:pStyle w:val="TableTextEntries"/>
              <w:spacing w:before="0" w:after="0" w:line="240" w:lineRule="auto"/>
              <w:jc w:val="center"/>
            </w:pPr>
            <w:r w:rsidRPr="0048469F">
              <w:t>n/a</w:t>
            </w:r>
          </w:p>
        </w:tc>
        <w:tc>
          <w:tcPr>
            <w:tcW w:w="396" w:type="pct"/>
            <w:tcBorders>
              <w:bottom w:val="single" w:sz="8" w:space="0" w:color="auto"/>
            </w:tcBorders>
            <w:noWrap/>
            <w:vAlign w:val="center"/>
          </w:tcPr>
          <w:p w14:paraId="60B8CB9E" w14:textId="77777777" w:rsidR="00A147CB" w:rsidRPr="0048469F" w:rsidRDefault="00FB681C" w:rsidP="002E3942">
            <w:pPr>
              <w:pStyle w:val="TableTextEntries"/>
              <w:spacing w:before="0" w:after="0" w:line="240" w:lineRule="auto"/>
              <w:jc w:val="center"/>
            </w:pPr>
            <w:r w:rsidRPr="0048469F">
              <w:t>n/a</w:t>
            </w:r>
          </w:p>
        </w:tc>
        <w:tc>
          <w:tcPr>
            <w:tcW w:w="397" w:type="pct"/>
            <w:tcBorders>
              <w:bottom w:val="single" w:sz="8" w:space="0" w:color="auto"/>
            </w:tcBorders>
            <w:noWrap/>
            <w:vAlign w:val="center"/>
          </w:tcPr>
          <w:p w14:paraId="2C6863E9" w14:textId="77777777" w:rsidR="00A147CB" w:rsidRPr="0048469F" w:rsidRDefault="00FB681C" w:rsidP="002E3942">
            <w:pPr>
              <w:pStyle w:val="TableTextEntries"/>
              <w:spacing w:before="0" w:after="0" w:line="240" w:lineRule="auto"/>
              <w:jc w:val="center"/>
            </w:pPr>
            <w:r w:rsidRPr="0048469F">
              <w:t>n/a</w:t>
            </w:r>
          </w:p>
        </w:tc>
        <w:tc>
          <w:tcPr>
            <w:tcW w:w="396" w:type="pct"/>
            <w:tcBorders>
              <w:bottom w:val="single" w:sz="8" w:space="0" w:color="auto"/>
            </w:tcBorders>
            <w:noWrap/>
            <w:vAlign w:val="center"/>
          </w:tcPr>
          <w:p w14:paraId="3BCDB09F" w14:textId="77777777" w:rsidR="00A147CB" w:rsidRPr="0048469F" w:rsidRDefault="00FB681C" w:rsidP="002E3942">
            <w:pPr>
              <w:pStyle w:val="TableTextEntries"/>
              <w:spacing w:before="0" w:after="0" w:line="240" w:lineRule="auto"/>
              <w:jc w:val="center"/>
            </w:pPr>
            <w:r w:rsidRPr="0048469F">
              <w:t>n/a</w:t>
            </w:r>
          </w:p>
        </w:tc>
        <w:tc>
          <w:tcPr>
            <w:tcW w:w="392" w:type="pct"/>
            <w:tcBorders>
              <w:bottom w:val="single" w:sz="8" w:space="0" w:color="auto"/>
            </w:tcBorders>
            <w:vAlign w:val="center"/>
          </w:tcPr>
          <w:p w14:paraId="5CFD8878" w14:textId="77777777" w:rsidR="00A147CB" w:rsidRPr="0048469F" w:rsidRDefault="00214FE1" w:rsidP="002E3942">
            <w:pPr>
              <w:pStyle w:val="TableTextEntries"/>
              <w:spacing w:before="0" w:after="0" w:line="240" w:lineRule="auto"/>
              <w:jc w:val="center"/>
            </w:pPr>
            <w:r w:rsidRPr="0048469F">
              <w:t>n/a</w:t>
            </w:r>
          </w:p>
        </w:tc>
      </w:tr>
    </w:tbl>
    <w:p w14:paraId="461F466E" w14:textId="77777777" w:rsidR="00416B02" w:rsidRDefault="00416B02" w:rsidP="00416B02">
      <w:pPr>
        <w:pStyle w:val="Heading3"/>
      </w:pPr>
      <w:r>
        <w:lastRenderedPageBreak/>
        <w:t>HAQC ratings</w:t>
      </w:r>
    </w:p>
    <w:tbl>
      <w:tblPr>
        <w:tblStyle w:val="APPR"/>
        <w:tblW w:w="5290" w:type="pct"/>
        <w:tblBorders>
          <w:top w:val="none" w:sz="0" w:space="0" w:color="auto"/>
          <w:bottom w:val="none" w:sz="0" w:space="0" w:color="auto"/>
        </w:tblBorders>
        <w:tblLook w:val="0000" w:firstRow="0" w:lastRow="0" w:firstColumn="0" w:lastColumn="0" w:noHBand="0" w:noVBand="0"/>
      </w:tblPr>
      <w:tblGrid>
        <w:gridCol w:w="3035"/>
        <w:gridCol w:w="2204"/>
        <w:gridCol w:w="1188"/>
        <w:gridCol w:w="1182"/>
        <w:gridCol w:w="1191"/>
        <w:gridCol w:w="1188"/>
        <w:gridCol w:w="1191"/>
        <w:gridCol w:w="1189"/>
        <w:gridCol w:w="1189"/>
        <w:gridCol w:w="1188"/>
      </w:tblGrid>
      <w:tr w:rsidR="0017315F" w:rsidRPr="00FB681C" w14:paraId="510938D6" w14:textId="77777777" w:rsidTr="001007E6">
        <w:trPr>
          <w:cnfStyle w:val="000000010000" w:firstRow="0" w:lastRow="0" w:firstColumn="0" w:lastColumn="0" w:oddVBand="0" w:evenVBand="0" w:oddHBand="0" w:evenHBand="1" w:firstRowFirstColumn="0" w:firstRowLastColumn="0" w:lastRowFirstColumn="0" w:lastRowLastColumn="0"/>
          <w:trHeight w:val="1413"/>
        </w:trPr>
        <w:tc>
          <w:tcPr>
            <w:tcW w:w="1015" w:type="pct"/>
            <w:tcBorders>
              <w:top w:val="single" w:sz="8" w:space="0" w:color="auto"/>
            </w:tcBorders>
            <w:vAlign w:val="center"/>
          </w:tcPr>
          <w:p w14:paraId="38DDB15E" w14:textId="77777777" w:rsidR="005C310A" w:rsidRPr="00FB681C" w:rsidRDefault="005C310A" w:rsidP="0048469F">
            <w:pPr>
              <w:pStyle w:val="TableTextColumnHeading"/>
            </w:pPr>
            <w:r w:rsidRPr="00FB681C">
              <w:rPr>
                <w:noProof/>
                <w:lang w:eastAsia="en-AU"/>
              </w:rPr>
              <w:drawing>
                <wp:anchor distT="0" distB="0" distL="114300" distR="114300" simplePos="0" relativeHeight="251671552" behindDoc="0" locked="0" layoutInCell="1" allowOverlap="1" wp14:anchorId="6128708A" wp14:editId="677247C8">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81C">
              <w:t>Investment name</w:t>
            </w:r>
          </w:p>
        </w:tc>
        <w:tc>
          <w:tcPr>
            <w:tcW w:w="738" w:type="pct"/>
            <w:tcBorders>
              <w:top w:val="single" w:sz="8" w:space="0" w:color="auto"/>
            </w:tcBorders>
            <w:textDirection w:val="btLr"/>
            <w:vAlign w:val="center"/>
          </w:tcPr>
          <w:p w14:paraId="2BEA40F6" w14:textId="77777777" w:rsidR="005C310A" w:rsidRPr="00FB681C" w:rsidRDefault="005C310A" w:rsidP="0048469F">
            <w:pPr>
              <w:pStyle w:val="TableTextColumnHeading"/>
            </w:pPr>
            <w:r w:rsidRPr="00FB681C">
              <w:t>Approved budget and duration</w:t>
            </w:r>
          </w:p>
        </w:tc>
        <w:tc>
          <w:tcPr>
            <w:tcW w:w="393" w:type="pct"/>
            <w:tcBorders>
              <w:top w:val="single" w:sz="8" w:space="0" w:color="auto"/>
            </w:tcBorders>
            <w:textDirection w:val="btLr"/>
            <w:vAlign w:val="center"/>
          </w:tcPr>
          <w:p w14:paraId="54CAE0BA" w14:textId="77777777" w:rsidR="005C310A" w:rsidRPr="00FB681C" w:rsidRDefault="005C310A" w:rsidP="0048469F">
            <w:pPr>
              <w:pStyle w:val="TableTextColumnHeading"/>
            </w:pPr>
            <w:r w:rsidRPr="00FB681C">
              <w:t>Relevance</w:t>
            </w:r>
          </w:p>
        </w:tc>
        <w:tc>
          <w:tcPr>
            <w:tcW w:w="392" w:type="pct"/>
            <w:tcBorders>
              <w:top w:val="single" w:sz="8" w:space="0" w:color="auto"/>
            </w:tcBorders>
            <w:textDirection w:val="btLr"/>
            <w:vAlign w:val="center"/>
          </w:tcPr>
          <w:p w14:paraId="061C24BA" w14:textId="77777777" w:rsidR="005C310A" w:rsidRPr="00FB681C" w:rsidRDefault="005C310A" w:rsidP="0048469F">
            <w:pPr>
              <w:pStyle w:val="TableTextColumnHeading"/>
            </w:pPr>
            <w:r w:rsidRPr="00FB681C">
              <w:t>Effectiveness</w:t>
            </w:r>
          </w:p>
        </w:tc>
        <w:tc>
          <w:tcPr>
            <w:tcW w:w="394" w:type="pct"/>
            <w:tcBorders>
              <w:top w:val="single" w:sz="8" w:space="0" w:color="auto"/>
            </w:tcBorders>
            <w:textDirection w:val="btLr"/>
            <w:vAlign w:val="center"/>
          </w:tcPr>
          <w:p w14:paraId="00B9AF4B" w14:textId="77777777" w:rsidR="005C310A" w:rsidRPr="00FB681C" w:rsidRDefault="005C310A" w:rsidP="0048469F">
            <w:pPr>
              <w:pStyle w:val="TableTextColumnHeading"/>
            </w:pPr>
            <w:r w:rsidRPr="00FB681C">
              <w:t>Efficiency</w:t>
            </w:r>
          </w:p>
        </w:tc>
        <w:tc>
          <w:tcPr>
            <w:tcW w:w="393" w:type="pct"/>
            <w:tcBorders>
              <w:top w:val="single" w:sz="8" w:space="0" w:color="auto"/>
            </w:tcBorders>
            <w:textDirection w:val="btLr"/>
            <w:vAlign w:val="center"/>
          </w:tcPr>
          <w:p w14:paraId="6E867ACE" w14:textId="77777777" w:rsidR="005C310A" w:rsidRPr="00FB681C" w:rsidRDefault="005C310A" w:rsidP="0048469F">
            <w:pPr>
              <w:pStyle w:val="TableTextColumnHeading"/>
            </w:pPr>
            <w:r w:rsidRPr="00FB681C">
              <w:t>Monitoring and Evaluation</w:t>
            </w:r>
          </w:p>
        </w:tc>
        <w:tc>
          <w:tcPr>
            <w:tcW w:w="394" w:type="pct"/>
            <w:tcBorders>
              <w:top w:val="single" w:sz="8" w:space="0" w:color="auto"/>
            </w:tcBorders>
            <w:textDirection w:val="btLr"/>
            <w:vAlign w:val="center"/>
          </w:tcPr>
          <w:p w14:paraId="38221145" w14:textId="77777777" w:rsidR="005C310A" w:rsidRPr="00FB681C" w:rsidRDefault="005C310A" w:rsidP="0048469F">
            <w:pPr>
              <w:pStyle w:val="TableTextColumnHeading"/>
            </w:pPr>
            <w:r w:rsidRPr="00FB681C">
              <w:t>Connectedness</w:t>
            </w:r>
          </w:p>
        </w:tc>
        <w:tc>
          <w:tcPr>
            <w:tcW w:w="393" w:type="pct"/>
            <w:tcBorders>
              <w:top w:val="single" w:sz="8" w:space="0" w:color="auto"/>
            </w:tcBorders>
            <w:textDirection w:val="btLr"/>
            <w:vAlign w:val="center"/>
          </w:tcPr>
          <w:p w14:paraId="0DFD60C2" w14:textId="77777777" w:rsidR="005C310A" w:rsidRPr="00FB681C" w:rsidRDefault="005C310A" w:rsidP="0048469F">
            <w:pPr>
              <w:pStyle w:val="TableTextColumnHeading"/>
            </w:pPr>
            <w:r w:rsidRPr="00FB681C">
              <w:t>Protection</w:t>
            </w:r>
          </w:p>
        </w:tc>
        <w:tc>
          <w:tcPr>
            <w:tcW w:w="393" w:type="pct"/>
            <w:tcBorders>
              <w:top w:val="single" w:sz="8" w:space="0" w:color="auto"/>
            </w:tcBorders>
            <w:textDirection w:val="btLr"/>
            <w:vAlign w:val="center"/>
          </w:tcPr>
          <w:p w14:paraId="4C759A0A" w14:textId="77777777" w:rsidR="005C310A" w:rsidRPr="00FB681C" w:rsidRDefault="005C310A" w:rsidP="0048469F">
            <w:pPr>
              <w:pStyle w:val="TableTextColumnHeading"/>
            </w:pPr>
            <w:r w:rsidRPr="00FB681C">
              <w:t>Gender equality</w:t>
            </w:r>
          </w:p>
        </w:tc>
        <w:tc>
          <w:tcPr>
            <w:tcW w:w="389" w:type="pct"/>
            <w:tcBorders>
              <w:top w:val="single" w:sz="8" w:space="0" w:color="auto"/>
            </w:tcBorders>
            <w:textDirection w:val="btLr"/>
            <w:vAlign w:val="center"/>
          </w:tcPr>
          <w:p w14:paraId="56A347E0" w14:textId="77777777" w:rsidR="005C310A" w:rsidRPr="00FB681C" w:rsidRDefault="005C310A" w:rsidP="0048469F">
            <w:pPr>
              <w:pStyle w:val="TableTextColumnHeading"/>
            </w:pPr>
            <w:r w:rsidRPr="00FB681C">
              <w:t>Risks  and Safeguards</w:t>
            </w:r>
          </w:p>
        </w:tc>
      </w:tr>
      <w:tr w:rsidR="0017315F" w:rsidRPr="00FB681C" w14:paraId="5B6A12FF" w14:textId="77777777" w:rsidTr="001007E6">
        <w:trPr>
          <w:cnfStyle w:val="000000010000" w:firstRow="0" w:lastRow="0" w:firstColumn="0" w:lastColumn="0" w:oddVBand="0" w:evenVBand="0" w:oddHBand="0" w:evenHBand="1" w:firstRowFirstColumn="0" w:firstRowLastColumn="0" w:lastRowFirstColumn="0" w:lastRowLastColumn="0"/>
          <w:trHeight w:hRule="exact" w:val="601"/>
        </w:trPr>
        <w:tc>
          <w:tcPr>
            <w:tcW w:w="1015" w:type="pct"/>
            <w:tcBorders>
              <w:top w:val="single" w:sz="8" w:space="0" w:color="auto"/>
              <w:bottom w:val="single" w:sz="8" w:space="0" w:color="auto"/>
            </w:tcBorders>
            <w:vAlign w:val="center"/>
          </w:tcPr>
          <w:p w14:paraId="69D64920" w14:textId="77777777" w:rsidR="005C310A" w:rsidRPr="00FB681C" w:rsidRDefault="00CC0643" w:rsidP="0048469F">
            <w:pPr>
              <w:pStyle w:val="TableTextEntries"/>
            </w:pPr>
            <w:r w:rsidRPr="00FB681C">
              <w:t>INL255 -  Philippines - Typhoon Haiyan Response 2013</w:t>
            </w:r>
          </w:p>
        </w:tc>
        <w:tc>
          <w:tcPr>
            <w:tcW w:w="738" w:type="pct"/>
            <w:tcBorders>
              <w:top w:val="single" w:sz="8" w:space="0" w:color="auto"/>
              <w:bottom w:val="single" w:sz="8" w:space="0" w:color="auto"/>
            </w:tcBorders>
            <w:vAlign w:val="center"/>
          </w:tcPr>
          <w:p w14:paraId="5CC0333B" w14:textId="3DE5BE2C" w:rsidR="005C310A" w:rsidRPr="00FB681C" w:rsidRDefault="00163FB8" w:rsidP="0048469F">
            <w:pPr>
              <w:pStyle w:val="TableTextEntries"/>
              <w:jc w:val="center"/>
              <w:rPr>
                <w:rFonts w:cs="Tahoma"/>
                <w:bdr w:val="none" w:sz="0" w:space="0" w:color="auto" w:frame="1"/>
                <w:lang w:val="en"/>
              </w:rPr>
            </w:pPr>
            <w:r>
              <w:t>AUD</w:t>
            </w:r>
            <w:r w:rsidR="00CC0643" w:rsidRPr="00FB681C">
              <w:rPr>
                <w:rFonts w:cs="Tahoma"/>
                <w:bdr w:val="none" w:sz="0" w:space="0" w:color="auto" w:frame="1"/>
                <w:lang w:val="en"/>
              </w:rPr>
              <w:t>38,695,392</w:t>
            </w:r>
          </w:p>
          <w:p w14:paraId="70072483" w14:textId="7CE81D8F" w:rsidR="00CC0643" w:rsidRPr="0048469F" w:rsidRDefault="00CC0643" w:rsidP="0048469F">
            <w:pPr>
              <w:pStyle w:val="TableTextEntries"/>
              <w:jc w:val="center"/>
              <w:rPr>
                <w:rFonts w:cs="Tahoma"/>
                <w:bdr w:val="none" w:sz="0" w:space="0" w:color="auto" w:frame="1"/>
                <w:lang w:val="en"/>
              </w:rPr>
            </w:pPr>
            <w:r w:rsidRPr="00FB681C">
              <w:rPr>
                <w:rFonts w:cs="Tahoma"/>
                <w:bdr w:val="none" w:sz="0" w:space="0" w:color="auto" w:frame="1"/>
                <w:lang w:val="en"/>
              </w:rPr>
              <w:t>16/11/13</w:t>
            </w:r>
            <w:r w:rsidR="0048469F">
              <w:rPr>
                <w:rFonts w:cs="Tahoma"/>
                <w:bdr w:val="none" w:sz="0" w:space="0" w:color="auto" w:frame="1"/>
                <w:lang w:val="en"/>
              </w:rPr>
              <w:t xml:space="preserve"> </w:t>
            </w:r>
            <w:r w:rsidRPr="00FB681C">
              <w:rPr>
                <w:rFonts w:cs="Tahoma"/>
                <w:bdr w:val="none" w:sz="0" w:space="0" w:color="auto" w:frame="1"/>
                <w:lang w:val="en"/>
              </w:rPr>
              <w:t>-</w:t>
            </w:r>
            <w:r w:rsidR="0048469F">
              <w:rPr>
                <w:rFonts w:cs="Tahoma"/>
                <w:bdr w:val="none" w:sz="0" w:space="0" w:color="auto" w:frame="1"/>
                <w:lang w:val="en"/>
              </w:rPr>
              <w:t xml:space="preserve"> </w:t>
            </w:r>
            <w:r w:rsidRPr="00FB681C">
              <w:rPr>
                <w:rFonts w:cs="Tahoma"/>
                <w:bdr w:val="none" w:sz="0" w:space="0" w:color="auto" w:frame="1"/>
                <w:lang w:val="en"/>
              </w:rPr>
              <w:t>30/06/15</w:t>
            </w:r>
          </w:p>
        </w:tc>
        <w:tc>
          <w:tcPr>
            <w:tcW w:w="393" w:type="pct"/>
            <w:tcBorders>
              <w:top w:val="single" w:sz="8" w:space="0" w:color="auto"/>
              <w:bottom w:val="single" w:sz="8" w:space="0" w:color="auto"/>
            </w:tcBorders>
            <w:shd w:val="clear" w:color="auto" w:fill="72AF2F"/>
            <w:noWrap/>
            <w:vAlign w:val="center"/>
          </w:tcPr>
          <w:p w14:paraId="5D10AFA6" w14:textId="77777777" w:rsidR="005C310A" w:rsidRPr="00FB681C" w:rsidRDefault="00CC0643" w:rsidP="0048469F">
            <w:pPr>
              <w:pStyle w:val="TableTextEntries"/>
              <w:jc w:val="center"/>
            </w:pPr>
            <w:r w:rsidRPr="00FB681C">
              <w:t>6</w:t>
            </w:r>
          </w:p>
        </w:tc>
        <w:tc>
          <w:tcPr>
            <w:tcW w:w="392" w:type="pct"/>
            <w:tcBorders>
              <w:top w:val="single" w:sz="8" w:space="0" w:color="auto"/>
              <w:bottom w:val="single" w:sz="8" w:space="0" w:color="auto"/>
            </w:tcBorders>
            <w:shd w:val="clear" w:color="auto" w:fill="72AF2F"/>
            <w:noWrap/>
            <w:vAlign w:val="center"/>
          </w:tcPr>
          <w:p w14:paraId="642F4918" w14:textId="77777777" w:rsidR="005C310A" w:rsidRPr="00FB681C" w:rsidRDefault="00CC0643" w:rsidP="0048469F">
            <w:pPr>
              <w:pStyle w:val="TableTextEntries"/>
              <w:jc w:val="center"/>
            </w:pPr>
            <w:r w:rsidRPr="00FB681C">
              <w:t>5</w:t>
            </w:r>
          </w:p>
        </w:tc>
        <w:tc>
          <w:tcPr>
            <w:tcW w:w="394" w:type="pct"/>
            <w:tcBorders>
              <w:top w:val="single" w:sz="8" w:space="0" w:color="auto"/>
              <w:bottom w:val="single" w:sz="8" w:space="0" w:color="auto"/>
            </w:tcBorders>
            <w:shd w:val="clear" w:color="auto" w:fill="FFFF00"/>
            <w:noWrap/>
            <w:vAlign w:val="center"/>
          </w:tcPr>
          <w:p w14:paraId="05141D1A" w14:textId="77777777" w:rsidR="005C310A" w:rsidRPr="00FB681C" w:rsidRDefault="00CC0643" w:rsidP="0048469F">
            <w:pPr>
              <w:pStyle w:val="TableTextEntries"/>
              <w:jc w:val="center"/>
            </w:pPr>
            <w:r w:rsidRPr="00FB681C">
              <w:t>4</w:t>
            </w:r>
          </w:p>
        </w:tc>
        <w:tc>
          <w:tcPr>
            <w:tcW w:w="393" w:type="pct"/>
            <w:tcBorders>
              <w:top w:val="single" w:sz="8" w:space="0" w:color="auto"/>
              <w:bottom w:val="single" w:sz="8" w:space="0" w:color="auto"/>
            </w:tcBorders>
            <w:shd w:val="clear" w:color="auto" w:fill="F79646"/>
            <w:noWrap/>
            <w:vAlign w:val="center"/>
          </w:tcPr>
          <w:p w14:paraId="6FAD19D4" w14:textId="77777777" w:rsidR="005C310A" w:rsidRPr="00FB681C" w:rsidRDefault="00CC0643" w:rsidP="0048469F">
            <w:pPr>
              <w:pStyle w:val="TableTextEntries"/>
              <w:jc w:val="center"/>
            </w:pPr>
            <w:r w:rsidRPr="00FB681C">
              <w:t>3</w:t>
            </w:r>
          </w:p>
        </w:tc>
        <w:tc>
          <w:tcPr>
            <w:tcW w:w="394" w:type="pct"/>
            <w:tcBorders>
              <w:top w:val="single" w:sz="8" w:space="0" w:color="auto"/>
              <w:bottom w:val="single" w:sz="8" w:space="0" w:color="auto"/>
            </w:tcBorders>
            <w:shd w:val="clear" w:color="auto" w:fill="72AF2F"/>
            <w:noWrap/>
            <w:vAlign w:val="center"/>
          </w:tcPr>
          <w:p w14:paraId="5EC4BA5F" w14:textId="77777777" w:rsidR="005C310A" w:rsidRPr="00FB681C" w:rsidRDefault="00CC0643" w:rsidP="0048469F">
            <w:pPr>
              <w:pStyle w:val="TableTextEntries"/>
              <w:jc w:val="center"/>
            </w:pPr>
            <w:r w:rsidRPr="00FB681C">
              <w:t>5</w:t>
            </w:r>
          </w:p>
        </w:tc>
        <w:tc>
          <w:tcPr>
            <w:tcW w:w="393" w:type="pct"/>
            <w:tcBorders>
              <w:top w:val="single" w:sz="8" w:space="0" w:color="auto"/>
              <w:bottom w:val="single" w:sz="8" w:space="0" w:color="auto"/>
            </w:tcBorders>
            <w:shd w:val="clear" w:color="auto" w:fill="72AF2F"/>
            <w:noWrap/>
            <w:vAlign w:val="center"/>
          </w:tcPr>
          <w:p w14:paraId="3C2EBF21" w14:textId="77777777" w:rsidR="005C310A" w:rsidRPr="00FB681C" w:rsidRDefault="00CC0643" w:rsidP="0048469F">
            <w:pPr>
              <w:pStyle w:val="TableTextEntries"/>
              <w:jc w:val="center"/>
            </w:pPr>
            <w:r w:rsidRPr="00FB681C">
              <w:t>5</w:t>
            </w:r>
          </w:p>
        </w:tc>
        <w:tc>
          <w:tcPr>
            <w:tcW w:w="393" w:type="pct"/>
            <w:tcBorders>
              <w:top w:val="single" w:sz="8" w:space="0" w:color="auto"/>
              <w:bottom w:val="single" w:sz="8" w:space="0" w:color="auto"/>
            </w:tcBorders>
            <w:shd w:val="clear" w:color="auto" w:fill="F79646"/>
            <w:vAlign w:val="center"/>
          </w:tcPr>
          <w:p w14:paraId="68672F0D" w14:textId="77777777" w:rsidR="005C310A" w:rsidRPr="00FB681C" w:rsidRDefault="00CC0643" w:rsidP="0048469F">
            <w:pPr>
              <w:pStyle w:val="TableTextEntries"/>
              <w:jc w:val="center"/>
            </w:pPr>
            <w:r w:rsidRPr="00FB681C">
              <w:t>3</w:t>
            </w:r>
          </w:p>
        </w:tc>
        <w:tc>
          <w:tcPr>
            <w:tcW w:w="389" w:type="pct"/>
            <w:tcBorders>
              <w:top w:val="single" w:sz="8" w:space="0" w:color="auto"/>
              <w:bottom w:val="single" w:sz="8" w:space="0" w:color="auto"/>
            </w:tcBorders>
            <w:shd w:val="clear" w:color="auto" w:fill="FFFF00"/>
            <w:vAlign w:val="center"/>
          </w:tcPr>
          <w:p w14:paraId="5984EC4C" w14:textId="77777777" w:rsidR="005C310A" w:rsidRPr="00FB681C" w:rsidRDefault="00CC0643" w:rsidP="0048469F">
            <w:pPr>
              <w:pStyle w:val="TableTextEntries"/>
              <w:jc w:val="center"/>
            </w:pPr>
            <w:r w:rsidRPr="00FB681C">
              <w:t>4</w:t>
            </w:r>
          </w:p>
        </w:tc>
      </w:tr>
    </w:tbl>
    <w:p w14:paraId="0FE891A4" w14:textId="77777777" w:rsidR="00206FC4" w:rsidRDefault="00206FC4" w:rsidP="00416B02">
      <w:pPr>
        <w:pStyle w:val="Heading3"/>
      </w:pPr>
    </w:p>
    <w:p w14:paraId="18CB5BE3" w14:textId="77777777" w:rsidR="00416B02" w:rsidRDefault="00416B02" w:rsidP="00416B02">
      <w:pPr>
        <w:pStyle w:val="Heading3"/>
      </w:pPr>
      <w:r>
        <w:t>FAQC ratings</w:t>
      </w:r>
    </w:p>
    <w:tbl>
      <w:tblPr>
        <w:tblStyle w:val="APPR"/>
        <w:tblW w:w="5294" w:type="pct"/>
        <w:tblBorders>
          <w:top w:val="none" w:sz="0" w:space="0" w:color="auto"/>
          <w:bottom w:val="none" w:sz="0" w:space="0" w:color="auto"/>
        </w:tblBorders>
        <w:tblLook w:val="0000" w:firstRow="0" w:lastRow="0" w:firstColumn="0" w:lastColumn="0" w:noHBand="0" w:noVBand="0"/>
      </w:tblPr>
      <w:tblGrid>
        <w:gridCol w:w="3034"/>
        <w:gridCol w:w="2205"/>
        <w:gridCol w:w="1192"/>
        <w:gridCol w:w="1189"/>
        <w:gridCol w:w="1192"/>
        <w:gridCol w:w="1189"/>
        <w:gridCol w:w="1189"/>
        <w:gridCol w:w="1186"/>
        <w:gridCol w:w="1189"/>
        <w:gridCol w:w="1191"/>
      </w:tblGrid>
      <w:tr w:rsidR="001007E6" w:rsidRPr="00FB681C" w14:paraId="6F26EB58" w14:textId="77777777" w:rsidTr="001007E6">
        <w:trPr>
          <w:cnfStyle w:val="000000010000" w:firstRow="0" w:lastRow="0" w:firstColumn="0" w:lastColumn="0" w:oddVBand="0" w:evenVBand="0" w:oddHBand="0" w:evenHBand="1" w:firstRowFirstColumn="0" w:firstRowLastColumn="0" w:lastRowFirstColumn="0" w:lastRowLastColumn="0"/>
          <w:trHeight w:val="1505"/>
        </w:trPr>
        <w:tc>
          <w:tcPr>
            <w:tcW w:w="1014" w:type="pct"/>
            <w:tcBorders>
              <w:top w:val="single" w:sz="8" w:space="0" w:color="auto"/>
              <w:bottom w:val="single" w:sz="8" w:space="0" w:color="auto"/>
            </w:tcBorders>
            <w:vAlign w:val="center"/>
          </w:tcPr>
          <w:p w14:paraId="4C90C7FD" w14:textId="77777777" w:rsidR="004A7988" w:rsidRPr="00FB681C" w:rsidRDefault="004A7988" w:rsidP="0048469F">
            <w:pPr>
              <w:pStyle w:val="TableTextColumnHeading"/>
            </w:pPr>
            <w:r w:rsidRPr="00FB681C">
              <w:rPr>
                <w:noProof/>
                <w:lang w:eastAsia="en-AU"/>
              </w:rPr>
              <w:drawing>
                <wp:anchor distT="0" distB="0" distL="114300" distR="114300" simplePos="0" relativeHeight="251673600" behindDoc="0" locked="0" layoutInCell="1" allowOverlap="1" wp14:anchorId="2638A1D8" wp14:editId="65A59B4E">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81C">
              <w:t>Investment name</w:t>
            </w:r>
          </w:p>
        </w:tc>
        <w:tc>
          <w:tcPr>
            <w:tcW w:w="738" w:type="pct"/>
            <w:tcBorders>
              <w:top w:val="single" w:sz="8" w:space="0" w:color="auto"/>
              <w:bottom w:val="single" w:sz="8" w:space="0" w:color="auto"/>
            </w:tcBorders>
            <w:textDirection w:val="btLr"/>
            <w:vAlign w:val="center"/>
          </w:tcPr>
          <w:p w14:paraId="69551B69" w14:textId="77777777" w:rsidR="004A7988" w:rsidRPr="00FB681C" w:rsidRDefault="004A7988" w:rsidP="0048469F">
            <w:pPr>
              <w:pStyle w:val="TableTextColumnHeading"/>
            </w:pPr>
            <w:r w:rsidRPr="00FB681C">
              <w:t>Approved budget and duration</w:t>
            </w:r>
          </w:p>
        </w:tc>
        <w:tc>
          <w:tcPr>
            <w:tcW w:w="394" w:type="pct"/>
            <w:tcBorders>
              <w:top w:val="single" w:sz="8" w:space="0" w:color="auto"/>
              <w:bottom w:val="single" w:sz="8" w:space="0" w:color="auto"/>
            </w:tcBorders>
            <w:noWrap/>
            <w:textDirection w:val="btLr"/>
            <w:vAlign w:val="center"/>
          </w:tcPr>
          <w:p w14:paraId="01097792" w14:textId="77777777" w:rsidR="004A7988" w:rsidRPr="00FB681C" w:rsidRDefault="004A7988" w:rsidP="0048469F">
            <w:pPr>
              <w:pStyle w:val="TableTextColumnHeading"/>
            </w:pPr>
            <w:r w:rsidRPr="00FB681C">
              <w:t>Overall rating</w:t>
            </w:r>
          </w:p>
        </w:tc>
        <w:tc>
          <w:tcPr>
            <w:tcW w:w="393" w:type="pct"/>
            <w:tcBorders>
              <w:top w:val="single" w:sz="8" w:space="0" w:color="auto"/>
              <w:bottom w:val="single" w:sz="8" w:space="0" w:color="auto"/>
            </w:tcBorders>
            <w:noWrap/>
            <w:textDirection w:val="btLr"/>
            <w:vAlign w:val="center"/>
          </w:tcPr>
          <w:p w14:paraId="633CC925" w14:textId="77777777" w:rsidR="004A7988" w:rsidRPr="00FB681C" w:rsidRDefault="004A7988" w:rsidP="0048469F">
            <w:pPr>
              <w:pStyle w:val="TableTextColumnHeading"/>
            </w:pPr>
            <w:r w:rsidRPr="00FB681C">
              <w:t>Relevance</w:t>
            </w:r>
          </w:p>
        </w:tc>
        <w:tc>
          <w:tcPr>
            <w:tcW w:w="394" w:type="pct"/>
            <w:tcBorders>
              <w:top w:val="single" w:sz="8" w:space="0" w:color="auto"/>
              <w:bottom w:val="single" w:sz="8" w:space="0" w:color="auto"/>
            </w:tcBorders>
            <w:noWrap/>
            <w:textDirection w:val="btLr"/>
            <w:vAlign w:val="center"/>
          </w:tcPr>
          <w:p w14:paraId="2DFD779F" w14:textId="77777777" w:rsidR="004A7988" w:rsidRPr="00FB681C" w:rsidRDefault="004A7988" w:rsidP="0048469F">
            <w:pPr>
              <w:pStyle w:val="TableTextColumnHeading"/>
            </w:pPr>
            <w:r w:rsidRPr="00FB681C">
              <w:t>Effectiveness</w:t>
            </w:r>
          </w:p>
        </w:tc>
        <w:tc>
          <w:tcPr>
            <w:tcW w:w="393" w:type="pct"/>
            <w:tcBorders>
              <w:top w:val="single" w:sz="8" w:space="0" w:color="auto"/>
              <w:bottom w:val="single" w:sz="8" w:space="0" w:color="auto"/>
            </w:tcBorders>
            <w:noWrap/>
            <w:textDirection w:val="btLr"/>
            <w:vAlign w:val="center"/>
          </w:tcPr>
          <w:p w14:paraId="6FE2D245" w14:textId="77777777" w:rsidR="004A7988" w:rsidRPr="00FB681C" w:rsidRDefault="004A7988" w:rsidP="0048469F">
            <w:pPr>
              <w:pStyle w:val="TableTextColumnHeading"/>
            </w:pPr>
            <w:r w:rsidRPr="00FB681C">
              <w:t>Efficiency</w:t>
            </w:r>
          </w:p>
        </w:tc>
        <w:tc>
          <w:tcPr>
            <w:tcW w:w="393" w:type="pct"/>
            <w:tcBorders>
              <w:top w:val="single" w:sz="8" w:space="0" w:color="auto"/>
              <w:bottom w:val="single" w:sz="8" w:space="0" w:color="auto"/>
            </w:tcBorders>
            <w:noWrap/>
            <w:textDirection w:val="btLr"/>
            <w:vAlign w:val="center"/>
          </w:tcPr>
          <w:p w14:paraId="6BA99427" w14:textId="77777777" w:rsidR="004A7988" w:rsidRPr="00FB681C" w:rsidRDefault="004A7988" w:rsidP="0048469F">
            <w:pPr>
              <w:pStyle w:val="TableTextColumnHeading"/>
            </w:pPr>
            <w:r w:rsidRPr="00FB681C">
              <w:t>Monitoring and Evaluation</w:t>
            </w:r>
          </w:p>
        </w:tc>
        <w:tc>
          <w:tcPr>
            <w:tcW w:w="392" w:type="pct"/>
            <w:tcBorders>
              <w:top w:val="single" w:sz="8" w:space="0" w:color="auto"/>
              <w:bottom w:val="single" w:sz="8" w:space="0" w:color="auto"/>
            </w:tcBorders>
            <w:noWrap/>
            <w:textDirection w:val="btLr"/>
            <w:vAlign w:val="center"/>
          </w:tcPr>
          <w:p w14:paraId="63A59C5E" w14:textId="77777777" w:rsidR="004A7988" w:rsidRPr="00FB681C" w:rsidRDefault="004A7988" w:rsidP="0048469F">
            <w:pPr>
              <w:pStyle w:val="TableTextColumnHeading"/>
            </w:pPr>
            <w:r w:rsidRPr="00FB681C">
              <w:t>Sustainability</w:t>
            </w:r>
          </w:p>
        </w:tc>
        <w:tc>
          <w:tcPr>
            <w:tcW w:w="393" w:type="pct"/>
            <w:tcBorders>
              <w:top w:val="single" w:sz="8" w:space="0" w:color="auto"/>
              <w:bottom w:val="single" w:sz="8" w:space="0" w:color="auto"/>
            </w:tcBorders>
            <w:textDirection w:val="btLr"/>
            <w:vAlign w:val="center"/>
          </w:tcPr>
          <w:p w14:paraId="636CBA42" w14:textId="77777777" w:rsidR="004A7988" w:rsidRPr="00FB681C" w:rsidRDefault="004A7988" w:rsidP="0048469F">
            <w:pPr>
              <w:pStyle w:val="TableTextColumnHeading"/>
            </w:pPr>
            <w:r w:rsidRPr="00FB681C">
              <w:t>Gender equality</w:t>
            </w:r>
          </w:p>
        </w:tc>
        <w:tc>
          <w:tcPr>
            <w:tcW w:w="389" w:type="pct"/>
            <w:tcBorders>
              <w:top w:val="single" w:sz="8" w:space="0" w:color="auto"/>
              <w:bottom w:val="single" w:sz="8" w:space="0" w:color="auto"/>
            </w:tcBorders>
            <w:textDirection w:val="btLr"/>
            <w:vAlign w:val="center"/>
          </w:tcPr>
          <w:p w14:paraId="5D325655" w14:textId="77777777" w:rsidR="004A7988" w:rsidRPr="00FB681C" w:rsidRDefault="004A7988" w:rsidP="0048469F">
            <w:pPr>
              <w:pStyle w:val="TableTextColumnHeading"/>
            </w:pPr>
            <w:r w:rsidRPr="00FB681C">
              <w:t>Risks  and Safeguards</w:t>
            </w:r>
          </w:p>
        </w:tc>
      </w:tr>
      <w:tr w:rsidR="0017315F" w:rsidRPr="00FB681C" w14:paraId="772BB40E" w14:textId="77777777" w:rsidTr="001007E6">
        <w:trPr>
          <w:cnfStyle w:val="000000010000" w:firstRow="0" w:lastRow="0" w:firstColumn="0" w:lastColumn="0" w:oddVBand="0" w:evenVBand="0" w:oddHBand="0" w:evenHBand="1" w:firstRowFirstColumn="0" w:firstRowLastColumn="0" w:lastRowFirstColumn="0" w:lastRowLastColumn="0"/>
          <w:trHeight w:hRule="exact" w:val="454"/>
        </w:trPr>
        <w:tc>
          <w:tcPr>
            <w:tcW w:w="1014" w:type="pct"/>
            <w:vAlign w:val="center"/>
          </w:tcPr>
          <w:p w14:paraId="431F8176" w14:textId="04D6ABBA" w:rsidR="000B6163" w:rsidRPr="00FB681C" w:rsidRDefault="000B6163" w:rsidP="000B6163">
            <w:pPr>
              <w:pStyle w:val="TableTextEntries"/>
            </w:pPr>
            <w:r w:rsidRPr="00FB681C">
              <w:t>INH946 - Muslim and Indigenous Peoples Education Program</w:t>
            </w:r>
          </w:p>
        </w:tc>
        <w:tc>
          <w:tcPr>
            <w:tcW w:w="738" w:type="pct"/>
            <w:vAlign w:val="center"/>
          </w:tcPr>
          <w:p w14:paraId="2AB65453" w14:textId="70B6098A" w:rsidR="000B6163" w:rsidRPr="00FB681C" w:rsidRDefault="00163FB8" w:rsidP="000B6163">
            <w:pPr>
              <w:pStyle w:val="TableTextEntries"/>
              <w:jc w:val="center"/>
            </w:pPr>
            <w:r>
              <w:t>AUD</w:t>
            </w:r>
            <w:r w:rsidR="000B6163" w:rsidRPr="00FB681C">
              <w:t>19,989,063</w:t>
            </w:r>
          </w:p>
          <w:p w14:paraId="035C125B" w14:textId="73C1037A" w:rsidR="000B6163" w:rsidRPr="00FB681C" w:rsidRDefault="000E5000" w:rsidP="00737005">
            <w:pPr>
              <w:pStyle w:val="TableTextEntries"/>
              <w:jc w:val="center"/>
            </w:pPr>
            <w:r w:rsidRPr="00FB681C">
              <w:t>1/07/</w:t>
            </w:r>
            <w:r w:rsidR="000B6163" w:rsidRPr="00FB681C">
              <w:t>08</w:t>
            </w:r>
            <w:r w:rsidR="00737005">
              <w:t xml:space="preserve"> </w:t>
            </w:r>
            <w:r w:rsidR="0099601D" w:rsidRPr="00FB681C">
              <w:t>-</w:t>
            </w:r>
            <w:r w:rsidR="00737005">
              <w:t xml:space="preserve"> </w:t>
            </w:r>
            <w:r w:rsidRPr="00FB681C">
              <w:t>30/06/</w:t>
            </w:r>
            <w:r w:rsidR="000B6163" w:rsidRPr="00FB681C">
              <w:t>14</w:t>
            </w:r>
          </w:p>
        </w:tc>
        <w:tc>
          <w:tcPr>
            <w:tcW w:w="394" w:type="pct"/>
            <w:shd w:val="clear" w:color="auto" w:fill="72AF2F"/>
            <w:noWrap/>
            <w:vAlign w:val="center"/>
          </w:tcPr>
          <w:p w14:paraId="7E38F117" w14:textId="77777777" w:rsidR="000B6163" w:rsidRPr="00FB681C" w:rsidRDefault="000B6163"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3" w:type="pct"/>
            <w:shd w:val="clear" w:color="auto" w:fill="72AF2F"/>
            <w:noWrap/>
            <w:vAlign w:val="center"/>
          </w:tcPr>
          <w:p w14:paraId="6985FCDC" w14:textId="77777777" w:rsidR="000B6163" w:rsidRPr="00FB681C" w:rsidRDefault="000B6163"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6</w:t>
            </w:r>
          </w:p>
        </w:tc>
        <w:tc>
          <w:tcPr>
            <w:tcW w:w="394" w:type="pct"/>
            <w:shd w:val="clear" w:color="auto" w:fill="72AF2F"/>
            <w:noWrap/>
            <w:vAlign w:val="center"/>
          </w:tcPr>
          <w:p w14:paraId="5442675A" w14:textId="77777777" w:rsidR="000B6163" w:rsidRPr="00FB681C" w:rsidRDefault="000B6163"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3" w:type="pct"/>
            <w:shd w:val="clear" w:color="auto" w:fill="FFFF00"/>
            <w:noWrap/>
            <w:vAlign w:val="center"/>
          </w:tcPr>
          <w:p w14:paraId="1283C2F6" w14:textId="77777777" w:rsidR="000B6163" w:rsidRPr="00FB681C" w:rsidRDefault="000B6163"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4</w:t>
            </w:r>
          </w:p>
        </w:tc>
        <w:tc>
          <w:tcPr>
            <w:tcW w:w="393" w:type="pct"/>
            <w:shd w:val="clear" w:color="auto" w:fill="72AF2F"/>
            <w:noWrap/>
            <w:vAlign w:val="center"/>
          </w:tcPr>
          <w:p w14:paraId="63DB13FB" w14:textId="77777777" w:rsidR="000B6163" w:rsidRPr="00FB681C" w:rsidRDefault="000B6163"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2" w:type="pct"/>
            <w:shd w:val="clear" w:color="auto" w:fill="72AF2F"/>
            <w:noWrap/>
            <w:vAlign w:val="center"/>
          </w:tcPr>
          <w:p w14:paraId="669A825C" w14:textId="77777777" w:rsidR="000B6163" w:rsidRPr="00FB681C" w:rsidRDefault="000B6163"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3" w:type="pct"/>
            <w:shd w:val="clear" w:color="auto" w:fill="FFFF00"/>
            <w:vAlign w:val="center"/>
          </w:tcPr>
          <w:p w14:paraId="5087FF21" w14:textId="77777777" w:rsidR="000B6163" w:rsidRPr="00FB681C" w:rsidRDefault="000B6163"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4</w:t>
            </w:r>
          </w:p>
        </w:tc>
        <w:tc>
          <w:tcPr>
            <w:tcW w:w="389" w:type="pct"/>
            <w:shd w:val="clear" w:color="auto" w:fill="72AF2F"/>
            <w:vAlign w:val="center"/>
          </w:tcPr>
          <w:p w14:paraId="0C536A8F" w14:textId="77777777" w:rsidR="000B6163" w:rsidRPr="00FB681C" w:rsidRDefault="000B6163"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r>
      <w:tr w:rsidR="0017315F" w:rsidRPr="00FB681C" w14:paraId="1CFA4731" w14:textId="77777777" w:rsidTr="001007E6">
        <w:trPr>
          <w:cnfStyle w:val="000000010000" w:firstRow="0" w:lastRow="0" w:firstColumn="0" w:lastColumn="0" w:oddVBand="0" w:evenVBand="0" w:oddHBand="0" w:evenHBand="1" w:firstRowFirstColumn="0" w:firstRowLastColumn="0" w:lastRowFirstColumn="0" w:lastRowLastColumn="0"/>
          <w:trHeight w:hRule="exact" w:val="454"/>
        </w:trPr>
        <w:tc>
          <w:tcPr>
            <w:tcW w:w="1014" w:type="pct"/>
            <w:vAlign w:val="center"/>
          </w:tcPr>
          <w:p w14:paraId="62A7818F" w14:textId="77777777" w:rsidR="0099601D" w:rsidRPr="00FB681C" w:rsidRDefault="0099601D" w:rsidP="000B6163">
            <w:pPr>
              <w:pStyle w:val="TableTextEntries"/>
            </w:pPr>
            <w:r w:rsidRPr="00FB681C">
              <w:t>INJ138 - Building Disaster Resilience of Manila Communities</w:t>
            </w:r>
          </w:p>
        </w:tc>
        <w:tc>
          <w:tcPr>
            <w:tcW w:w="738" w:type="pct"/>
            <w:vAlign w:val="center"/>
          </w:tcPr>
          <w:p w14:paraId="4F222A2F" w14:textId="1A8A34EB" w:rsidR="0099601D" w:rsidRPr="00FB681C" w:rsidRDefault="00163FB8" w:rsidP="000B6163">
            <w:pPr>
              <w:pStyle w:val="TableTextEntries"/>
              <w:jc w:val="center"/>
            </w:pPr>
            <w:r>
              <w:t>AUD</w:t>
            </w:r>
            <w:r w:rsidR="0099601D" w:rsidRPr="00FB681C">
              <w:t>14,434,373</w:t>
            </w:r>
          </w:p>
          <w:p w14:paraId="1550599B" w14:textId="1827EB8B" w:rsidR="0099601D" w:rsidRPr="00FB681C" w:rsidRDefault="000E5000" w:rsidP="00737005">
            <w:pPr>
              <w:pStyle w:val="TableTextEntries"/>
              <w:jc w:val="center"/>
            </w:pPr>
            <w:r w:rsidRPr="00FB681C">
              <w:t>14/01/</w:t>
            </w:r>
            <w:r w:rsidR="0099601D" w:rsidRPr="00FB681C">
              <w:t>10</w:t>
            </w:r>
            <w:r w:rsidR="00737005">
              <w:t xml:space="preserve"> </w:t>
            </w:r>
            <w:r w:rsidR="0099601D" w:rsidRPr="00FB681C">
              <w:t>-</w:t>
            </w:r>
            <w:r w:rsidR="00737005">
              <w:t xml:space="preserve"> </w:t>
            </w:r>
            <w:r w:rsidRPr="00FB681C">
              <w:t>30/06/</w:t>
            </w:r>
            <w:r w:rsidR="0099601D" w:rsidRPr="00FB681C">
              <w:t>16</w:t>
            </w:r>
          </w:p>
        </w:tc>
        <w:tc>
          <w:tcPr>
            <w:tcW w:w="394" w:type="pct"/>
            <w:shd w:val="clear" w:color="auto" w:fill="72AF2F"/>
            <w:noWrap/>
            <w:vAlign w:val="center"/>
          </w:tcPr>
          <w:p w14:paraId="468A5238"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6</w:t>
            </w:r>
          </w:p>
        </w:tc>
        <w:tc>
          <w:tcPr>
            <w:tcW w:w="393" w:type="pct"/>
            <w:shd w:val="clear" w:color="auto" w:fill="72AF2F"/>
            <w:noWrap/>
            <w:vAlign w:val="center"/>
          </w:tcPr>
          <w:p w14:paraId="4381100D"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6</w:t>
            </w:r>
          </w:p>
        </w:tc>
        <w:tc>
          <w:tcPr>
            <w:tcW w:w="394" w:type="pct"/>
            <w:shd w:val="clear" w:color="auto" w:fill="72AF2F"/>
            <w:noWrap/>
            <w:vAlign w:val="center"/>
          </w:tcPr>
          <w:p w14:paraId="4951972B"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3" w:type="pct"/>
            <w:shd w:val="clear" w:color="auto" w:fill="FFFF00"/>
            <w:noWrap/>
            <w:vAlign w:val="center"/>
          </w:tcPr>
          <w:p w14:paraId="5A211B4B"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4</w:t>
            </w:r>
          </w:p>
        </w:tc>
        <w:tc>
          <w:tcPr>
            <w:tcW w:w="393" w:type="pct"/>
            <w:shd w:val="clear" w:color="auto" w:fill="72AF2F"/>
            <w:noWrap/>
            <w:vAlign w:val="center"/>
          </w:tcPr>
          <w:p w14:paraId="432101CF"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2" w:type="pct"/>
            <w:shd w:val="clear" w:color="auto" w:fill="72AF2F"/>
            <w:noWrap/>
            <w:vAlign w:val="center"/>
          </w:tcPr>
          <w:p w14:paraId="644F3BD0"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3" w:type="pct"/>
            <w:shd w:val="clear" w:color="auto" w:fill="FFFF00"/>
            <w:vAlign w:val="center"/>
          </w:tcPr>
          <w:p w14:paraId="4EB67DB1"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4</w:t>
            </w:r>
          </w:p>
        </w:tc>
        <w:tc>
          <w:tcPr>
            <w:tcW w:w="389" w:type="pct"/>
            <w:shd w:val="clear" w:color="auto" w:fill="72AF2F"/>
            <w:vAlign w:val="center"/>
          </w:tcPr>
          <w:p w14:paraId="4A00D50E"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6</w:t>
            </w:r>
          </w:p>
        </w:tc>
      </w:tr>
      <w:tr w:rsidR="0017315F" w:rsidRPr="00FB681C" w14:paraId="4247101E" w14:textId="77777777" w:rsidTr="001007E6">
        <w:trPr>
          <w:cnfStyle w:val="000000010000" w:firstRow="0" w:lastRow="0" w:firstColumn="0" w:lastColumn="0" w:oddVBand="0" w:evenVBand="0" w:oddHBand="0" w:evenHBand="1" w:firstRowFirstColumn="0" w:firstRowLastColumn="0" w:lastRowFirstColumn="0" w:lastRowLastColumn="0"/>
          <w:trHeight w:hRule="exact" w:val="454"/>
        </w:trPr>
        <w:tc>
          <w:tcPr>
            <w:tcW w:w="1014" w:type="pct"/>
            <w:vAlign w:val="center"/>
          </w:tcPr>
          <w:p w14:paraId="4889D2C1" w14:textId="77777777" w:rsidR="0099601D" w:rsidRPr="00FB681C" w:rsidRDefault="0099601D" w:rsidP="000B6163">
            <w:pPr>
              <w:pStyle w:val="TableTextEntries"/>
            </w:pPr>
            <w:r w:rsidRPr="00FB681C">
              <w:t>ING238 - Supporting Peace in Mindanao</w:t>
            </w:r>
          </w:p>
        </w:tc>
        <w:tc>
          <w:tcPr>
            <w:tcW w:w="738" w:type="pct"/>
            <w:vAlign w:val="center"/>
          </w:tcPr>
          <w:p w14:paraId="6A67198A" w14:textId="6CE9F66D" w:rsidR="0099601D" w:rsidRPr="00FB681C" w:rsidRDefault="00163FB8" w:rsidP="000B6163">
            <w:pPr>
              <w:pStyle w:val="TableTextEntries"/>
              <w:jc w:val="center"/>
            </w:pPr>
            <w:r>
              <w:t>AUD</w:t>
            </w:r>
            <w:r w:rsidR="0099601D" w:rsidRPr="00FB681C">
              <w:t>15,416,043</w:t>
            </w:r>
          </w:p>
          <w:p w14:paraId="45C82975" w14:textId="328E2A68" w:rsidR="0099601D" w:rsidRPr="00FB681C" w:rsidRDefault="000E5000" w:rsidP="00737005">
            <w:pPr>
              <w:pStyle w:val="TableTextEntries"/>
              <w:jc w:val="center"/>
            </w:pPr>
            <w:r w:rsidRPr="00FB681C">
              <w:t>15/06/</w:t>
            </w:r>
            <w:r w:rsidR="0099601D" w:rsidRPr="00FB681C">
              <w:t>05</w:t>
            </w:r>
            <w:r w:rsidR="00737005">
              <w:t xml:space="preserve"> </w:t>
            </w:r>
            <w:r w:rsidR="0099601D" w:rsidRPr="00FB681C">
              <w:t>-</w:t>
            </w:r>
            <w:r w:rsidR="00737005">
              <w:t xml:space="preserve"> </w:t>
            </w:r>
            <w:r w:rsidRPr="00FB681C">
              <w:t>30/06/</w:t>
            </w:r>
            <w:r w:rsidR="0099601D" w:rsidRPr="00FB681C">
              <w:t>15</w:t>
            </w:r>
          </w:p>
        </w:tc>
        <w:tc>
          <w:tcPr>
            <w:tcW w:w="394" w:type="pct"/>
            <w:shd w:val="clear" w:color="auto" w:fill="72AF2F"/>
            <w:noWrap/>
            <w:vAlign w:val="center"/>
          </w:tcPr>
          <w:p w14:paraId="2AEB4552"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3" w:type="pct"/>
            <w:shd w:val="clear" w:color="auto" w:fill="72AF2F"/>
            <w:noWrap/>
            <w:vAlign w:val="center"/>
          </w:tcPr>
          <w:p w14:paraId="1ECF3022"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4" w:type="pct"/>
            <w:shd w:val="clear" w:color="auto" w:fill="FFFF00"/>
            <w:noWrap/>
            <w:vAlign w:val="center"/>
          </w:tcPr>
          <w:p w14:paraId="0D765DEC"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4</w:t>
            </w:r>
          </w:p>
        </w:tc>
        <w:tc>
          <w:tcPr>
            <w:tcW w:w="393" w:type="pct"/>
            <w:shd w:val="clear" w:color="auto" w:fill="FFFF00"/>
            <w:noWrap/>
            <w:vAlign w:val="center"/>
          </w:tcPr>
          <w:p w14:paraId="10FDEAD9"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4</w:t>
            </w:r>
          </w:p>
        </w:tc>
        <w:tc>
          <w:tcPr>
            <w:tcW w:w="393" w:type="pct"/>
            <w:shd w:val="clear" w:color="auto" w:fill="F79646"/>
            <w:noWrap/>
            <w:vAlign w:val="center"/>
          </w:tcPr>
          <w:p w14:paraId="78273E93"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3</w:t>
            </w:r>
          </w:p>
        </w:tc>
        <w:tc>
          <w:tcPr>
            <w:tcW w:w="392" w:type="pct"/>
            <w:shd w:val="clear" w:color="auto" w:fill="FFFF00"/>
            <w:noWrap/>
            <w:vAlign w:val="center"/>
          </w:tcPr>
          <w:p w14:paraId="14989301"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4</w:t>
            </w:r>
          </w:p>
        </w:tc>
        <w:tc>
          <w:tcPr>
            <w:tcW w:w="393" w:type="pct"/>
            <w:shd w:val="clear" w:color="auto" w:fill="FFFF00"/>
            <w:vAlign w:val="center"/>
          </w:tcPr>
          <w:p w14:paraId="3C4C3BBF"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4</w:t>
            </w:r>
          </w:p>
        </w:tc>
        <w:tc>
          <w:tcPr>
            <w:tcW w:w="389" w:type="pct"/>
            <w:shd w:val="clear" w:color="auto" w:fill="72AF2F"/>
            <w:vAlign w:val="center"/>
          </w:tcPr>
          <w:p w14:paraId="539CD292" w14:textId="77777777" w:rsidR="0099601D" w:rsidRPr="00FB681C" w:rsidRDefault="0099601D" w:rsidP="00080F8D">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r>
      <w:tr w:rsidR="0017315F" w:rsidRPr="00FB681C" w14:paraId="0CE58A79" w14:textId="77777777" w:rsidTr="001007E6">
        <w:trPr>
          <w:cnfStyle w:val="000000010000" w:firstRow="0" w:lastRow="0" w:firstColumn="0" w:lastColumn="0" w:oddVBand="0" w:evenVBand="0" w:oddHBand="0" w:evenHBand="1" w:firstRowFirstColumn="0" w:firstRowLastColumn="0" w:lastRowFirstColumn="0" w:lastRowLastColumn="0"/>
          <w:trHeight w:hRule="exact" w:val="507"/>
        </w:trPr>
        <w:tc>
          <w:tcPr>
            <w:tcW w:w="1014" w:type="pct"/>
            <w:tcBorders>
              <w:bottom w:val="single" w:sz="8" w:space="0" w:color="auto"/>
            </w:tcBorders>
            <w:vAlign w:val="center"/>
          </w:tcPr>
          <w:p w14:paraId="3B422A03" w14:textId="77777777" w:rsidR="00502046" w:rsidRPr="00FB681C" w:rsidRDefault="00502046" w:rsidP="000B6163">
            <w:pPr>
              <w:pStyle w:val="TableTextEntries"/>
            </w:pPr>
            <w:r w:rsidRPr="00FB681C">
              <w:t>INK346 - Classroom Construction Initiative</w:t>
            </w:r>
          </w:p>
        </w:tc>
        <w:tc>
          <w:tcPr>
            <w:tcW w:w="738" w:type="pct"/>
            <w:tcBorders>
              <w:bottom w:val="single" w:sz="8" w:space="0" w:color="auto"/>
            </w:tcBorders>
            <w:vAlign w:val="center"/>
          </w:tcPr>
          <w:p w14:paraId="74528A21" w14:textId="52D45891" w:rsidR="00502046" w:rsidRPr="00FB681C" w:rsidRDefault="00163FB8" w:rsidP="000B6163">
            <w:pPr>
              <w:pStyle w:val="TableTextEntries"/>
              <w:jc w:val="center"/>
            </w:pPr>
            <w:r>
              <w:t>AUD</w:t>
            </w:r>
            <w:r w:rsidR="00502046" w:rsidRPr="00FB681C">
              <w:t>25,221,600</w:t>
            </w:r>
          </w:p>
          <w:p w14:paraId="562402E3" w14:textId="05B10CD0" w:rsidR="00757936" w:rsidRPr="00FB681C" w:rsidRDefault="000E5000" w:rsidP="00737005">
            <w:pPr>
              <w:pStyle w:val="TableTextEntries"/>
              <w:jc w:val="center"/>
            </w:pPr>
            <w:r w:rsidRPr="00FB681C">
              <w:t>15/12/</w:t>
            </w:r>
            <w:r w:rsidR="00757936" w:rsidRPr="00FB681C">
              <w:t>11</w:t>
            </w:r>
            <w:r w:rsidR="00737005">
              <w:t xml:space="preserve"> - </w:t>
            </w:r>
            <w:r w:rsidRPr="00FB681C">
              <w:t>31/12/</w:t>
            </w:r>
            <w:r w:rsidR="00757936" w:rsidRPr="00FB681C">
              <w:t>14</w:t>
            </w:r>
          </w:p>
        </w:tc>
        <w:tc>
          <w:tcPr>
            <w:tcW w:w="394" w:type="pct"/>
            <w:tcBorders>
              <w:bottom w:val="single" w:sz="8" w:space="0" w:color="auto"/>
            </w:tcBorders>
            <w:shd w:val="clear" w:color="auto" w:fill="72AF2F"/>
            <w:noWrap/>
            <w:vAlign w:val="center"/>
          </w:tcPr>
          <w:p w14:paraId="3E8FA903" w14:textId="77777777" w:rsidR="00502046" w:rsidRPr="00FB681C" w:rsidRDefault="00502046" w:rsidP="00502046">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3" w:type="pct"/>
            <w:tcBorders>
              <w:bottom w:val="single" w:sz="8" w:space="0" w:color="auto"/>
            </w:tcBorders>
            <w:shd w:val="clear" w:color="auto" w:fill="72AF2F"/>
            <w:noWrap/>
            <w:vAlign w:val="center"/>
          </w:tcPr>
          <w:p w14:paraId="2853BD2B" w14:textId="77777777" w:rsidR="00502046" w:rsidRPr="00FB681C" w:rsidRDefault="00502046" w:rsidP="00502046">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4" w:type="pct"/>
            <w:tcBorders>
              <w:bottom w:val="single" w:sz="8" w:space="0" w:color="auto"/>
            </w:tcBorders>
            <w:shd w:val="clear" w:color="auto" w:fill="FFFF00"/>
            <w:noWrap/>
            <w:vAlign w:val="center"/>
          </w:tcPr>
          <w:p w14:paraId="2F8CF5BC" w14:textId="77777777" w:rsidR="00502046" w:rsidRPr="00FB681C" w:rsidRDefault="00502046" w:rsidP="00502046">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4</w:t>
            </w:r>
          </w:p>
        </w:tc>
        <w:tc>
          <w:tcPr>
            <w:tcW w:w="393" w:type="pct"/>
            <w:tcBorders>
              <w:bottom w:val="single" w:sz="8" w:space="0" w:color="auto"/>
            </w:tcBorders>
            <w:shd w:val="clear" w:color="auto" w:fill="FFFF00"/>
            <w:noWrap/>
            <w:vAlign w:val="center"/>
          </w:tcPr>
          <w:p w14:paraId="4DBC0257" w14:textId="77777777" w:rsidR="00502046" w:rsidRPr="00FB681C" w:rsidRDefault="00502046" w:rsidP="00502046">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4</w:t>
            </w:r>
          </w:p>
        </w:tc>
        <w:tc>
          <w:tcPr>
            <w:tcW w:w="393" w:type="pct"/>
            <w:tcBorders>
              <w:bottom w:val="single" w:sz="8" w:space="0" w:color="auto"/>
            </w:tcBorders>
            <w:shd w:val="clear" w:color="auto" w:fill="72AF2F"/>
            <w:noWrap/>
            <w:vAlign w:val="center"/>
          </w:tcPr>
          <w:p w14:paraId="40B2A3AA" w14:textId="77777777" w:rsidR="00502046" w:rsidRPr="00FB681C" w:rsidRDefault="00502046" w:rsidP="00502046">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2" w:type="pct"/>
            <w:tcBorders>
              <w:bottom w:val="single" w:sz="8" w:space="0" w:color="auto"/>
            </w:tcBorders>
            <w:shd w:val="clear" w:color="auto" w:fill="72AF2F"/>
            <w:noWrap/>
            <w:vAlign w:val="center"/>
          </w:tcPr>
          <w:p w14:paraId="203D855B" w14:textId="77777777" w:rsidR="00502046" w:rsidRPr="00FB681C" w:rsidRDefault="00502046" w:rsidP="00502046">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c>
          <w:tcPr>
            <w:tcW w:w="393" w:type="pct"/>
            <w:tcBorders>
              <w:bottom w:val="single" w:sz="8" w:space="0" w:color="auto"/>
            </w:tcBorders>
            <w:shd w:val="clear" w:color="auto" w:fill="FFFF00"/>
            <w:vAlign w:val="center"/>
          </w:tcPr>
          <w:p w14:paraId="7331AA4E" w14:textId="77777777" w:rsidR="00502046" w:rsidRPr="00FB681C" w:rsidRDefault="00502046" w:rsidP="00502046">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4</w:t>
            </w:r>
          </w:p>
        </w:tc>
        <w:tc>
          <w:tcPr>
            <w:tcW w:w="389" w:type="pct"/>
            <w:tcBorders>
              <w:bottom w:val="single" w:sz="8" w:space="0" w:color="auto"/>
            </w:tcBorders>
            <w:shd w:val="clear" w:color="auto" w:fill="72AF2F"/>
            <w:vAlign w:val="center"/>
          </w:tcPr>
          <w:p w14:paraId="535F5FA8" w14:textId="77777777" w:rsidR="00502046" w:rsidRPr="00FB681C" w:rsidRDefault="00502046" w:rsidP="00502046">
            <w:pPr>
              <w:jc w:val="center"/>
              <w:rPr>
                <w:rFonts w:ascii="Franklin Gothic Book" w:hAnsi="Franklin Gothic Book" w:cs="Calibri"/>
                <w:color w:val="000000"/>
                <w:sz w:val="17"/>
                <w:szCs w:val="17"/>
              </w:rPr>
            </w:pPr>
            <w:r w:rsidRPr="00FB681C">
              <w:rPr>
                <w:rFonts w:ascii="Franklin Gothic Book" w:hAnsi="Franklin Gothic Book" w:cs="Calibri"/>
                <w:color w:val="000000"/>
                <w:sz w:val="17"/>
                <w:szCs w:val="17"/>
              </w:rPr>
              <w:t>5</w:t>
            </w:r>
          </w:p>
        </w:tc>
      </w:tr>
    </w:tbl>
    <w:p w14:paraId="5CFE00A6" w14:textId="77777777" w:rsidR="00416B02" w:rsidRPr="00757936" w:rsidRDefault="00416B02" w:rsidP="00757936">
      <w:pPr>
        <w:pStyle w:val="Note"/>
      </w:pPr>
      <w:r w:rsidRPr="00757936">
        <w:t>Definitions of rating scale:</w:t>
      </w:r>
      <w:r w:rsidRPr="00757936">
        <w:tab/>
      </w:r>
    </w:p>
    <w:p w14:paraId="176BBF17" w14:textId="77777777" w:rsidR="00416B02" w:rsidRPr="00757936" w:rsidRDefault="00416B02" w:rsidP="00757936">
      <w:pPr>
        <w:pStyle w:val="Note"/>
      </w:pPr>
      <w:r w:rsidRPr="00757936">
        <w:t>Satisfactory (4, 5 and 6)</w:t>
      </w:r>
    </w:p>
    <w:p w14:paraId="1B8EA695" w14:textId="77777777" w:rsidR="00416B02" w:rsidRPr="00757936" w:rsidRDefault="00416B02" w:rsidP="00757936">
      <w:pPr>
        <w:pStyle w:val="Note"/>
      </w:pPr>
      <w:r w:rsidRPr="00593946">
        <w:rPr>
          <w:color w:val="72AF2F"/>
        </w:rPr>
        <w:sym w:font="Webdings" w:char="F067"/>
      </w:r>
      <w:r>
        <w:t xml:space="preserve"> </w:t>
      </w:r>
      <w:r w:rsidRPr="00757936">
        <w:t>= 6 = Very good; satisfies criteria in all or almost all areas</w:t>
      </w:r>
    </w:p>
    <w:p w14:paraId="4A9951B5" w14:textId="77777777" w:rsidR="00416B02" w:rsidRPr="00757936" w:rsidRDefault="00416B02" w:rsidP="00757936">
      <w:pPr>
        <w:pStyle w:val="Note"/>
      </w:pPr>
      <w:r w:rsidRPr="00593946">
        <w:rPr>
          <w:color w:val="72AF2F"/>
        </w:rPr>
        <w:sym w:font="Webdings" w:char="F067"/>
      </w:r>
      <w:r>
        <w:t xml:space="preserve"> </w:t>
      </w:r>
      <w:r w:rsidRPr="00757936">
        <w:t>= 5 = Good; satisfies criteria in most areas</w:t>
      </w:r>
    </w:p>
    <w:p w14:paraId="76E073B4" w14:textId="77777777" w:rsidR="00416B02" w:rsidRDefault="00416B02" w:rsidP="00757936">
      <w:pPr>
        <w:pStyle w:val="Note"/>
      </w:pPr>
      <w:r w:rsidRPr="000774FD">
        <w:rPr>
          <w:color w:val="FFFF00"/>
        </w:rPr>
        <w:sym w:font="Webdings" w:char="F067"/>
      </w:r>
      <w:r>
        <w:t xml:space="preserve"> </w:t>
      </w:r>
      <w:r w:rsidRPr="00757936">
        <w:t>= 4 = Adequate; on balance, satisfies criteria; does not fail in any major area</w:t>
      </w:r>
    </w:p>
    <w:p w14:paraId="1BC3B043" w14:textId="77777777" w:rsidR="00416B02" w:rsidRPr="00757936" w:rsidRDefault="00416B02" w:rsidP="00757936">
      <w:pPr>
        <w:pStyle w:val="Note"/>
      </w:pPr>
      <w:r w:rsidRPr="00757936">
        <w:t>Less than satisfactory (1, 2 and 3)</w:t>
      </w:r>
    </w:p>
    <w:p w14:paraId="3D4DB529" w14:textId="77777777" w:rsidR="00416B02" w:rsidRDefault="00416B02" w:rsidP="00757936">
      <w:pPr>
        <w:pStyle w:val="Note"/>
      </w:pPr>
      <w:r w:rsidRPr="00593946">
        <w:rPr>
          <w:color w:val="E36C0A"/>
        </w:rPr>
        <w:sym w:font="Webdings" w:char="F067"/>
      </w:r>
      <w:r w:rsidRPr="00593946">
        <w:rPr>
          <w:color w:val="E36C0A"/>
        </w:rPr>
        <w:t xml:space="preserve"> </w:t>
      </w:r>
      <w:r>
        <w:t>= 3 = Less than adequate; on balance does not satisfy criteria but does not fail in any major area</w:t>
      </w:r>
    </w:p>
    <w:p w14:paraId="692BAFEC" w14:textId="77777777" w:rsidR="00416B02" w:rsidRDefault="00416B02" w:rsidP="00757936">
      <w:pPr>
        <w:pStyle w:val="Note"/>
      </w:pPr>
      <w:r w:rsidRPr="000774FD">
        <w:rPr>
          <w:color w:val="FF0000"/>
        </w:rPr>
        <w:sym w:font="Webdings" w:char="F067"/>
      </w:r>
      <w:r>
        <w:t xml:space="preserve"> = 2 = Poor; does not satisfy criteria in major areas</w:t>
      </w:r>
    </w:p>
    <w:p w14:paraId="31E0BF7D" w14:textId="0D7AC5EC" w:rsidR="00516D93" w:rsidRPr="001007E6" w:rsidRDefault="00416B02" w:rsidP="001007E6">
      <w:pPr>
        <w:pStyle w:val="Note"/>
      </w:pPr>
      <w:r w:rsidRPr="000774FD">
        <w:rPr>
          <w:color w:val="FF0000"/>
        </w:rPr>
        <w:sym w:font="Webdings" w:char="F067"/>
      </w:r>
      <w:r>
        <w:t xml:space="preserve"> = 1 = Very poor; does not satisfy criteria in many major areas</w:t>
      </w:r>
    </w:p>
    <w:sectPr w:rsidR="00516D93" w:rsidRPr="001007E6" w:rsidSect="009C7C02">
      <w:headerReference w:type="even" r:id="rId21"/>
      <w:footerReference w:type="first" r:id="rId22"/>
      <w:pgSz w:w="16840" w:h="11907" w:orient="landscape" w:code="9"/>
      <w:pgMar w:top="1871" w:right="2268" w:bottom="85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6F8A4" w14:textId="77777777" w:rsidR="00570CD6" w:rsidRDefault="00570CD6" w:rsidP="0050529F">
      <w:r>
        <w:separator/>
      </w:r>
    </w:p>
    <w:p w14:paraId="6B4D89B0" w14:textId="77777777" w:rsidR="00570CD6" w:rsidRDefault="00570CD6"/>
    <w:p w14:paraId="18A8042D" w14:textId="77777777" w:rsidR="00570CD6" w:rsidRDefault="00570CD6"/>
    <w:p w14:paraId="00B4E0BC" w14:textId="77777777" w:rsidR="00570CD6" w:rsidRDefault="00570CD6"/>
    <w:p w14:paraId="361E2A1F" w14:textId="77777777" w:rsidR="00570CD6" w:rsidRDefault="00570CD6"/>
    <w:p w14:paraId="3E42A5FA" w14:textId="77777777" w:rsidR="00570CD6" w:rsidRDefault="00570CD6"/>
    <w:p w14:paraId="1DE64E66" w14:textId="77777777" w:rsidR="00570CD6" w:rsidRDefault="00570CD6"/>
  </w:endnote>
  <w:endnote w:type="continuationSeparator" w:id="0">
    <w:p w14:paraId="52F130FA" w14:textId="77777777" w:rsidR="00570CD6" w:rsidRDefault="00570CD6" w:rsidP="0050529F">
      <w:r>
        <w:continuationSeparator/>
      </w:r>
    </w:p>
    <w:p w14:paraId="09F0CE60" w14:textId="77777777" w:rsidR="00570CD6" w:rsidRDefault="00570CD6"/>
    <w:p w14:paraId="7629ED66" w14:textId="77777777" w:rsidR="00570CD6" w:rsidRDefault="00570CD6"/>
    <w:p w14:paraId="4185488F" w14:textId="77777777" w:rsidR="00570CD6" w:rsidRDefault="00570CD6"/>
    <w:p w14:paraId="313D5C02" w14:textId="77777777" w:rsidR="00570CD6" w:rsidRDefault="00570CD6"/>
    <w:p w14:paraId="19FF8C33" w14:textId="77777777" w:rsidR="00570CD6" w:rsidRDefault="00570CD6"/>
    <w:p w14:paraId="7BB24156" w14:textId="77777777" w:rsidR="00570CD6" w:rsidRDefault="00570CD6"/>
  </w:endnote>
  <w:endnote w:id="1">
    <w:p w14:paraId="054AC54F" w14:textId="5A202886" w:rsidR="00570CD6" w:rsidRPr="002D5F64" w:rsidRDefault="00570CD6">
      <w:pPr>
        <w:pStyle w:val="EndnoteText"/>
        <w:rPr>
          <w:sz w:val="17"/>
          <w:szCs w:val="17"/>
        </w:rPr>
      </w:pPr>
      <w:r w:rsidRPr="002D5F64">
        <w:rPr>
          <w:rStyle w:val="EndnoteReference"/>
          <w:sz w:val="17"/>
          <w:szCs w:val="17"/>
        </w:rPr>
        <w:endnoteRef/>
      </w:r>
      <w:r w:rsidRPr="002D5F64">
        <w:rPr>
          <w:sz w:val="17"/>
          <w:szCs w:val="17"/>
        </w:rPr>
        <w:t xml:space="preserve"> World Bank 2015, ‘World Development Indicators’, World Bank, viewed 5 September 2015, &lt;http://data.worldbank.org/data-catalog/world-development-indicators&gt;.</w:t>
      </w:r>
    </w:p>
  </w:endnote>
  <w:endnote w:id="2">
    <w:p w14:paraId="068B91FC" w14:textId="33FFCC10" w:rsidR="00570CD6" w:rsidRPr="002D5F64" w:rsidRDefault="00570CD6">
      <w:pPr>
        <w:pStyle w:val="EndnoteText"/>
        <w:rPr>
          <w:sz w:val="17"/>
          <w:szCs w:val="17"/>
        </w:rPr>
      </w:pPr>
      <w:r w:rsidRPr="002D5F64">
        <w:rPr>
          <w:rStyle w:val="EndnoteReference"/>
          <w:sz w:val="17"/>
          <w:szCs w:val="17"/>
        </w:rPr>
        <w:endnoteRef/>
      </w:r>
      <w:r w:rsidRPr="002D5F64">
        <w:rPr>
          <w:sz w:val="17"/>
          <w:szCs w:val="17"/>
        </w:rPr>
        <w:t xml:space="preserve"> Philippine Statistical Authority, ‘Labor and Employment’, Philippine Statistical Authority, viewed 5 September 2015, &lt;https://psa.gov.ph/statistics/survey/labor-force&gt;.</w:t>
      </w:r>
    </w:p>
  </w:endnote>
  <w:endnote w:id="3">
    <w:p w14:paraId="664E2218" w14:textId="473060AE" w:rsidR="00570CD6" w:rsidRPr="002D5F64" w:rsidRDefault="00570CD6">
      <w:pPr>
        <w:pStyle w:val="EndnoteText"/>
        <w:rPr>
          <w:sz w:val="17"/>
          <w:szCs w:val="17"/>
        </w:rPr>
      </w:pPr>
      <w:r w:rsidRPr="002D5F64">
        <w:rPr>
          <w:rStyle w:val="EndnoteReference"/>
          <w:sz w:val="17"/>
          <w:szCs w:val="17"/>
        </w:rPr>
        <w:endnoteRef/>
      </w:r>
      <w:r w:rsidRPr="002D5F64">
        <w:rPr>
          <w:sz w:val="17"/>
          <w:szCs w:val="17"/>
        </w:rPr>
        <w:t xml:space="preserve"> World Bank 2015, ‘World Development Indicators’, World Bank, viewed 5 September 2015, &lt;http://data.worldbank.org/data-catalog/world-development-indicators&gt;.</w:t>
      </w:r>
    </w:p>
  </w:endnote>
  <w:endnote w:id="4">
    <w:p w14:paraId="01E67540" w14:textId="4C298F10" w:rsidR="00570CD6" w:rsidRPr="002D5F64" w:rsidRDefault="00570CD6" w:rsidP="005F443D">
      <w:pPr>
        <w:pStyle w:val="EndnoteText"/>
        <w:rPr>
          <w:sz w:val="17"/>
          <w:szCs w:val="17"/>
        </w:rPr>
      </w:pPr>
      <w:r w:rsidRPr="002D5F64">
        <w:rPr>
          <w:rStyle w:val="EndnoteReference"/>
          <w:sz w:val="17"/>
          <w:szCs w:val="17"/>
        </w:rPr>
        <w:endnoteRef/>
      </w:r>
      <w:r w:rsidRPr="002D5F64">
        <w:rPr>
          <w:sz w:val="17"/>
          <w:szCs w:val="17"/>
        </w:rPr>
        <w:t xml:space="preserve"> Philippine Daily Inquirer 2</w:t>
      </w:r>
      <w:r>
        <w:rPr>
          <w:sz w:val="17"/>
          <w:szCs w:val="17"/>
        </w:rPr>
        <w:t>015, ‘IT-BPO sector posted 18.7 per cent</w:t>
      </w:r>
      <w:r w:rsidRPr="002D5F64">
        <w:rPr>
          <w:sz w:val="17"/>
          <w:szCs w:val="17"/>
        </w:rPr>
        <w:t xml:space="preserve"> revenue growth in 2014’, Philippine Daily Inquirer, viewed 5 September 2015, &lt;http://business.inquirer.net/188861/it-bpo-sector-posted-18-7-revenue-growth-in-2014&gt;.</w:t>
      </w:r>
    </w:p>
  </w:endnote>
  <w:endnote w:id="5">
    <w:p w14:paraId="562F790B" w14:textId="3102B163" w:rsidR="00570CD6" w:rsidRPr="002D5F64" w:rsidRDefault="00570CD6">
      <w:pPr>
        <w:pStyle w:val="EndnoteText"/>
        <w:rPr>
          <w:sz w:val="17"/>
          <w:szCs w:val="17"/>
        </w:rPr>
      </w:pPr>
      <w:r w:rsidRPr="002D5F64">
        <w:rPr>
          <w:rStyle w:val="EndnoteReference"/>
          <w:sz w:val="17"/>
          <w:szCs w:val="17"/>
        </w:rPr>
        <w:endnoteRef/>
      </w:r>
      <w:r w:rsidRPr="002D5F64">
        <w:rPr>
          <w:sz w:val="17"/>
          <w:szCs w:val="17"/>
        </w:rPr>
        <w:t xml:space="preserve"> Tholons 2015, </w:t>
      </w:r>
      <w:r w:rsidRPr="002D5F64">
        <w:rPr>
          <w:i/>
          <w:sz w:val="17"/>
          <w:szCs w:val="17"/>
        </w:rPr>
        <w:t xml:space="preserve">2015 Top 100 Outsourcing Destinations, </w:t>
      </w:r>
      <w:r w:rsidRPr="002D5F64">
        <w:rPr>
          <w:sz w:val="17"/>
          <w:szCs w:val="17"/>
        </w:rPr>
        <w:t xml:space="preserve">Tholons, New York.   </w:t>
      </w:r>
    </w:p>
  </w:endnote>
  <w:endnote w:id="6">
    <w:p w14:paraId="67A06100" w14:textId="4A87150F" w:rsidR="00570CD6" w:rsidRPr="002D5F64" w:rsidRDefault="00570CD6">
      <w:pPr>
        <w:pStyle w:val="EndnoteText"/>
        <w:rPr>
          <w:sz w:val="17"/>
          <w:szCs w:val="17"/>
        </w:rPr>
      </w:pPr>
      <w:r w:rsidRPr="002D5F64">
        <w:rPr>
          <w:rStyle w:val="EndnoteReference"/>
          <w:sz w:val="17"/>
          <w:szCs w:val="17"/>
        </w:rPr>
        <w:endnoteRef/>
      </w:r>
      <w:r w:rsidRPr="002D5F64">
        <w:rPr>
          <w:sz w:val="17"/>
          <w:szCs w:val="17"/>
        </w:rPr>
        <w:t xml:space="preserve"> World Bank 2015, ‘World Development Indicators’, World Bank, viewed 5 September 2015, &lt;http://data.worldbank.org/data-catalog/world-development-indicators&gt;.</w:t>
      </w:r>
    </w:p>
  </w:endnote>
  <w:endnote w:id="7">
    <w:p w14:paraId="7D8F549D" w14:textId="22B31FD2" w:rsidR="00570CD6" w:rsidRPr="002D5F64" w:rsidRDefault="00570CD6">
      <w:pPr>
        <w:pStyle w:val="EndnoteText"/>
        <w:rPr>
          <w:sz w:val="17"/>
          <w:szCs w:val="17"/>
        </w:rPr>
      </w:pPr>
      <w:r w:rsidRPr="002D5F64">
        <w:rPr>
          <w:rStyle w:val="EndnoteReference"/>
          <w:sz w:val="17"/>
          <w:szCs w:val="17"/>
        </w:rPr>
        <w:endnoteRef/>
      </w:r>
      <w:r w:rsidRPr="002D5F64">
        <w:rPr>
          <w:sz w:val="17"/>
          <w:szCs w:val="17"/>
        </w:rPr>
        <w:t xml:space="preserve"> World Bank 2015, ‘World Development Indicators’, World Bank, viewed 5 September 2015, &lt;http://data.worldbank.org/data-catalog/world-development-indicators&gt;.</w:t>
      </w:r>
    </w:p>
  </w:endnote>
  <w:endnote w:id="8">
    <w:p w14:paraId="2121F7AA" w14:textId="503B6AC2" w:rsidR="00570CD6" w:rsidRPr="00A04025" w:rsidRDefault="00570CD6">
      <w:pPr>
        <w:pStyle w:val="EndnoteText"/>
        <w:rPr>
          <w:sz w:val="17"/>
          <w:szCs w:val="17"/>
        </w:rPr>
      </w:pPr>
      <w:r w:rsidRPr="002D5F64">
        <w:rPr>
          <w:rStyle w:val="EndnoteReference"/>
          <w:sz w:val="17"/>
          <w:szCs w:val="17"/>
        </w:rPr>
        <w:endnoteRef/>
      </w:r>
      <w:r w:rsidRPr="002D5F64">
        <w:rPr>
          <w:sz w:val="17"/>
          <w:szCs w:val="17"/>
        </w:rPr>
        <w:t xml:space="preserve"> World Bank 2015, ‘World </w:t>
      </w:r>
      <w:r w:rsidRPr="00A04025">
        <w:rPr>
          <w:sz w:val="17"/>
          <w:szCs w:val="17"/>
        </w:rPr>
        <w:t>Development Indicators’, World Bank, viewed 5 September 2015, &lt;http://data.worldbank.org/data-catalog/world-development-indicators&gt;.</w:t>
      </w:r>
    </w:p>
  </w:endnote>
  <w:endnote w:id="9">
    <w:p w14:paraId="7E4F0966" w14:textId="62119BF4" w:rsidR="00570CD6" w:rsidRPr="00A04025" w:rsidRDefault="00570CD6" w:rsidP="000423A9">
      <w:pPr>
        <w:pStyle w:val="EndnoteText"/>
        <w:rPr>
          <w:sz w:val="17"/>
          <w:szCs w:val="17"/>
        </w:rPr>
      </w:pPr>
      <w:r w:rsidRPr="00A04025">
        <w:rPr>
          <w:rStyle w:val="EndnoteReference"/>
          <w:sz w:val="17"/>
          <w:szCs w:val="17"/>
        </w:rPr>
        <w:endnoteRef/>
      </w:r>
      <w:r w:rsidRPr="00A04025">
        <w:rPr>
          <w:sz w:val="17"/>
          <w:szCs w:val="17"/>
        </w:rPr>
        <w:t xml:space="preserve"> Poverty incidence is the proportion of people below the poverty threshold relative to total population. The poverty threshold is the minimum income/expenditure required for an individual to meet their basic food and non-food requirements. See Philippine Statistical Authority, ‘Poverty Statistics - Data and Charts’, Philippine Statistical Authority, viewed 5 September 2015, &lt;http://www.nscb.gov.ph/poverty/dataCharts.asp&gt;.</w:t>
      </w:r>
    </w:p>
  </w:endnote>
  <w:endnote w:id="10">
    <w:p w14:paraId="2602C9E0" w14:textId="7DDA746D" w:rsidR="00570CD6" w:rsidRPr="00A04025" w:rsidRDefault="00570CD6">
      <w:pPr>
        <w:pStyle w:val="EndnoteText"/>
        <w:rPr>
          <w:sz w:val="17"/>
          <w:szCs w:val="17"/>
        </w:rPr>
      </w:pPr>
      <w:r w:rsidRPr="00A04025">
        <w:rPr>
          <w:rStyle w:val="EndnoteReference"/>
          <w:sz w:val="17"/>
          <w:szCs w:val="17"/>
        </w:rPr>
        <w:endnoteRef/>
      </w:r>
      <w:r w:rsidRPr="00A04025">
        <w:rPr>
          <w:sz w:val="17"/>
          <w:szCs w:val="17"/>
        </w:rPr>
        <w:t xml:space="preserve"> PPP Centre 2015, ‘Pipeline of Projects’, Republic of the Philippines, viewed 5 September 2015, &lt;http://ppp.gov.ph/?page_id=26075&gt;.</w:t>
      </w:r>
    </w:p>
  </w:endnote>
  <w:endnote w:id="11">
    <w:p w14:paraId="3A5742A6" w14:textId="2B40A5B8" w:rsidR="00570CD6" w:rsidRPr="002D5F64" w:rsidRDefault="00570CD6">
      <w:pPr>
        <w:pStyle w:val="EndnoteText"/>
        <w:rPr>
          <w:sz w:val="17"/>
          <w:szCs w:val="17"/>
        </w:rPr>
      </w:pPr>
      <w:r w:rsidRPr="00A04025">
        <w:rPr>
          <w:rStyle w:val="EndnoteReference"/>
          <w:sz w:val="17"/>
          <w:szCs w:val="17"/>
        </w:rPr>
        <w:endnoteRef/>
      </w:r>
      <w:r w:rsidRPr="00A04025">
        <w:rPr>
          <w:sz w:val="17"/>
          <w:szCs w:val="17"/>
        </w:rPr>
        <w:t xml:space="preserve"> Between 2010 and 2015 the Philippines improved its distance</w:t>
      </w:r>
      <w:r w:rsidRPr="002D5F64">
        <w:rPr>
          <w:sz w:val="17"/>
          <w:szCs w:val="17"/>
        </w:rPr>
        <w:t xml:space="preserve"> to the frontier score by 8 percentage points. See World Bank 2015, ‘Distance to Frontier’, World Bank, viewed 5 September 2015, &lt;http://www.doingbusiness.org/data/distance-to-frontier&gt;.</w:t>
      </w:r>
    </w:p>
  </w:endnote>
  <w:endnote w:id="12">
    <w:p w14:paraId="00C2A87C" w14:textId="3D069C4D" w:rsidR="00570CD6" w:rsidRPr="002D5F64" w:rsidRDefault="00570CD6">
      <w:pPr>
        <w:pStyle w:val="EndnoteText"/>
        <w:rPr>
          <w:sz w:val="17"/>
          <w:szCs w:val="17"/>
        </w:rPr>
      </w:pPr>
      <w:r w:rsidRPr="002D5F64">
        <w:rPr>
          <w:rStyle w:val="EndnoteReference"/>
          <w:sz w:val="17"/>
          <w:szCs w:val="17"/>
        </w:rPr>
        <w:endnoteRef/>
      </w:r>
      <w:r w:rsidRPr="002D5F64">
        <w:rPr>
          <w:sz w:val="17"/>
          <w:szCs w:val="17"/>
        </w:rPr>
        <w:t xml:space="preserve"> From 85 in 2010-11 to 52 in 2014-15. See http://www.weforum.org/.</w:t>
      </w:r>
    </w:p>
  </w:endnote>
  <w:endnote w:id="13">
    <w:p w14:paraId="4608B210" w14:textId="41D427B3" w:rsidR="00570CD6" w:rsidRPr="002D5F64" w:rsidRDefault="00570CD6">
      <w:pPr>
        <w:pStyle w:val="EndnoteText"/>
        <w:rPr>
          <w:sz w:val="17"/>
          <w:szCs w:val="17"/>
        </w:rPr>
      </w:pPr>
      <w:r w:rsidRPr="002D5F64">
        <w:rPr>
          <w:rStyle w:val="EndnoteReference"/>
          <w:sz w:val="17"/>
          <w:szCs w:val="17"/>
        </w:rPr>
        <w:endnoteRef/>
      </w:r>
      <w:r w:rsidRPr="002D5F64">
        <w:rPr>
          <w:sz w:val="17"/>
          <w:szCs w:val="17"/>
        </w:rPr>
        <w:t xml:space="preserve"> From 92 in 2010 to 64 in 2014. See http://www.weforum.org/.</w:t>
      </w:r>
    </w:p>
  </w:endnote>
  <w:endnote w:id="14">
    <w:p w14:paraId="1E9AD462" w14:textId="2D691075" w:rsidR="00570CD6" w:rsidRPr="002D5F64" w:rsidRDefault="00570CD6">
      <w:pPr>
        <w:pStyle w:val="EndnoteText"/>
        <w:rPr>
          <w:sz w:val="17"/>
          <w:szCs w:val="17"/>
        </w:rPr>
      </w:pPr>
      <w:r w:rsidRPr="002D5F64">
        <w:rPr>
          <w:rStyle w:val="EndnoteReference"/>
          <w:sz w:val="17"/>
          <w:szCs w:val="17"/>
        </w:rPr>
        <w:endnoteRef/>
      </w:r>
      <w:r w:rsidRPr="002D5F64">
        <w:rPr>
          <w:sz w:val="17"/>
          <w:szCs w:val="17"/>
        </w:rPr>
        <w:t xml:space="preserve"> From 134 in 2010 to 85 in 2014. See http://www.transparency.org/. </w:t>
      </w:r>
    </w:p>
  </w:endnote>
  <w:endnote w:id="15">
    <w:p w14:paraId="1779DDCC" w14:textId="1E8EC78F" w:rsidR="00570CD6" w:rsidRPr="002D5F64" w:rsidRDefault="00570CD6">
      <w:pPr>
        <w:pStyle w:val="EndnoteText"/>
        <w:rPr>
          <w:sz w:val="17"/>
          <w:szCs w:val="17"/>
        </w:rPr>
      </w:pPr>
      <w:r w:rsidRPr="002D5F64">
        <w:rPr>
          <w:rStyle w:val="EndnoteReference"/>
          <w:sz w:val="17"/>
          <w:szCs w:val="17"/>
        </w:rPr>
        <w:endnoteRef/>
      </w:r>
      <w:r w:rsidRPr="002D5F64">
        <w:rPr>
          <w:sz w:val="17"/>
          <w:szCs w:val="17"/>
        </w:rPr>
        <w:t xml:space="preserve"> Gross f</w:t>
      </w:r>
      <w:r>
        <w:rPr>
          <w:sz w:val="17"/>
          <w:szCs w:val="17"/>
        </w:rPr>
        <w:t>ixed capital formation was 20.5 per cent</w:t>
      </w:r>
      <w:r w:rsidRPr="002D5F64">
        <w:rPr>
          <w:sz w:val="17"/>
          <w:szCs w:val="17"/>
        </w:rPr>
        <w:t xml:space="preserve"> of GDP in 2014</w:t>
      </w:r>
      <w:r>
        <w:rPr>
          <w:sz w:val="17"/>
          <w:szCs w:val="17"/>
        </w:rPr>
        <w:t xml:space="preserve"> compared to an average of 20.0 per cent over 2010</w:t>
      </w:r>
      <w:r w:rsidRPr="002D5F64">
        <w:rPr>
          <w:sz w:val="17"/>
          <w:szCs w:val="17"/>
        </w:rPr>
        <w:t>-2014. Net foreign direct investment</w:t>
      </w:r>
      <w:r>
        <w:rPr>
          <w:sz w:val="17"/>
          <w:szCs w:val="17"/>
        </w:rPr>
        <w:t xml:space="preserve"> (FDI) was 2.2 per cent</w:t>
      </w:r>
      <w:r w:rsidRPr="002D5F64">
        <w:rPr>
          <w:sz w:val="17"/>
          <w:szCs w:val="17"/>
        </w:rPr>
        <w:t xml:space="preserve"> of GDP in 201</w:t>
      </w:r>
      <w:r>
        <w:rPr>
          <w:sz w:val="17"/>
          <w:szCs w:val="17"/>
        </w:rPr>
        <w:t>4 compared to an average of 1.3 per cent over 2010</w:t>
      </w:r>
      <w:r w:rsidRPr="002D5F64">
        <w:rPr>
          <w:sz w:val="17"/>
          <w:szCs w:val="17"/>
        </w:rPr>
        <w:t xml:space="preserve">-2014. </w:t>
      </w:r>
      <w:r>
        <w:rPr>
          <w:sz w:val="17"/>
          <w:szCs w:val="17"/>
        </w:rPr>
        <w:t>Net FDI was also</w:t>
      </w:r>
      <w:r w:rsidR="00BA2ED0">
        <w:rPr>
          <w:sz w:val="17"/>
          <w:szCs w:val="17"/>
        </w:rPr>
        <w:t xml:space="preserve"> relatively</w:t>
      </w:r>
      <w:r>
        <w:rPr>
          <w:sz w:val="17"/>
          <w:szCs w:val="17"/>
        </w:rPr>
        <w:t xml:space="preserve"> high in 2006 and 2007 at 2.2 per cent and 2.0 per cent respectively. </w:t>
      </w:r>
      <w:r w:rsidRPr="002D5F64">
        <w:rPr>
          <w:sz w:val="17"/>
          <w:szCs w:val="17"/>
        </w:rPr>
        <w:t>See World Bank 2015, ‘World Development Indicators’, World Bank, viewed 5 September 2015, &lt;http://data.worldbank.org/data-catalog/world-development-indicators&gt;.</w:t>
      </w:r>
    </w:p>
  </w:endnote>
  <w:endnote w:id="16">
    <w:p w14:paraId="6EEE9468" w14:textId="2E464B92" w:rsidR="00570CD6" w:rsidRPr="00617967" w:rsidRDefault="00570CD6" w:rsidP="00617967">
      <w:pPr>
        <w:pStyle w:val="EndnoteText"/>
        <w:rPr>
          <w:sz w:val="17"/>
          <w:szCs w:val="17"/>
        </w:rPr>
      </w:pPr>
      <w:r w:rsidRPr="00617967">
        <w:rPr>
          <w:rStyle w:val="EndnoteReference"/>
          <w:sz w:val="17"/>
          <w:szCs w:val="17"/>
        </w:rPr>
        <w:endnoteRef/>
      </w:r>
      <w:r w:rsidRPr="00617967">
        <w:rPr>
          <w:rStyle w:val="EndnoteReference"/>
          <w:sz w:val="17"/>
        </w:rPr>
        <w:t xml:space="preserve"> </w:t>
      </w:r>
      <w:r w:rsidRPr="00617967">
        <w:rPr>
          <w:sz w:val="17"/>
          <w:szCs w:val="17"/>
        </w:rPr>
        <w:t>A study by the Philippine Institute for Development Studies and the United Nations Children's Fund found that the proportion of out-of-school youth aged 5</w:t>
      </w:r>
      <w:r w:rsidRPr="00617967">
        <w:rPr>
          <w:sz w:val="17"/>
          <w:szCs w:val="17"/>
        </w:rPr>
        <w:noBreakHyphen/>
        <w:t>11 declined from 11.7 per</w:t>
      </w:r>
      <w:r>
        <w:rPr>
          <w:sz w:val="17"/>
          <w:szCs w:val="17"/>
        </w:rPr>
        <w:t xml:space="preserve"> </w:t>
      </w:r>
      <w:r w:rsidRPr="00617967">
        <w:rPr>
          <w:sz w:val="17"/>
          <w:szCs w:val="17"/>
        </w:rPr>
        <w:t>cent in 2008 to 5.2 per</w:t>
      </w:r>
      <w:r>
        <w:rPr>
          <w:sz w:val="17"/>
          <w:szCs w:val="17"/>
        </w:rPr>
        <w:t xml:space="preserve"> </w:t>
      </w:r>
      <w:r w:rsidRPr="00617967">
        <w:rPr>
          <w:sz w:val="17"/>
          <w:szCs w:val="17"/>
        </w:rPr>
        <w:t>cent in 2012. National Achievement Test results also increased by two percentage points for elementary students (from 68 per</w:t>
      </w:r>
      <w:r>
        <w:rPr>
          <w:sz w:val="17"/>
          <w:szCs w:val="17"/>
        </w:rPr>
        <w:t xml:space="preserve"> </w:t>
      </w:r>
      <w:r w:rsidRPr="00617967">
        <w:rPr>
          <w:sz w:val="17"/>
          <w:szCs w:val="17"/>
        </w:rPr>
        <w:t>cent in 2010 to 70 per</w:t>
      </w:r>
      <w:r>
        <w:rPr>
          <w:sz w:val="17"/>
          <w:szCs w:val="17"/>
        </w:rPr>
        <w:t xml:space="preserve"> </w:t>
      </w:r>
      <w:r w:rsidRPr="00617967">
        <w:rPr>
          <w:sz w:val="17"/>
          <w:szCs w:val="17"/>
        </w:rPr>
        <w:t>cent in 2013) and six percentage points for high school students (48 per</w:t>
      </w:r>
      <w:r>
        <w:rPr>
          <w:sz w:val="17"/>
          <w:szCs w:val="17"/>
        </w:rPr>
        <w:t xml:space="preserve"> </w:t>
      </w:r>
      <w:r w:rsidRPr="00617967">
        <w:rPr>
          <w:sz w:val="17"/>
          <w:szCs w:val="17"/>
        </w:rPr>
        <w:t>cent in 2010 to 54 per</w:t>
      </w:r>
      <w:r>
        <w:rPr>
          <w:sz w:val="17"/>
          <w:szCs w:val="17"/>
        </w:rPr>
        <w:t xml:space="preserve"> </w:t>
      </w:r>
      <w:r w:rsidRPr="00617967">
        <w:rPr>
          <w:sz w:val="17"/>
          <w:szCs w:val="17"/>
        </w:rPr>
        <w:t>cent in 2013). See: PIDS 2015, ‘PIDS and UNICEF study finds dwindling numbers of out-of-school children’, Philippine Institute for Development Studies, viewed 5 September 2015, &lt;http://www.pids.gov.ph/index2.php?pr=221&gt;; Department of Education 2015, K to 12 Basic Education Program Midterm Report, Department of Education, Pasig City.</w:t>
      </w:r>
    </w:p>
  </w:endnote>
  <w:endnote w:id="17">
    <w:p w14:paraId="7EB1FD96" w14:textId="7876110C" w:rsidR="00570CD6" w:rsidRPr="002D5F64" w:rsidRDefault="00570CD6">
      <w:pPr>
        <w:pStyle w:val="EndnoteText"/>
        <w:rPr>
          <w:sz w:val="17"/>
          <w:szCs w:val="17"/>
        </w:rPr>
      </w:pPr>
      <w:r w:rsidRPr="002D5F64">
        <w:rPr>
          <w:rStyle w:val="EndnoteReference"/>
          <w:sz w:val="17"/>
          <w:szCs w:val="17"/>
        </w:rPr>
        <w:endnoteRef/>
      </w:r>
      <w:r w:rsidRPr="002D5F64">
        <w:rPr>
          <w:sz w:val="17"/>
          <w:szCs w:val="17"/>
        </w:rPr>
        <w:t xml:space="preserve"> NDRRMC 2014, </w:t>
      </w:r>
      <w:r w:rsidRPr="002D5F64">
        <w:rPr>
          <w:i/>
          <w:sz w:val="17"/>
          <w:szCs w:val="17"/>
        </w:rPr>
        <w:t>SitRep No.27 re Effects of Typhoon “Ruby” (HAGUPIT)</w:t>
      </w:r>
      <w:r w:rsidRPr="002D5F64">
        <w:rPr>
          <w:sz w:val="17"/>
          <w:szCs w:val="17"/>
        </w:rPr>
        <w:t xml:space="preserve">, National Disaster Risk Reduction and Management Council, Quezon City; NDRRMC 2014, </w:t>
      </w:r>
      <w:r w:rsidRPr="002D5F64">
        <w:rPr>
          <w:i/>
          <w:sz w:val="17"/>
          <w:szCs w:val="17"/>
        </w:rPr>
        <w:t>FINAL Report re Effects of Typhoon “GLENDA” (RAMMASUN)</w:t>
      </w:r>
      <w:r w:rsidRPr="002D5F64">
        <w:rPr>
          <w:sz w:val="17"/>
          <w:szCs w:val="17"/>
        </w:rPr>
        <w:t>, National Disaster Risk Reduction and Management Council, Quezon City.</w:t>
      </w:r>
    </w:p>
  </w:endnote>
  <w:endnote w:id="18">
    <w:p w14:paraId="5386EFFF" w14:textId="248EE658" w:rsidR="00570CD6" w:rsidRPr="002D5F64" w:rsidRDefault="00570CD6">
      <w:pPr>
        <w:pStyle w:val="EndnoteText"/>
        <w:rPr>
          <w:sz w:val="17"/>
          <w:szCs w:val="17"/>
        </w:rPr>
      </w:pPr>
      <w:r w:rsidRPr="002D5F64">
        <w:rPr>
          <w:rStyle w:val="EndnoteReference"/>
          <w:sz w:val="17"/>
          <w:szCs w:val="17"/>
        </w:rPr>
        <w:endnoteRef/>
      </w:r>
      <w:r w:rsidRPr="002D5F64">
        <w:rPr>
          <w:sz w:val="17"/>
          <w:szCs w:val="17"/>
        </w:rPr>
        <w:t xml:space="preserve"> Government of the Philippines 2015, ‘[English] Benigno S. Aquino III, Sixth State </w:t>
      </w:r>
      <w:r>
        <w:rPr>
          <w:sz w:val="17"/>
          <w:szCs w:val="17"/>
        </w:rPr>
        <w:t>of the Nation Address, July 27, </w:t>
      </w:r>
      <w:r w:rsidRPr="002D5F64">
        <w:rPr>
          <w:sz w:val="17"/>
          <w:szCs w:val="17"/>
        </w:rPr>
        <w:t>2015’, Government of the Philippines, viewed 5 September 2015, &lt;http://www.gov.ph/2015/07/27/english-president-aquino-sixth-sona/&gt;.</w:t>
      </w:r>
    </w:p>
  </w:endnote>
  <w:endnote w:id="19">
    <w:p w14:paraId="50B6944C" w14:textId="77777777" w:rsidR="00570CD6" w:rsidRPr="002B2D2B" w:rsidRDefault="00570CD6" w:rsidP="007D52D5">
      <w:pPr>
        <w:pStyle w:val="EndnoteText"/>
        <w:rPr>
          <w:sz w:val="17"/>
          <w:szCs w:val="17"/>
        </w:rPr>
      </w:pPr>
      <w:r w:rsidRPr="002D5F64">
        <w:rPr>
          <w:rStyle w:val="EndnoteReference"/>
          <w:sz w:val="17"/>
          <w:szCs w:val="17"/>
        </w:rPr>
        <w:endnoteRef/>
      </w:r>
      <w:r w:rsidRPr="002D5F64">
        <w:rPr>
          <w:sz w:val="17"/>
          <w:szCs w:val="17"/>
        </w:rPr>
        <w:t xml:space="preserve"> Constantino-David 2007, as cited by Monsod in The Philippine Bureaucracy:  Incentive structures and implications </w:t>
      </w:r>
      <w:r w:rsidRPr="002B2D2B">
        <w:rPr>
          <w:sz w:val="17"/>
          <w:szCs w:val="17"/>
        </w:rPr>
        <w:t>for performance, Human Development Network, 2008/2009.</w:t>
      </w:r>
    </w:p>
  </w:endnote>
  <w:endnote w:id="20">
    <w:p w14:paraId="207EE18A" w14:textId="1C491895" w:rsidR="00570CD6" w:rsidRPr="002B2D2B" w:rsidRDefault="00570CD6">
      <w:pPr>
        <w:pStyle w:val="EndnoteText"/>
        <w:rPr>
          <w:sz w:val="17"/>
          <w:szCs w:val="17"/>
        </w:rPr>
      </w:pPr>
      <w:r w:rsidRPr="002B2D2B">
        <w:rPr>
          <w:rStyle w:val="EndnoteReference"/>
          <w:sz w:val="17"/>
          <w:szCs w:val="17"/>
        </w:rPr>
        <w:endnoteRef/>
      </w:r>
      <w:r>
        <w:rPr>
          <w:sz w:val="17"/>
          <w:szCs w:val="17"/>
        </w:rPr>
        <w:t xml:space="preserve"> </w:t>
      </w:r>
      <w:r w:rsidRPr="002B2D2B">
        <w:rPr>
          <w:sz w:val="17"/>
          <w:szCs w:val="17"/>
        </w:rPr>
        <w:t xml:space="preserve">NEDA </w:t>
      </w:r>
      <w:r>
        <w:rPr>
          <w:sz w:val="17"/>
          <w:szCs w:val="17"/>
        </w:rPr>
        <w:t>2015</w:t>
      </w:r>
      <w:r w:rsidRPr="002B2D2B">
        <w:rPr>
          <w:sz w:val="17"/>
          <w:szCs w:val="17"/>
        </w:rPr>
        <w:t xml:space="preserve">, </w:t>
      </w:r>
      <w:r w:rsidRPr="002B2D2B">
        <w:rPr>
          <w:i/>
          <w:sz w:val="17"/>
          <w:szCs w:val="17"/>
        </w:rPr>
        <w:t>CY 2014 ODA Portfolio Review</w:t>
      </w:r>
      <w:r w:rsidRPr="002B2D2B">
        <w:rPr>
          <w:sz w:val="17"/>
          <w:szCs w:val="17"/>
        </w:rPr>
        <w:t>, National Economic and Development Authority, Pasig City.</w:t>
      </w:r>
    </w:p>
  </w:endnote>
  <w:endnote w:id="21">
    <w:p w14:paraId="2ECFE9E2" w14:textId="4677DA3F" w:rsidR="00570CD6" w:rsidRPr="002B2D2B" w:rsidRDefault="00570CD6">
      <w:pPr>
        <w:pStyle w:val="EndnoteText"/>
        <w:rPr>
          <w:sz w:val="17"/>
          <w:szCs w:val="17"/>
        </w:rPr>
      </w:pPr>
      <w:r w:rsidRPr="002B2D2B">
        <w:rPr>
          <w:rStyle w:val="EndnoteReference"/>
          <w:sz w:val="17"/>
          <w:szCs w:val="17"/>
        </w:rPr>
        <w:endnoteRef/>
      </w:r>
      <w:r w:rsidRPr="002B2D2B">
        <w:rPr>
          <w:sz w:val="17"/>
          <w:szCs w:val="17"/>
        </w:rPr>
        <w:t xml:space="preserve"> DBM 2015, ‘The 2015 National Budget’, Department of Budget and Management, viewed 9 September 2015, &lt;http://www.dbm.gov.ph/?page_id=12475&gt;.</w:t>
      </w:r>
    </w:p>
  </w:endnote>
  <w:endnote w:id="22">
    <w:p w14:paraId="3D867AAB" w14:textId="6C889B94" w:rsidR="00570CD6" w:rsidRPr="002B2D2B" w:rsidRDefault="00570CD6">
      <w:pPr>
        <w:pStyle w:val="EndnoteText"/>
        <w:rPr>
          <w:sz w:val="17"/>
          <w:szCs w:val="17"/>
        </w:rPr>
      </w:pPr>
      <w:r w:rsidRPr="002B2D2B">
        <w:rPr>
          <w:rStyle w:val="EndnoteReference"/>
          <w:sz w:val="17"/>
          <w:szCs w:val="17"/>
        </w:rPr>
        <w:endnoteRef/>
      </w:r>
      <w:r w:rsidRPr="002B2D2B">
        <w:rPr>
          <w:rStyle w:val="EndnoteReference"/>
          <w:sz w:val="17"/>
          <w:szCs w:val="17"/>
        </w:rPr>
        <w:t xml:space="preserve"> </w:t>
      </w:r>
      <w:r w:rsidRPr="002B2D2B">
        <w:rPr>
          <w:sz w:val="17"/>
          <w:szCs w:val="17"/>
        </w:rPr>
        <w:t xml:space="preserve">JMNHP’s 2014-15 progress report highlights that maternal mortality rates decreased from 67.6 per 100,000 live births (LB) in 2013 to 64 per 100,000 LB in 2014; neonatal mortality rates decreased from 5.86 per 1,000 LB in 2013 to 5.32 per 1,000 LB in 2014; and contraceptive prevalence rates increased from 70% in 2013 to 76% in 2014. </w:t>
      </w:r>
    </w:p>
  </w:endnote>
  <w:endnote w:id="23">
    <w:p w14:paraId="5A755610" w14:textId="3A47D741" w:rsidR="00570CD6" w:rsidRPr="00A04025" w:rsidRDefault="00570CD6" w:rsidP="004B0868">
      <w:pPr>
        <w:pStyle w:val="EndnoteText"/>
        <w:rPr>
          <w:sz w:val="17"/>
          <w:szCs w:val="17"/>
        </w:rPr>
      </w:pPr>
      <w:r w:rsidRPr="002B2D2B">
        <w:rPr>
          <w:rStyle w:val="EndnoteReference"/>
          <w:sz w:val="17"/>
          <w:szCs w:val="17"/>
        </w:rPr>
        <w:endnoteRef/>
      </w:r>
      <w:r w:rsidRPr="002B2D2B">
        <w:rPr>
          <w:sz w:val="17"/>
          <w:szCs w:val="17"/>
        </w:rPr>
        <w:t xml:space="preserve"> The Economist Intelligence Unit 2015, </w:t>
      </w:r>
      <w:r w:rsidRPr="002B2D2B">
        <w:rPr>
          <w:i/>
          <w:sz w:val="17"/>
          <w:szCs w:val="17"/>
        </w:rPr>
        <w:t xml:space="preserve">Evaluating the environment for public private partnerships in Asia-Pacific - </w:t>
      </w:r>
      <w:r w:rsidRPr="00A04025">
        <w:rPr>
          <w:i/>
          <w:sz w:val="17"/>
          <w:szCs w:val="17"/>
        </w:rPr>
        <w:t>the 2014 Infrascope</w:t>
      </w:r>
      <w:r w:rsidRPr="00A04025">
        <w:rPr>
          <w:sz w:val="17"/>
          <w:szCs w:val="17"/>
        </w:rPr>
        <w:t>, The Economist Intelligence Unit, London.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47D4B" w14:textId="77777777" w:rsidR="00836ABA" w:rsidRDefault="00836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937857"/>
      <w:docPartObj>
        <w:docPartGallery w:val="Page Numbers (Bottom of Page)"/>
        <w:docPartUnique/>
      </w:docPartObj>
    </w:sdtPr>
    <w:sdtEndPr>
      <w:rPr>
        <w:noProof/>
      </w:rPr>
    </w:sdtEndPr>
    <w:sdtContent>
      <w:p w14:paraId="4F246E5D" w14:textId="77777777" w:rsidR="00570CD6" w:rsidRDefault="00570CD6">
        <w:pPr>
          <w:pStyle w:val="Footer"/>
          <w:jc w:val="center"/>
        </w:pPr>
        <w:r>
          <w:fldChar w:fldCharType="begin"/>
        </w:r>
        <w:r>
          <w:instrText xml:space="preserve"> PAGE   \* MERGEFORMAT </w:instrText>
        </w:r>
        <w:r>
          <w:fldChar w:fldCharType="separate"/>
        </w:r>
        <w:r w:rsidR="00836ABA">
          <w:rPr>
            <w:noProof/>
          </w:rPr>
          <w:t>24</w:t>
        </w:r>
        <w:r>
          <w:rPr>
            <w:noProof/>
          </w:rPr>
          <w:fldChar w:fldCharType="end"/>
        </w:r>
      </w:p>
    </w:sdtContent>
  </w:sdt>
  <w:p w14:paraId="43AABD87" w14:textId="77777777" w:rsidR="00570CD6" w:rsidRDefault="00570C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50865" w14:textId="77777777" w:rsidR="00836ABA" w:rsidRDefault="00836A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C91FE" w14:textId="77777777" w:rsidR="00570CD6" w:rsidRPr="004C4A3E" w:rsidRDefault="00570CD6"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5168" behindDoc="1" locked="1" layoutInCell="1" allowOverlap="1" wp14:anchorId="6D526ECA" wp14:editId="0E713811">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35C9B5" id="Rectangle 20" o:spid="_x0000_s1026" alt="AusAID web address graphic" style="position:absolute;margin-left:0;margin-top:671.9pt;width:581.1pt;height:17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836ABA">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836ABA">
      <w:rPr>
        <w:rFonts w:ascii="Franklin Gothic Medium" w:hAnsi="Franklin Gothic Medium"/>
        <w:noProof/>
        <w:color w:val="54534A"/>
        <w:sz w:val="14"/>
        <w:szCs w:val="14"/>
      </w:rPr>
      <w:t>20</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4144" behindDoc="1" locked="0" layoutInCell="1" allowOverlap="1" wp14:anchorId="2880A13E" wp14:editId="69B6A2C9">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64D118" id="Rectangle 21" o:spid="_x0000_s1026" alt="AusAID web address graphic" style="position:absolute;margin-left:0;margin-top:669.2pt;width:581.1pt;height:17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3120" behindDoc="1" locked="0" layoutInCell="1" allowOverlap="1" wp14:anchorId="1E8FDC01" wp14:editId="0FF7C3D2">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F6E485" id="Rectangle 22" o:spid="_x0000_s1026" alt="AusAID web address graphic" style="position:absolute;margin-left:0;margin-top:669.2pt;width:581.1pt;height:17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325B5" w14:textId="77777777" w:rsidR="00570CD6" w:rsidRPr="004C4A3E" w:rsidRDefault="00570CD6"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61312" behindDoc="1" locked="1" layoutInCell="1" allowOverlap="1" wp14:anchorId="2F1FFE45" wp14:editId="796A72A2">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6BBC43" id="Rectangle 6" o:spid="_x0000_s1026" alt="AusAID web address graphic" style="position:absolute;margin-left:0;margin-top:671.9pt;width:581.1pt;height:17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5</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60288" behindDoc="1" locked="0" layoutInCell="1" allowOverlap="1" wp14:anchorId="03BC9B54" wp14:editId="759F9D56">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4658B1" id="Rectangle 7" o:spid="_x0000_s1026" alt="AusAID web address graphic" style="position:absolute;margin-left:0;margin-top:669.2pt;width:581.1pt;height:17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9264" behindDoc="1" locked="0" layoutInCell="1" allowOverlap="1" wp14:anchorId="0763D273" wp14:editId="1B8D2FF7">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1A563D" id="Rectangle 8" o:spid="_x0000_s1026" alt="AusAID web address graphic" style="position:absolute;margin-left:0;margin-top:669.2pt;width:581.1pt;height:17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11179" w14:textId="77777777" w:rsidR="00570CD6" w:rsidRPr="004C4A3E" w:rsidRDefault="00570CD6"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8240" behindDoc="1" locked="1" layoutInCell="1" allowOverlap="1" wp14:anchorId="1275D453" wp14:editId="4D5F3377">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31BE88" id="Rectangle 3" o:spid="_x0000_s1026" alt="AusAID web address graphic" style="position:absolute;margin-left:0;margin-top:671.9pt;width:581.1pt;height:17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7216" behindDoc="1" locked="0" layoutInCell="1" allowOverlap="1" wp14:anchorId="584648BA" wp14:editId="1B60E203">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AB5B53" id="Rectangle 4" o:spid="_x0000_s1026" alt="AusAID web address graphic" style="position:absolute;margin-left:0;margin-top:669.2pt;width:581.1pt;height:1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6192" behindDoc="1" locked="0" layoutInCell="1" allowOverlap="1" wp14:anchorId="6ECB49C7" wp14:editId="07DA5C72">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D6AC15" id="Rectangle 5" o:spid="_x0000_s1026" alt="AusAID web address graphic" style="position:absolute;margin-left:0;margin-top:669.2pt;width:581.1pt;height:1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B1F07" w14:textId="77777777" w:rsidR="00570CD6" w:rsidRDefault="00570CD6" w:rsidP="0050529F">
      <w:r>
        <w:separator/>
      </w:r>
    </w:p>
    <w:p w14:paraId="59F22110" w14:textId="77777777" w:rsidR="00570CD6" w:rsidRDefault="00570CD6"/>
    <w:p w14:paraId="38EB54A1" w14:textId="77777777" w:rsidR="00570CD6" w:rsidRDefault="00570CD6"/>
    <w:p w14:paraId="371A7AF5" w14:textId="77777777" w:rsidR="00570CD6" w:rsidRDefault="00570CD6"/>
    <w:p w14:paraId="0DEBD403" w14:textId="77777777" w:rsidR="00570CD6" w:rsidRDefault="00570CD6"/>
    <w:p w14:paraId="2B3123C0" w14:textId="77777777" w:rsidR="00570CD6" w:rsidRDefault="00570CD6"/>
    <w:p w14:paraId="17353A1E" w14:textId="77777777" w:rsidR="00570CD6" w:rsidRDefault="00570CD6"/>
  </w:footnote>
  <w:footnote w:type="continuationSeparator" w:id="0">
    <w:p w14:paraId="4CC6D5FB" w14:textId="77777777" w:rsidR="00570CD6" w:rsidRDefault="00570CD6" w:rsidP="0050529F">
      <w:r>
        <w:continuationSeparator/>
      </w:r>
    </w:p>
    <w:p w14:paraId="030BD794" w14:textId="77777777" w:rsidR="00570CD6" w:rsidRDefault="00570CD6"/>
    <w:p w14:paraId="7859F0A0" w14:textId="77777777" w:rsidR="00570CD6" w:rsidRDefault="00570CD6"/>
    <w:p w14:paraId="2D711C3F" w14:textId="77777777" w:rsidR="00570CD6" w:rsidRDefault="00570CD6"/>
    <w:p w14:paraId="67555980" w14:textId="77777777" w:rsidR="00570CD6" w:rsidRDefault="00570CD6"/>
    <w:p w14:paraId="505781AE" w14:textId="77777777" w:rsidR="00570CD6" w:rsidRDefault="00570CD6"/>
    <w:p w14:paraId="4816C58E" w14:textId="77777777" w:rsidR="00570CD6" w:rsidRDefault="00570C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8A255" w14:textId="77777777" w:rsidR="00836ABA" w:rsidRDefault="00836A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75E40" w14:textId="14E2565B" w:rsidR="00570CD6" w:rsidRDefault="00570C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8F5C6" w14:textId="77777777" w:rsidR="00836ABA" w:rsidRDefault="00836A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8C90" w14:textId="77777777" w:rsidR="00570CD6" w:rsidRDefault="00570C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CBA8C" w14:textId="77777777" w:rsidR="00570CD6" w:rsidRDefault="00570C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3074B" w14:textId="77777777" w:rsidR="00570CD6" w:rsidRDefault="00570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1484DAC"/>
    <w:multiLevelType w:val="hybridMultilevel"/>
    <w:tmpl w:val="115C35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57A3C0E"/>
    <w:multiLevelType w:val="hybridMultilevel"/>
    <w:tmpl w:val="9DE28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8">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9">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3520A93"/>
    <w:multiLevelType w:val="hybridMultilevel"/>
    <w:tmpl w:val="CA187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6"/>
  </w:num>
  <w:num w:numId="4">
    <w:abstractNumId w:val="14"/>
  </w:num>
  <w:num w:numId="5">
    <w:abstractNumId w:val="13"/>
  </w:num>
  <w:num w:numId="6">
    <w:abstractNumId w:val="12"/>
  </w:num>
  <w:num w:numId="7">
    <w:abstractNumId w:val="19"/>
  </w:num>
  <w:num w:numId="8">
    <w:abstractNumId w:val="5"/>
  </w:num>
  <w:num w:numId="9">
    <w:abstractNumId w:val="8"/>
  </w:num>
  <w:num w:numId="10">
    <w:abstractNumId w:val="20"/>
  </w:num>
  <w:num w:numId="11">
    <w:abstractNumId w:val="21"/>
  </w:num>
  <w:num w:numId="12">
    <w:abstractNumId w:val="0"/>
  </w:num>
  <w:num w:numId="13">
    <w:abstractNumId w:val="4"/>
  </w:num>
  <w:num w:numId="14">
    <w:abstractNumId w:val="18"/>
  </w:num>
  <w:num w:numId="15">
    <w:abstractNumId w:val="1"/>
  </w:num>
  <w:num w:numId="16">
    <w:abstractNumId w:val="11"/>
  </w:num>
  <w:num w:numId="17">
    <w:abstractNumId w:val="9"/>
  </w:num>
  <w:num w:numId="18">
    <w:abstractNumId w:val="7"/>
  </w:num>
  <w:num w:numId="19">
    <w:abstractNumId w:val="2"/>
  </w:num>
  <w:num w:numId="20">
    <w:abstractNumId w:val="3"/>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16"/>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2C6"/>
    <w:rsid w:val="000004FF"/>
    <w:rsid w:val="00001911"/>
    <w:rsid w:val="00002161"/>
    <w:rsid w:val="0000242A"/>
    <w:rsid w:val="00002A92"/>
    <w:rsid w:val="00002B4F"/>
    <w:rsid w:val="00002E28"/>
    <w:rsid w:val="0000308F"/>
    <w:rsid w:val="000039CF"/>
    <w:rsid w:val="00004875"/>
    <w:rsid w:val="00004E18"/>
    <w:rsid w:val="00004F0F"/>
    <w:rsid w:val="00007832"/>
    <w:rsid w:val="00007E94"/>
    <w:rsid w:val="00010ADA"/>
    <w:rsid w:val="0001169F"/>
    <w:rsid w:val="00011B4A"/>
    <w:rsid w:val="000142A2"/>
    <w:rsid w:val="000143D9"/>
    <w:rsid w:val="00015062"/>
    <w:rsid w:val="0001554C"/>
    <w:rsid w:val="00016F6B"/>
    <w:rsid w:val="0001742E"/>
    <w:rsid w:val="00020121"/>
    <w:rsid w:val="000201A3"/>
    <w:rsid w:val="0002075D"/>
    <w:rsid w:val="000207B5"/>
    <w:rsid w:val="00021A9E"/>
    <w:rsid w:val="00022160"/>
    <w:rsid w:val="00027629"/>
    <w:rsid w:val="00027753"/>
    <w:rsid w:val="00027FB0"/>
    <w:rsid w:val="00030111"/>
    <w:rsid w:val="00031100"/>
    <w:rsid w:val="00031EB5"/>
    <w:rsid w:val="0003231A"/>
    <w:rsid w:val="000329BB"/>
    <w:rsid w:val="0003324F"/>
    <w:rsid w:val="0003336F"/>
    <w:rsid w:val="00033B21"/>
    <w:rsid w:val="0003497D"/>
    <w:rsid w:val="000357DF"/>
    <w:rsid w:val="00035B7C"/>
    <w:rsid w:val="00035C1E"/>
    <w:rsid w:val="0003613D"/>
    <w:rsid w:val="00036826"/>
    <w:rsid w:val="0004031E"/>
    <w:rsid w:val="00040AF6"/>
    <w:rsid w:val="0004170F"/>
    <w:rsid w:val="000423A9"/>
    <w:rsid w:val="000426DF"/>
    <w:rsid w:val="00042C89"/>
    <w:rsid w:val="0004571E"/>
    <w:rsid w:val="00045AB1"/>
    <w:rsid w:val="00046A84"/>
    <w:rsid w:val="000514E7"/>
    <w:rsid w:val="000516E2"/>
    <w:rsid w:val="000529AD"/>
    <w:rsid w:val="00053C1E"/>
    <w:rsid w:val="0005506B"/>
    <w:rsid w:val="000550B0"/>
    <w:rsid w:val="0005590E"/>
    <w:rsid w:val="00055BE1"/>
    <w:rsid w:val="00055E78"/>
    <w:rsid w:val="0005637C"/>
    <w:rsid w:val="00057589"/>
    <w:rsid w:val="0005768E"/>
    <w:rsid w:val="00057D09"/>
    <w:rsid w:val="00061CB9"/>
    <w:rsid w:val="00062309"/>
    <w:rsid w:val="00062341"/>
    <w:rsid w:val="00062C8A"/>
    <w:rsid w:val="000643F7"/>
    <w:rsid w:val="000658A5"/>
    <w:rsid w:val="00067C78"/>
    <w:rsid w:val="00070EE9"/>
    <w:rsid w:val="000712F8"/>
    <w:rsid w:val="0007149C"/>
    <w:rsid w:val="00071B95"/>
    <w:rsid w:val="0007395B"/>
    <w:rsid w:val="000745E2"/>
    <w:rsid w:val="00074640"/>
    <w:rsid w:val="00075FC0"/>
    <w:rsid w:val="00076123"/>
    <w:rsid w:val="000767E5"/>
    <w:rsid w:val="00076D88"/>
    <w:rsid w:val="0007703B"/>
    <w:rsid w:val="000774FD"/>
    <w:rsid w:val="000777C4"/>
    <w:rsid w:val="00080F8D"/>
    <w:rsid w:val="000818C0"/>
    <w:rsid w:val="00081F4E"/>
    <w:rsid w:val="00083015"/>
    <w:rsid w:val="000841DC"/>
    <w:rsid w:val="000842D5"/>
    <w:rsid w:val="000846F7"/>
    <w:rsid w:val="00085405"/>
    <w:rsid w:val="000862B7"/>
    <w:rsid w:val="00086C1C"/>
    <w:rsid w:val="000905A8"/>
    <w:rsid w:val="00091160"/>
    <w:rsid w:val="000912BB"/>
    <w:rsid w:val="00091878"/>
    <w:rsid w:val="00091C9B"/>
    <w:rsid w:val="0009277A"/>
    <w:rsid w:val="000927BF"/>
    <w:rsid w:val="000957FC"/>
    <w:rsid w:val="00095CF5"/>
    <w:rsid w:val="000979A0"/>
    <w:rsid w:val="00097B02"/>
    <w:rsid w:val="000A04AE"/>
    <w:rsid w:val="000A1618"/>
    <w:rsid w:val="000A176D"/>
    <w:rsid w:val="000A301B"/>
    <w:rsid w:val="000A3C19"/>
    <w:rsid w:val="000A4247"/>
    <w:rsid w:val="000A43FA"/>
    <w:rsid w:val="000A4B8E"/>
    <w:rsid w:val="000A714B"/>
    <w:rsid w:val="000B0391"/>
    <w:rsid w:val="000B0DBC"/>
    <w:rsid w:val="000B1C38"/>
    <w:rsid w:val="000B3121"/>
    <w:rsid w:val="000B56C9"/>
    <w:rsid w:val="000B5F80"/>
    <w:rsid w:val="000B6163"/>
    <w:rsid w:val="000B68F6"/>
    <w:rsid w:val="000B6BE5"/>
    <w:rsid w:val="000B6FEA"/>
    <w:rsid w:val="000B75E8"/>
    <w:rsid w:val="000C1D9D"/>
    <w:rsid w:val="000C258A"/>
    <w:rsid w:val="000C29BF"/>
    <w:rsid w:val="000C4053"/>
    <w:rsid w:val="000C4A7A"/>
    <w:rsid w:val="000C5853"/>
    <w:rsid w:val="000C6080"/>
    <w:rsid w:val="000C60A8"/>
    <w:rsid w:val="000C6B31"/>
    <w:rsid w:val="000C7673"/>
    <w:rsid w:val="000D018E"/>
    <w:rsid w:val="000D0662"/>
    <w:rsid w:val="000D0DCE"/>
    <w:rsid w:val="000D151B"/>
    <w:rsid w:val="000D1711"/>
    <w:rsid w:val="000D1993"/>
    <w:rsid w:val="000D2919"/>
    <w:rsid w:val="000D2CDD"/>
    <w:rsid w:val="000D3028"/>
    <w:rsid w:val="000D61C5"/>
    <w:rsid w:val="000D62B4"/>
    <w:rsid w:val="000D733F"/>
    <w:rsid w:val="000D7382"/>
    <w:rsid w:val="000D7952"/>
    <w:rsid w:val="000D7BB4"/>
    <w:rsid w:val="000E1E87"/>
    <w:rsid w:val="000E2FF7"/>
    <w:rsid w:val="000E4573"/>
    <w:rsid w:val="000E5000"/>
    <w:rsid w:val="000E5500"/>
    <w:rsid w:val="000E7297"/>
    <w:rsid w:val="000E7A8D"/>
    <w:rsid w:val="000F25CD"/>
    <w:rsid w:val="000F2783"/>
    <w:rsid w:val="000F2D94"/>
    <w:rsid w:val="000F5C28"/>
    <w:rsid w:val="000F706F"/>
    <w:rsid w:val="00100485"/>
    <w:rsid w:val="00100557"/>
    <w:rsid w:val="0010064F"/>
    <w:rsid w:val="001007E6"/>
    <w:rsid w:val="00100AA2"/>
    <w:rsid w:val="00100B1D"/>
    <w:rsid w:val="00103891"/>
    <w:rsid w:val="00103940"/>
    <w:rsid w:val="00103C73"/>
    <w:rsid w:val="00106185"/>
    <w:rsid w:val="00106A5B"/>
    <w:rsid w:val="00106B57"/>
    <w:rsid w:val="00106BDC"/>
    <w:rsid w:val="0010729C"/>
    <w:rsid w:val="001104E9"/>
    <w:rsid w:val="00110792"/>
    <w:rsid w:val="00110ECF"/>
    <w:rsid w:val="0011116F"/>
    <w:rsid w:val="00111FF9"/>
    <w:rsid w:val="00112E97"/>
    <w:rsid w:val="001139DE"/>
    <w:rsid w:val="00114751"/>
    <w:rsid w:val="001154CA"/>
    <w:rsid w:val="001158A9"/>
    <w:rsid w:val="00116D15"/>
    <w:rsid w:val="001171DE"/>
    <w:rsid w:val="00120C80"/>
    <w:rsid w:val="00120FC7"/>
    <w:rsid w:val="001216F0"/>
    <w:rsid w:val="00122038"/>
    <w:rsid w:val="00122096"/>
    <w:rsid w:val="00122299"/>
    <w:rsid w:val="001227C3"/>
    <w:rsid w:val="0012429A"/>
    <w:rsid w:val="00124DC7"/>
    <w:rsid w:val="00125002"/>
    <w:rsid w:val="001258C6"/>
    <w:rsid w:val="0012793C"/>
    <w:rsid w:val="00130C53"/>
    <w:rsid w:val="00131FF0"/>
    <w:rsid w:val="00132003"/>
    <w:rsid w:val="00132643"/>
    <w:rsid w:val="00133AAD"/>
    <w:rsid w:val="001343CD"/>
    <w:rsid w:val="001349B8"/>
    <w:rsid w:val="00135806"/>
    <w:rsid w:val="001366B4"/>
    <w:rsid w:val="00136CC1"/>
    <w:rsid w:val="001375E3"/>
    <w:rsid w:val="00140547"/>
    <w:rsid w:val="00140A8E"/>
    <w:rsid w:val="0014124C"/>
    <w:rsid w:val="00141A30"/>
    <w:rsid w:val="00143053"/>
    <w:rsid w:val="0014411B"/>
    <w:rsid w:val="001448E7"/>
    <w:rsid w:val="00144BC3"/>
    <w:rsid w:val="00144D23"/>
    <w:rsid w:val="00146F1B"/>
    <w:rsid w:val="00147846"/>
    <w:rsid w:val="00147A52"/>
    <w:rsid w:val="0015043E"/>
    <w:rsid w:val="001509DB"/>
    <w:rsid w:val="00150BA1"/>
    <w:rsid w:val="00151E96"/>
    <w:rsid w:val="00151FA1"/>
    <w:rsid w:val="00152DFD"/>
    <w:rsid w:val="001531DB"/>
    <w:rsid w:val="001547E2"/>
    <w:rsid w:val="00154EF9"/>
    <w:rsid w:val="001550A1"/>
    <w:rsid w:val="00157521"/>
    <w:rsid w:val="00157858"/>
    <w:rsid w:val="0016015F"/>
    <w:rsid w:val="001612CE"/>
    <w:rsid w:val="001624FB"/>
    <w:rsid w:val="00163A44"/>
    <w:rsid w:val="00163FB8"/>
    <w:rsid w:val="00164A48"/>
    <w:rsid w:val="0016544D"/>
    <w:rsid w:val="00165745"/>
    <w:rsid w:val="001657F1"/>
    <w:rsid w:val="00166986"/>
    <w:rsid w:val="00167331"/>
    <w:rsid w:val="0016740F"/>
    <w:rsid w:val="00170BF0"/>
    <w:rsid w:val="00171BB2"/>
    <w:rsid w:val="001724CC"/>
    <w:rsid w:val="0017315F"/>
    <w:rsid w:val="0017349F"/>
    <w:rsid w:val="00173C6E"/>
    <w:rsid w:val="00175E4C"/>
    <w:rsid w:val="00176E40"/>
    <w:rsid w:val="001772FD"/>
    <w:rsid w:val="00177FF9"/>
    <w:rsid w:val="00180B19"/>
    <w:rsid w:val="00180E55"/>
    <w:rsid w:val="00180F3A"/>
    <w:rsid w:val="0018196F"/>
    <w:rsid w:val="0018272C"/>
    <w:rsid w:val="001829BB"/>
    <w:rsid w:val="0018305E"/>
    <w:rsid w:val="0018353A"/>
    <w:rsid w:val="00184946"/>
    <w:rsid w:val="00191CF6"/>
    <w:rsid w:val="00192498"/>
    <w:rsid w:val="001939A2"/>
    <w:rsid w:val="001943B6"/>
    <w:rsid w:val="00194806"/>
    <w:rsid w:val="00195C14"/>
    <w:rsid w:val="001A04FE"/>
    <w:rsid w:val="001A0C8C"/>
    <w:rsid w:val="001A1F87"/>
    <w:rsid w:val="001A24FB"/>
    <w:rsid w:val="001A2586"/>
    <w:rsid w:val="001A3213"/>
    <w:rsid w:val="001A374B"/>
    <w:rsid w:val="001A4B54"/>
    <w:rsid w:val="001A5891"/>
    <w:rsid w:val="001A649A"/>
    <w:rsid w:val="001A6B7C"/>
    <w:rsid w:val="001A6BA5"/>
    <w:rsid w:val="001B0621"/>
    <w:rsid w:val="001B11B8"/>
    <w:rsid w:val="001B1A0C"/>
    <w:rsid w:val="001B1A55"/>
    <w:rsid w:val="001B1F6F"/>
    <w:rsid w:val="001B2948"/>
    <w:rsid w:val="001B41CD"/>
    <w:rsid w:val="001B4D66"/>
    <w:rsid w:val="001B69E1"/>
    <w:rsid w:val="001B714C"/>
    <w:rsid w:val="001C1EA0"/>
    <w:rsid w:val="001C2248"/>
    <w:rsid w:val="001C31B9"/>
    <w:rsid w:val="001C507E"/>
    <w:rsid w:val="001C5960"/>
    <w:rsid w:val="001C5BE6"/>
    <w:rsid w:val="001C700E"/>
    <w:rsid w:val="001C7117"/>
    <w:rsid w:val="001C745A"/>
    <w:rsid w:val="001C7DDD"/>
    <w:rsid w:val="001D20FC"/>
    <w:rsid w:val="001D210A"/>
    <w:rsid w:val="001D3F03"/>
    <w:rsid w:val="001D44EF"/>
    <w:rsid w:val="001D4EDE"/>
    <w:rsid w:val="001D5096"/>
    <w:rsid w:val="001D6059"/>
    <w:rsid w:val="001D6515"/>
    <w:rsid w:val="001D7E98"/>
    <w:rsid w:val="001E19EA"/>
    <w:rsid w:val="001E289B"/>
    <w:rsid w:val="001E28E1"/>
    <w:rsid w:val="001E3EFB"/>
    <w:rsid w:val="001E4BDE"/>
    <w:rsid w:val="001E6527"/>
    <w:rsid w:val="001E6635"/>
    <w:rsid w:val="001E6C02"/>
    <w:rsid w:val="001E6DF3"/>
    <w:rsid w:val="001E7687"/>
    <w:rsid w:val="001F12A2"/>
    <w:rsid w:val="001F5CB1"/>
    <w:rsid w:val="001F5D9D"/>
    <w:rsid w:val="001F61A8"/>
    <w:rsid w:val="001F7480"/>
    <w:rsid w:val="002004FA"/>
    <w:rsid w:val="00201174"/>
    <w:rsid w:val="00202880"/>
    <w:rsid w:val="00202E4E"/>
    <w:rsid w:val="00203189"/>
    <w:rsid w:val="00203BCC"/>
    <w:rsid w:val="002043C6"/>
    <w:rsid w:val="00205E0B"/>
    <w:rsid w:val="00205F2B"/>
    <w:rsid w:val="00206FC4"/>
    <w:rsid w:val="00207845"/>
    <w:rsid w:val="00207F34"/>
    <w:rsid w:val="002115BD"/>
    <w:rsid w:val="002126BA"/>
    <w:rsid w:val="0021278D"/>
    <w:rsid w:val="00212B27"/>
    <w:rsid w:val="002131EE"/>
    <w:rsid w:val="00214FE1"/>
    <w:rsid w:val="0021515C"/>
    <w:rsid w:val="00215E39"/>
    <w:rsid w:val="00216514"/>
    <w:rsid w:val="00217D9A"/>
    <w:rsid w:val="002227A9"/>
    <w:rsid w:val="00222E85"/>
    <w:rsid w:val="00223901"/>
    <w:rsid w:val="00223B30"/>
    <w:rsid w:val="00226DEE"/>
    <w:rsid w:val="00230C93"/>
    <w:rsid w:val="00231D45"/>
    <w:rsid w:val="00232731"/>
    <w:rsid w:val="002335A9"/>
    <w:rsid w:val="002343CF"/>
    <w:rsid w:val="0023497E"/>
    <w:rsid w:val="00234E49"/>
    <w:rsid w:val="00235D29"/>
    <w:rsid w:val="002363D9"/>
    <w:rsid w:val="00236B8C"/>
    <w:rsid w:val="00236E9F"/>
    <w:rsid w:val="00236EE5"/>
    <w:rsid w:val="002373C6"/>
    <w:rsid w:val="00237C4B"/>
    <w:rsid w:val="00237D0A"/>
    <w:rsid w:val="0024009A"/>
    <w:rsid w:val="00240D59"/>
    <w:rsid w:val="00241F57"/>
    <w:rsid w:val="00242745"/>
    <w:rsid w:val="00242C0A"/>
    <w:rsid w:val="0024332A"/>
    <w:rsid w:val="002436EA"/>
    <w:rsid w:val="002441D5"/>
    <w:rsid w:val="002445C6"/>
    <w:rsid w:val="00246416"/>
    <w:rsid w:val="00246E5F"/>
    <w:rsid w:val="00247200"/>
    <w:rsid w:val="00250A8D"/>
    <w:rsid w:val="00254374"/>
    <w:rsid w:val="0025531B"/>
    <w:rsid w:val="00255C91"/>
    <w:rsid w:val="00256C19"/>
    <w:rsid w:val="00256F66"/>
    <w:rsid w:val="0026019D"/>
    <w:rsid w:val="0026045A"/>
    <w:rsid w:val="00261090"/>
    <w:rsid w:val="00261407"/>
    <w:rsid w:val="00261E78"/>
    <w:rsid w:val="00262D12"/>
    <w:rsid w:val="00263F5F"/>
    <w:rsid w:val="00264542"/>
    <w:rsid w:val="002660AA"/>
    <w:rsid w:val="00266B34"/>
    <w:rsid w:val="00270898"/>
    <w:rsid w:val="00271552"/>
    <w:rsid w:val="00271901"/>
    <w:rsid w:val="002726F7"/>
    <w:rsid w:val="00272AF0"/>
    <w:rsid w:val="00272C7B"/>
    <w:rsid w:val="00273238"/>
    <w:rsid w:val="00273C6F"/>
    <w:rsid w:val="00275C42"/>
    <w:rsid w:val="00277183"/>
    <w:rsid w:val="00282FEF"/>
    <w:rsid w:val="0028392F"/>
    <w:rsid w:val="002849B4"/>
    <w:rsid w:val="00290315"/>
    <w:rsid w:val="00290C09"/>
    <w:rsid w:val="002911A4"/>
    <w:rsid w:val="002917F0"/>
    <w:rsid w:val="00291F1C"/>
    <w:rsid w:val="002920C2"/>
    <w:rsid w:val="00292C3C"/>
    <w:rsid w:val="00294022"/>
    <w:rsid w:val="00295389"/>
    <w:rsid w:val="002967CA"/>
    <w:rsid w:val="00297FA7"/>
    <w:rsid w:val="002A1412"/>
    <w:rsid w:val="002A15F4"/>
    <w:rsid w:val="002A1625"/>
    <w:rsid w:val="002A1935"/>
    <w:rsid w:val="002A1A79"/>
    <w:rsid w:val="002A21D1"/>
    <w:rsid w:val="002A22F7"/>
    <w:rsid w:val="002A2EE3"/>
    <w:rsid w:val="002A2FEA"/>
    <w:rsid w:val="002A449A"/>
    <w:rsid w:val="002A4D70"/>
    <w:rsid w:val="002A517F"/>
    <w:rsid w:val="002A5C96"/>
    <w:rsid w:val="002A6BF0"/>
    <w:rsid w:val="002A7F95"/>
    <w:rsid w:val="002B0181"/>
    <w:rsid w:val="002B1CB1"/>
    <w:rsid w:val="002B1F66"/>
    <w:rsid w:val="002B2AC5"/>
    <w:rsid w:val="002B2D2B"/>
    <w:rsid w:val="002B31B3"/>
    <w:rsid w:val="002B3F88"/>
    <w:rsid w:val="002B433A"/>
    <w:rsid w:val="002B53AB"/>
    <w:rsid w:val="002B5401"/>
    <w:rsid w:val="002B60BA"/>
    <w:rsid w:val="002B61A8"/>
    <w:rsid w:val="002B6EBE"/>
    <w:rsid w:val="002B79D4"/>
    <w:rsid w:val="002B7AE8"/>
    <w:rsid w:val="002C1E00"/>
    <w:rsid w:val="002C3358"/>
    <w:rsid w:val="002C5722"/>
    <w:rsid w:val="002C5EF9"/>
    <w:rsid w:val="002C639B"/>
    <w:rsid w:val="002C748A"/>
    <w:rsid w:val="002C7722"/>
    <w:rsid w:val="002C7CC1"/>
    <w:rsid w:val="002D1328"/>
    <w:rsid w:val="002D1482"/>
    <w:rsid w:val="002D2ED2"/>
    <w:rsid w:val="002D3D5B"/>
    <w:rsid w:val="002D55E7"/>
    <w:rsid w:val="002D5D7B"/>
    <w:rsid w:val="002D5F64"/>
    <w:rsid w:val="002D5FE9"/>
    <w:rsid w:val="002D6914"/>
    <w:rsid w:val="002D6DF0"/>
    <w:rsid w:val="002D7FFA"/>
    <w:rsid w:val="002E1454"/>
    <w:rsid w:val="002E2699"/>
    <w:rsid w:val="002E3942"/>
    <w:rsid w:val="002E3B38"/>
    <w:rsid w:val="002E505E"/>
    <w:rsid w:val="002E50AD"/>
    <w:rsid w:val="002E55EA"/>
    <w:rsid w:val="002E5604"/>
    <w:rsid w:val="002E5F40"/>
    <w:rsid w:val="002E7097"/>
    <w:rsid w:val="002E75AB"/>
    <w:rsid w:val="002F0CE9"/>
    <w:rsid w:val="002F0D04"/>
    <w:rsid w:val="002F1872"/>
    <w:rsid w:val="002F2A5C"/>
    <w:rsid w:val="002F2AB0"/>
    <w:rsid w:val="002F2E20"/>
    <w:rsid w:val="002F479A"/>
    <w:rsid w:val="002F4BE1"/>
    <w:rsid w:val="002F4FBF"/>
    <w:rsid w:val="002F54F3"/>
    <w:rsid w:val="002F5A14"/>
    <w:rsid w:val="002F6768"/>
    <w:rsid w:val="002F6CD5"/>
    <w:rsid w:val="00301CDE"/>
    <w:rsid w:val="00303038"/>
    <w:rsid w:val="0030306D"/>
    <w:rsid w:val="0030318A"/>
    <w:rsid w:val="0030391A"/>
    <w:rsid w:val="00306734"/>
    <w:rsid w:val="00307040"/>
    <w:rsid w:val="00307CDD"/>
    <w:rsid w:val="00310077"/>
    <w:rsid w:val="00310426"/>
    <w:rsid w:val="00310974"/>
    <w:rsid w:val="00310B21"/>
    <w:rsid w:val="003114F3"/>
    <w:rsid w:val="00313A71"/>
    <w:rsid w:val="00313E45"/>
    <w:rsid w:val="00315135"/>
    <w:rsid w:val="00315D13"/>
    <w:rsid w:val="00315E39"/>
    <w:rsid w:val="0031673B"/>
    <w:rsid w:val="003167E5"/>
    <w:rsid w:val="003176C5"/>
    <w:rsid w:val="003178FB"/>
    <w:rsid w:val="003201BD"/>
    <w:rsid w:val="00320FCE"/>
    <w:rsid w:val="00321225"/>
    <w:rsid w:val="00321A88"/>
    <w:rsid w:val="00322333"/>
    <w:rsid w:val="003223F8"/>
    <w:rsid w:val="0032292A"/>
    <w:rsid w:val="00322D92"/>
    <w:rsid w:val="003230AF"/>
    <w:rsid w:val="0032320B"/>
    <w:rsid w:val="00323A78"/>
    <w:rsid w:val="0032486D"/>
    <w:rsid w:val="00324B89"/>
    <w:rsid w:val="00325C71"/>
    <w:rsid w:val="003260C0"/>
    <w:rsid w:val="00326158"/>
    <w:rsid w:val="0032639D"/>
    <w:rsid w:val="003266E1"/>
    <w:rsid w:val="00326B5A"/>
    <w:rsid w:val="003275D0"/>
    <w:rsid w:val="003279FD"/>
    <w:rsid w:val="00327D80"/>
    <w:rsid w:val="00327DC0"/>
    <w:rsid w:val="003305E3"/>
    <w:rsid w:val="00331B64"/>
    <w:rsid w:val="003326BE"/>
    <w:rsid w:val="003327F8"/>
    <w:rsid w:val="00333CE2"/>
    <w:rsid w:val="00335F19"/>
    <w:rsid w:val="003363C7"/>
    <w:rsid w:val="003364C2"/>
    <w:rsid w:val="0033739E"/>
    <w:rsid w:val="00337B87"/>
    <w:rsid w:val="0034097D"/>
    <w:rsid w:val="00340EFB"/>
    <w:rsid w:val="00341177"/>
    <w:rsid w:val="003411AA"/>
    <w:rsid w:val="00341311"/>
    <w:rsid w:val="00341B98"/>
    <w:rsid w:val="00342BF7"/>
    <w:rsid w:val="003439DD"/>
    <w:rsid w:val="00343B25"/>
    <w:rsid w:val="00345B8E"/>
    <w:rsid w:val="00346C2F"/>
    <w:rsid w:val="00347869"/>
    <w:rsid w:val="00347F91"/>
    <w:rsid w:val="00351ACA"/>
    <w:rsid w:val="00352AE5"/>
    <w:rsid w:val="003540C9"/>
    <w:rsid w:val="00356AB8"/>
    <w:rsid w:val="00357648"/>
    <w:rsid w:val="0035793A"/>
    <w:rsid w:val="00357AF7"/>
    <w:rsid w:val="00357F1B"/>
    <w:rsid w:val="00360662"/>
    <w:rsid w:val="00361313"/>
    <w:rsid w:val="003645C1"/>
    <w:rsid w:val="003663DC"/>
    <w:rsid w:val="00370C37"/>
    <w:rsid w:val="00370E3C"/>
    <w:rsid w:val="003710B3"/>
    <w:rsid w:val="003714C5"/>
    <w:rsid w:val="00371DA0"/>
    <w:rsid w:val="00371F53"/>
    <w:rsid w:val="00372D2E"/>
    <w:rsid w:val="00372E1B"/>
    <w:rsid w:val="00373B9C"/>
    <w:rsid w:val="003743C8"/>
    <w:rsid w:val="00374602"/>
    <w:rsid w:val="0037647D"/>
    <w:rsid w:val="00380866"/>
    <w:rsid w:val="00380CFD"/>
    <w:rsid w:val="00381445"/>
    <w:rsid w:val="00383294"/>
    <w:rsid w:val="00383B0A"/>
    <w:rsid w:val="00383F3F"/>
    <w:rsid w:val="00384342"/>
    <w:rsid w:val="003849ED"/>
    <w:rsid w:val="00385A4C"/>
    <w:rsid w:val="00387143"/>
    <w:rsid w:val="00390074"/>
    <w:rsid w:val="00390389"/>
    <w:rsid w:val="00390E5C"/>
    <w:rsid w:val="00391AE9"/>
    <w:rsid w:val="003928F1"/>
    <w:rsid w:val="00392981"/>
    <w:rsid w:val="00393664"/>
    <w:rsid w:val="00395CFA"/>
    <w:rsid w:val="003A0C5F"/>
    <w:rsid w:val="003A16B3"/>
    <w:rsid w:val="003A2059"/>
    <w:rsid w:val="003A27D2"/>
    <w:rsid w:val="003A2D7B"/>
    <w:rsid w:val="003A2E3D"/>
    <w:rsid w:val="003A344F"/>
    <w:rsid w:val="003A3C98"/>
    <w:rsid w:val="003A4B44"/>
    <w:rsid w:val="003A5D09"/>
    <w:rsid w:val="003A7291"/>
    <w:rsid w:val="003A74BF"/>
    <w:rsid w:val="003B122C"/>
    <w:rsid w:val="003B2756"/>
    <w:rsid w:val="003B335E"/>
    <w:rsid w:val="003B412F"/>
    <w:rsid w:val="003B42AE"/>
    <w:rsid w:val="003B523C"/>
    <w:rsid w:val="003B558D"/>
    <w:rsid w:val="003B5CF5"/>
    <w:rsid w:val="003B5F7E"/>
    <w:rsid w:val="003B67B6"/>
    <w:rsid w:val="003C10F9"/>
    <w:rsid w:val="003C161B"/>
    <w:rsid w:val="003C18AD"/>
    <w:rsid w:val="003C1FF5"/>
    <w:rsid w:val="003C288C"/>
    <w:rsid w:val="003C2B03"/>
    <w:rsid w:val="003C31EE"/>
    <w:rsid w:val="003C597A"/>
    <w:rsid w:val="003C5DA6"/>
    <w:rsid w:val="003C7721"/>
    <w:rsid w:val="003D081D"/>
    <w:rsid w:val="003D088F"/>
    <w:rsid w:val="003D0EE4"/>
    <w:rsid w:val="003D2339"/>
    <w:rsid w:val="003D2E2F"/>
    <w:rsid w:val="003D44F4"/>
    <w:rsid w:val="003D6043"/>
    <w:rsid w:val="003D65EC"/>
    <w:rsid w:val="003D747E"/>
    <w:rsid w:val="003D76C8"/>
    <w:rsid w:val="003E0E66"/>
    <w:rsid w:val="003E237E"/>
    <w:rsid w:val="003E4982"/>
    <w:rsid w:val="003E4AE5"/>
    <w:rsid w:val="003E63B3"/>
    <w:rsid w:val="003E6962"/>
    <w:rsid w:val="003E6E05"/>
    <w:rsid w:val="003E73C8"/>
    <w:rsid w:val="003E7AA9"/>
    <w:rsid w:val="003F2839"/>
    <w:rsid w:val="003F2AA8"/>
    <w:rsid w:val="003F2F13"/>
    <w:rsid w:val="003F6921"/>
    <w:rsid w:val="00400D93"/>
    <w:rsid w:val="00403152"/>
    <w:rsid w:val="00403AAA"/>
    <w:rsid w:val="00405831"/>
    <w:rsid w:val="0040595C"/>
    <w:rsid w:val="00405CC1"/>
    <w:rsid w:val="00406000"/>
    <w:rsid w:val="00406952"/>
    <w:rsid w:val="00410742"/>
    <w:rsid w:val="00410BD5"/>
    <w:rsid w:val="00410E39"/>
    <w:rsid w:val="00412707"/>
    <w:rsid w:val="00412956"/>
    <w:rsid w:val="00413053"/>
    <w:rsid w:val="00413539"/>
    <w:rsid w:val="0041396D"/>
    <w:rsid w:val="004139BD"/>
    <w:rsid w:val="00413AD5"/>
    <w:rsid w:val="00414A77"/>
    <w:rsid w:val="00414B48"/>
    <w:rsid w:val="0041589D"/>
    <w:rsid w:val="00415A92"/>
    <w:rsid w:val="00415E2F"/>
    <w:rsid w:val="00415E4E"/>
    <w:rsid w:val="00416B02"/>
    <w:rsid w:val="0041730D"/>
    <w:rsid w:val="00420E02"/>
    <w:rsid w:val="0042147D"/>
    <w:rsid w:val="004228CD"/>
    <w:rsid w:val="0042527A"/>
    <w:rsid w:val="00426354"/>
    <w:rsid w:val="00426E09"/>
    <w:rsid w:val="004272C7"/>
    <w:rsid w:val="00427315"/>
    <w:rsid w:val="00427532"/>
    <w:rsid w:val="00427F41"/>
    <w:rsid w:val="004309E9"/>
    <w:rsid w:val="00433781"/>
    <w:rsid w:val="00436BA1"/>
    <w:rsid w:val="00437C95"/>
    <w:rsid w:val="00440B31"/>
    <w:rsid w:val="00440CF7"/>
    <w:rsid w:val="00440EBC"/>
    <w:rsid w:val="00441E77"/>
    <w:rsid w:val="00443639"/>
    <w:rsid w:val="004450BD"/>
    <w:rsid w:val="004453CE"/>
    <w:rsid w:val="00445A3B"/>
    <w:rsid w:val="00445C4E"/>
    <w:rsid w:val="00445FE0"/>
    <w:rsid w:val="00446742"/>
    <w:rsid w:val="00451A9F"/>
    <w:rsid w:val="0045475F"/>
    <w:rsid w:val="0045575B"/>
    <w:rsid w:val="0045669C"/>
    <w:rsid w:val="004578D6"/>
    <w:rsid w:val="00460913"/>
    <w:rsid w:val="00462000"/>
    <w:rsid w:val="004631C1"/>
    <w:rsid w:val="00463991"/>
    <w:rsid w:val="00464B33"/>
    <w:rsid w:val="00465508"/>
    <w:rsid w:val="00466BE6"/>
    <w:rsid w:val="00466C98"/>
    <w:rsid w:val="00467C3F"/>
    <w:rsid w:val="00467CE4"/>
    <w:rsid w:val="00467E6A"/>
    <w:rsid w:val="00472937"/>
    <w:rsid w:val="00473CE2"/>
    <w:rsid w:val="00474F91"/>
    <w:rsid w:val="00476C0A"/>
    <w:rsid w:val="004770AF"/>
    <w:rsid w:val="0047710F"/>
    <w:rsid w:val="00481777"/>
    <w:rsid w:val="0048204A"/>
    <w:rsid w:val="00482E76"/>
    <w:rsid w:val="0048469F"/>
    <w:rsid w:val="00487DF6"/>
    <w:rsid w:val="00490607"/>
    <w:rsid w:val="004908F0"/>
    <w:rsid w:val="00490BDE"/>
    <w:rsid w:val="00490D05"/>
    <w:rsid w:val="004933A0"/>
    <w:rsid w:val="00493CB9"/>
    <w:rsid w:val="00494504"/>
    <w:rsid w:val="004945D8"/>
    <w:rsid w:val="004947A0"/>
    <w:rsid w:val="004957EC"/>
    <w:rsid w:val="00495992"/>
    <w:rsid w:val="00495CDC"/>
    <w:rsid w:val="00496618"/>
    <w:rsid w:val="00496F8D"/>
    <w:rsid w:val="004A0517"/>
    <w:rsid w:val="004A07E8"/>
    <w:rsid w:val="004A1161"/>
    <w:rsid w:val="004A14CA"/>
    <w:rsid w:val="004A2D8E"/>
    <w:rsid w:val="004A2EC3"/>
    <w:rsid w:val="004A514B"/>
    <w:rsid w:val="004A5165"/>
    <w:rsid w:val="004A568F"/>
    <w:rsid w:val="004A63EA"/>
    <w:rsid w:val="004A7400"/>
    <w:rsid w:val="004A7988"/>
    <w:rsid w:val="004A7AC6"/>
    <w:rsid w:val="004B03F8"/>
    <w:rsid w:val="004B0868"/>
    <w:rsid w:val="004B201A"/>
    <w:rsid w:val="004B3432"/>
    <w:rsid w:val="004B34F1"/>
    <w:rsid w:val="004B41B9"/>
    <w:rsid w:val="004B4A44"/>
    <w:rsid w:val="004B5BD8"/>
    <w:rsid w:val="004B64F3"/>
    <w:rsid w:val="004B7762"/>
    <w:rsid w:val="004C0136"/>
    <w:rsid w:val="004C0ECB"/>
    <w:rsid w:val="004C22B5"/>
    <w:rsid w:val="004C33EA"/>
    <w:rsid w:val="004C36CF"/>
    <w:rsid w:val="004C4A3E"/>
    <w:rsid w:val="004C4E2B"/>
    <w:rsid w:val="004C59EA"/>
    <w:rsid w:val="004C64A3"/>
    <w:rsid w:val="004C65C6"/>
    <w:rsid w:val="004C660D"/>
    <w:rsid w:val="004C7B83"/>
    <w:rsid w:val="004C7E92"/>
    <w:rsid w:val="004D0699"/>
    <w:rsid w:val="004D1529"/>
    <w:rsid w:val="004D19CE"/>
    <w:rsid w:val="004D23F6"/>
    <w:rsid w:val="004D2ED0"/>
    <w:rsid w:val="004D318B"/>
    <w:rsid w:val="004D4522"/>
    <w:rsid w:val="004D48F8"/>
    <w:rsid w:val="004D740B"/>
    <w:rsid w:val="004E01E9"/>
    <w:rsid w:val="004E1CFC"/>
    <w:rsid w:val="004E1D88"/>
    <w:rsid w:val="004E3E40"/>
    <w:rsid w:val="004E4A74"/>
    <w:rsid w:val="004E570D"/>
    <w:rsid w:val="004E6400"/>
    <w:rsid w:val="004E642E"/>
    <w:rsid w:val="004E6791"/>
    <w:rsid w:val="004E68F3"/>
    <w:rsid w:val="004E6924"/>
    <w:rsid w:val="004E6A61"/>
    <w:rsid w:val="004E6D4C"/>
    <w:rsid w:val="004E6E33"/>
    <w:rsid w:val="004E702A"/>
    <w:rsid w:val="004E7975"/>
    <w:rsid w:val="004F0C2D"/>
    <w:rsid w:val="004F3A3E"/>
    <w:rsid w:val="004F3BFB"/>
    <w:rsid w:val="004F3D7E"/>
    <w:rsid w:val="004F4630"/>
    <w:rsid w:val="004F521E"/>
    <w:rsid w:val="004F6FEE"/>
    <w:rsid w:val="004F7A1B"/>
    <w:rsid w:val="00500EB4"/>
    <w:rsid w:val="00501CD2"/>
    <w:rsid w:val="00502046"/>
    <w:rsid w:val="00503974"/>
    <w:rsid w:val="0050439B"/>
    <w:rsid w:val="0050529F"/>
    <w:rsid w:val="00506233"/>
    <w:rsid w:val="00506372"/>
    <w:rsid w:val="00506A51"/>
    <w:rsid w:val="005110C3"/>
    <w:rsid w:val="00511602"/>
    <w:rsid w:val="00511A0F"/>
    <w:rsid w:val="005144EB"/>
    <w:rsid w:val="00514951"/>
    <w:rsid w:val="00514B5E"/>
    <w:rsid w:val="00514DA9"/>
    <w:rsid w:val="005157C1"/>
    <w:rsid w:val="00515954"/>
    <w:rsid w:val="00515B83"/>
    <w:rsid w:val="00515C07"/>
    <w:rsid w:val="00515D70"/>
    <w:rsid w:val="00515E3D"/>
    <w:rsid w:val="00516D93"/>
    <w:rsid w:val="00517FD0"/>
    <w:rsid w:val="00520032"/>
    <w:rsid w:val="005208AC"/>
    <w:rsid w:val="0052286C"/>
    <w:rsid w:val="00522AB9"/>
    <w:rsid w:val="005235E7"/>
    <w:rsid w:val="00525F2C"/>
    <w:rsid w:val="005265B9"/>
    <w:rsid w:val="005279B5"/>
    <w:rsid w:val="005307E8"/>
    <w:rsid w:val="00530BF2"/>
    <w:rsid w:val="0053175E"/>
    <w:rsid w:val="00533533"/>
    <w:rsid w:val="00534CCB"/>
    <w:rsid w:val="00535C99"/>
    <w:rsid w:val="00535E24"/>
    <w:rsid w:val="00536171"/>
    <w:rsid w:val="005377C0"/>
    <w:rsid w:val="00537E02"/>
    <w:rsid w:val="00542718"/>
    <w:rsid w:val="00543224"/>
    <w:rsid w:val="005440F6"/>
    <w:rsid w:val="00544109"/>
    <w:rsid w:val="00544CCD"/>
    <w:rsid w:val="005454A7"/>
    <w:rsid w:val="0054557A"/>
    <w:rsid w:val="005457C8"/>
    <w:rsid w:val="00546DD6"/>
    <w:rsid w:val="00547869"/>
    <w:rsid w:val="0055013B"/>
    <w:rsid w:val="00550A42"/>
    <w:rsid w:val="005515AF"/>
    <w:rsid w:val="0055172C"/>
    <w:rsid w:val="0055516F"/>
    <w:rsid w:val="0055569F"/>
    <w:rsid w:val="00556628"/>
    <w:rsid w:val="005570DC"/>
    <w:rsid w:val="0055771D"/>
    <w:rsid w:val="00560008"/>
    <w:rsid w:val="005609B0"/>
    <w:rsid w:val="00560D15"/>
    <w:rsid w:val="00563310"/>
    <w:rsid w:val="0056371F"/>
    <w:rsid w:val="00563BCF"/>
    <w:rsid w:val="00565055"/>
    <w:rsid w:val="00565635"/>
    <w:rsid w:val="00567417"/>
    <w:rsid w:val="005676D4"/>
    <w:rsid w:val="005679AD"/>
    <w:rsid w:val="00567B97"/>
    <w:rsid w:val="00567FCF"/>
    <w:rsid w:val="00570765"/>
    <w:rsid w:val="00570A53"/>
    <w:rsid w:val="00570CD6"/>
    <w:rsid w:val="00571521"/>
    <w:rsid w:val="0057166E"/>
    <w:rsid w:val="005732BD"/>
    <w:rsid w:val="005733F9"/>
    <w:rsid w:val="00573E59"/>
    <w:rsid w:val="0057490F"/>
    <w:rsid w:val="00575295"/>
    <w:rsid w:val="00575669"/>
    <w:rsid w:val="00576A79"/>
    <w:rsid w:val="00580844"/>
    <w:rsid w:val="00581979"/>
    <w:rsid w:val="00581C01"/>
    <w:rsid w:val="0058242D"/>
    <w:rsid w:val="00582C22"/>
    <w:rsid w:val="00584446"/>
    <w:rsid w:val="005845CB"/>
    <w:rsid w:val="0058462C"/>
    <w:rsid w:val="0058498A"/>
    <w:rsid w:val="0058601A"/>
    <w:rsid w:val="00586350"/>
    <w:rsid w:val="00586CDB"/>
    <w:rsid w:val="005901D2"/>
    <w:rsid w:val="00590666"/>
    <w:rsid w:val="00591691"/>
    <w:rsid w:val="0059461A"/>
    <w:rsid w:val="00594667"/>
    <w:rsid w:val="005947DA"/>
    <w:rsid w:val="00595F17"/>
    <w:rsid w:val="00597520"/>
    <w:rsid w:val="005A18C5"/>
    <w:rsid w:val="005A2031"/>
    <w:rsid w:val="005A37FB"/>
    <w:rsid w:val="005A3ED5"/>
    <w:rsid w:val="005A511C"/>
    <w:rsid w:val="005A6D82"/>
    <w:rsid w:val="005A7CF6"/>
    <w:rsid w:val="005A7D3C"/>
    <w:rsid w:val="005B42EE"/>
    <w:rsid w:val="005B4F7A"/>
    <w:rsid w:val="005B537E"/>
    <w:rsid w:val="005B6685"/>
    <w:rsid w:val="005B7071"/>
    <w:rsid w:val="005B7C71"/>
    <w:rsid w:val="005C0AB2"/>
    <w:rsid w:val="005C13EB"/>
    <w:rsid w:val="005C14DE"/>
    <w:rsid w:val="005C21D0"/>
    <w:rsid w:val="005C27DB"/>
    <w:rsid w:val="005C2893"/>
    <w:rsid w:val="005C310A"/>
    <w:rsid w:val="005C32DA"/>
    <w:rsid w:val="005C4686"/>
    <w:rsid w:val="005C4A6B"/>
    <w:rsid w:val="005C4DEC"/>
    <w:rsid w:val="005C62FE"/>
    <w:rsid w:val="005C661F"/>
    <w:rsid w:val="005C6C1D"/>
    <w:rsid w:val="005C74C7"/>
    <w:rsid w:val="005D1719"/>
    <w:rsid w:val="005D1C55"/>
    <w:rsid w:val="005D2A59"/>
    <w:rsid w:val="005D42A4"/>
    <w:rsid w:val="005D44AA"/>
    <w:rsid w:val="005D4A5D"/>
    <w:rsid w:val="005D51B1"/>
    <w:rsid w:val="005D56A4"/>
    <w:rsid w:val="005D5EFB"/>
    <w:rsid w:val="005D6A4C"/>
    <w:rsid w:val="005E691C"/>
    <w:rsid w:val="005E6FAF"/>
    <w:rsid w:val="005E6FB1"/>
    <w:rsid w:val="005F0C00"/>
    <w:rsid w:val="005F11CB"/>
    <w:rsid w:val="005F15ED"/>
    <w:rsid w:val="005F288C"/>
    <w:rsid w:val="005F30CD"/>
    <w:rsid w:val="005F33F2"/>
    <w:rsid w:val="005F3E4D"/>
    <w:rsid w:val="005F443D"/>
    <w:rsid w:val="005F460C"/>
    <w:rsid w:val="005F4E13"/>
    <w:rsid w:val="005F4E53"/>
    <w:rsid w:val="005F51F6"/>
    <w:rsid w:val="005F74D0"/>
    <w:rsid w:val="00600404"/>
    <w:rsid w:val="0060117A"/>
    <w:rsid w:val="006023A1"/>
    <w:rsid w:val="00602902"/>
    <w:rsid w:val="00610F0D"/>
    <w:rsid w:val="00612E14"/>
    <w:rsid w:val="006135BF"/>
    <w:rsid w:val="00615653"/>
    <w:rsid w:val="00616FCC"/>
    <w:rsid w:val="0061767C"/>
    <w:rsid w:val="00617967"/>
    <w:rsid w:val="00617F30"/>
    <w:rsid w:val="00620AB4"/>
    <w:rsid w:val="00622B06"/>
    <w:rsid w:val="006231CF"/>
    <w:rsid w:val="0062598A"/>
    <w:rsid w:val="00625A52"/>
    <w:rsid w:val="0062686B"/>
    <w:rsid w:val="006305F4"/>
    <w:rsid w:val="006308B1"/>
    <w:rsid w:val="006322D4"/>
    <w:rsid w:val="00632C6F"/>
    <w:rsid w:val="00633055"/>
    <w:rsid w:val="00633A74"/>
    <w:rsid w:val="006348BA"/>
    <w:rsid w:val="00634D18"/>
    <w:rsid w:val="00634E41"/>
    <w:rsid w:val="0063560C"/>
    <w:rsid w:val="00637549"/>
    <w:rsid w:val="0064063E"/>
    <w:rsid w:val="00642A6F"/>
    <w:rsid w:val="00642E50"/>
    <w:rsid w:val="00644B07"/>
    <w:rsid w:val="00646049"/>
    <w:rsid w:val="00646D04"/>
    <w:rsid w:val="00647C27"/>
    <w:rsid w:val="00647FBA"/>
    <w:rsid w:val="00651DC9"/>
    <w:rsid w:val="006525D4"/>
    <w:rsid w:val="0065268F"/>
    <w:rsid w:val="0065391A"/>
    <w:rsid w:val="0065413F"/>
    <w:rsid w:val="0065679C"/>
    <w:rsid w:val="00657108"/>
    <w:rsid w:val="00661748"/>
    <w:rsid w:val="0066282E"/>
    <w:rsid w:val="00663306"/>
    <w:rsid w:val="00663909"/>
    <w:rsid w:val="00663E95"/>
    <w:rsid w:val="006655DE"/>
    <w:rsid w:val="006659FF"/>
    <w:rsid w:val="006671BC"/>
    <w:rsid w:val="00667B4A"/>
    <w:rsid w:val="00670A28"/>
    <w:rsid w:val="00670FDB"/>
    <w:rsid w:val="0067299B"/>
    <w:rsid w:val="00673287"/>
    <w:rsid w:val="00673F06"/>
    <w:rsid w:val="00674A45"/>
    <w:rsid w:val="006763C6"/>
    <w:rsid w:val="00676918"/>
    <w:rsid w:val="00677081"/>
    <w:rsid w:val="00680679"/>
    <w:rsid w:val="00681333"/>
    <w:rsid w:val="0068146D"/>
    <w:rsid w:val="00682DB1"/>
    <w:rsid w:val="00683D18"/>
    <w:rsid w:val="00683FFB"/>
    <w:rsid w:val="00684DF7"/>
    <w:rsid w:val="0068768A"/>
    <w:rsid w:val="006878EE"/>
    <w:rsid w:val="00687B2F"/>
    <w:rsid w:val="0069076A"/>
    <w:rsid w:val="00690BEA"/>
    <w:rsid w:val="006925EE"/>
    <w:rsid w:val="00695279"/>
    <w:rsid w:val="0069733F"/>
    <w:rsid w:val="00697C69"/>
    <w:rsid w:val="006A0481"/>
    <w:rsid w:val="006A05ED"/>
    <w:rsid w:val="006A0A59"/>
    <w:rsid w:val="006A18D5"/>
    <w:rsid w:val="006A1CF1"/>
    <w:rsid w:val="006A1EFA"/>
    <w:rsid w:val="006A52E9"/>
    <w:rsid w:val="006A5596"/>
    <w:rsid w:val="006A5742"/>
    <w:rsid w:val="006A6273"/>
    <w:rsid w:val="006A67C8"/>
    <w:rsid w:val="006B0F12"/>
    <w:rsid w:val="006B33A7"/>
    <w:rsid w:val="006B5E9D"/>
    <w:rsid w:val="006B683A"/>
    <w:rsid w:val="006B69BA"/>
    <w:rsid w:val="006B6E4B"/>
    <w:rsid w:val="006B76AE"/>
    <w:rsid w:val="006B7F81"/>
    <w:rsid w:val="006C1260"/>
    <w:rsid w:val="006C2232"/>
    <w:rsid w:val="006C6703"/>
    <w:rsid w:val="006C6800"/>
    <w:rsid w:val="006D0BC5"/>
    <w:rsid w:val="006D0F49"/>
    <w:rsid w:val="006D2239"/>
    <w:rsid w:val="006D2CF2"/>
    <w:rsid w:val="006D2E37"/>
    <w:rsid w:val="006D30CF"/>
    <w:rsid w:val="006D34C3"/>
    <w:rsid w:val="006D3FA1"/>
    <w:rsid w:val="006D43D5"/>
    <w:rsid w:val="006D492E"/>
    <w:rsid w:val="006D56FC"/>
    <w:rsid w:val="006D6014"/>
    <w:rsid w:val="006D6AD0"/>
    <w:rsid w:val="006D77F6"/>
    <w:rsid w:val="006E0699"/>
    <w:rsid w:val="006E0C4B"/>
    <w:rsid w:val="006E327C"/>
    <w:rsid w:val="006E5D83"/>
    <w:rsid w:val="006E6852"/>
    <w:rsid w:val="006E7795"/>
    <w:rsid w:val="006E7E9F"/>
    <w:rsid w:val="006E7FA8"/>
    <w:rsid w:val="006F00DB"/>
    <w:rsid w:val="006F3374"/>
    <w:rsid w:val="006F4623"/>
    <w:rsid w:val="006F4B40"/>
    <w:rsid w:val="006F5A3F"/>
    <w:rsid w:val="006F5E03"/>
    <w:rsid w:val="00700097"/>
    <w:rsid w:val="007004AC"/>
    <w:rsid w:val="00701FEA"/>
    <w:rsid w:val="00702243"/>
    <w:rsid w:val="007036FF"/>
    <w:rsid w:val="00703FDD"/>
    <w:rsid w:val="007040D1"/>
    <w:rsid w:val="00705A00"/>
    <w:rsid w:val="007069F7"/>
    <w:rsid w:val="00706DE1"/>
    <w:rsid w:val="00707A50"/>
    <w:rsid w:val="00707B45"/>
    <w:rsid w:val="00710059"/>
    <w:rsid w:val="00710337"/>
    <w:rsid w:val="007110C9"/>
    <w:rsid w:val="00712349"/>
    <w:rsid w:val="00712F9C"/>
    <w:rsid w:val="00712FCE"/>
    <w:rsid w:val="007131CA"/>
    <w:rsid w:val="00714BA3"/>
    <w:rsid w:val="00715180"/>
    <w:rsid w:val="0071537B"/>
    <w:rsid w:val="007167AE"/>
    <w:rsid w:val="00720485"/>
    <w:rsid w:val="00721098"/>
    <w:rsid w:val="00722135"/>
    <w:rsid w:val="007238D3"/>
    <w:rsid w:val="00723B59"/>
    <w:rsid w:val="0072495B"/>
    <w:rsid w:val="007311E0"/>
    <w:rsid w:val="00734058"/>
    <w:rsid w:val="00735C9A"/>
    <w:rsid w:val="007360D3"/>
    <w:rsid w:val="0073644C"/>
    <w:rsid w:val="00736D2D"/>
    <w:rsid w:val="00737005"/>
    <w:rsid w:val="00737641"/>
    <w:rsid w:val="00737C72"/>
    <w:rsid w:val="00737D1F"/>
    <w:rsid w:val="007418FC"/>
    <w:rsid w:val="00742AA9"/>
    <w:rsid w:val="00742D5A"/>
    <w:rsid w:val="007439A7"/>
    <w:rsid w:val="007452F9"/>
    <w:rsid w:val="0074660C"/>
    <w:rsid w:val="0074748C"/>
    <w:rsid w:val="00747B69"/>
    <w:rsid w:val="00750DB8"/>
    <w:rsid w:val="00750E77"/>
    <w:rsid w:val="00751449"/>
    <w:rsid w:val="00755C69"/>
    <w:rsid w:val="00755D95"/>
    <w:rsid w:val="00756476"/>
    <w:rsid w:val="00756B0E"/>
    <w:rsid w:val="00756CF1"/>
    <w:rsid w:val="00757936"/>
    <w:rsid w:val="00757BAA"/>
    <w:rsid w:val="00757E62"/>
    <w:rsid w:val="007603AA"/>
    <w:rsid w:val="007610AF"/>
    <w:rsid w:val="00761914"/>
    <w:rsid w:val="00762B9C"/>
    <w:rsid w:val="00763999"/>
    <w:rsid w:val="007639D6"/>
    <w:rsid w:val="007655BE"/>
    <w:rsid w:val="0076590C"/>
    <w:rsid w:val="00766491"/>
    <w:rsid w:val="00766BCF"/>
    <w:rsid w:val="007673AE"/>
    <w:rsid w:val="00767F39"/>
    <w:rsid w:val="007705BC"/>
    <w:rsid w:val="007706C3"/>
    <w:rsid w:val="0077239E"/>
    <w:rsid w:val="007726E1"/>
    <w:rsid w:val="00774221"/>
    <w:rsid w:val="00774F4B"/>
    <w:rsid w:val="00775574"/>
    <w:rsid w:val="00776CC7"/>
    <w:rsid w:val="00776D10"/>
    <w:rsid w:val="0077761A"/>
    <w:rsid w:val="007834EB"/>
    <w:rsid w:val="00783FBA"/>
    <w:rsid w:val="007859F7"/>
    <w:rsid w:val="0078769F"/>
    <w:rsid w:val="0079029B"/>
    <w:rsid w:val="0079123B"/>
    <w:rsid w:val="00791612"/>
    <w:rsid w:val="0079256F"/>
    <w:rsid w:val="00792B74"/>
    <w:rsid w:val="00792FC9"/>
    <w:rsid w:val="0079307B"/>
    <w:rsid w:val="00793A6B"/>
    <w:rsid w:val="007941CF"/>
    <w:rsid w:val="00796AD1"/>
    <w:rsid w:val="00796F48"/>
    <w:rsid w:val="00797FCE"/>
    <w:rsid w:val="007A119B"/>
    <w:rsid w:val="007A2A5E"/>
    <w:rsid w:val="007A35D5"/>
    <w:rsid w:val="007A3C6A"/>
    <w:rsid w:val="007A406C"/>
    <w:rsid w:val="007A45C6"/>
    <w:rsid w:val="007A5821"/>
    <w:rsid w:val="007A5CAB"/>
    <w:rsid w:val="007A6B87"/>
    <w:rsid w:val="007B014C"/>
    <w:rsid w:val="007B0EBF"/>
    <w:rsid w:val="007B12EF"/>
    <w:rsid w:val="007B276D"/>
    <w:rsid w:val="007B51E2"/>
    <w:rsid w:val="007B6409"/>
    <w:rsid w:val="007B6C26"/>
    <w:rsid w:val="007B6F81"/>
    <w:rsid w:val="007C08B4"/>
    <w:rsid w:val="007C0AB0"/>
    <w:rsid w:val="007C0BF0"/>
    <w:rsid w:val="007C13C6"/>
    <w:rsid w:val="007C5511"/>
    <w:rsid w:val="007D0A64"/>
    <w:rsid w:val="007D328A"/>
    <w:rsid w:val="007D4D18"/>
    <w:rsid w:val="007D52D5"/>
    <w:rsid w:val="007D5786"/>
    <w:rsid w:val="007D5D8D"/>
    <w:rsid w:val="007D608D"/>
    <w:rsid w:val="007D6BA8"/>
    <w:rsid w:val="007D7EE0"/>
    <w:rsid w:val="007E10A5"/>
    <w:rsid w:val="007E11FA"/>
    <w:rsid w:val="007E22BF"/>
    <w:rsid w:val="007E2380"/>
    <w:rsid w:val="007E2A95"/>
    <w:rsid w:val="007E3D71"/>
    <w:rsid w:val="007E78F5"/>
    <w:rsid w:val="007F0036"/>
    <w:rsid w:val="007F043B"/>
    <w:rsid w:val="007F117B"/>
    <w:rsid w:val="007F2841"/>
    <w:rsid w:val="007F3E30"/>
    <w:rsid w:val="007F40EC"/>
    <w:rsid w:val="007F6DC9"/>
    <w:rsid w:val="007F7E63"/>
    <w:rsid w:val="00800858"/>
    <w:rsid w:val="0080096B"/>
    <w:rsid w:val="00800B90"/>
    <w:rsid w:val="00801D99"/>
    <w:rsid w:val="0080278A"/>
    <w:rsid w:val="00802A66"/>
    <w:rsid w:val="00802C26"/>
    <w:rsid w:val="008031E2"/>
    <w:rsid w:val="00804386"/>
    <w:rsid w:val="00805ADD"/>
    <w:rsid w:val="008103A0"/>
    <w:rsid w:val="0081052F"/>
    <w:rsid w:val="00810DE3"/>
    <w:rsid w:val="008202BF"/>
    <w:rsid w:val="00820ECD"/>
    <w:rsid w:val="00821541"/>
    <w:rsid w:val="008218E9"/>
    <w:rsid w:val="00821A06"/>
    <w:rsid w:val="008220F3"/>
    <w:rsid w:val="00822273"/>
    <w:rsid w:val="008235DB"/>
    <w:rsid w:val="00823C80"/>
    <w:rsid w:val="00823E04"/>
    <w:rsid w:val="00823FCA"/>
    <w:rsid w:val="00826FE4"/>
    <w:rsid w:val="00827103"/>
    <w:rsid w:val="00830175"/>
    <w:rsid w:val="00830647"/>
    <w:rsid w:val="00830E80"/>
    <w:rsid w:val="00832911"/>
    <w:rsid w:val="00833071"/>
    <w:rsid w:val="00833EB7"/>
    <w:rsid w:val="00835F2F"/>
    <w:rsid w:val="00836ABA"/>
    <w:rsid w:val="0084092F"/>
    <w:rsid w:val="00841A1D"/>
    <w:rsid w:val="00843333"/>
    <w:rsid w:val="00843A73"/>
    <w:rsid w:val="0084470E"/>
    <w:rsid w:val="008448C6"/>
    <w:rsid w:val="00844B85"/>
    <w:rsid w:val="00844C87"/>
    <w:rsid w:val="00844E51"/>
    <w:rsid w:val="00845E3F"/>
    <w:rsid w:val="00846019"/>
    <w:rsid w:val="0084751C"/>
    <w:rsid w:val="00847E0B"/>
    <w:rsid w:val="00850225"/>
    <w:rsid w:val="00850A87"/>
    <w:rsid w:val="008526FA"/>
    <w:rsid w:val="008532FB"/>
    <w:rsid w:val="008540F0"/>
    <w:rsid w:val="008548E3"/>
    <w:rsid w:val="00855660"/>
    <w:rsid w:val="008557C1"/>
    <w:rsid w:val="00855F54"/>
    <w:rsid w:val="00856335"/>
    <w:rsid w:val="008568C0"/>
    <w:rsid w:val="00856C23"/>
    <w:rsid w:val="00856F3A"/>
    <w:rsid w:val="00857A36"/>
    <w:rsid w:val="00862D41"/>
    <w:rsid w:val="00864874"/>
    <w:rsid w:val="008649C2"/>
    <w:rsid w:val="00864BB7"/>
    <w:rsid w:val="00864BF5"/>
    <w:rsid w:val="00865507"/>
    <w:rsid w:val="00865741"/>
    <w:rsid w:val="00865822"/>
    <w:rsid w:val="00866571"/>
    <w:rsid w:val="008678CF"/>
    <w:rsid w:val="00867F25"/>
    <w:rsid w:val="00870A5E"/>
    <w:rsid w:val="00870BA3"/>
    <w:rsid w:val="00871278"/>
    <w:rsid w:val="00871CA1"/>
    <w:rsid w:val="00872912"/>
    <w:rsid w:val="00874F47"/>
    <w:rsid w:val="0087524A"/>
    <w:rsid w:val="00875EE5"/>
    <w:rsid w:val="00877CE1"/>
    <w:rsid w:val="00877D87"/>
    <w:rsid w:val="00880255"/>
    <w:rsid w:val="008810FA"/>
    <w:rsid w:val="00884878"/>
    <w:rsid w:val="008852FB"/>
    <w:rsid w:val="00885B9C"/>
    <w:rsid w:val="00886A13"/>
    <w:rsid w:val="00886D18"/>
    <w:rsid w:val="00887B22"/>
    <w:rsid w:val="00892303"/>
    <w:rsid w:val="00892903"/>
    <w:rsid w:val="00892C98"/>
    <w:rsid w:val="00894996"/>
    <w:rsid w:val="00896927"/>
    <w:rsid w:val="00896F97"/>
    <w:rsid w:val="008972C0"/>
    <w:rsid w:val="00897E16"/>
    <w:rsid w:val="008A029B"/>
    <w:rsid w:val="008A144E"/>
    <w:rsid w:val="008A1660"/>
    <w:rsid w:val="008A1B0C"/>
    <w:rsid w:val="008A310A"/>
    <w:rsid w:val="008A6603"/>
    <w:rsid w:val="008A6CDC"/>
    <w:rsid w:val="008A7695"/>
    <w:rsid w:val="008A7C55"/>
    <w:rsid w:val="008B13FB"/>
    <w:rsid w:val="008B2841"/>
    <w:rsid w:val="008B2A39"/>
    <w:rsid w:val="008B5BDD"/>
    <w:rsid w:val="008B5F65"/>
    <w:rsid w:val="008B667F"/>
    <w:rsid w:val="008B6756"/>
    <w:rsid w:val="008C0FBD"/>
    <w:rsid w:val="008C1827"/>
    <w:rsid w:val="008C4903"/>
    <w:rsid w:val="008C4FE6"/>
    <w:rsid w:val="008C552D"/>
    <w:rsid w:val="008C5617"/>
    <w:rsid w:val="008C6687"/>
    <w:rsid w:val="008C70BD"/>
    <w:rsid w:val="008C79C7"/>
    <w:rsid w:val="008C7AC8"/>
    <w:rsid w:val="008D011A"/>
    <w:rsid w:val="008D0242"/>
    <w:rsid w:val="008D0B59"/>
    <w:rsid w:val="008D10A7"/>
    <w:rsid w:val="008D1703"/>
    <w:rsid w:val="008D23EE"/>
    <w:rsid w:val="008D27EF"/>
    <w:rsid w:val="008D280D"/>
    <w:rsid w:val="008D28DF"/>
    <w:rsid w:val="008D2DC8"/>
    <w:rsid w:val="008D34F9"/>
    <w:rsid w:val="008D38EE"/>
    <w:rsid w:val="008D3D46"/>
    <w:rsid w:val="008D745E"/>
    <w:rsid w:val="008E1155"/>
    <w:rsid w:val="008E2337"/>
    <w:rsid w:val="008E29AB"/>
    <w:rsid w:val="008E3869"/>
    <w:rsid w:val="008E44A5"/>
    <w:rsid w:val="008E4EF2"/>
    <w:rsid w:val="008E6632"/>
    <w:rsid w:val="008E6A00"/>
    <w:rsid w:val="008F0331"/>
    <w:rsid w:val="008F06F2"/>
    <w:rsid w:val="008F0ECD"/>
    <w:rsid w:val="008F1277"/>
    <w:rsid w:val="008F1706"/>
    <w:rsid w:val="008F1E28"/>
    <w:rsid w:val="008F2195"/>
    <w:rsid w:val="008F27D6"/>
    <w:rsid w:val="008F42F1"/>
    <w:rsid w:val="008F4C4B"/>
    <w:rsid w:val="008F5D80"/>
    <w:rsid w:val="008F65EE"/>
    <w:rsid w:val="008F7B8C"/>
    <w:rsid w:val="009006D2"/>
    <w:rsid w:val="00900A3B"/>
    <w:rsid w:val="00900BC1"/>
    <w:rsid w:val="00901FD2"/>
    <w:rsid w:val="009028DF"/>
    <w:rsid w:val="00905F89"/>
    <w:rsid w:val="00906099"/>
    <w:rsid w:val="00906A81"/>
    <w:rsid w:val="0090757A"/>
    <w:rsid w:val="0090786D"/>
    <w:rsid w:val="009103F3"/>
    <w:rsid w:val="00910429"/>
    <w:rsid w:val="00910CA9"/>
    <w:rsid w:val="0091123B"/>
    <w:rsid w:val="0091124B"/>
    <w:rsid w:val="009126A4"/>
    <w:rsid w:val="00912C79"/>
    <w:rsid w:val="0091625A"/>
    <w:rsid w:val="009163AF"/>
    <w:rsid w:val="0091659D"/>
    <w:rsid w:val="00916645"/>
    <w:rsid w:val="00916D52"/>
    <w:rsid w:val="009203FC"/>
    <w:rsid w:val="00920FDE"/>
    <w:rsid w:val="00923D3D"/>
    <w:rsid w:val="00924CCB"/>
    <w:rsid w:val="0092520A"/>
    <w:rsid w:val="00926765"/>
    <w:rsid w:val="009268B3"/>
    <w:rsid w:val="00927978"/>
    <w:rsid w:val="00927DFA"/>
    <w:rsid w:val="009320C1"/>
    <w:rsid w:val="00932D77"/>
    <w:rsid w:val="00932FAD"/>
    <w:rsid w:val="009335FA"/>
    <w:rsid w:val="009341E9"/>
    <w:rsid w:val="00936ECF"/>
    <w:rsid w:val="00937307"/>
    <w:rsid w:val="009445BA"/>
    <w:rsid w:val="00945130"/>
    <w:rsid w:val="00945B0A"/>
    <w:rsid w:val="00946F68"/>
    <w:rsid w:val="009475F3"/>
    <w:rsid w:val="00951562"/>
    <w:rsid w:val="00951651"/>
    <w:rsid w:val="00952287"/>
    <w:rsid w:val="0095322E"/>
    <w:rsid w:val="00953CAB"/>
    <w:rsid w:val="00954EF3"/>
    <w:rsid w:val="0095603B"/>
    <w:rsid w:val="00957948"/>
    <w:rsid w:val="00957F49"/>
    <w:rsid w:val="009607B2"/>
    <w:rsid w:val="00962202"/>
    <w:rsid w:val="00962593"/>
    <w:rsid w:val="00963CBA"/>
    <w:rsid w:val="00965920"/>
    <w:rsid w:val="00965DE9"/>
    <w:rsid w:val="009668EF"/>
    <w:rsid w:val="00966B7A"/>
    <w:rsid w:val="00967F18"/>
    <w:rsid w:val="009713CF"/>
    <w:rsid w:val="009729A9"/>
    <w:rsid w:val="00974A0E"/>
    <w:rsid w:val="0097508A"/>
    <w:rsid w:val="009761F8"/>
    <w:rsid w:val="00976AF1"/>
    <w:rsid w:val="00976FB3"/>
    <w:rsid w:val="0098030D"/>
    <w:rsid w:val="009803EB"/>
    <w:rsid w:val="00981B13"/>
    <w:rsid w:val="00981E62"/>
    <w:rsid w:val="009823A5"/>
    <w:rsid w:val="009841DB"/>
    <w:rsid w:val="00985C6C"/>
    <w:rsid w:val="00985F67"/>
    <w:rsid w:val="0098685F"/>
    <w:rsid w:val="00991056"/>
    <w:rsid w:val="009928E1"/>
    <w:rsid w:val="00992B6D"/>
    <w:rsid w:val="0099488A"/>
    <w:rsid w:val="00994D57"/>
    <w:rsid w:val="00994FA2"/>
    <w:rsid w:val="009952DA"/>
    <w:rsid w:val="009952DF"/>
    <w:rsid w:val="0099601D"/>
    <w:rsid w:val="00996460"/>
    <w:rsid w:val="0099677B"/>
    <w:rsid w:val="00996921"/>
    <w:rsid w:val="009A0A06"/>
    <w:rsid w:val="009A0DD7"/>
    <w:rsid w:val="009A18A2"/>
    <w:rsid w:val="009A1E07"/>
    <w:rsid w:val="009A25EB"/>
    <w:rsid w:val="009A290D"/>
    <w:rsid w:val="009A303D"/>
    <w:rsid w:val="009A6D17"/>
    <w:rsid w:val="009A7D11"/>
    <w:rsid w:val="009A7F29"/>
    <w:rsid w:val="009B5190"/>
    <w:rsid w:val="009B5381"/>
    <w:rsid w:val="009B654F"/>
    <w:rsid w:val="009C16DF"/>
    <w:rsid w:val="009C1FDC"/>
    <w:rsid w:val="009C22EC"/>
    <w:rsid w:val="009C2407"/>
    <w:rsid w:val="009C2CE8"/>
    <w:rsid w:val="009C300B"/>
    <w:rsid w:val="009C3012"/>
    <w:rsid w:val="009C355A"/>
    <w:rsid w:val="009C4804"/>
    <w:rsid w:val="009C5F61"/>
    <w:rsid w:val="009C66A0"/>
    <w:rsid w:val="009C7C02"/>
    <w:rsid w:val="009D0C3A"/>
    <w:rsid w:val="009D0CB7"/>
    <w:rsid w:val="009D104E"/>
    <w:rsid w:val="009D17E7"/>
    <w:rsid w:val="009D1FDF"/>
    <w:rsid w:val="009D3524"/>
    <w:rsid w:val="009D35CE"/>
    <w:rsid w:val="009D5236"/>
    <w:rsid w:val="009D6B6D"/>
    <w:rsid w:val="009E158D"/>
    <w:rsid w:val="009E1667"/>
    <w:rsid w:val="009E1CA8"/>
    <w:rsid w:val="009E28E1"/>
    <w:rsid w:val="009E38C1"/>
    <w:rsid w:val="009E4FE8"/>
    <w:rsid w:val="009E5A92"/>
    <w:rsid w:val="009E6780"/>
    <w:rsid w:val="009E766B"/>
    <w:rsid w:val="009E79EC"/>
    <w:rsid w:val="009F093C"/>
    <w:rsid w:val="009F1C46"/>
    <w:rsid w:val="009F3569"/>
    <w:rsid w:val="009F4D99"/>
    <w:rsid w:val="009F4E6C"/>
    <w:rsid w:val="009F50F0"/>
    <w:rsid w:val="009F533A"/>
    <w:rsid w:val="00A01327"/>
    <w:rsid w:val="00A018E7"/>
    <w:rsid w:val="00A01CCC"/>
    <w:rsid w:val="00A01F5C"/>
    <w:rsid w:val="00A03911"/>
    <w:rsid w:val="00A04025"/>
    <w:rsid w:val="00A0502D"/>
    <w:rsid w:val="00A05140"/>
    <w:rsid w:val="00A06F39"/>
    <w:rsid w:val="00A06FC9"/>
    <w:rsid w:val="00A07A9D"/>
    <w:rsid w:val="00A07F17"/>
    <w:rsid w:val="00A10DE1"/>
    <w:rsid w:val="00A11D59"/>
    <w:rsid w:val="00A123C7"/>
    <w:rsid w:val="00A12A02"/>
    <w:rsid w:val="00A13029"/>
    <w:rsid w:val="00A1413C"/>
    <w:rsid w:val="00A147CB"/>
    <w:rsid w:val="00A14E44"/>
    <w:rsid w:val="00A14E66"/>
    <w:rsid w:val="00A20730"/>
    <w:rsid w:val="00A20798"/>
    <w:rsid w:val="00A22538"/>
    <w:rsid w:val="00A232AC"/>
    <w:rsid w:val="00A2548E"/>
    <w:rsid w:val="00A25634"/>
    <w:rsid w:val="00A26EC9"/>
    <w:rsid w:val="00A27C90"/>
    <w:rsid w:val="00A27C99"/>
    <w:rsid w:val="00A27E2B"/>
    <w:rsid w:val="00A31585"/>
    <w:rsid w:val="00A32497"/>
    <w:rsid w:val="00A33B7B"/>
    <w:rsid w:val="00A34039"/>
    <w:rsid w:val="00A3552E"/>
    <w:rsid w:val="00A35E94"/>
    <w:rsid w:val="00A36449"/>
    <w:rsid w:val="00A372F6"/>
    <w:rsid w:val="00A37E17"/>
    <w:rsid w:val="00A400BC"/>
    <w:rsid w:val="00A414EE"/>
    <w:rsid w:val="00A417FA"/>
    <w:rsid w:val="00A41E16"/>
    <w:rsid w:val="00A42760"/>
    <w:rsid w:val="00A443C7"/>
    <w:rsid w:val="00A458B3"/>
    <w:rsid w:val="00A45B60"/>
    <w:rsid w:val="00A45E73"/>
    <w:rsid w:val="00A45E7D"/>
    <w:rsid w:val="00A46A98"/>
    <w:rsid w:val="00A46CBC"/>
    <w:rsid w:val="00A47490"/>
    <w:rsid w:val="00A478C0"/>
    <w:rsid w:val="00A479DB"/>
    <w:rsid w:val="00A500D5"/>
    <w:rsid w:val="00A5189D"/>
    <w:rsid w:val="00A542BA"/>
    <w:rsid w:val="00A5551F"/>
    <w:rsid w:val="00A56AC5"/>
    <w:rsid w:val="00A604BF"/>
    <w:rsid w:val="00A61B0C"/>
    <w:rsid w:val="00A62E17"/>
    <w:rsid w:val="00A636BA"/>
    <w:rsid w:val="00A63DC1"/>
    <w:rsid w:val="00A65CAA"/>
    <w:rsid w:val="00A662CF"/>
    <w:rsid w:val="00A67B9A"/>
    <w:rsid w:val="00A733DE"/>
    <w:rsid w:val="00A740E0"/>
    <w:rsid w:val="00A75F45"/>
    <w:rsid w:val="00A762BA"/>
    <w:rsid w:val="00A766FD"/>
    <w:rsid w:val="00A80353"/>
    <w:rsid w:val="00A8110F"/>
    <w:rsid w:val="00A819F6"/>
    <w:rsid w:val="00A820E7"/>
    <w:rsid w:val="00A82DF8"/>
    <w:rsid w:val="00A82EAE"/>
    <w:rsid w:val="00A834D3"/>
    <w:rsid w:val="00A84E63"/>
    <w:rsid w:val="00A87E76"/>
    <w:rsid w:val="00A9025B"/>
    <w:rsid w:val="00A90DB4"/>
    <w:rsid w:val="00A9119E"/>
    <w:rsid w:val="00A92F27"/>
    <w:rsid w:val="00A9333E"/>
    <w:rsid w:val="00A93C6B"/>
    <w:rsid w:val="00A93C8D"/>
    <w:rsid w:val="00A9449A"/>
    <w:rsid w:val="00A94EC5"/>
    <w:rsid w:val="00A9554E"/>
    <w:rsid w:val="00AA2FB2"/>
    <w:rsid w:val="00AA31F2"/>
    <w:rsid w:val="00AA32ED"/>
    <w:rsid w:val="00AA3CBA"/>
    <w:rsid w:val="00AA406C"/>
    <w:rsid w:val="00AA4F9F"/>
    <w:rsid w:val="00AA5E1B"/>
    <w:rsid w:val="00AA6DFB"/>
    <w:rsid w:val="00AA7256"/>
    <w:rsid w:val="00AB0987"/>
    <w:rsid w:val="00AB0AF2"/>
    <w:rsid w:val="00AB0FD3"/>
    <w:rsid w:val="00AB2AE4"/>
    <w:rsid w:val="00AB31F9"/>
    <w:rsid w:val="00AB3900"/>
    <w:rsid w:val="00AB3E7B"/>
    <w:rsid w:val="00AB5694"/>
    <w:rsid w:val="00AB7215"/>
    <w:rsid w:val="00AC005D"/>
    <w:rsid w:val="00AC14DE"/>
    <w:rsid w:val="00AC2CA9"/>
    <w:rsid w:val="00AC56C2"/>
    <w:rsid w:val="00AC5E19"/>
    <w:rsid w:val="00AC6CC1"/>
    <w:rsid w:val="00AC6F49"/>
    <w:rsid w:val="00AD0DDC"/>
    <w:rsid w:val="00AD2723"/>
    <w:rsid w:val="00AD31FA"/>
    <w:rsid w:val="00AD445D"/>
    <w:rsid w:val="00AD4E53"/>
    <w:rsid w:val="00AD623E"/>
    <w:rsid w:val="00AD6F47"/>
    <w:rsid w:val="00AD7E72"/>
    <w:rsid w:val="00AE0761"/>
    <w:rsid w:val="00AE0B4C"/>
    <w:rsid w:val="00AE192C"/>
    <w:rsid w:val="00AE26BA"/>
    <w:rsid w:val="00AE2781"/>
    <w:rsid w:val="00AE39D6"/>
    <w:rsid w:val="00AE415C"/>
    <w:rsid w:val="00AE4E94"/>
    <w:rsid w:val="00AE4F91"/>
    <w:rsid w:val="00AE5C52"/>
    <w:rsid w:val="00AE68D3"/>
    <w:rsid w:val="00AE6D76"/>
    <w:rsid w:val="00AE6E0A"/>
    <w:rsid w:val="00AE7409"/>
    <w:rsid w:val="00AE7A7F"/>
    <w:rsid w:val="00AF045F"/>
    <w:rsid w:val="00AF0FA2"/>
    <w:rsid w:val="00AF0FDD"/>
    <w:rsid w:val="00AF161F"/>
    <w:rsid w:val="00AF2EA7"/>
    <w:rsid w:val="00AF3E8F"/>
    <w:rsid w:val="00AF55E7"/>
    <w:rsid w:val="00AF5A70"/>
    <w:rsid w:val="00AF5C5C"/>
    <w:rsid w:val="00AF6C8A"/>
    <w:rsid w:val="00AF6E07"/>
    <w:rsid w:val="00B03FB1"/>
    <w:rsid w:val="00B04C2B"/>
    <w:rsid w:val="00B069AE"/>
    <w:rsid w:val="00B06A0E"/>
    <w:rsid w:val="00B06F5C"/>
    <w:rsid w:val="00B1489F"/>
    <w:rsid w:val="00B15829"/>
    <w:rsid w:val="00B16BCA"/>
    <w:rsid w:val="00B17A9D"/>
    <w:rsid w:val="00B20072"/>
    <w:rsid w:val="00B206FA"/>
    <w:rsid w:val="00B216F6"/>
    <w:rsid w:val="00B2171B"/>
    <w:rsid w:val="00B21C2F"/>
    <w:rsid w:val="00B24296"/>
    <w:rsid w:val="00B249B7"/>
    <w:rsid w:val="00B2764E"/>
    <w:rsid w:val="00B27F79"/>
    <w:rsid w:val="00B300DD"/>
    <w:rsid w:val="00B30AFE"/>
    <w:rsid w:val="00B30E77"/>
    <w:rsid w:val="00B31E55"/>
    <w:rsid w:val="00B33F27"/>
    <w:rsid w:val="00B34B88"/>
    <w:rsid w:val="00B35D5B"/>
    <w:rsid w:val="00B3623C"/>
    <w:rsid w:val="00B36D92"/>
    <w:rsid w:val="00B370E1"/>
    <w:rsid w:val="00B37A25"/>
    <w:rsid w:val="00B41B9C"/>
    <w:rsid w:val="00B42224"/>
    <w:rsid w:val="00B42CC9"/>
    <w:rsid w:val="00B4348B"/>
    <w:rsid w:val="00B437E1"/>
    <w:rsid w:val="00B43840"/>
    <w:rsid w:val="00B44032"/>
    <w:rsid w:val="00B456CC"/>
    <w:rsid w:val="00B473B8"/>
    <w:rsid w:val="00B478EF"/>
    <w:rsid w:val="00B47CB9"/>
    <w:rsid w:val="00B47DD7"/>
    <w:rsid w:val="00B50653"/>
    <w:rsid w:val="00B51BAD"/>
    <w:rsid w:val="00B51D94"/>
    <w:rsid w:val="00B52B04"/>
    <w:rsid w:val="00B53E4E"/>
    <w:rsid w:val="00B55BE4"/>
    <w:rsid w:val="00B564A3"/>
    <w:rsid w:val="00B56514"/>
    <w:rsid w:val="00B56551"/>
    <w:rsid w:val="00B57995"/>
    <w:rsid w:val="00B57AE9"/>
    <w:rsid w:val="00B57CA2"/>
    <w:rsid w:val="00B6333B"/>
    <w:rsid w:val="00B638BD"/>
    <w:rsid w:val="00B64950"/>
    <w:rsid w:val="00B64E0F"/>
    <w:rsid w:val="00B65EB5"/>
    <w:rsid w:val="00B6613F"/>
    <w:rsid w:val="00B66555"/>
    <w:rsid w:val="00B6764F"/>
    <w:rsid w:val="00B67935"/>
    <w:rsid w:val="00B71672"/>
    <w:rsid w:val="00B72AF6"/>
    <w:rsid w:val="00B72CEC"/>
    <w:rsid w:val="00B73156"/>
    <w:rsid w:val="00B73650"/>
    <w:rsid w:val="00B74929"/>
    <w:rsid w:val="00B74DE5"/>
    <w:rsid w:val="00B75857"/>
    <w:rsid w:val="00B7716B"/>
    <w:rsid w:val="00B77399"/>
    <w:rsid w:val="00B777E6"/>
    <w:rsid w:val="00B80134"/>
    <w:rsid w:val="00B80707"/>
    <w:rsid w:val="00B80ACF"/>
    <w:rsid w:val="00B82FCF"/>
    <w:rsid w:val="00B8435B"/>
    <w:rsid w:val="00B847AC"/>
    <w:rsid w:val="00B861D4"/>
    <w:rsid w:val="00B86355"/>
    <w:rsid w:val="00B8737A"/>
    <w:rsid w:val="00B87675"/>
    <w:rsid w:val="00B87702"/>
    <w:rsid w:val="00B910DF"/>
    <w:rsid w:val="00B922B9"/>
    <w:rsid w:val="00B924AF"/>
    <w:rsid w:val="00B92B2F"/>
    <w:rsid w:val="00B95043"/>
    <w:rsid w:val="00B9749F"/>
    <w:rsid w:val="00B97742"/>
    <w:rsid w:val="00BA0DA2"/>
    <w:rsid w:val="00BA0DF4"/>
    <w:rsid w:val="00BA2ED0"/>
    <w:rsid w:val="00BA300A"/>
    <w:rsid w:val="00BA3026"/>
    <w:rsid w:val="00BA3EFF"/>
    <w:rsid w:val="00BA4972"/>
    <w:rsid w:val="00BA4EDB"/>
    <w:rsid w:val="00BA4FED"/>
    <w:rsid w:val="00BA5CA3"/>
    <w:rsid w:val="00BA5FE7"/>
    <w:rsid w:val="00BA79CA"/>
    <w:rsid w:val="00BB038F"/>
    <w:rsid w:val="00BB1A6B"/>
    <w:rsid w:val="00BB1C24"/>
    <w:rsid w:val="00BB2580"/>
    <w:rsid w:val="00BB27EC"/>
    <w:rsid w:val="00BB36D7"/>
    <w:rsid w:val="00BB37EE"/>
    <w:rsid w:val="00BB51F1"/>
    <w:rsid w:val="00BB530B"/>
    <w:rsid w:val="00BB55FF"/>
    <w:rsid w:val="00BB58D3"/>
    <w:rsid w:val="00BC0211"/>
    <w:rsid w:val="00BC179B"/>
    <w:rsid w:val="00BC2072"/>
    <w:rsid w:val="00BC29B9"/>
    <w:rsid w:val="00BC39AE"/>
    <w:rsid w:val="00BC3D26"/>
    <w:rsid w:val="00BC432E"/>
    <w:rsid w:val="00BC5695"/>
    <w:rsid w:val="00BC6774"/>
    <w:rsid w:val="00BC6C8B"/>
    <w:rsid w:val="00BC6EEF"/>
    <w:rsid w:val="00BC77E9"/>
    <w:rsid w:val="00BC7943"/>
    <w:rsid w:val="00BC7980"/>
    <w:rsid w:val="00BD0FED"/>
    <w:rsid w:val="00BD1790"/>
    <w:rsid w:val="00BD1D8A"/>
    <w:rsid w:val="00BD20D9"/>
    <w:rsid w:val="00BD28C5"/>
    <w:rsid w:val="00BD2DE6"/>
    <w:rsid w:val="00BD2FEE"/>
    <w:rsid w:val="00BD305B"/>
    <w:rsid w:val="00BD4D43"/>
    <w:rsid w:val="00BD63CA"/>
    <w:rsid w:val="00BD7695"/>
    <w:rsid w:val="00BE04B4"/>
    <w:rsid w:val="00BE0D5C"/>
    <w:rsid w:val="00BE0EE1"/>
    <w:rsid w:val="00BE10C0"/>
    <w:rsid w:val="00BE1F8E"/>
    <w:rsid w:val="00BE4BDF"/>
    <w:rsid w:val="00BE53B0"/>
    <w:rsid w:val="00BE5FED"/>
    <w:rsid w:val="00BE65E4"/>
    <w:rsid w:val="00BE7C73"/>
    <w:rsid w:val="00BE7D81"/>
    <w:rsid w:val="00BF0AA7"/>
    <w:rsid w:val="00BF16C9"/>
    <w:rsid w:val="00BF2F97"/>
    <w:rsid w:val="00BF3D74"/>
    <w:rsid w:val="00BF4E15"/>
    <w:rsid w:val="00C00765"/>
    <w:rsid w:val="00C00E26"/>
    <w:rsid w:val="00C02140"/>
    <w:rsid w:val="00C02896"/>
    <w:rsid w:val="00C028C8"/>
    <w:rsid w:val="00C03392"/>
    <w:rsid w:val="00C03A2E"/>
    <w:rsid w:val="00C03C78"/>
    <w:rsid w:val="00C06287"/>
    <w:rsid w:val="00C063AB"/>
    <w:rsid w:val="00C07C15"/>
    <w:rsid w:val="00C11CB1"/>
    <w:rsid w:val="00C12309"/>
    <w:rsid w:val="00C13500"/>
    <w:rsid w:val="00C14C99"/>
    <w:rsid w:val="00C1532D"/>
    <w:rsid w:val="00C20D5E"/>
    <w:rsid w:val="00C21411"/>
    <w:rsid w:val="00C214DC"/>
    <w:rsid w:val="00C23583"/>
    <w:rsid w:val="00C236F6"/>
    <w:rsid w:val="00C261D2"/>
    <w:rsid w:val="00C2681F"/>
    <w:rsid w:val="00C2700F"/>
    <w:rsid w:val="00C3063E"/>
    <w:rsid w:val="00C309BB"/>
    <w:rsid w:val="00C312CC"/>
    <w:rsid w:val="00C3384D"/>
    <w:rsid w:val="00C36BF4"/>
    <w:rsid w:val="00C36C67"/>
    <w:rsid w:val="00C37AE0"/>
    <w:rsid w:val="00C40164"/>
    <w:rsid w:val="00C4066A"/>
    <w:rsid w:val="00C40D0E"/>
    <w:rsid w:val="00C4204B"/>
    <w:rsid w:val="00C43205"/>
    <w:rsid w:val="00C434B7"/>
    <w:rsid w:val="00C43D1E"/>
    <w:rsid w:val="00C44A00"/>
    <w:rsid w:val="00C469FC"/>
    <w:rsid w:val="00C46B7B"/>
    <w:rsid w:val="00C46CA0"/>
    <w:rsid w:val="00C50E21"/>
    <w:rsid w:val="00C51C3C"/>
    <w:rsid w:val="00C51DF7"/>
    <w:rsid w:val="00C5255D"/>
    <w:rsid w:val="00C55790"/>
    <w:rsid w:val="00C56BAB"/>
    <w:rsid w:val="00C57E14"/>
    <w:rsid w:val="00C602B7"/>
    <w:rsid w:val="00C60681"/>
    <w:rsid w:val="00C60D92"/>
    <w:rsid w:val="00C6198D"/>
    <w:rsid w:val="00C62A12"/>
    <w:rsid w:val="00C64D88"/>
    <w:rsid w:val="00C656A9"/>
    <w:rsid w:val="00C65930"/>
    <w:rsid w:val="00C665D8"/>
    <w:rsid w:val="00C671F7"/>
    <w:rsid w:val="00C67D5E"/>
    <w:rsid w:val="00C75AB0"/>
    <w:rsid w:val="00C7643C"/>
    <w:rsid w:val="00C76AA5"/>
    <w:rsid w:val="00C7769F"/>
    <w:rsid w:val="00C80A5A"/>
    <w:rsid w:val="00C82AA4"/>
    <w:rsid w:val="00C8305C"/>
    <w:rsid w:val="00C844D6"/>
    <w:rsid w:val="00C857B7"/>
    <w:rsid w:val="00C85FF6"/>
    <w:rsid w:val="00C86A69"/>
    <w:rsid w:val="00C87A64"/>
    <w:rsid w:val="00C908CB"/>
    <w:rsid w:val="00C90945"/>
    <w:rsid w:val="00C91075"/>
    <w:rsid w:val="00C910EA"/>
    <w:rsid w:val="00C917EF"/>
    <w:rsid w:val="00C91CA5"/>
    <w:rsid w:val="00C9326B"/>
    <w:rsid w:val="00C94105"/>
    <w:rsid w:val="00C94160"/>
    <w:rsid w:val="00C94419"/>
    <w:rsid w:val="00C95691"/>
    <w:rsid w:val="00C96A47"/>
    <w:rsid w:val="00C970CE"/>
    <w:rsid w:val="00CA113C"/>
    <w:rsid w:val="00CA15DE"/>
    <w:rsid w:val="00CA1657"/>
    <w:rsid w:val="00CA1ECD"/>
    <w:rsid w:val="00CA3795"/>
    <w:rsid w:val="00CA4C7F"/>
    <w:rsid w:val="00CA6180"/>
    <w:rsid w:val="00CA736D"/>
    <w:rsid w:val="00CA73B3"/>
    <w:rsid w:val="00CB0300"/>
    <w:rsid w:val="00CB1255"/>
    <w:rsid w:val="00CB13B7"/>
    <w:rsid w:val="00CB1DCB"/>
    <w:rsid w:val="00CB7087"/>
    <w:rsid w:val="00CB723D"/>
    <w:rsid w:val="00CC0643"/>
    <w:rsid w:val="00CC23A4"/>
    <w:rsid w:val="00CC324F"/>
    <w:rsid w:val="00CC3455"/>
    <w:rsid w:val="00CC3A8C"/>
    <w:rsid w:val="00CC41EE"/>
    <w:rsid w:val="00CD01CD"/>
    <w:rsid w:val="00CD061B"/>
    <w:rsid w:val="00CD0BF5"/>
    <w:rsid w:val="00CD0FA4"/>
    <w:rsid w:val="00CD1089"/>
    <w:rsid w:val="00CD1BCD"/>
    <w:rsid w:val="00CD3A08"/>
    <w:rsid w:val="00CD41F8"/>
    <w:rsid w:val="00CD4ADF"/>
    <w:rsid w:val="00CD6279"/>
    <w:rsid w:val="00CD6D61"/>
    <w:rsid w:val="00CD7D66"/>
    <w:rsid w:val="00CD7FFC"/>
    <w:rsid w:val="00CE1DFB"/>
    <w:rsid w:val="00CE1F3C"/>
    <w:rsid w:val="00CE2908"/>
    <w:rsid w:val="00CE2C6E"/>
    <w:rsid w:val="00CE2D75"/>
    <w:rsid w:val="00CE3E67"/>
    <w:rsid w:val="00CE5367"/>
    <w:rsid w:val="00CE593C"/>
    <w:rsid w:val="00CE5AB6"/>
    <w:rsid w:val="00CE5D7C"/>
    <w:rsid w:val="00CE6C66"/>
    <w:rsid w:val="00CE799B"/>
    <w:rsid w:val="00CF0360"/>
    <w:rsid w:val="00CF046A"/>
    <w:rsid w:val="00CF1F8C"/>
    <w:rsid w:val="00CF321C"/>
    <w:rsid w:val="00CF3C10"/>
    <w:rsid w:val="00CF4FE6"/>
    <w:rsid w:val="00CF556F"/>
    <w:rsid w:val="00CF5974"/>
    <w:rsid w:val="00CF5B05"/>
    <w:rsid w:val="00CF5CB7"/>
    <w:rsid w:val="00CF6B4F"/>
    <w:rsid w:val="00CF7234"/>
    <w:rsid w:val="00CF7EC8"/>
    <w:rsid w:val="00D0030F"/>
    <w:rsid w:val="00D0264C"/>
    <w:rsid w:val="00D03A68"/>
    <w:rsid w:val="00D0445F"/>
    <w:rsid w:val="00D04638"/>
    <w:rsid w:val="00D052BA"/>
    <w:rsid w:val="00D0608D"/>
    <w:rsid w:val="00D061D5"/>
    <w:rsid w:val="00D06703"/>
    <w:rsid w:val="00D06E87"/>
    <w:rsid w:val="00D06EFC"/>
    <w:rsid w:val="00D074BF"/>
    <w:rsid w:val="00D111A2"/>
    <w:rsid w:val="00D1197E"/>
    <w:rsid w:val="00D122E5"/>
    <w:rsid w:val="00D14A5A"/>
    <w:rsid w:val="00D1619E"/>
    <w:rsid w:val="00D166FE"/>
    <w:rsid w:val="00D174C9"/>
    <w:rsid w:val="00D206B3"/>
    <w:rsid w:val="00D219C1"/>
    <w:rsid w:val="00D22C33"/>
    <w:rsid w:val="00D23737"/>
    <w:rsid w:val="00D24578"/>
    <w:rsid w:val="00D24905"/>
    <w:rsid w:val="00D26308"/>
    <w:rsid w:val="00D27373"/>
    <w:rsid w:val="00D3098B"/>
    <w:rsid w:val="00D32465"/>
    <w:rsid w:val="00D32833"/>
    <w:rsid w:val="00D32A6C"/>
    <w:rsid w:val="00D33366"/>
    <w:rsid w:val="00D33DA7"/>
    <w:rsid w:val="00D3507E"/>
    <w:rsid w:val="00D354D0"/>
    <w:rsid w:val="00D3586B"/>
    <w:rsid w:val="00D36B23"/>
    <w:rsid w:val="00D373BA"/>
    <w:rsid w:val="00D40E1B"/>
    <w:rsid w:val="00D41287"/>
    <w:rsid w:val="00D41A9E"/>
    <w:rsid w:val="00D41D9A"/>
    <w:rsid w:val="00D42A95"/>
    <w:rsid w:val="00D461E5"/>
    <w:rsid w:val="00D472D8"/>
    <w:rsid w:val="00D507E5"/>
    <w:rsid w:val="00D51C56"/>
    <w:rsid w:val="00D5255B"/>
    <w:rsid w:val="00D531A6"/>
    <w:rsid w:val="00D538F6"/>
    <w:rsid w:val="00D5457D"/>
    <w:rsid w:val="00D54757"/>
    <w:rsid w:val="00D54EF5"/>
    <w:rsid w:val="00D551E2"/>
    <w:rsid w:val="00D55449"/>
    <w:rsid w:val="00D564B3"/>
    <w:rsid w:val="00D56FF4"/>
    <w:rsid w:val="00D60493"/>
    <w:rsid w:val="00D609DF"/>
    <w:rsid w:val="00D61776"/>
    <w:rsid w:val="00D61E55"/>
    <w:rsid w:val="00D6213A"/>
    <w:rsid w:val="00D65190"/>
    <w:rsid w:val="00D66956"/>
    <w:rsid w:val="00D669B3"/>
    <w:rsid w:val="00D669C7"/>
    <w:rsid w:val="00D673D4"/>
    <w:rsid w:val="00D70223"/>
    <w:rsid w:val="00D709E8"/>
    <w:rsid w:val="00D70F54"/>
    <w:rsid w:val="00D723A3"/>
    <w:rsid w:val="00D735B9"/>
    <w:rsid w:val="00D73760"/>
    <w:rsid w:val="00D73FBC"/>
    <w:rsid w:val="00D74036"/>
    <w:rsid w:val="00D74858"/>
    <w:rsid w:val="00D74EFE"/>
    <w:rsid w:val="00D753D8"/>
    <w:rsid w:val="00D763C0"/>
    <w:rsid w:val="00D76D57"/>
    <w:rsid w:val="00D7736F"/>
    <w:rsid w:val="00D77D5C"/>
    <w:rsid w:val="00D802BD"/>
    <w:rsid w:val="00D808EE"/>
    <w:rsid w:val="00D850C3"/>
    <w:rsid w:val="00D8542E"/>
    <w:rsid w:val="00D872D9"/>
    <w:rsid w:val="00D87673"/>
    <w:rsid w:val="00D87729"/>
    <w:rsid w:val="00D87A84"/>
    <w:rsid w:val="00D87FE7"/>
    <w:rsid w:val="00D908FD"/>
    <w:rsid w:val="00D91885"/>
    <w:rsid w:val="00D92C54"/>
    <w:rsid w:val="00D93663"/>
    <w:rsid w:val="00D94097"/>
    <w:rsid w:val="00D94B45"/>
    <w:rsid w:val="00D9520F"/>
    <w:rsid w:val="00D95DDC"/>
    <w:rsid w:val="00D960DE"/>
    <w:rsid w:val="00D961A3"/>
    <w:rsid w:val="00D96900"/>
    <w:rsid w:val="00D96B60"/>
    <w:rsid w:val="00DA0612"/>
    <w:rsid w:val="00DA0634"/>
    <w:rsid w:val="00DA09A2"/>
    <w:rsid w:val="00DA157D"/>
    <w:rsid w:val="00DA1FEA"/>
    <w:rsid w:val="00DA3E6F"/>
    <w:rsid w:val="00DA4952"/>
    <w:rsid w:val="00DA62C5"/>
    <w:rsid w:val="00DA63F8"/>
    <w:rsid w:val="00DA736B"/>
    <w:rsid w:val="00DA7CB8"/>
    <w:rsid w:val="00DA7CFB"/>
    <w:rsid w:val="00DA7DA7"/>
    <w:rsid w:val="00DB0410"/>
    <w:rsid w:val="00DB0871"/>
    <w:rsid w:val="00DB0A2A"/>
    <w:rsid w:val="00DB0CB2"/>
    <w:rsid w:val="00DB0CF1"/>
    <w:rsid w:val="00DB106A"/>
    <w:rsid w:val="00DB2C3E"/>
    <w:rsid w:val="00DB2C44"/>
    <w:rsid w:val="00DB2F1B"/>
    <w:rsid w:val="00DB393E"/>
    <w:rsid w:val="00DB4242"/>
    <w:rsid w:val="00DB5197"/>
    <w:rsid w:val="00DB5674"/>
    <w:rsid w:val="00DB620A"/>
    <w:rsid w:val="00DC08BC"/>
    <w:rsid w:val="00DC1246"/>
    <w:rsid w:val="00DC1F63"/>
    <w:rsid w:val="00DC231E"/>
    <w:rsid w:val="00DC2AA2"/>
    <w:rsid w:val="00DC351E"/>
    <w:rsid w:val="00DC68BD"/>
    <w:rsid w:val="00DC6995"/>
    <w:rsid w:val="00DD1011"/>
    <w:rsid w:val="00DD242D"/>
    <w:rsid w:val="00DD2CBE"/>
    <w:rsid w:val="00DD592A"/>
    <w:rsid w:val="00DD7548"/>
    <w:rsid w:val="00DE221F"/>
    <w:rsid w:val="00DE25A4"/>
    <w:rsid w:val="00DE2D2E"/>
    <w:rsid w:val="00DE3085"/>
    <w:rsid w:val="00DE3A2A"/>
    <w:rsid w:val="00DE52C4"/>
    <w:rsid w:val="00DE535F"/>
    <w:rsid w:val="00DE55E6"/>
    <w:rsid w:val="00DE5DBB"/>
    <w:rsid w:val="00DE6B90"/>
    <w:rsid w:val="00DE7B87"/>
    <w:rsid w:val="00DE7D53"/>
    <w:rsid w:val="00DF169D"/>
    <w:rsid w:val="00DF17C7"/>
    <w:rsid w:val="00DF2B70"/>
    <w:rsid w:val="00DF4463"/>
    <w:rsid w:val="00DF7AC1"/>
    <w:rsid w:val="00DF7AE1"/>
    <w:rsid w:val="00E010E6"/>
    <w:rsid w:val="00E0241F"/>
    <w:rsid w:val="00E04482"/>
    <w:rsid w:val="00E04D37"/>
    <w:rsid w:val="00E05840"/>
    <w:rsid w:val="00E07968"/>
    <w:rsid w:val="00E10BA8"/>
    <w:rsid w:val="00E12448"/>
    <w:rsid w:val="00E12E94"/>
    <w:rsid w:val="00E1382E"/>
    <w:rsid w:val="00E14683"/>
    <w:rsid w:val="00E15678"/>
    <w:rsid w:val="00E1619A"/>
    <w:rsid w:val="00E207DB"/>
    <w:rsid w:val="00E217C7"/>
    <w:rsid w:val="00E21EFB"/>
    <w:rsid w:val="00E2267F"/>
    <w:rsid w:val="00E235D4"/>
    <w:rsid w:val="00E24548"/>
    <w:rsid w:val="00E25FBA"/>
    <w:rsid w:val="00E26581"/>
    <w:rsid w:val="00E2686B"/>
    <w:rsid w:val="00E270B7"/>
    <w:rsid w:val="00E27C9F"/>
    <w:rsid w:val="00E3035F"/>
    <w:rsid w:val="00E31660"/>
    <w:rsid w:val="00E3266A"/>
    <w:rsid w:val="00E32E2B"/>
    <w:rsid w:val="00E332CE"/>
    <w:rsid w:val="00E346D4"/>
    <w:rsid w:val="00E35C25"/>
    <w:rsid w:val="00E362DB"/>
    <w:rsid w:val="00E36673"/>
    <w:rsid w:val="00E36A50"/>
    <w:rsid w:val="00E41607"/>
    <w:rsid w:val="00E41B22"/>
    <w:rsid w:val="00E41B5F"/>
    <w:rsid w:val="00E42768"/>
    <w:rsid w:val="00E429F3"/>
    <w:rsid w:val="00E4310A"/>
    <w:rsid w:val="00E43C87"/>
    <w:rsid w:val="00E44BDB"/>
    <w:rsid w:val="00E45647"/>
    <w:rsid w:val="00E457BF"/>
    <w:rsid w:val="00E50B42"/>
    <w:rsid w:val="00E5133C"/>
    <w:rsid w:val="00E528EB"/>
    <w:rsid w:val="00E530BA"/>
    <w:rsid w:val="00E5370B"/>
    <w:rsid w:val="00E5534D"/>
    <w:rsid w:val="00E553EF"/>
    <w:rsid w:val="00E55E40"/>
    <w:rsid w:val="00E56811"/>
    <w:rsid w:val="00E56A3E"/>
    <w:rsid w:val="00E6139F"/>
    <w:rsid w:val="00E61728"/>
    <w:rsid w:val="00E61E1E"/>
    <w:rsid w:val="00E62387"/>
    <w:rsid w:val="00E64500"/>
    <w:rsid w:val="00E64B3B"/>
    <w:rsid w:val="00E66764"/>
    <w:rsid w:val="00E67D6B"/>
    <w:rsid w:val="00E67D97"/>
    <w:rsid w:val="00E67E9D"/>
    <w:rsid w:val="00E70C9B"/>
    <w:rsid w:val="00E710DD"/>
    <w:rsid w:val="00E71465"/>
    <w:rsid w:val="00E71A05"/>
    <w:rsid w:val="00E72F27"/>
    <w:rsid w:val="00E742BC"/>
    <w:rsid w:val="00E75836"/>
    <w:rsid w:val="00E7702A"/>
    <w:rsid w:val="00E80141"/>
    <w:rsid w:val="00E80AB0"/>
    <w:rsid w:val="00E814E9"/>
    <w:rsid w:val="00E8435E"/>
    <w:rsid w:val="00E849EE"/>
    <w:rsid w:val="00E8520D"/>
    <w:rsid w:val="00E859D6"/>
    <w:rsid w:val="00E8768F"/>
    <w:rsid w:val="00E90B9D"/>
    <w:rsid w:val="00E90E2A"/>
    <w:rsid w:val="00E923F1"/>
    <w:rsid w:val="00E93762"/>
    <w:rsid w:val="00E96A6F"/>
    <w:rsid w:val="00EA1B79"/>
    <w:rsid w:val="00EA42B1"/>
    <w:rsid w:val="00EA4BDE"/>
    <w:rsid w:val="00EA6170"/>
    <w:rsid w:val="00EA6C75"/>
    <w:rsid w:val="00EA6D03"/>
    <w:rsid w:val="00EA7014"/>
    <w:rsid w:val="00EB0370"/>
    <w:rsid w:val="00EB0D89"/>
    <w:rsid w:val="00EB1D3D"/>
    <w:rsid w:val="00EB24CA"/>
    <w:rsid w:val="00EB3D8A"/>
    <w:rsid w:val="00EB4044"/>
    <w:rsid w:val="00EB4AF9"/>
    <w:rsid w:val="00EB6139"/>
    <w:rsid w:val="00EB711D"/>
    <w:rsid w:val="00EB7F33"/>
    <w:rsid w:val="00EC0476"/>
    <w:rsid w:val="00EC1C00"/>
    <w:rsid w:val="00EC25C2"/>
    <w:rsid w:val="00EC2663"/>
    <w:rsid w:val="00EC6403"/>
    <w:rsid w:val="00EC676A"/>
    <w:rsid w:val="00EC689F"/>
    <w:rsid w:val="00EC71ED"/>
    <w:rsid w:val="00EC7486"/>
    <w:rsid w:val="00ED0444"/>
    <w:rsid w:val="00ED04F4"/>
    <w:rsid w:val="00ED2536"/>
    <w:rsid w:val="00ED27A5"/>
    <w:rsid w:val="00ED56D4"/>
    <w:rsid w:val="00ED6790"/>
    <w:rsid w:val="00ED6E1E"/>
    <w:rsid w:val="00ED6FA6"/>
    <w:rsid w:val="00ED7079"/>
    <w:rsid w:val="00ED7B38"/>
    <w:rsid w:val="00EE0057"/>
    <w:rsid w:val="00EE0E80"/>
    <w:rsid w:val="00EE0E84"/>
    <w:rsid w:val="00EE1157"/>
    <w:rsid w:val="00EE120A"/>
    <w:rsid w:val="00EE208F"/>
    <w:rsid w:val="00EE308D"/>
    <w:rsid w:val="00EE3EAD"/>
    <w:rsid w:val="00EE44C9"/>
    <w:rsid w:val="00EE47C3"/>
    <w:rsid w:val="00EE666C"/>
    <w:rsid w:val="00EE667A"/>
    <w:rsid w:val="00EE711E"/>
    <w:rsid w:val="00EE7CC9"/>
    <w:rsid w:val="00EF02E8"/>
    <w:rsid w:val="00EF087C"/>
    <w:rsid w:val="00EF12CA"/>
    <w:rsid w:val="00EF2769"/>
    <w:rsid w:val="00EF366A"/>
    <w:rsid w:val="00EF4DF3"/>
    <w:rsid w:val="00EF4FD1"/>
    <w:rsid w:val="00EF5B06"/>
    <w:rsid w:val="00F0095B"/>
    <w:rsid w:val="00F0177A"/>
    <w:rsid w:val="00F02F28"/>
    <w:rsid w:val="00F03CC1"/>
    <w:rsid w:val="00F0520B"/>
    <w:rsid w:val="00F0799D"/>
    <w:rsid w:val="00F10B6D"/>
    <w:rsid w:val="00F112BA"/>
    <w:rsid w:val="00F11DB4"/>
    <w:rsid w:val="00F12695"/>
    <w:rsid w:val="00F12744"/>
    <w:rsid w:val="00F12E62"/>
    <w:rsid w:val="00F13F24"/>
    <w:rsid w:val="00F1419E"/>
    <w:rsid w:val="00F1472A"/>
    <w:rsid w:val="00F15FD5"/>
    <w:rsid w:val="00F16EEB"/>
    <w:rsid w:val="00F200B7"/>
    <w:rsid w:val="00F209D8"/>
    <w:rsid w:val="00F20B1F"/>
    <w:rsid w:val="00F2150F"/>
    <w:rsid w:val="00F251CA"/>
    <w:rsid w:val="00F25451"/>
    <w:rsid w:val="00F25943"/>
    <w:rsid w:val="00F26285"/>
    <w:rsid w:val="00F27257"/>
    <w:rsid w:val="00F27DEE"/>
    <w:rsid w:val="00F27E70"/>
    <w:rsid w:val="00F27ED1"/>
    <w:rsid w:val="00F30397"/>
    <w:rsid w:val="00F30CF8"/>
    <w:rsid w:val="00F31315"/>
    <w:rsid w:val="00F32CEC"/>
    <w:rsid w:val="00F3346F"/>
    <w:rsid w:val="00F33D24"/>
    <w:rsid w:val="00F35158"/>
    <w:rsid w:val="00F35204"/>
    <w:rsid w:val="00F35BCC"/>
    <w:rsid w:val="00F36BFC"/>
    <w:rsid w:val="00F40408"/>
    <w:rsid w:val="00F42301"/>
    <w:rsid w:val="00F42F5E"/>
    <w:rsid w:val="00F43B6E"/>
    <w:rsid w:val="00F43BA3"/>
    <w:rsid w:val="00F44505"/>
    <w:rsid w:val="00F44FA8"/>
    <w:rsid w:val="00F46297"/>
    <w:rsid w:val="00F46ABC"/>
    <w:rsid w:val="00F5172B"/>
    <w:rsid w:val="00F51E3C"/>
    <w:rsid w:val="00F52EB7"/>
    <w:rsid w:val="00F53655"/>
    <w:rsid w:val="00F53A00"/>
    <w:rsid w:val="00F53C1E"/>
    <w:rsid w:val="00F55290"/>
    <w:rsid w:val="00F5556C"/>
    <w:rsid w:val="00F55956"/>
    <w:rsid w:val="00F56CA9"/>
    <w:rsid w:val="00F56E8A"/>
    <w:rsid w:val="00F57E0F"/>
    <w:rsid w:val="00F6071E"/>
    <w:rsid w:val="00F60A95"/>
    <w:rsid w:val="00F6122D"/>
    <w:rsid w:val="00F614AD"/>
    <w:rsid w:val="00F616C5"/>
    <w:rsid w:val="00F62385"/>
    <w:rsid w:val="00F629B4"/>
    <w:rsid w:val="00F62CFC"/>
    <w:rsid w:val="00F639E2"/>
    <w:rsid w:val="00F63DDD"/>
    <w:rsid w:val="00F64E38"/>
    <w:rsid w:val="00F65284"/>
    <w:rsid w:val="00F655B6"/>
    <w:rsid w:val="00F6566D"/>
    <w:rsid w:val="00F65F1D"/>
    <w:rsid w:val="00F711FF"/>
    <w:rsid w:val="00F71512"/>
    <w:rsid w:val="00F74363"/>
    <w:rsid w:val="00F74FA5"/>
    <w:rsid w:val="00F75BD4"/>
    <w:rsid w:val="00F7658C"/>
    <w:rsid w:val="00F769FF"/>
    <w:rsid w:val="00F76B26"/>
    <w:rsid w:val="00F76E1D"/>
    <w:rsid w:val="00F77C69"/>
    <w:rsid w:val="00F77E6A"/>
    <w:rsid w:val="00F8101A"/>
    <w:rsid w:val="00F81D93"/>
    <w:rsid w:val="00F83148"/>
    <w:rsid w:val="00F831FB"/>
    <w:rsid w:val="00F858B3"/>
    <w:rsid w:val="00F86C62"/>
    <w:rsid w:val="00F86F82"/>
    <w:rsid w:val="00F87B17"/>
    <w:rsid w:val="00F907B5"/>
    <w:rsid w:val="00F90FFC"/>
    <w:rsid w:val="00F9285D"/>
    <w:rsid w:val="00F93164"/>
    <w:rsid w:val="00F93332"/>
    <w:rsid w:val="00F940A3"/>
    <w:rsid w:val="00F9413F"/>
    <w:rsid w:val="00F94A2D"/>
    <w:rsid w:val="00F94D21"/>
    <w:rsid w:val="00F94ECD"/>
    <w:rsid w:val="00F94F18"/>
    <w:rsid w:val="00F95A7F"/>
    <w:rsid w:val="00F970C1"/>
    <w:rsid w:val="00F97722"/>
    <w:rsid w:val="00FA11D0"/>
    <w:rsid w:val="00FA14EB"/>
    <w:rsid w:val="00FA344A"/>
    <w:rsid w:val="00FA39DE"/>
    <w:rsid w:val="00FA3BDF"/>
    <w:rsid w:val="00FA406D"/>
    <w:rsid w:val="00FA44DE"/>
    <w:rsid w:val="00FA4570"/>
    <w:rsid w:val="00FA649E"/>
    <w:rsid w:val="00FA690F"/>
    <w:rsid w:val="00FB1254"/>
    <w:rsid w:val="00FB12E6"/>
    <w:rsid w:val="00FB1C79"/>
    <w:rsid w:val="00FB2AEE"/>
    <w:rsid w:val="00FB3748"/>
    <w:rsid w:val="00FB4A9F"/>
    <w:rsid w:val="00FB5056"/>
    <w:rsid w:val="00FB681C"/>
    <w:rsid w:val="00FB6FBF"/>
    <w:rsid w:val="00FB70A9"/>
    <w:rsid w:val="00FC015B"/>
    <w:rsid w:val="00FC019D"/>
    <w:rsid w:val="00FC19A6"/>
    <w:rsid w:val="00FC3C87"/>
    <w:rsid w:val="00FC7A80"/>
    <w:rsid w:val="00FD05F4"/>
    <w:rsid w:val="00FD0CB0"/>
    <w:rsid w:val="00FD1315"/>
    <w:rsid w:val="00FD19F3"/>
    <w:rsid w:val="00FD3AEC"/>
    <w:rsid w:val="00FD4243"/>
    <w:rsid w:val="00FD5214"/>
    <w:rsid w:val="00FD5DE3"/>
    <w:rsid w:val="00FD7BD8"/>
    <w:rsid w:val="00FE1536"/>
    <w:rsid w:val="00FE16E8"/>
    <w:rsid w:val="00FE25EE"/>
    <w:rsid w:val="00FE28D6"/>
    <w:rsid w:val="00FE4424"/>
    <w:rsid w:val="00FE4491"/>
    <w:rsid w:val="00FE5718"/>
    <w:rsid w:val="00FE68CD"/>
    <w:rsid w:val="00FE709C"/>
    <w:rsid w:val="00FE7F88"/>
    <w:rsid w:val="00FF061A"/>
    <w:rsid w:val="00FF0AAE"/>
    <w:rsid w:val="00FF136D"/>
    <w:rsid w:val="00FF2137"/>
    <w:rsid w:val="00FF2D07"/>
    <w:rsid w:val="00FF2D1F"/>
    <w:rsid w:val="00FF3DA4"/>
    <w:rsid w:val="00FF41A0"/>
    <w:rsid w:val="00FF5B7B"/>
    <w:rsid w:val="00FF5F0E"/>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5A3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11A0F"/>
    <w:pPr>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511A0F"/>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757936"/>
    <w:pPr>
      <w:keepLines w:val="0"/>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757936"/>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8469F"/>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321A88"/>
    <w:rPr>
      <w:rFonts w:ascii="Times New Roman" w:eastAsia="Times New Roman" w:hAnsi="Times New Roman" w:cs="Times New Roman"/>
      <w:szCs w:val="24"/>
    </w:rPr>
  </w:style>
  <w:style w:type="table" w:customStyle="1" w:styleId="GridTable5Dark-Accent61">
    <w:name w:val="Grid Table 5 Dark - Accent 61"/>
    <w:basedOn w:val="TableNormal"/>
    <w:uiPriority w:val="50"/>
    <w:rsid w:val="00206FC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11A0F"/>
    <w:pPr>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511A0F"/>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757936"/>
    <w:pPr>
      <w:keepLines w:val="0"/>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757936"/>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8469F"/>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321A88"/>
    <w:rPr>
      <w:rFonts w:ascii="Times New Roman" w:eastAsia="Times New Roman" w:hAnsi="Times New Roman" w:cs="Times New Roman"/>
      <w:szCs w:val="24"/>
    </w:rPr>
  </w:style>
  <w:style w:type="table" w:customStyle="1" w:styleId="GridTable5Dark-Accent61">
    <w:name w:val="Grid Table 5 Dark - Accent 61"/>
    <w:basedOn w:val="TableNormal"/>
    <w:uiPriority w:val="50"/>
    <w:rsid w:val="00206FC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338851642">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56112931">
      <w:bodyDiv w:val="1"/>
      <w:marLeft w:val="0"/>
      <w:marRight w:val="0"/>
      <w:marTop w:val="0"/>
      <w:marBottom w:val="0"/>
      <w:divBdr>
        <w:top w:val="none" w:sz="0" w:space="0" w:color="auto"/>
        <w:left w:val="none" w:sz="0" w:space="0" w:color="auto"/>
        <w:bottom w:val="none" w:sz="0" w:space="0" w:color="auto"/>
        <w:right w:val="none" w:sz="0" w:space="0" w:color="auto"/>
      </w:divBdr>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507296">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29590588">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36374771">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94757647">
      <w:bodyDiv w:val="1"/>
      <w:marLeft w:val="0"/>
      <w:marRight w:val="0"/>
      <w:marTop w:val="0"/>
      <w:marBottom w:val="0"/>
      <w:divBdr>
        <w:top w:val="none" w:sz="0" w:space="0" w:color="auto"/>
        <w:left w:val="none" w:sz="0" w:space="0" w:color="auto"/>
        <w:bottom w:val="none" w:sz="0" w:space="0" w:color="auto"/>
        <w:right w:val="none" w:sz="0" w:space="0" w:color="auto"/>
      </w:divBdr>
    </w:div>
    <w:div w:id="1627271075">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727714">
      <w:bodyDiv w:val="1"/>
      <w:marLeft w:val="0"/>
      <w:marRight w:val="0"/>
      <w:marTop w:val="0"/>
      <w:marBottom w:val="0"/>
      <w:divBdr>
        <w:top w:val="none" w:sz="0" w:space="0" w:color="auto"/>
        <w:left w:val="none" w:sz="0" w:space="0" w:color="auto"/>
        <w:bottom w:val="none" w:sz="0" w:space="0" w:color="auto"/>
        <w:right w:val="none" w:sz="0" w:space="0" w:color="auto"/>
      </w:divBdr>
    </w:div>
    <w:div w:id="1840316740">
      <w:bodyDiv w:val="1"/>
      <w:marLeft w:val="0"/>
      <w:marRight w:val="0"/>
      <w:marTop w:val="0"/>
      <w:marBottom w:val="0"/>
      <w:divBdr>
        <w:top w:val="none" w:sz="0" w:space="0" w:color="auto"/>
        <w:left w:val="none" w:sz="0" w:space="0" w:color="auto"/>
        <w:bottom w:val="none" w:sz="0" w:space="0" w:color="auto"/>
        <w:right w:val="none" w:sz="0" w:space="0" w:color="auto"/>
      </w:divBdr>
    </w:div>
    <w:div w:id="1921209400">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customXml" Target="../customXml/item4.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634AD-0BF6-4C39-A407-47838B8468D9}"/>
</file>

<file path=customXml/itemProps2.xml><?xml version="1.0" encoding="utf-8"?>
<ds:datastoreItem xmlns:ds="http://schemas.openxmlformats.org/officeDocument/2006/customXml" ds:itemID="{29615C99-3399-4DC2-929C-454A567BD6A7}"/>
</file>

<file path=customXml/itemProps3.xml><?xml version="1.0" encoding="utf-8"?>
<ds:datastoreItem xmlns:ds="http://schemas.openxmlformats.org/officeDocument/2006/customXml" ds:itemID="{A66C9D9B-FC1B-47E8-B029-CF24AD5975BD}"/>
</file>

<file path=customXml/itemProps4.xml><?xml version="1.0" encoding="utf-8"?>
<ds:datastoreItem xmlns:ds="http://schemas.openxmlformats.org/officeDocument/2006/customXml" ds:itemID="{92F4D4F3-30E3-459E-A2BA-41AF51521A76}"/>
</file>

<file path=docProps/app.xml><?xml version="1.0" encoding="utf-8"?>
<Properties xmlns="http://schemas.openxmlformats.org/officeDocument/2006/extended-properties" xmlns:vt="http://schemas.openxmlformats.org/officeDocument/2006/docPropsVTypes">
  <Template>4F2DD6E</Template>
  <TotalTime>0</TotalTime>
  <Pages>24</Pages>
  <Words>10678</Words>
  <Characters>60870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2015-10-27T02:59:00Z</dcterms:created>
  <dcterms:modified xsi:type="dcterms:W3CDTF">2015-10-27T02:59:00Z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980800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