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5.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4.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33F" w:rsidRDefault="000D733F">
      <w:pPr>
        <w:spacing w:after="200" w:line="276" w:lineRule="auto"/>
      </w:pPr>
      <w:bookmarkStart w:id="0" w:name="_GoBack"/>
      <w:bookmarkEnd w:id="0"/>
    </w:p>
    <w:p w:rsidR="000D733F" w:rsidRDefault="000D733F" w:rsidP="009E79EC"/>
    <w:p w:rsidR="000D733F" w:rsidRDefault="000D733F">
      <w:pPr>
        <w:spacing w:after="200" w:line="276" w:lineRule="auto"/>
      </w:pPr>
    </w:p>
    <w:p w:rsidR="000D733F" w:rsidRDefault="000D733F">
      <w:pPr>
        <w:spacing w:after="200" w:line="276" w:lineRule="auto"/>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0D733F" w:rsidRPr="001227C3" w:rsidRDefault="000D733F" w:rsidP="000D733F">
      <w:pPr>
        <w:pStyle w:val="Title"/>
        <w:ind w:left="2694" w:right="-624"/>
        <w:rPr>
          <w:noProof/>
          <w:color w:val="FFFFFF"/>
          <w:spacing w:val="0"/>
          <w:sz w:val="50"/>
          <w:szCs w:val="50"/>
          <w:lang w:val="en-US" w:eastAsia="en-US"/>
        </w:rPr>
      </w:pPr>
      <w:r w:rsidRPr="001227C3">
        <w:rPr>
          <w:noProof/>
          <w:color w:val="FFFFFF"/>
          <w:spacing w:val="0"/>
          <w:sz w:val="50"/>
          <w:szCs w:val="50"/>
          <w:lang w:val="en-US" w:eastAsia="en-US"/>
        </w:rPr>
        <w:t xml:space="preserve">Aid Program Performance Report 2013-14 </w:t>
      </w:r>
      <w:r w:rsidRPr="001227C3">
        <w:rPr>
          <w:noProof/>
          <w:color w:val="FFFFFF"/>
          <w:spacing w:val="0"/>
          <w:sz w:val="50"/>
          <w:szCs w:val="50"/>
        </w:rPr>
        <w:drawing>
          <wp:anchor distT="0" distB="0" distL="114300" distR="114300" simplePos="0" relativeHeight="251662336" behindDoc="1" locked="1" layoutInCell="1" allowOverlap="1" wp14:anchorId="3823E2E4" wp14:editId="53C4044B">
            <wp:simplePos x="0" y="0"/>
            <wp:positionH relativeFrom="page">
              <wp:align>left</wp:align>
            </wp:positionH>
            <wp:positionV relativeFrom="page">
              <wp:align>top</wp:align>
            </wp:positionV>
            <wp:extent cx="7558405" cy="10691495"/>
            <wp:effectExtent l="0" t="0" r="4445" b="0"/>
            <wp:wrapNone/>
            <wp:docPr id="11" name="Picture 11" descr="DFAT templa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558768" cy="1069199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D733F" w:rsidRPr="001227C3" w:rsidRDefault="005922AC" w:rsidP="000D733F">
      <w:pPr>
        <w:pStyle w:val="Subtitle"/>
        <w:ind w:left="2694" w:right="-624"/>
        <w:rPr>
          <w:noProof/>
          <w:color w:val="FFFFFF"/>
          <w:spacing w:val="0"/>
          <w:sz w:val="32"/>
          <w:szCs w:val="32"/>
          <w:lang w:val="en-US" w:eastAsia="en-US"/>
        </w:rPr>
      </w:pPr>
      <w:r>
        <w:rPr>
          <w:noProof/>
          <w:color w:val="FFFFFF"/>
          <w:spacing w:val="0"/>
          <w:sz w:val="32"/>
          <w:szCs w:val="32"/>
          <w:lang w:val="en-US" w:eastAsia="en-US"/>
        </w:rPr>
        <w:t xml:space="preserve">The </w:t>
      </w:r>
      <w:r w:rsidR="00872F8B">
        <w:rPr>
          <w:noProof/>
          <w:color w:val="FFFFFF"/>
          <w:spacing w:val="0"/>
          <w:sz w:val="32"/>
          <w:szCs w:val="32"/>
          <w:lang w:val="en-US" w:eastAsia="en-US"/>
        </w:rPr>
        <w:t>Philippines</w:t>
      </w:r>
    </w:p>
    <w:p w:rsidR="000D733F" w:rsidRDefault="000D733F" w:rsidP="001227C3">
      <w:pPr>
        <w:pStyle w:val="Date"/>
        <w:spacing w:before="200" w:after="600" w:line="380" w:lineRule="atLeast"/>
        <w:ind w:left="2694" w:right="-624"/>
        <w:rPr>
          <w:rFonts w:ascii="Helvetica" w:eastAsia="Times New Roman" w:hAnsi="Helvetica"/>
          <w:noProof/>
          <w:color w:val="FFFFFF"/>
          <w:kern w:val="28"/>
          <w:sz w:val="24"/>
          <w:lang w:val="en-US" w:eastAsia="en-US"/>
        </w:rPr>
      </w:pPr>
      <w:r w:rsidRPr="001227C3">
        <w:rPr>
          <w:rFonts w:ascii="Helvetica" w:eastAsia="Times New Roman" w:hAnsi="Helvetica"/>
          <w:noProof/>
          <w:color w:val="FFFFFF"/>
          <w:kern w:val="28"/>
          <w:sz w:val="24"/>
          <w:lang w:val="en-US" w:eastAsia="en-US"/>
        </w:rPr>
        <w:t>September 2014</w:t>
      </w:r>
    </w:p>
    <w:p w:rsidR="001D6059" w:rsidRDefault="001D6059" w:rsidP="00CD061B">
      <w:pPr>
        <w:rPr>
          <w:lang w:val="en-US" w:eastAsia="en-US"/>
        </w:rPr>
      </w:pPr>
    </w:p>
    <w:p w:rsidR="00AC6F49" w:rsidRDefault="00AC6F49">
      <w:pPr>
        <w:spacing w:after="200" w:line="276" w:lineRule="auto"/>
        <w:rPr>
          <w:lang w:val="en-US" w:eastAsia="en-US"/>
        </w:rPr>
      </w:pPr>
      <w:r>
        <w:rPr>
          <w:lang w:val="en-US" w:eastAsia="en-US"/>
        </w:rPr>
        <w:br w:type="page"/>
      </w:r>
    </w:p>
    <w:p w:rsidR="005B42EE" w:rsidRPr="00CD061B" w:rsidRDefault="005B42EE" w:rsidP="00CD061B">
      <w:pPr>
        <w:rPr>
          <w:lang w:val="en-US" w:eastAsia="en-US"/>
        </w:rPr>
        <w:sectPr w:rsidR="005B42EE" w:rsidRPr="00CD061B" w:rsidSect="000D733F">
          <w:headerReference w:type="even" r:id="rId10"/>
          <w:headerReference w:type="default" r:id="rId11"/>
          <w:footerReference w:type="even" r:id="rId12"/>
          <w:footerReference w:type="default" r:id="rId13"/>
          <w:headerReference w:type="first" r:id="rId14"/>
          <w:footerReference w:type="first" r:id="rId15"/>
          <w:pgSz w:w="11907" w:h="16840" w:code="9"/>
          <w:pgMar w:top="2268" w:right="1871" w:bottom="907" w:left="1871" w:header="851" w:footer="454" w:gutter="0"/>
          <w:cols w:space="720"/>
          <w:docGrid w:linePitch="272"/>
        </w:sectPr>
      </w:pPr>
    </w:p>
    <w:p w:rsidR="000D733F" w:rsidRPr="00B43B60" w:rsidRDefault="000D733F" w:rsidP="000B3726">
      <w:pPr>
        <w:pStyle w:val="Heading2"/>
        <w:spacing w:before="0"/>
        <w:rPr>
          <w:rStyle w:val="BodyTextChar"/>
          <w:color w:val="auto"/>
        </w:rPr>
      </w:pPr>
      <w:bookmarkStart w:id="1" w:name="_Toc373853205"/>
      <w:r w:rsidRPr="002A3E3F">
        <w:rPr>
          <w:sz w:val="28"/>
        </w:rPr>
        <w:lastRenderedPageBreak/>
        <w:t>Key Messages</w:t>
      </w:r>
      <w:bookmarkEnd w:id="1"/>
      <w:r w:rsidRPr="009E38C1">
        <w:rPr>
          <w:sz w:val="28"/>
        </w:rPr>
        <w:tab/>
      </w:r>
      <w:r w:rsidRPr="009E38C1">
        <w:rPr>
          <w:sz w:val="28"/>
        </w:rPr>
        <w:tab/>
      </w:r>
      <w:r>
        <w:rPr>
          <w:sz w:val="32"/>
          <w:szCs w:val="32"/>
        </w:rPr>
        <w:tab/>
      </w:r>
      <w:r>
        <w:rPr>
          <w:sz w:val="32"/>
          <w:szCs w:val="32"/>
        </w:rPr>
        <w:tab/>
      </w:r>
      <w:r>
        <w:rPr>
          <w:sz w:val="32"/>
          <w:szCs w:val="32"/>
        </w:rPr>
        <w:tab/>
      </w:r>
      <w:r>
        <w:rPr>
          <w:sz w:val="32"/>
          <w:szCs w:val="32"/>
        </w:rPr>
        <w:tab/>
      </w:r>
    </w:p>
    <w:p w:rsidR="00F329A2" w:rsidRDefault="00F329A2" w:rsidP="00F329A2">
      <w:pPr>
        <w:pStyle w:val="ListBullet"/>
        <w:numPr>
          <w:ilvl w:val="0"/>
          <w:numId w:val="0"/>
        </w:numPr>
        <w:tabs>
          <w:tab w:val="clear" w:pos="284"/>
        </w:tabs>
      </w:pPr>
      <w:r>
        <w:t xml:space="preserve">This report summarises the progress of Australia’s aid investments in the Philippines for the period July 2013 to June 2014.  It reports on the achievements </w:t>
      </w:r>
      <w:r w:rsidR="006B1CD7">
        <w:t xml:space="preserve">against the </w:t>
      </w:r>
      <w:r>
        <w:t xml:space="preserve">objectives </w:t>
      </w:r>
      <w:r w:rsidR="006B1CD7">
        <w:t xml:space="preserve">outlined in the </w:t>
      </w:r>
      <w:r>
        <w:t xml:space="preserve">Australia-Philippines Development Cooperation Strategy 2012-2017 which </w:t>
      </w:r>
      <w:r w:rsidR="006B1CD7">
        <w:t xml:space="preserve">were </w:t>
      </w:r>
      <w:r w:rsidR="003D0206">
        <w:t xml:space="preserve">updated </w:t>
      </w:r>
      <w:r>
        <w:t>in February 2014</w:t>
      </w:r>
      <w:r w:rsidR="0073703F">
        <w:t xml:space="preserve"> coinciding with the Philippines-Australia Ministerial Meeting</w:t>
      </w:r>
      <w:r w:rsidR="007A6494">
        <w:t xml:space="preserve"> (PAMM)</w:t>
      </w:r>
      <w:r>
        <w:t>.  Australia’s aid program in the Philippines works toward the over-arching objective of ‘promoting prosperity, reducing poverty, and enhancing political stability</w:t>
      </w:r>
      <w:r w:rsidR="006B1CD7">
        <w:t>.</w:t>
      </w:r>
      <w:r w:rsidR="00E326C9">
        <w:t>’</w:t>
      </w:r>
      <w:r>
        <w:t xml:space="preserve"> </w:t>
      </w:r>
      <w:r w:rsidR="006B1CD7">
        <w:t xml:space="preserve">It is closely </w:t>
      </w:r>
      <w:r>
        <w:t xml:space="preserve">aligned with the priorities of the </w:t>
      </w:r>
      <w:r w:rsidR="004B5B8F">
        <w:t>Philippine Government</w:t>
      </w:r>
      <w:r>
        <w:t xml:space="preserve">, </w:t>
      </w:r>
      <w:r w:rsidR="006B1CD7">
        <w:t>and focusses on</w:t>
      </w:r>
      <w:r>
        <w:t>:</w:t>
      </w:r>
    </w:p>
    <w:p w:rsidR="00F329A2" w:rsidRDefault="00F329A2" w:rsidP="00374DD4">
      <w:pPr>
        <w:pStyle w:val="ListBullet"/>
        <w:numPr>
          <w:ilvl w:val="0"/>
          <w:numId w:val="24"/>
        </w:numPr>
        <w:tabs>
          <w:tab w:val="clear" w:pos="284"/>
        </w:tabs>
        <w:spacing w:after="0" w:line="240" w:lineRule="auto"/>
      </w:pPr>
      <w:r>
        <w:t>Partnering on education reforms</w:t>
      </w:r>
    </w:p>
    <w:p w:rsidR="00F329A2" w:rsidRDefault="00F329A2" w:rsidP="00374DD4">
      <w:pPr>
        <w:pStyle w:val="ListBullet"/>
        <w:numPr>
          <w:ilvl w:val="0"/>
          <w:numId w:val="24"/>
        </w:numPr>
        <w:tabs>
          <w:tab w:val="clear" w:pos="284"/>
        </w:tabs>
        <w:spacing w:after="0" w:line="240" w:lineRule="auto"/>
      </w:pPr>
      <w:r>
        <w:t>Enhancing the foundations for sustained economic growth</w:t>
      </w:r>
    </w:p>
    <w:p w:rsidR="00F329A2" w:rsidRDefault="00F329A2" w:rsidP="00374DD4">
      <w:pPr>
        <w:pStyle w:val="ListBullet"/>
        <w:numPr>
          <w:ilvl w:val="0"/>
          <w:numId w:val="24"/>
        </w:numPr>
        <w:tabs>
          <w:tab w:val="clear" w:pos="284"/>
        </w:tabs>
        <w:spacing w:after="0" w:line="240" w:lineRule="auto"/>
      </w:pPr>
      <w:r>
        <w:t>Promoting better disaster preparedness and response</w:t>
      </w:r>
    </w:p>
    <w:p w:rsidR="00F329A2" w:rsidRDefault="00F329A2" w:rsidP="00374DD4">
      <w:pPr>
        <w:pStyle w:val="ListBullet"/>
        <w:numPr>
          <w:ilvl w:val="0"/>
          <w:numId w:val="24"/>
        </w:numPr>
        <w:tabs>
          <w:tab w:val="clear" w:pos="284"/>
        </w:tabs>
        <w:spacing w:after="0" w:line="240" w:lineRule="auto"/>
      </w:pPr>
      <w:r>
        <w:t>Improving conditions for peace and security</w:t>
      </w:r>
    </w:p>
    <w:p w:rsidR="00635F8E" w:rsidRDefault="00F329A2" w:rsidP="00374DD4">
      <w:pPr>
        <w:pStyle w:val="ListBullet"/>
        <w:numPr>
          <w:ilvl w:val="0"/>
          <w:numId w:val="24"/>
        </w:numPr>
        <w:tabs>
          <w:tab w:val="clear" w:pos="284"/>
        </w:tabs>
        <w:spacing w:after="0" w:line="240" w:lineRule="auto"/>
        <w:ind w:left="714" w:hanging="357"/>
      </w:pPr>
      <w:r>
        <w:t>Building stronger institutions for transparent and accountable governance</w:t>
      </w:r>
      <w:r w:rsidR="00C15D68">
        <w:t>.</w:t>
      </w:r>
    </w:p>
    <w:p w:rsidR="006C27A1" w:rsidRDefault="006C27A1" w:rsidP="006C27A1">
      <w:pPr>
        <w:pStyle w:val="ListBullet"/>
        <w:numPr>
          <w:ilvl w:val="0"/>
          <w:numId w:val="0"/>
        </w:numPr>
        <w:tabs>
          <w:tab w:val="clear" w:pos="284"/>
        </w:tabs>
        <w:spacing w:after="0" w:line="240" w:lineRule="auto"/>
      </w:pPr>
    </w:p>
    <w:p w:rsidR="00EE763B" w:rsidRDefault="00B76ED0" w:rsidP="003C0EB4">
      <w:pPr>
        <w:pStyle w:val="ListBullet"/>
        <w:numPr>
          <w:ilvl w:val="0"/>
          <w:numId w:val="0"/>
        </w:numPr>
        <w:tabs>
          <w:tab w:val="clear" w:pos="284"/>
        </w:tabs>
      </w:pPr>
      <w:r>
        <w:t xml:space="preserve">The aid program in the </w:t>
      </w:r>
      <w:r w:rsidR="00EE763B">
        <w:t xml:space="preserve">Philippines </w:t>
      </w:r>
      <w:r>
        <w:t xml:space="preserve">continues to catalyse reforms, </w:t>
      </w:r>
      <w:r w:rsidR="00CA0A8B">
        <w:t>aid</w:t>
      </w:r>
      <w:r>
        <w:t xml:space="preserve"> policy</w:t>
      </w:r>
      <w:r w:rsidR="00CA0A8B">
        <w:t xml:space="preserve"> formulation</w:t>
      </w:r>
      <w:r>
        <w:t xml:space="preserve">, </w:t>
      </w:r>
      <w:r w:rsidR="00011D80">
        <w:t>and</w:t>
      </w:r>
      <w:r>
        <w:t xml:space="preserve"> support the </w:t>
      </w:r>
      <w:r w:rsidR="004B5B8F">
        <w:t>Philippine Government</w:t>
      </w:r>
      <w:r>
        <w:t>’s development agenda as evidenced</w:t>
      </w:r>
      <w:r w:rsidR="00011D80">
        <w:t xml:space="preserve"> by</w:t>
      </w:r>
      <w:r>
        <w:t xml:space="preserve"> </w:t>
      </w:r>
      <w:r w:rsidR="006B1CD7">
        <w:t>the following significant milestones in 2013-14:</w:t>
      </w:r>
      <w:r>
        <w:t xml:space="preserve">  </w:t>
      </w:r>
    </w:p>
    <w:p w:rsidR="000B3726" w:rsidRDefault="00362859" w:rsidP="00EE763B">
      <w:pPr>
        <w:pStyle w:val="ListBullet"/>
        <w:tabs>
          <w:tab w:val="clear" w:pos="284"/>
        </w:tabs>
      </w:pPr>
      <w:r>
        <w:t>Australia</w:t>
      </w:r>
      <w:r w:rsidR="00B76ED0">
        <w:t>’s</w:t>
      </w:r>
      <w:r>
        <w:t xml:space="preserve"> </w:t>
      </w:r>
      <w:r w:rsidR="00AF65DA">
        <w:t>immediate</w:t>
      </w:r>
      <w:r w:rsidR="00B76ED0">
        <w:t xml:space="preserve"> </w:t>
      </w:r>
      <w:r w:rsidR="006B1CD7">
        <w:t xml:space="preserve">and effective </w:t>
      </w:r>
      <w:r w:rsidR="004B5B8F">
        <w:t>response to Super-T</w:t>
      </w:r>
      <w:r w:rsidR="00B76ED0">
        <w:t xml:space="preserve">yphoon Haiyan </w:t>
      </w:r>
      <w:r w:rsidR="006B1CD7">
        <w:t xml:space="preserve">in November 2013 </w:t>
      </w:r>
      <w:r>
        <w:t xml:space="preserve">and </w:t>
      </w:r>
      <w:r w:rsidR="00B76ED0">
        <w:t xml:space="preserve">the </w:t>
      </w:r>
      <w:r>
        <w:t xml:space="preserve">recovery </w:t>
      </w:r>
      <w:r w:rsidR="00FA05FD">
        <w:t xml:space="preserve">and rehabilitation support </w:t>
      </w:r>
      <w:r>
        <w:t xml:space="preserve">to </w:t>
      </w:r>
      <w:r w:rsidR="00B76ED0">
        <w:t xml:space="preserve">devastated </w:t>
      </w:r>
      <w:r>
        <w:t>communities</w:t>
      </w:r>
      <w:r w:rsidR="00B76ED0">
        <w:t xml:space="preserve"> of Eastern Visayas</w:t>
      </w:r>
      <w:r>
        <w:t>.</w:t>
      </w:r>
      <w:r w:rsidR="000861E7" w:rsidRPr="000861E7">
        <w:rPr>
          <w:rFonts w:eastAsia="Calibri"/>
          <w:szCs w:val="21"/>
          <w:lang w:eastAsia="en-US"/>
        </w:rPr>
        <w:t xml:space="preserve"> </w:t>
      </w:r>
      <w:r w:rsidR="0060227F" w:rsidRPr="00BA4850">
        <w:rPr>
          <w:rFonts w:eastAsia="Calibri"/>
          <w:szCs w:val="21"/>
          <w:lang w:eastAsia="en-US"/>
        </w:rPr>
        <w:t>Australia</w:t>
      </w:r>
      <w:r w:rsidR="007A6494">
        <w:rPr>
          <w:rFonts w:eastAsia="Calibri"/>
          <w:szCs w:val="21"/>
          <w:lang w:eastAsia="en-US"/>
        </w:rPr>
        <w:t>’s</w:t>
      </w:r>
      <w:r w:rsidR="0060227F" w:rsidRPr="00C00586">
        <w:rPr>
          <w:rFonts w:eastAsia="Calibri"/>
          <w:szCs w:val="21"/>
          <w:lang w:eastAsia="en-US"/>
        </w:rPr>
        <w:t xml:space="preserve"> $41 million </w:t>
      </w:r>
      <w:r w:rsidR="007A6494">
        <w:rPr>
          <w:rFonts w:eastAsia="Calibri"/>
          <w:szCs w:val="21"/>
          <w:lang w:eastAsia="en-US"/>
        </w:rPr>
        <w:t xml:space="preserve">contribution </w:t>
      </w:r>
      <w:r w:rsidR="0060227F">
        <w:rPr>
          <w:rFonts w:eastAsia="Calibri"/>
          <w:szCs w:val="21"/>
          <w:lang w:eastAsia="en-US"/>
        </w:rPr>
        <w:t>provide</w:t>
      </w:r>
      <w:r w:rsidR="007A6494">
        <w:rPr>
          <w:rFonts w:eastAsia="Calibri"/>
          <w:szCs w:val="21"/>
          <w:lang w:eastAsia="en-US"/>
        </w:rPr>
        <w:t>d</w:t>
      </w:r>
      <w:r w:rsidR="0060227F">
        <w:rPr>
          <w:rFonts w:eastAsia="Calibri"/>
          <w:szCs w:val="21"/>
          <w:lang w:eastAsia="en-US"/>
        </w:rPr>
        <w:t xml:space="preserve"> </w:t>
      </w:r>
      <w:r w:rsidR="0060227F" w:rsidRPr="00C00586">
        <w:rPr>
          <w:rFonts w:eastAsia="Calibri"/>
          <w:szCs w:val="21"/>
          <w:lang w:eastAsia="en-US"/>
        </w:rPr>
        <w:t xml:space="preserve">immediate and life-saving </w:t>
      </w:r>
      <w:r w:rsidR="00BD042A">
        <w:rPr>
          <w:rFonts w:eastAsia="Calibri"/>
          <w:szCs w:val="21"/>
          <w:lang w:eastAsia="en-US"/>
        </w:rPr>
        <w:t xml:space="preserve">support to </w:t>
      </w:r>
      <w:r w:rsidR="0060227F">
        <w:rPr>
          <w:rFonts w:eastAsia="Calibri"/>
          <w:szCs w:val="21"/>
          <w:lang w:eastAsia="en-US"/>
        </w:rPr>
        <w:t xml:space="preserve">over </w:t>
      </w:r>
      <w:r w:rsidR="004B5B8F">
        <w:rPr>
          <w:rFonts w:eastAsia="Calibri"/>
          <w:szCs w:val="21"/>
          <w:lang w:eastAsia="en-US"/>
        </w:rPr>
        <w:t>three</w:t>
      </w:r>
      <w:r w:rsidR="0060227F" w:rsidRPr="00C00586">
        <w:rPr>
          <w:rFonts w:eastAsia="Calibri"/>
          <w:szCs w:val="21"/>
          <w:lang w:eastAsia="en-US"/>
        </w:rPr>
        <w:t xml:space="preserve"> million people.</w:t>
      </w:r>
      <w:r w:rsidR="0060227F">
        <w:rPr>
          <w:rFonts w:eastAsia="Calibri"/>
          <w:szCs w:val="21"/>
          <w:lang w:eastAsia="en-US"/>
        </w:rPr>
        <w:t xml:space="preserve"> </w:t>
      </w:r>
      <w:r w:rsidR="00AF65DA">
        <w:rPr>
          <w:rFonts w:eastAsia="Calibri"/>
          <w:szCs w:val="21"/>
          <w:lang w:eastAsia="en-US"/>
        </w:rPr>
        <w:t xml:space="preserve"> </w:t>
      </w:r>
      <w:r w:rsidR="00B76ED0">
        <w:rPr>
          <w:rFonts w:eastAsia="Calibri"/>
          <w:szCs w:val="21"/>
          <w:lang w:eastAsia="en-US"/>
        </w:rPr>
        <w:t>At least 3,281 patients were treated and 238 surgeries were performed by t</w:t>
      </w:r>
      <w:r w:rsidR="00D45C33">
        <w:rPr>
          <w:rFonts w:eastAsia="Calibri"/>
          <w:szCs w:val="21"/>
          <w:lang w:eastAsia="en-US"/>
        </w:rPr>
        <w:t xml:space="preserve">he </w:t>
      </w:r>
      <w:r w:rsidR="000861E7" w:rsidRPr="00C00586">
        <w:rPr>
          <w:rFonts w:eastAsia="Calibri"/>
          <w:szCs w:val="21"/>
          <w:lang w:eastAsia="en-US"/>
        </w:rPr>
        <w:t>Australian Medical Assistance Team</w:t>
      </w:r>
      <w:r w:rsidR="0060227F">
        <w:rPr>
          <w:rFonts w:eastAsia="Calibri"/>
          <w:szCs w:val="21"/>
          <w:lang w:eastAsia="en-US"/>
        </w:rPr>
        <w:t>. </w:t>
      </w:r>
      <w:r w:rsidR="000861E7" w:rsidRPr="00C00586">
        <w:rPr>
          <w:rFonts w:eastAsia="Calibri"/>
          <w:szCs w:val="21"/>
          <w:lang w:eastAsia="en-US"/>
        </w:rPr>
        <w:t xml:space="preserve">The </w:t>
      </w:r>
      <w:r w:rsidR="000C074E">
        <w:rPr>
          <w:rFonts w:eastAsia="Calibri"/>
          <w:szCs w:val="21"/>
          <w:lang w:eastAsia="en-US"/>
        </w:rPr>
        <w:t>Royal Australian Air Force</w:t>
      </w:r>
      <w:r w:rsidR="000861E7" w:rsidRPr="00C00586">
        <w:rPr>
          <w:rFonts w:eastAsia="Calibri"/>
          <w:szCs w:val="21"/>
          <w:lang w:eastAsia="en-US"/>
        </w:rPr>
        <w:t xml:space="preserve"> </w:t>
      </w:r>
      <w:r w:rsidR="00B76ED0">
        <w:rPr>
          <w:rFonts w:eastAsia="Calibri"/>
          <w:szCs w:val="21"/>
          <w:lang w:eastAsia="en-US"/>
        </w:rPr>
        <w:t>provided much need</w:t>
      </w:r>
      <w:r w:rsidR="00635F8E">
        <w:rPr>
          <w:rFonts w:eastAsia="Calibri"/>
          <w:szCs w:val="21"/>
          <w:lang w:eastAsia="en-US"/>
        </w:rPr>
        <w:t>ed</w:t>
      </w:r>
      <w:r w:rsidR="00B76ED0">
        <w:rPr>
          <w:rFonts w:eastAsia="Calibri"/>
          <w:szCs w:val="21"/>
          <w:lang w:eastAsia="en-US"/>
        </w:rPr>
        <w:t xml:space="preserve"> air transport </w:t>
      </w:r>
      <w:r w:rsidR="009E371B">
        <w:rPr>
          <w:rFonts w:eastAsia="Calibri"/>
          <w:szCs w:val="21"/>
          <w:lang w:eastAsia="en-US"/>
        </w:rPr>
        <w:t xml:space="preserve">- </w:t>
      </w:r>
      <w:r w:rsidR="000861E7" w:rsidRPr="00C00586">
        <w:rPr>
          <w:rFonts w:eastAsia="Calibri"/>
          <w:szCs w:val="21"/>
          <w:lang w:eastAsia="en-US"/>
        </w:rPr>
        <w:t>transport</w:t>
      </w:r>
      <w:r w:rsidR="00635F8E">
        <w:rPr>
          <w:rFonts w:eastAsia="Calibri"/>
          <w:szCs w:val="21"/>
          <w:lang w:eastAsia="en-US"/>
        </w:rPr>
        <w:t>ing</w:t>
      </w:r>
      <w:r w:rsidR="000861E7" w:rsidRPr="00C00586">
        <w:rPr>
          <w:rFonts w:eastAsia="Calibri"/>
          <w:szCs w:val="21"/>
          <w:lang w:eastAsia="en-US"/>
        </w:rPr>
        <w:t xml:space="preserve"> over 1,800 metric tonnes of relief goods, 200 officials and humanitarian </w:t>
      </w:r>
      <w:r w:rsidR="000861E7">
        <w:rPr>
          <w:rFonts w:eastAsia="Calibri"/>
          <w:szCs w:val="21"/>
          <w:lang w:eastAsia="en-US"/>
        </w:rPr>
        <w:t>workers,</w:t>
      </w:r>
      <w:r w:rsidR="000861E7" w:rsidRPr="00C00586">
        <w:rPr>
          <w:rFonts w:eastAsia="Calibri"/>
          <w:szCs w:val="21"/>
          <w:lang w:eastAsia="en-US"/>
        </w:rPr>
        <w:t xml:space="preserve"> and 3,300 </w:t>
      </w:r>
      <w:r w:rsidR="0060227F">
        <w:rPr>
          <w:rFonts w:eastAsia="Calibri"/>
          <w:szCs w:val="21"/>
          <w:lang w:eastAsia="en-US"/>
        </w:rPr>
        <w:t>survivors. T</w:t>
      </w:r>
      <w:r w:rsidR="000861E7" w:rsidRPr="00C00586">
        <w:rPr>
          <w:rFonts w:eastAsia="Calibri"/>
          <w:szCs w:val="21"/>
          <w:lang w:eastAsia="en-US"/>
        </w:rPr>
        <w:t xml:space="preserve">he Australian Defence Force </w:t>
      </w:r>
      <w:r w:rsidR="0060227F">
        <w:rPr>
          <w:rFonts w:eastAsia="Calibri"/>
          <w:szCs w:val="21"/>
          <w:lang w:eastAsia="en-US"/>
        </w:rPr>
        <w:t xml:space="preserve">also helped </w:t>
      </w:r>
      <w:r w:rsidR="000861E7">
        <w:rPr>
          <w:rFonts w:eastAsia="Calibri"/>
          <w:szCs w:val="21"/>
          <w:lang w:eastAsia="en-US"/>
        </w:rPr>
        <w:t>repair</w:t>
      </w:r>
      <w:r w:rsidR="000861E7" w:rsidRPr="00C00586">
        <w:rPr>
          <w:rFonts w:eastAsia="Calibri"/>
          <w:szCs w:val="21"/>
          <w:lang w:eastAsia="en-US"/>
        </w:rPr>
        <w:t xml:space="preserve"> 16 schools </w:t>
      </w:r>
      <w:r w:rsidR="000861E7">
        <w:rPr>
          <w:rFonts w:eastAsia="Calibri"/>
          <w:szCs w:val="21"/>
          <w:lang w:eastAsia="en-US"/>
        </w:rPr>
        <w:t xml:space="preserve">allowing </w:t>
      </w:r>
      <w:r w:rsidR="000861E7" w:rsidRPr="00C00586">
        <w:rPr>
          <w:rFonts w:eastAsia="Calibri"/>
          <w:szCs w:val="21"/>
          <w:lang w:eastAsia="en-US"/>
        </w:rPr>
        <w:t>15,00</w:t>
      </w:r>
      <w:r w:rsidR="00D173B4">
        <w:rPr>
          <w:rFonts w:eastAsia="Calibri"/>
          <w:szCs w:val="21"/>
          <w:lang w:eastAsia="en-US"/>
        </w:rPr>
        <w:t>0 children to go back to school;</w:t>
      </w:r>
    </w:p>
    <w:p w:rsidR="00D173B4" w:rsidRDefault="00635F8E" w:rsidP="004B5B8F">
      <w:pPr>
        <w:pStyle w:val="ListBullet"/>
        <w:tabs>
          <w:tab w:val="clear" w:pos="284"/>
          <w:tab w:val="left" w:pos="426"/>
        </w:tabs>
      </w:pPr>
      <w:r>
        <w:t>B</w:t>
      </w:r>
      <w:r w:rsidR="00D173B4">
        <w:t xml:space="preserve">uilding </w:t>
      </w:r>
      <w:r w:rsidR="0073703F">
        <w:t xml:space="preserve">1,540 </w:t>
      </w:r>
      <w:r w:rsidR="00D173B4">
        <w:t xml:space="preserve">classrooms </w:t>
      </w:r>
      <w:r w:rsidR="0073703F">
        <w:t xml:space="preserve">and early learning centres </w:t>
      </w:r>
      <w:r w:rsidR="00D173B4">
        <w:t xml:space="preserve">and </w:t>
      </w:r>
      <w:r w:rsidR="00011D80">
        <w:t>supporting</w:t>
      </w:r>
      <w:r w:rsidR="0073703F">
        <w:t xml:space="preserve"> the </w:t>
      </w:r>
      <w:r w:rsidR="00A12A1C">
        <w:t>operations</w:t>
      </w:r>
      <w:r w:rsidR="0073703F">
        <w:t xml:space="preserve"> of </w:t>
      </w:r>
      <w:r w:rsidR="00D173B4">
        <w:t>1,</w:t>
      </w:r>
      <w:r w:rsidR="009E371B">
        <w:t>46</w:t>
      </w:r>
      <w:r w:rsidR="0073703F">
        <w:t>0</w:t>
      </w:r>
      <w:r w:rsidR="00D173B4">
        <w:t xml:space="preserve"> alternative community learning centres in </w:t>
      </w:r>
      <w:r w:rsidR="00060558">
        <w:t>the</w:t>
      </w:r>
      <w:r w:rsidR="00D173B4">
        <w:t xml:space="preserve"> </w:t>
      </w:r>
      <w:r w:rsidR="00060558" w:rsidRPr="00060558">
        <w:t xml:space="preserve">Autonomous Region of </w:t>
      </w:r>
      <w:r w:rsidR="00D173B4">
        <w:t>Muslim Mindanao</w:t>
      </w:r>
      <w:r w:rsidR="00011D80">
        <w:t>;</w:t>
      </w:r>
    </w:p>
    <w:p w:rsidR="005E59D6" w:rsidRDefault="00635F8E" w:rsidP="005E59D6">
      <w:pPr>
        <w:pStyle w:val="ListBullet"/>
        <w:tabs>
          <w:tab w:val="clear" w:pos="284"/>
        </w:tabs>
      </w:pPr>
      <w:r>
        <w:t>S</w:t>
      </w:r>
      <w:r w:rsidR="005E59D6">
        <w:t>upport</w:t>
      </w:r>
      <w:r>
        <w:t>ing</w:t>
      </w:r>
      <w:r w:rsidR="005E59D6">
        <w:t xml:space="preserve"> </w:t>
      </w:r>
      <w:r w:rsidR="00BA3136">
        <w:t xml:space="preserve">the </w:t>
      </w:r>
      <w:r>
        <w:t xml:space="preserve">Philippines </w:t>
      </w:r>
      <w:r w:rsidR="005E59D6">
        <w:t xml:space="preserve">Public-Private Partnership (PPP) program </w:t>
      </w:r>
      <w:r>
        <w:t xml:space="preserve">to achieve the signing of </w:t>
      </w:r>
      <w:r w:rsidR="005E59D6">
        <w:t>seven infrastructure projects</w:t>
      </w:r>
      <w:r w:rsidR="005E59D6" w:rsidRPr="00F94F2A">
        <w:rPr>
          <w:rFonts w:eastAsia="Calibri"/>
          <w:szCs w:val="21"/>
          <w:lang w:eastAsia="en-US"/>
        </w:rPr>
        <w:t xml:space="preserve"> </w:t>
      </w:r>
      <w:r w:rsidR="00D173B4">
        <w:rPr>
          <w:rFonts w:eastAsia="Calibri"/>
          <w:szCs w:val="21"/>
          <w:lang w:eastAsia="en-US"/>
        </w:rPr>
        <w:t xml:space="preserve">worth at least </w:t>
      </w:r>
      <w:r w:rsidR="004407E0">
        <w:rPr>
          <w:rFonts w:eastAsia="Calibri"/>
          <w:szCs w:val="21"/>
          <w:lang w:eastAsia="en-US"/>
        </w:rPr>
        <w:t>USD1.57 b</w:t>
      </w:r>
      <w:r w:rsidR="00D173B4">
        <w:rPr>
          <w:rFonts w:eastAsia="Calibri"/>
          <w:szCs w:val="21"/>
          <w:lang w:eastAsia="en-US"/>
        </w:rPr>
        <w:t>illion;</w:t>
      </w:r>
    </w:p>
    <w:p w:rsidR="00F04532" w:rsidRPr="00F04532" w:rsidRDefault="00635F8E" w:rsidP="00AD0511">
      <w:pPr>
        <w:pStyle w:val="ListBullet"/>
        <w:tabs>
          <w:tab w:val="clear" w:pos="284"/>
        </w:tabs>
      </w:pPr>
      <w:r>
        <w:rPr>
          <w:rFonts w:eastAsia="Calibri"/>
          <w:szCs w:val="21"/>
          <w:lang w:eastAsia="en-US"/>
        </w:rPr>
        <w:t xml:space="preserve">Assisting </w:t>
      </w:r>
      <w:r w:rsidR="00F04532">
        <w:rPr>
          <w:rFonts w:eastAsia="Calibri"/>
          <w:szCs w:val="21"/>
          <w:lang w:eastAsia="en-US"/>
        </w:rPr>
        <w:t xml:space="preserve">the </w:t>
      </w:r>
      <w:r w:rsidR="004B5B8F">
        <w:rPr>
          <w:rFonts w:eastAsia="Calibri"/>
          <w:szCs w:val="21"/>
          <w:lang w:eastAsia="en-US"/>
        </w:rPr>
        <w:t>Philippine Government</w:t>
      </w:r>
      <w:r>
        <w:rPr>
          <w:rFonts w:eastAsia="Calibri"/>
          <w:szCs w:val="21"/>
          <w:lang w:eastAsia="en-US"/>
        </w:rPr>
        <w:t xml:space="preserve"> implement</w:t>
      </w:r>
      <w:r w:rsidR="00F04532">
        <w:rPr>
          <w:rFonts w:eastAsia="Calibri"/>
          <w:szCs w:val="21"/>
          <w:lang w:eastAsia="en-US"/>
        </w:rPr>
        <w:t xml:space="preserve"> the treasury single account </w:t>
      </w:r>
      <w:r>
        <w:rPr>
          <w:rFonts w:eastAsia="Calibri"/>
          <w:szCs w:val="21"/>
          <w:lang w:eastAsia="en-US"/>
        </w:rPr>
        <w:t xml:space="preserve">resulting </w:t>
      </w:r>
      <w:r w:rsidR="00F04532">
        <w:rPr>
          <w:rFonts w:eastAsia="Calibri"/>
          <w:szCs w:val="21"/>
          <w:lang w:eastAsia="en-US"/>
        </w:rPr>
        <w:t xml:space="preserve">in savings of </w:t>
      </w:r>
      <w:r w:rsidR="00F04532" w:rsidRPr="00004DD2">
        <w:rPr>
          <w:rFonts w:eastAsia="Calibri"/>
          <w:szCs w:val="21"/>
          <w:lang w:eastAsia="en-US"/>
        </w:rPr>
        <w:t>$</w:t>
      </w:r>
      <w:r w:rsidR="005E59D6">
        <w:rPr>
          <w:rFonts w:eastAsia="Calibri"/>
          <w:szCs w:val="21"/>
          <w:lang w:eastAsia="en-US"/>
        </w:rPr>
        <w:t xml:space="preserve">10 million </w:t>
      </w:r>
      <w:r w:rsidR="00F04532">
        <w:rPr>
          <w:rFonts w:eastAsia="Calibri"/>
          <w:szCs w:val="21"/>
          <w:lang w:eastAsia="en-US"/>
        </w:rPr>
        <w:t>through the rationalisa</w:t>
      </w:r>
      <w:r w:rsidR="00D173B4">
        <w:rPr>
          <w:rFonts w:eastAsia="Calibri"/>
          <w:szCs w:val="21"/>
          <w:lang w:eastAsia="en-US"/>
        </w:rPr>
        <w:t>tion of dormant bank accounts;</w:t>
      </w:r>
      <w:r>
        <w:rPr>
          <w:rFonts w:eastAsia="Calibri"/>
          <w:szCs w:val="21"/>
          <w:lang w:eastAsia="en-US"/>
        </w:rPr>
        <w:t xml:space="preserve"> and</w:t>
      </w:r>
    </w:p>
    <w:p w:rsidR="006C27A1" w:rsidRDefault="00635F8E" w:rsidP="000D733F">
      <w:pPr>
        <w:pStyle w:val="ListBullet"/>
        <w:tabs>
          <w:tab w:val="clear" w:pos="284"/>
        </w:tabs>
      </w:pPr>
      <w:r>
        <w:t xml:space="preserve">Providing </w:t>
      </w:r>
      <w:r w:rsidR="003D0345">
        <w:t xml:space="preserve">technical assistance to the </w:t>
      </w:r>
      <w:r w:rsidR="004B5B8F">
        <w:t>Philippine Government</w:t>
      </w:r>
      <w:r w:rsidR="003D0345">
        <w:t xml:space="preserve"> Negotiating Panel and the Bangsamoro Transition Commission </w:t>
      </w:r>
      <w:r w:rsidR="00225C7E">
        <w:t xml:space="preserve">during the </w:t>
      </w:r>
      <w:r w:rsidR="001E39FA">
        <w:t xml:space="preserve">peace </w:t>
      </w:r>
      <w:r w:rsidR="00225C7E">
        <w:t>negotiations (</w:t>
      </w:r>
      <w:r w:rsidR="001E39FA">
        <w:t xml:space="preserve">between the </w:t>
      </w:r>
      <w:r w:rsidR="004B5B8F">
        <w:t>Philippine Government</w:t>
      </w:r>
      <w:r w:rsidR="001E39FA">
        <w:t xml:space="preserve"> and the Moro Islamic Liberation Fron</w:t>
      </w:r>
      <w:r>
        <w:t>t</w:t>
      </w:r>
      <w:r w:rsidR="00225C7E">
        <w:t>)</w:t>
      </w:r>
      <w:r>
        <w:t xml:space="preserve">, and </w:t>
      </w:r>
      <w:r w:rsidR="003D729E">
        <w:t xml:space="preserve">funding </w:t>
      </w:r>
      <w:r w:rsidR="003D729E" w:rsidRPr="00635F8E">
        <w:t>multi</w:t>
      </w:r>
      <w:r w:rsidR="00225C7E">
        <w:t>-</w:t>
      </w:r>
      <w:r w:rsidR="003D729E" w:rsidRPr="00635F8E">
        <w:t>sectoral</w:t>
      </w:r>
      <w:r>
        <w:t xml:space="preserve"> consultations that contributed to wide</w:t>
      </w:r>
      <w:r w:rsidR="00225C7E">
        <w:t>r</w:t>
      </w:r>
      <w:r>
        <w:t xml:space="preserve"> support and credibility of the peace </w:t>
      </w:r>
      <w:r w:rsidR="003D729E">
        <w:t>negotiations</w:t>
      </w:r>
      <w:r>
        <w:t>.</w:t>
      </w:r>
    </w:p>
    <w:p w:rsidR="000D733F" w:rsidRPr="006C27A1" w:rsidRDefault="000D733F" w:rsidP="006C27A1">
      <w:pPr>
        <w:pStyle w:val="Heading2"/>
        <w:spacing w:before="0"/>
        <w:rPr>
          <w:sz w:val="28"/>
        </w:rPr>
      </w:pPr>
      <w:r w:rsidRPr="006C27A1">
        <w:rPr>
          <w:sz w:val="28"/>
        </w:rPr>
        <w:lastRenderedPageBreak/>
        <w:t>Context</w:t>
      </w:r>
      <w:r w:rsidRPr="006C27A1">
        <w:rPr>
          <w:sz w:val="28"/>
        </w:rPr>
        <w:tab/>
      </w:r>
      <w:r w:rsidRPr="006C27A1">
        <w:rPr>
          <w:sz w:val="28"/>
        </w:rPr>
        <w:tab/>
      </w:r>
      <w:r w:rsidRPr="006C27A1">
        <w:rPr>
          <w:sz w:val="28"/>
        </w:rPr>
        <w:tab/>
      </w:r>
      <w:r w:rsidRPr="006C27A1">
        <w:rPr>
          <w:sz w:val="28"/>
        </w:rPr>
        <w:tab/>
      </w:r>
      <w:r w:rsidRPr="006C27A1">
        <w:rPr>
          <w:sz w:val="28"/>
        </w:rPr>
        <w:tab/>
      </w:r>
      <w:r w:rsidRPr="006C27A1">
        <w:rPr>
          <w:sz w:val="28"/>
        </w:rPr>
        <w:tab/>
      </w:r>
    </w:p>
    <w:p w:rsidR="00601472" w:rsidRPr="001D58B1" w:rsidRDefault="00601472" w:rsidP="00601472">
      <w:pPr>
        <w:pStyle w:val="BodyText"/>
        <w:rPr>
          <w:szCs w:val="22"/>
        </w:rPr>
      </w:pPr>
      <w:r w:rsidRPr="001D58B1">
        <w:rPr>
          <w:szCs w:val="22"/>
        </w:rPr>
        <w:t xml:space="preserve">The Philippines continued to </w:t>
      </w:r>
      <w:r w:rsidR="00B70B52">
        <w:rPr>
          <w:szCs w:val="22"/>
        </w:rPr>
        <w:t>enjoy</w:t>
      </w:r>
      <w:r w:rsidRPr="001D58B1">
        <w:rPr>
          <w:szCs w:val="22"/>
        </w:rPr>
        <w:t xml:space="preserve"> many positive economic trends during 2013-14, alongside</w:t>
      </w:r>
      <w:r>
        <w:rPr>
          <w:szCs w:val="22"/>
        </w:rPr>
        <w:t xml:space="preserve"> major</w:t>
      </w:r>
      <w:r w:rsidRPr="001D58B1">
        <w:rPr>
          <w:szCs w:val="22"/>
        </w:rPr>
        <w:t xml:space="preserve"> challenges still to be resolved. Annual growth for 2013 increased to 7.2 per cent, as compared to an already impressive 6.6 per cent in 2012 and a growth forecast of 6.4 per cent</w:t>
      </w:r>
      <w:r>
        <w:rPr>
          <w:szCs w:val="22"/>
        </w:rPr>
        <w:t xml:space="preserve"> </w:t>
      </w:r>
      <w:r w:rsidRPr="001D58B1">
        <w:rPr>
          <w:szCs w:val="22"/>
        </w:rPr>
        <w:t>for 2014.</w:t>
      </w:r>
      <w:r w:rsidR="00101509">
        <w:rPr>
          <w:rStyle w:val="FootnoteReference"/>
        </w:rPr>
        <w:footnoteReference w:id="2"/>
      </w:r>
      <w:r>
        <w:rPr>
          <w:szCs w:val="22"/>
        </w:rPr>
        <w:t xml:space="preserve"> </w:t>
      </w:r>
      <w:r w:rsidRPr="001D58B1">
        <w:rPr>
          <w:szCs w:val="22"/>
        </w:rPr>
        <w:t xml:space="preserve">In terms of per capita income, </w:t>
      </w:r>
      <w:r w:rsidRPr="0012730E">
        <w:rPr>
          <w:szCs w:val="22"/>
        </w:rPr>
        <w:t xml:space="preserve">the </w:t>
      </w:r>
      <w:r w:rsidR="00AB689F">
        <w:rPr>
          <w:szCs w:val="22"/>
        </w:rPr>
        <w:t>Philippines</w:t>
      </w:r>
      <w:r w:rsidRPr="0012730E">
        <w:rPr>
          <w:szCs w:val="22"/>
        </w:rPr>
        <w:t xml:space="preserve"> was twice as rich in 2013 as it was in 2006</w:t>
      </w:r>
      <w:r w:rsidR="00B70B52">
        <w:rPr>
          <w:rStyle w:val="FootnoteReference"/>
        </w:rPr>
        <w:footnoteReference w:id="3"/>
      </w:r>
      <w:r w:rsidRPr="001D58B1">
        <w:rPr>
          <w:szCs w:val="22"/>
        </w:rPr>
        <w:t>; if current growth rates can be sustained over the next decade, per capita income will</w:t>
      </w:r>
      <w:r w:rsidR="00C15D68">
        <w:rPr>
          <w:szCs w:val="22"/>
        </w:rPr>
        <w:t xml:space="preserve"> </w:t>
      </w:r>
      <w:r w:rsidRPr="001D58B1">
        <w:rPr>
          <w:szCs w:val="22"/>
        </w:rPr>
        <w:t>double</w:t>
      </w:r>
      <w:r w:rsidR="004B5B8F" w:rsidRPr="004B5B8F">
        <w:rPr>
          <w:szCs w:val="22"/>
        </w:rPr>
        <w:t xml:space="preserve"> </w:t>
      </w:r>
      <w:r w:rsidR="004B5B8F">
        <w:rPr>
          <w:szCs w:val="22"/>
        </w:rPr>
        <w:t>again</w:t>
      </w:r>
      <w:r w:rsidRPr="001D58B1">
        <w:rPr>
          <w:szCs w:val="22"/>
        </w:rPr>
        <w:t>.</w:t>
      </w:r>
    </w:p>
    <w:p w:rsidR="00601472" w:rsidRPr="001D58B1" w:rsidRDefault="00601472" w:rsidP="00601472">
      <w:pPr>
        <w:pStyle w:val="BodyText"/>
        <w:rPr>
          <w:szCs w:val="22"/>
        </w:rPr>
      </w:pPr>
      <w:r w:rsidRPr="001D58B1">
        <w:rPr>
          <w:szCs w:val="22"/>
        </w:rPr>
        <w:t xml:space="preserve">One key challenge is to ensure that </w:t>
      </w:r>
      <w:r w:rsidR="00C15D68">
        <w:rPr>
          <w:szCs w:val="22"/>
        </w:rPr>
        <w:t xml:space="preserve">the benefits of </w:t>
      </w:r>
      <w:r w:rsidRPr="001D58B1">
        <w:rPr>
          <w:szCs w:val="22"/>
        </w:rPr>
        <w:t>economic expansion</w:t>
      </w:r>
      <w:r w:rsidR="004B5B8F">
        <w:rPr>
          <w:szCs w:val="22"/>
        </w:rPr>
        <w:t xml:space="preserve"> </w:t>
      </w:r>
      <w:r w:rsidR="00C15D68">
        <w:rPr>
          <w:szCs w:val="22"/>
        </w:rPr>
        <w:t>are shared with</w:t>
      </w:r>
      <w:r w:rsidR="00C15D68" w:rsidRPr="001D58B1">
        <w:rPr>
          <w:szCs w:val="22"/>
        </w:rPr>
        <w:t xml:space="preserve"> </w:t>
      </w:r>
      <w:r w:rsidRPr="001D58B1">
        <w:rPr>
          <w:szCs w:val="22"/>
        </w:rPr>
        <w:t xml:space="preserve">the population as a whole. After many years in which poverty rates seemed impervious to growth, the number of poor (i.e., those living on less than roughly </w:t>
      </w:r>
      <w:r w:rsidR="005C0290">
        <w:rPr>
          <w:szCs w:val="22"/>
        </w:rPr>
        <w:t>$</w:t>
      </w:r>
      <w:r w:rsidRPr="001D58B1">
        <w:rPr>
          <w:szCs w:val="22"/>
        </w:rPr>
        <w:t xml:space="preserve">1.25 per day) declined from 27.9 </w:t>
      </w:r>
      <w:r w:rsidR="00C77FE9">
        <w:rPr>
          <w:szCs w:val="22"/>
        </w:rPr>
        <w:t xml:space="preserve"> </w:t>
      </w:r>
      <w:r w:rsidRPr="001D58B1">
        <w:rPr>
          <w:szCs w:val="22"/>
        </w:rPr>
        <w:t xml:space="preserve">per cent to 24.9 per cent between 2012 and 2013. This has lifted 2.5 million Filipinos over the poverty line. </w:t>
      </w:r>
      <w:r w:rsidR="00BD042A">
        <w:rPr>
          <w:szCs w:val="22"/>
        </w:rPr>
        <w:t>Nonetheless</w:t>
      </w:r>
      <w:r w:rsidRPr="001D58B1">
        <w:rPr>
          <w:szCs w:val="22"/>
        </w:rPr>
        <w:t>, much larger numbers of poor—those who experience greater depth</w:t>
      </w:r>
      <w:r>
        <w:rPr>
          <w:szCs w:val="22"/>
        </w:rPr>
        <w:t>s</w:t>
      </w:r>
      <w:r w:rsidRPr="001D58B1">
        <w:rPr>
          <w:szCs w:val="22"/>
        </w:rPr>
        <w:t xml:space="preserve"> of poverty—have </w:t>
      </w:r>
      <w:r w:rsidR="0049063C">
        <w:rPr>
          <w:szCs w:val="22"/>
        </w:rPr>
        <w:t>been excluded from the benefits</w:t>
      </w:r>
      <w:r w:rsidRPr="001D58B1">
        <w:rPr>
          <w:szCs w:val="22"/>
        </w:rPr>
        <w:t xml:space="preserve"> of the </w:t>
      </w:r>
      <w:r w:rsidR="0049063C">
        <w:rPr>
          <w:szCs w:val="22"/>
        </w:rPr>
        <w:t>Philippines’</w:t>
      </w:r>
      <w:r w:rsidRPr="001D58B1">
        <w:rPr>
          <w:szCs w:val="22"/>
        </w:rPr>
        <w:t xml:space="preserve"> growing economy.</w:t>
      </w:r>
      <w:r>
        <w:rPr>
          <w:szCs w:val="22"/>
        </w:rPr>
        <w:t xml:space="preserve"> Until recently, relatively few jobs have been created in the midst of economic expansion.</w:t>
      </w:r>
      <w:r w:rsidRPr="001D58B1">
        <w:rPr>
          <w:szCs w:val="22"/>
        </w:rPr>
        <w:t xml:space="preserve"> </w:t>
      </w:r>
      <w:r>
        <w:rPr>
          <w:szCs w:val="22"/>
        </w:rPr>
        <w:t>The promotion of more inclusive growth is a major goal of the current administration prior to the end of its term in 2016, as stated most recently in the Midterm Update of the 2011-2016 Philippine Development Plan</w:t>
      </w:r>
      <w:r w:rsidR="004B5B8F">
        <w:rPr>
          <w:rStyle w:val="FootnoteReference"/>
        </w:rPr>
        <w:footnoteReference w:id="4"/>
      </w:r>
      <w:r w:rsidRPr="001D58B1">
        <w:rPr>
          <w:szCs w:val="22"/>
        </w:rPr>
        <w:t xml:space="preserve">. </w:t>
      </w:r>
    </w:p>
    <w:p w:rsidR="00601472" w:rsidRPr="001D58B1" w:rsidRDefault="00601472" w:rsidP="00601472">
      <w:pPr>
        <w:pStyle w:val="BodyText"/>
        <w:rPr>
          <w:szCs w:val="22"/>
        </w:rPr>
      </w:pPr>
      <w:r w:rsidRPr="001D58B1">
        <w:rPr>
          <w:szCs w:val="22"/>
        </w:rPr>
        <w:t>The national economy depe</w:t>
      </w:r>
      <w:r>
        <w:rPr>
          <w:szCs w:val="22"/>
        </w:rPr>
        <w:t>nds very heavily</w:t>
      </w:r>
      <w:r w:rsidRPr="001D58B1">
        <w:rPr>
          <w:szCs w:val="22"/>
        </w:rPr>
        <w:t xml:space="preserve"> on the contributions of overseas Philippine workers, who in 2013 remitted USD26.7 billion. The second most important engine of growth comes from the fast-growing business process outsourcing </w:t>
      </w:r>
      <w:r w:rsidR="00B70B52">
        <w:rPr>
          <w:szCs w:val="22"/>
        </w:rPr>
        <w:t>(BPO)</w:t>
      </w:r>
      <w:r w:rsidRPr="001D58B1">
        <w:rPr>
          <w:szCs w:val="22"/>
        </w:rPr>
        <w:t xml:space="preserve"> industry, which in 2013 generated roughly USD1</w:t>
      </w:r>
      <w:r w:rsidR="004831ED">
        <w:rPr>
          <w:szCs w:val="22"/>
        </w:rPr>
        <w:t>5</w:t>
      </w:r>
      <w:r w:rsidRPr="001D58B1">
        <w:rPr>
          <w:szCs w:val="22"/>
        </w:rPr>
        <w:t xml:space="preserve"> billion in export earnings. As important </w:t>
      </w:r>
      <w:r>
        <w:rPr>
          <w:szCs w:val="22"/>
        </w:rPr>
        <w:t xml:space="preserve">as </w:t>
      </w:r>
      <w:r w:rsidR="00A84711">
        <w:rPr>
          <w:szCs w:val="22"/>
        </w:rPr>
        <w:t xml:space="preserve">overseas </w:t>
      </w:r>
      <w:r w:rsidR="000B37FD">
        <w:rPr>
          <w:szCs w:val="22"/>
        </w:rPr>
        <w:t xml:space="preserve">remittances </w:t>
      </w:r>
      <w:r w:rsidR="00A84711">
        <w:rPr>
          <w:szCs w:val="22"/>
        </w:rPr>
        <w:t>and BPO employment</w:t>
      </w:r>
      <w:r>
        <w:rPr>
          <w:szCs w:val="22"/>
        </w:rPr>
        <w:t xml:space="preserve"> are to the well-being</w:t>
      </w:r>
      <w:r w:rsidRPr="001D58B1">
        <w:rPr>
          <w:szCs w:val="22"/>
        </w:rPr>
        <w:t xml:space="preserve"> of the overall economy, neither offer</w:t>
      </w:r>
      <w:r w:rsidR="00B70B52">
        <w:rPr>
          <w:szCs w:val="22"/>
        </w:rPr>
        <w:t>s</w:t>
      </w:r>
      <w:r w:rsidRPr="001D58B1">
        <w:rPr>
          <w:szCs w:val="22"/>
        </w:rPr>
        <w:t xml:space="preserve"> significant </w:t>
      </w:r>
      <w:r w:rsidR="000B37FD">
        <w:rPr>
          <w:szCs w:val="22"/>
        </w:rPr>
        <w:t>employment</w:t>
      </w:r>
      <w:r w:rsidRPr="001D58B1">
        <w:rPr>
          <w:szCs w:val="22"/>
        </w:rPr>
        <w:t xml:space="preserve"> opportunities for those </w:t>
      </w:r>
      <w:r w:rsidR="00011D80">
        <w:rPr>
          <w:szCs w:val="22"/>
        </w:rPr>
        <w:t>who</w:t>
      </w:r>
      <w:r w:rsidR="000B37FD">
        <w:rPr>
          <w:szCs w:val="22"/>
        </w:rPr>
        <w:t xml:space="preserve"> live below</w:t>
      </w:r>
      <w:r w:rsidRPr="001D58B1">
        <w:rPr>
          <w:szCs w:val="22"/>
        </w:rPr>
        <w:t xml:space="preserve"> the poverty</w:t>
      </w:r>
      <w:r w:rsidR="000B37FD">
        <w:rPr>
          <w:szCs w:val="22"/>
        </w:rPr>
        <w:t xml:space="preserve"> line</w:t>
      </w:r>
      <w:r w:rsidRPr="001D58B1">
        <w:rPr>
          <w:szCs w:val="22"/>
        </w:rPr>
        <w:t xml:space="preserve">.  </w:t>
      </w:r>
      <w:r w:rsidR="000B37FD">
        <w:rPr>
          <w:szCs w:val="22"/>
        </w:rPr>
        <w:t>E</w:t>
      </w:r>
      <w:r w:rsidRPr="001D58B1">
        <w:rPr>
          <w:szCs w:val="22"/>
        </w:rPr>
        <w:t xml:space="preserve">conomic activities that </w:t>
      </w:r>
      <w:r w:rsidR="000B37FD">
        <w:rPr>
          <w:szCs w:val="22"/>
        </w:rPr>
        <w:t xml:space="preserve">would </w:t>
      </w:r>
      <w:r w:rsidRPr="001D58B1">
        <w:rPr>
          <w:szCs w:val="22"/>
        </w:rPr>
        <w:t xml:space="preserve">promote more inclusive </w:t>
      </w:r>
      <w:r>
        <w:rPr>
          <w:szCs w:val="22"/>
        </w:rPr>
        <w:t>growth, notably</w:t>
      </w:r>
      <w:r w:rsidRPr="001D58B1">
        <w:rPr>
          <w:szCs w:val="22"/>
        </w:rPr>
        <w:t xml:space="preserve"> in </w:t>
      </w:r>
      <w:r>
        <w:rPr>
          <w:szCs w:val="22"/>
        </w:rPr>
        <w:t>a</w:t>
      </w:r>
      <w:r w:rsidR="00DB46D0">
        <w:rPr>
          <w:szCs w:val="22"/>
        </w:rPr>
        <w:t>griculture, agribusiness</w:t>
      </w:r>
      <w:r>
        <w:rPr>
          <w:szCs w:val="22"/>
        </w:rPr>
        <w:t xml:space="preserve">, </w:t>
      </w:r>
      <w:r w:rsidRPr="001D58B1">
        <w:rPr>
          <w:szCs w:val="22"/>
        </w:rPr>
        <w:t>manufacturing</w:t>
      </w:r>
      <w:r>
        <w:rPr>
          <w:szCs w:val="22"/>
        </w:rPr>
        <w:t xml:space="preserve"> and tourism</w:t>
      </w:r>
      <w:r w:rsidR="00011D80">
        <w:rPr>
          <w:szCs w:val="22"/>
        </w:rPr>
        <w:t xml:space="preserve"> need attention</w:t>
      </w:r>
      <w:r>
        <w:rPr>
          <w:szCs w:val="22"/>
        </w:rPr>
        <w:t>.</w:t>
      </w:r>
    </w:p>
    <w:p w:rsidR="00601472" w:rsidRDefault="00601472" w:rsidP="00601472">
      <w:pPr>
        <w:pStyle w:val="BodyText"/>
        <w:rPr>
          <w:szCs w:val="22"/>
        </w:rPr>
      </w:pPr>
      <w:r w:rsidRPr="001D58B1">
        <w:rPr>
          <w:szCs w:val="22"/>
        </w:rPr>
        <w:t>President Benigno S. Aquino III assumed office in 2010</w:t>
      </w:r>
      <w:r w:rsidR="00E937CB">
        <w:rPr>
          <w:szCs w:val="22"/>
        </w:rPr>
        <w:t>. During his term as President, his key priorities have been</w:t>
      </w:r>
      <w:r w:rsidRPr="001D58B1">
        <w:rPr>
          <w:szCs w:val="22"/>
        </w:rPr>
        <w:t xml:space="preserve"> </w:t>
      </w:r>
      <w:r w:rsidR="004B5B8F">
        <w:rPr>
          <w:szCs w:val="22"/>
        </w:rPr>
        <w:t>to reduce poverty and combat</w:t>
      </w:r>
      <w:r w:rsidRPr="001D58B1">
        <w:rPr>
          <w:szCs w:val="22"/>
        </w:rPr>
        <w:t xml:space="preserve"> corruption. </w:t>
      </w:r>
      <w:r w:rsidR="00E937CB">
        <w:rPr>
          <w:szCs w:val="22"/>
        </w:rPr>
        <w:t xml:space="preserve"> There</w:t>
      </w:r>
      <w:r>
        <w:rPr>
          <w:szCs w:val="22"/>
        </w:rPr>
        <w:t xml:space="preserve"> have been four </w:t>
      </w:r>
      <w:r w:rsidR="00E937CB">
        <w:rPr>
          <w:szCs w:val="22"/>
        </w:rPr>
        <w:t xml:space="preserve">key </w:t>
      </w:r>
      <w:r>
        <w:rPr>
          <w:szCs w:val="22"/>
        </w:rPr>
        <w:t xml:space="preserve">elements </w:t>
      </w:r>
      <w:r w:rsidR="00E937CB">
        <w:rPr>
          <w:szCs w:val="22"/>
        </w:rPr>
        <w:t xml:space="preserve">to the Aquino administration’s program to reduce poverty in the areas of education, health, </w:t>
      </w:r>
      <w:r w:rsidRPr="001D58B1">
        <w:rPr>
          <w:szCs w:val="22"/>
        </w:rPr>
        <w:t xml:space="preserve">social </w:t>
      </w:r>
      <w:r w:rsidR="00E937CB">
        <w:rPr>
          <w:szCs w:val="22"/>
        </w:rPr>
        <w:t>welfare and reproductive health.</w:t>
      </w:r>
      <w:r w:rsidRPr="001D58B1">
        <w:rPr>
          <w:szCs w:val="22"/>
        </w:rPr>
        <w:t xml:space="preserve"> In the sphere of education, the </w:t>
      </w:r>
      <w:r w:rsidR="00E937CB">
        <w:rPr>
          <w:szCs w:val="22"/>
        </w:rPr>
        <w:t>G</w:t>
      </w:r>
      <w:r w:rsidRPr="001D58B1">
        <w:rPr>
          <w:szCs w:val="22"/>
        </w:rPr>
        <w:t>overnment is adding three years to the curriculum as it seeks to bring the country’s educational quality up to international standards and produce a globally competitive workforce.</w:t>
      </w:r>
      <w:r w:rsidR="009A4FF7">
        <w:rPr>
          <w:szCs w:val="22"/>
        </w:rPr>
        <w:t xml:space="preserve"> Australian </w:t>
      </w:r>
      <w:r w:rsidR="00E937CB">
        <w:rPr>
          <w:szCs w:val="22"/>
        </w:rPr>
        <w:t>development assistance</w:t>
      </w:r>
      <w:r w:rsidR="0022560C">
        <w:rPr>
          <w:szCs w:val="22"/>
        </w:rPr>
        <w:t xml:space="preserve"> provides critical assistance in helping</w:t>
      </w:r>
      <w:r w:rsidR="009A4FF7">
        <w:rPr>
          <w:szCs w:val="22"/>
        </w:rPr>
        <w:t xml:space="preserve"> the Phili</w:t>
      </w:r>
      <w:r w:rsidR="0022560C">
        <w:rPr>
          <w:szCs w:val="22"/>
        </w:rPr>
        <w:t xml:space="preserve">ppine Department of Education to achieve </w:t>
      </w:r>
      <w:r w:rsidR="00C15D68">
        <w:rPr>
          <w:szCs w:val="22"/>
        </w:rPr>
        <w:t xml:space="preserve">its </w:t>
      </w:r>
      <w:r w:rsidR="0022560C">
        <w:rPr>
          <w:szCs w:val="22"/>
        </w:rPr>
        <w:t>education</w:t>
      </w:r>
      <w:r w:rsidR="003803F5">
        <w:rPr>
          <w:szCs w:val="22"/>
        </w:rPr>
        <w:t xml:space="preserve"> </w:t>
      </w:r>
      <w:r w:rsidR="00C15D68">
        <w:rPr>
          <w:szCs w:val="22"/>
        </w:rPr>
        <w:t xml:space="preserve">targets </w:t>
      </w:r>
      <w:r w:rsidR="0022560C">
        <w:rPr>
          <w:szCs w:val="22"/>
        </w:rPr>
        <w:t>amidst this transformative reform.</w:t>
      </w:r>
      <w:r w:rsidRPr="001D58B1">
        <w:rPr>
          <w:szCs w:val="22"/>
        </w:rPr>
        <w:t xml:space="preserve"> </w:t>
      </w:r>
      <w:r>
        <w:rPr>
          <w:szCs w:val="22"/>
        </w:rPr>
        <w:t>Second, h</w:t>
      </w:r>
      <w:r w:rsidRPr="001D58B1">
        <w:rPr>
          <w:szCs w:val="22"/>
        </w:rPr>
        <w:t>ealth budgets have been bolstered by proceeds from excise tax reform</w:t>
      </w:r>
      <w:r>
        <w:rPr>
          <w:szCs w:val="22"/>
        </w:rPr>
        <w:t>. I</w:t>
      </w:r>
      <w:r w:rsidRPr="001D58B1">
        <w:rPr>
          <w:szCs w:val="22"/>
        </w:rPr>
        <w:t xml:space="preserve">n its first year alone, </w:t>
      </w:r>
      <w:r w:rsidR="005C2FCB">
        <w:rPr>
          <w:szCs w:val="22"/>
        </w:rPr>
        <w:t>$</w:t>
      </w:r>
      <w:r w:rsidRPr="001D58B1">
        <w:rPr>
          <w:szCs w:val="22"/>
        </w:rPr>
        <w:t xml:space="preserve">1.2 billion in new </w:t>
      </w:r>
      <w:r w:rsidRPr="001D58B1">
        <w:rPr>
          <w:szCs w:val="22"/>
        </w:rPr>
        <w:lastRenderedPageBreak/>
        <w:t>revenues led to a 57 per cent increase in the budget of the Department of Health</w:t>
      </w:r>
      <w:r>
        <w:rPr>
          <w:szCs w:val="22"/>
        </w:rPr>
        <w:t xml:space="preserve">; the bulk of this </w:t>
      </w:r>
      <w:r w:rsidR="00E263BA">
        <w:rPr>
          <w:szCs w:val="22"/>
        </w:rPr>
        <w:t xml:space="preserve">increase in budget </w:t>
      </w:r>
      <w:r>
        <w:rPr>
          <w:szCs w:val="22"/>
        </w:rPr>
        <w:t xml:space="preserve">will </w:t>
      </w:r>
      <w:r w:rsidR="00B70B52">
        <w:rPr>
          <w:szCs w:val="22"/>
        </w:rPr>
        <w:t>support</w:t>
      </w:r>
      <w:r>
        <w:rPr>
          <w:szCs w:val="22"/>
        </w:rPr>
        <w:t xml:space="preserve"> national health plan coverage </w:t>
      </w:r>
      <w:r w:rsidR="005C0290">
        <w:rPr>
          <w:szCs w:val="22"/>
        </w:rPr>
        <w:t>for</w:t>
      </w:r>
      <w:r>
        <w:rPr>
          <w:szCs w:val="22"/>
        </w:rPr>
        <w:t xml:space="preserve"> some 15 million poor </w:t>
      </w:r>
      <w:r w:rsidR="004B5B8F">
        <w:rPr>
          <w:szCs w:val="22"/>
        </w:rPr>
        <w:t>enrolees</w:t>
      </w:r>
      <w:r w:rsidRPr="001D58B1">
        <w:rPr>
          <w:szCs w:val="22"/>
        </w:rPr>
        <w:t>.</w:t>
      </w:r>
      <w:r>
        <w:rPr>
          <w:rStyle w:val="FootnoteReference"/>
          <w:szCs w:val="22"/>
        </w:rPr>
        <w:footnoteReference w:id="5"/>
      </w:r>
      <w:r w:rsidRPr="001D58B1">
        <w:rPr>
          <w:szCs w:val="22"/>
        </w:rPr>
        <w:t xml:space="preserve"> Th</w:t>
      </w:r>
      <w:r>
        <w:rPr>
          <w:szCs w:val="22"/>
        </w:rPr>
        <w:t>ird, th</w:t>
      </w:r>
      <w:r w:rsidRPr="001D58B1">
        <w:rPr>
          <w:szCs w:val="22"/>
        </w:rPr>
        <w:t xml:space="preserve">e conditional cash transfer program, greatly expanded after 2010 and now serving nearly </w:t>
      </w:r>
      <w:r w:rsidR="00011D80">
        <w:rPr>
          <w:szCs w:val="22"/>
        </w:rPr>
        <w:t>four</w:t>
      </w:r>
      <w:r w:rsidRPr="001D58B1">
        <w:rPr>
          <w:szCs w:val="22"/>
        </w:rPr>
        <w:t xml:space="preserve"> million households, has resulted in higher rates of school participation and health care utilisation. In a recent expansion intended to boost secondary school completion rates and subsequent earning potential, beneficiaries are now supported u</w:t>
      </w:r>
      <w:r>
        <w:rPr>
          <w:szCs w:val="22"/>
        </w:rPr>
        <w:t>ntil the age of 18</w:t>
      </w:r>
      <w:r w:rsidRPr="001D58B1">
        <w:rPr>
          <w:szCs w:val="22"/>
        </w:rPr>
        <w:t>.</w:t>
      </w:r>
      <w:r>
        <w:rPr>
          <w:szCs w:val="22"/>
        </w:rPr>
        <w:t xml:space="preserve"> Fourth, the Reproductive Health Bill, passed with the administration’s support in late 2012, survived a constitutional challenge in the Supreme Court in April 2014. It promises to improve outcomes in maternal health as well as increase access to contraceptives—particularly for the poor—as the country’s population has just reached 100 million. </w:t>
      </w:r>
    </w:p>
    <w:p w:rsidR="00601472" w:rsidRPr="001D58B1" w:rsidRDefault="00E263BA" w:rsidP="00601472">
      <w:pPr>
        <w:pStyle w:val="BodyText"/>
        <w:rPr>
          <w:szCs w:val="22"/>
        </w:rPr>
      </w:pPr>
      <w:r>
        <w:rPr>
          <w:szCs w:val="22"/>
        </w:rPr>
        <w:t xml:space="preserve">As a part of its efforts to combat </w:t>
      </w:r>
      <w:r w:rsidR="00601472">
        <w:rPr>
          <w:szCs w:val="22"/>
        </w:rPr>
        <w:t>corruption</w:t>
      </w:r>
      <w:r>
        <w:rPr>
          <w:szCs w:val="22"/>
        </w:rPr>
        <w:t>,</w:t>
      </w:r>
      <w:r w:rsidR="00601472">
        <w:rPr>
          <w:szCs w:val="22"/>
        </w:rPr>
        <w:t xml:space="preserve"> the </w:t>
      </w:r>
      <w:r>
        <w:rPr>
          <w:szCs w:val="22"/>
        </w:rPr>
        <w:t xml:space="preserve">Aquino </w:t>
      </w:r>
      <w:r w:rsidR="00601472">
        <w:rPr>
          <w:szCs w:val="22"/>
        </w:rPr>
        <w:t>administration</w:t>
      </w:r>
      <w:r>
        <w:rPr>
          <w:szCs w:val="22"/>
        </w:rPr>
        <w:t xml:space="preserve"> has</w:t>
      </w:r>
      <w:r w:rsidR="00601472">
        <w:rPr>
          <w:szCs w:val="22"/>
        </w:rPr>
        <w:t xml:space="preserve"> active</w:t>
      </w:r>
      <w:r>
        <w:rPr>
          <w:szCs w:val="22"/>
        </w:rPr>
        <w:t>ly</w:t>
      </w:r>
      <w:r w:rsidR="00601472">
        <w:rPr>
          <w:szCs w:val="22"/>
        </w:rPr>
        <w:t xml:space="preserve"> promot</w:t>
      </w:r>
      <w:r>
        <w:rPr>
          <w:szCs w:val="22"/>
        </w:rPr>
        <w:t>ed</w:t>
      </w:r>
      <w:r w:rsidR="00601472" w:rsidRPr="001D58B1">
        <w:rPr>
          <w:szCs w:val="22"/>
        </w:rPr>
        <w:t xml:space="preserve"> transparency and accountability. This </w:t>
      </w:r>
      <w:r>
        <w:rPr>
          <w:szCs w:val="22"/>
        </w:rPr>
        <w:t>ha</w:t>
      </w:r>
      <w:r w:rsidR="00601472" w:rsidRPr="001D58B1">
        <w:rPr>
          <w:szCs w:val="22"/>
        </w:rPr>
        <w:t>s</w:t>
      </w:r>
      <w:r>
        <w:rPr>
          <w:szCs w:val="22"/>
        </w:rPr>
        <w:t xml:space="preserve"> been</w:t>
      </w:r>
      <w:r w:rsidR="00601472" w:rsidRPr="001D58B1">
        <w:rPr>
          <w:szCs w:val="22"/>
        </w:rPr>
        <w:t xml:space="preserve"> reflected in the country’s steady</w:t>
      </w:r>
      <w:r w:rsidR="00601472">
        <w:rPr>
          <w:szCs w:val="22"/>
        </w:rPr>
        <w:t xml:space="preserve"> </w:t>
      </w:r>
      <w:r>
        <w:rPr>
          <w:szCs w:val="22"/>
        </w:rPr>
        <w:t>improvement</w:t>
      </w:r>
      <w:r w:rsidR="00601472" w:rsidRPr="001D58B1">
        <w:rPr>
          <w:szCs w:val="22"/>
        </w:rPr>
        <w:t xml:space="preserve"> in the </w:t>
      </w:r>
      <w:r w:rsidR="00601472">
        <w:rPr>
          <w:szCs w:val="22"/>
        </w:rPr>
        <w:t xml:space="preserve">Transparency International </w:t>
      </w:r>
      <w:r w:rsidR="00601472" w:rsidRPr="001D58B1">
        <w:rPr>
          <w:szCs w:val="22"/>
        </w:rPr>
        <w:t>Corruption Perception</w:t>
      </w:r>
      <w:r w:rsidR="00E207BA">
        <w:rPr>
          <w:szCs w:val="22"/>
        </w:rPr>
        <w:t>s</w:t>
      </w:r>
      <w:r w:rsidR="00601472" w:rsidRPr="001D58B1">
        <w:rPr>
          <w:szCs w:val="22"/>
        </w:rPr>
        <w:t xml:space="preserve"> Index</w:t>
      </w:r>
      <w:r w:rsidR="00601472">
        <w:rPr>
          <w:szCs w:val="22"/>
        </w:rPr>
        <w:t xml:space="preserve"> between 2010 and 2013</w:t>
      </w:r>
      <w:r w:rsidR="00601472" w:rsidRPr="001D58B1">
        <w:rPr>
          <w:szCs w:val="22"/>
        </w:rPr>
        <w:t>, from 134</w:t>
      </w:r>
      <w:r w:rsidR="00601472" w:rsidRPr="001D58B1">
        <w:rPr>
          <w:szCs w:val="22"/>
          <w:vertAlign w:val="superscript"/>
        </w:rPr>
        <w:t>th</w:t>
      </w:r>
      <w:r w:rsidR="00601472">
        <w:rPr>
          <w:szCs w:val="22"/>
        </w:rPr>
        <w:t xml:space="preserve"> </w:t>
      </w:r>
      <w:r w:rsidR="00601472" w:rsidRPr="001D58B1">
        <w:rPr>
          <w:szCs w:val="22"/>
        </w:rPr>
        <w:t>to 94</w:t>
      </w:r>
      <w:r w:rsidR="00601472" w:rsidRPr="001D58B1">
        <w:rPr>
          <w:szCs w:val="22"/>
          <w:vertAlign w:val="superscript"/>
        </w:rPr>
        <w:t>th</w:t>
      </w:r>
      <w:r w:rsidR="00601472" w:rsidRPr="001D58B1">
        <w:rPr>
          <w:szCs w:val="22"/>
        </w:rPr>
        <w:t>.</w:t>
      </w:r>
      <w:r w:rsidR="00601472">
        <w:rPr>
          <w:rStyle w:val="FootnoteReference"/>
          <w:szCs w:val="22"/>
        </w:rPr>
        <w:footnoteReference w:id="6"/>
      </w:r>
      <w:r w:rsidR="00601472">
        <w:rPr>
          <w:szCs w:val="22"/>
        </w:rPr>
        <w:t xml:space="preserve"> Over the past year, however, these accomplishments have been overshadowed to some extent by a major scandal related to the alleged misuse of constituency development funds by some members of Congress.</w:t>
      </w:r>
      <w:r w:rsidR="00601472" w:rsidRPr="001D58B1">
        <w:rPr>
          <w:szCs w:val="22"/>
        </w:rPr>
        <w:t xml:space="preserve"> </w:t>
      </w:r>
      <w:r w:rsidR="00601472">
        <w:rPr>
          <w:szCs w:val="22"/>
        </w:rPr>
        <w:t xml:space="preserve">This </w:t>
      </w:r>
      <w:r>
        <w:rPr>
          <w:szCs w:val="22"/>
        </w:rPr>
        <w:t xml:space="preserve">recent scandal </w:t>
      </w:r>
      <w:r w:rsidR="00601472">
        <w:rPr>
          <w:szCs w:val="22"/>
        </w:rPr>
        <w:t xml:space="preserve">has </w:t>
      </w:r>
      <w:r>
        <w:rPr>
          <w:szCs w:val="22"/>
        </w:rPr>
        <w:t>focussed</w:t>
      </w:r>
      <w:r w:rsidR="00601472">
        <w:rPr>
          <w:szCs w:val="22"/>
        </w:rPr>
        <w:t xml:space="preserve"> attention </w:t>
      </w:r>
      <w:r w:rsidR="00011D80">
        <w:rPr>
          <w:szCs w:val="22"/>
        </w:rPr>
        <w:t>on</w:t>
      </w:r>
      <w:r w:rsidR="00601472">
        <w:rPr>
          <w:szCs w:val="22"/>
        </w:rPr>
        <w:t xml:space="preserve"> expenditure processes, with concern among economists that delays in government spending could force a downward assessment of economic growth prospects in the short- </w:t>
      </w:r>
      <w:r>
        <w:rPr>
          <w:szCs w:val="22"/>
        </w:rPr>
        <w:t>to</w:t>
      </w:r>
      <w:r w:rsidR="00601472">
        <w:rPr>
          <w:szCs w:val="22"/>
        </w:rPr>
        <w:t xml:space="preserve"> medium-term.</w:t>
      </w:r>
    </w:p>
    <w:p w:rsidR="00601472" w:rsidRDefault="00601472" w:rsidP="00601472">
      <w:pPr>
        <w:pStyle w:val="BodyText"/>
        <w:rPr>
          <w:szCs w:val="22"/>
        </w:rPr>
      </w:pPr>
      <w:r w:rsidRPr="00D70F9A">
        <w:rPr>
          <w:szCs w:val="22"/>
        </w:rPr>
        <w:t xml:space="preserve">Along with social sector reform and anti-corruption efforts, there have been major </w:t>
      </w:r>
      <w:r w:rsidR="00E263BA">
        <w:rPr>
          <w:szCs w:val="22"/>
        </w:rPr>
        <w:t>improvements</w:t>
      </w:r>
      <w:r w:rsidRPr="00D70F9A">
        <w:rPr>
          <w:szCs w:val="22"/>
        </w:rPr>
        <w:t xml:space="preserve"> in the provision of infrastructure, most impressively a doubling of the national infrastructure budget between 2011 and 2014. </w:t>
      </w:r>
      <w:r w:rsidR="00287F8A">
        <w:rPr>
          <w:szCs w:val="22"/>
        </w:rPr>
        <w:t xml:space="preserve">The </w:t>
      </w:r>
      <w:r w:rsidR="00011D80">
        <w:rPr>
          <w:szCs w:val="22"/>
        </w:rPr>
        <w:t xml:space="preserve">number of </w:t>
      </w:r>
      <w:r w:rsidR="004B5B8F">
        <w:rPr>
          <w:szCs w:val="22"/>
        </w:rPr>
        <w:t>Public-P</w:t>
      </w:r>
      <w:r w:rsidRPr="00D70F9A">
        <w:rPr>
          <w:szCs w:val="22"/>
        </w:rPr>
        <w:t xml:space="preserve">rivate </w:t>
      </w:r>
      <w:r w:rsidR="00011D80">
        <w:rPr>
          <w:szCs w:val="22"/>
        </w:rPr>
        <w:t>P</w:t>
      </w:r>
      <w:r w:rsidR="00011D80" w:rsidRPr="00D70F9A">
        <w:rPr>
          <w:szCs w:val="22"/>
        </w:rPr>
        <w:t>artnerships</w:t>
      </w:r>
      <w:r w:rsidRPr="00D70F9A">
        <w:rPr>
          <w:szCs w:val="22"/>
        </w:rPr>
        <w:t xml:space="preserve"> (PPP) </w:t>
      </w:r>
      <w:r w:rsidR="00011D80">
        <w:rPr>
          <w:szCs w:val="22"/>
        </w:rPr>
        <w:t>has</w:t>
      </w:r>
      <w:r w:rsidR="00287F8A">
        <w:rPr>
          <w:szCs w:val="22"/>
        </w:rPr>
        <w:t xml:space="preserve"> increased</w:t>
      </w:r>
      <w:r w:rsidRPr="00D70F9A">
        <w:rPr>
          <w:szCs w:val="22"/>
        </w:rPr>
        <w:t xml:space="preserve"> during these years, and there are now seven awarded projects valued at </w:t>
      </w:r>
      <w:r w:rsidR="004B5B8F">
        <w:rPr>
          <w:szCs w:val="22"/>
        </w:rPr>
        <w:t>USD</w:t>
      </w:r>
      <w:r w:rsidRPr="00117AE4">
        <w:rPr>
          <w:szCs w:val="22"/>
        </w:rPr>
        <w:t>1.5</w:t>
      </w:r>
      <w:r w:rsidR="004407E0" w:rsidRPr="00117AE4">
        <w:rPr>
          <w:szCs w:val="22"/>
        </w:rPr>
        <w:t>7</w:t>
      </w:r>
      <w:r w:rsidRPr="00117AE4">
        <w:rPr>
          <w:szCs w:val="22"/>
        </w:rPr>
        <w:t xml:space="preserve"> billion</w:t>
      </w:r>
      <w:r w:rsidRPr="00D70F9A">
        <w:rPr>
          <w:szCs w:val="22"/>
        </w:rPr>
        <w:t>.</w:t>
      </w:r>
      <w:r>
        <w:rPr>
          <w:szCs w:val="22"/>
        </w:rPr>
        <w:t xml:space="preserve"> </w:t>
      </w:r>
      <w:r w:rsidR="00287F8A">
        <w:rPr>
          <w:szCs w:val="22"/>
        </w:rPr>
        <w:t xml:space="preserve"> </w:t>
      </w:r>
      <w:r>
        <w:rPr>
          <w:szCs w:val="22"/>
        </w:rPr>
        <w:t xml:space="preserve">Even so, </w:t>
      </w:r>
      <w:r w:rsidR="00011D80">
        <w:rPr>
          <w:szCs w:val="22"/>
        </w:rPr>
        <w:t>i</w:t>
      </w:r>
      <w:r w:rsidR="00287F8A">
        <w:rPr>
          <w:szCs w:val="22"/>
        </w:rPr>
        <w:t xml:space="preserve">nfrastructure </w:t>
      </w:r>
      <w:r>
        <w:rPr>
          <w:szCs w:val="22"/>
        </w:rPr>
        <w:t>remain</w:t>
      </w:r>
      <w:r w:rsidR="00287F8A">
        <w:rPr>
          <w:szCs w:val="22"/>
        </w:rPr>
        <w:t>s</w:t>
      </w:r>
      <w:r>
        <w:rPr>
          <w:szCs w:val="22"/>
        </w:rPr>
        <w:t xml:space="preserve"> insufficient to </w:t>
      </w:r>
      <w:r w:rsidR="00287F8A">
        <w:rPr>
          <w:szCs w:val="22"/>
        </w:rPr>
        <w:t xml:space="preserve">serve </w:t>
      </w:r>
      <w:r>
        <w:rPr>
          <w:szCs w:val="22"/>
        </w:rPr>
        <w:t>the needs of a growing economy</w:t>
      </w:r>
      <w:r w:rsidR="00C15D68">
        <w:rPr>
          <w:szCs w:val="22"/>
        </w:rPr>
        <w:t xml:space="preserve">. </w:t>
      </w:r>
      <w:r w:rsidR="00287F8A">
        <w:rPr>
          <w:szCs w:val="22"/>
        </w:rPr>
        <w:t>I</w:t>
      </w:r>
      <w:r>
        <w:rPr>
          <w:szCs w:val="22"/>
        </w:rPr>
        <w:t xml:space="preserve">nvestors remain frustrated by weak connectivity in transport networks, congestion </w:t>
      </w:r>
      <w:r w:rsidR="00287F8A">
        <w:rPr>
          <w:szCs w:val="22"/>
        </w:rPr>
        <w:t>at</w:t>
      </w:r>
      <w:r>
        <w:rPr>
          <w:szCs w:val="22"/>
        </w:rPr>
        <w:t xml:space="preserve"> major ports and </w:t>
      </w:r>
      <w:r w:rsidR="00C15D68">
        <w:rPr>
          <w:szCs w:val="22"/>
        </w:rPr>
        <w:t>generally</w:t>
      </w:r>
      <w:r w:rsidR="003803F5">
        <w:rPr>
          <w:szCs w:val="22"/>
        </w:rPr>
        <w:t xml:space="preserve"> </w:t>
      </w:r>
      <w:r>
        <w:rPr>
          <w:szCs w:val="22"/>
        </w:rPr>
        <w:t xml:space="preserve">expensive </w:t>
      </w:r>
      <w:r w:rsidR="00287F8A">
        <w:rPr>
          <w:szCs w:val="22"/>
        </w:rPr>
        <w:t>and</w:t>
      </w:r>
      <w:r>
        <w:rPr>
          <w:szCs w:val="22"/>
        </w:rPr>
        <w:t xml:space="preserve"> unreliable </w:t>
      </w:r>
      <w:r w:rsidR="00287F8A">
        <w:rPr>
          <w:szCs w:val="22"/>
        </w:rPr>
        <w:t xml:space="preserve">supply of electricity </w:t>
      </w:r>
      <w:r>
        <w:rPr>
          <w:szCs w:val="22"/>
        </w:rPr>
        <w:t>in some regions (especially in Mindanao</w:t>
      </w:r>
      <w:r w:rsidR="00287F8A">
        <w:rPr>
          <w:szCs w:val="22"/>
        </w:rPr>
        <w:t>,</w:t>
      </w:r>
      <w:r>
        <w:rPr>
          <w:szCs w:val="22"/>
        </w:rPr>
        <w:t xml:space="preserve"> </w:t>
      </w:r>
      <w:r w:rsidR="004B5B8F">
        <w:rPr>
          <w:szCs w:val="22"/>
        </w:rPr>
        <w:t>but increasingly</w:t>
      </w:r>
      <w:r>
        <w:rPr>
          <w:szCs w:val="22"/>
        </w:rPr>
        <w:t xml:space="preserve"> in</w:t>
      </w:r>
      <w:r w:rsidR="00287F8A">
        <w:rPr>
          <w:szCs w:val="22"/>
        </w:rPr>
        <w:t xml:space="preserve"> places such as</w:t>
      </w:r>
      <w:r>
        <w:rPr>
          <w:szCs w:val="22"/>
        </w:rPr>
        <w:t xml:space="preserve"> Luzon as well). </w:t>
      </w:r>
    </w:p>
    <w:p w:rsidR="00601472" w:rsidRDefault="00601472" w:rsidP="00601472">
      <w:pPr>
        <w:pStyle w:val="BodyText"/>
        <w:rPr>
          <w:szCs w:val="22"/>
        </w:rPr>
      </w:pPr>
      <w:r>
        <w:rPr>
          <w:szCs w:val="22"/>
        </w:rPr>
        <w:t xml:space="preserve">As the </w:t>
      </w:r>
      <w:r w:rsidR="004B5B8F">
        <w:rPr>
          <w:szCs w:val="22"/>
        </w:rPr>
        <w:t>Philippine Government</w:t>
      </w:r>
      <w:r>
        <w:rPr>
          <w:szCs w:val="22"/>
        </w:rPr>
        <w:t xml:space="preserve"> expands its efforts in the social sector and plans for a doubling of infrastructure spending to 5 per cent of GDP, it will need to secure new sources of revenue over the medium to long-term. Through excise tax reform, more efficient tax collection and higher growth, the country’s historically low tax </w:t>
      </w:r>
      <w:r w:rsidR="00C15D68">
        <w:rPr>
          <w:szCs w:val="22"/>
        </w:rPr>
        <w:t xml:space="preserve">revenues </w:t>
      </w:r>
      <w:r w:rsidR="00DB46D0">
        <w:rPr>
          <w:szCs w:val="22"/>
        </w:rPr>
        <w:t>have</w:t>
      </w:r>
      <w:r>
        <w:rPr>
          <w:szCs w:val="22"/>
        </w:rPr>
        <w:t xml:space="preserve"> increased from 12.1 to 13.3 per cent of GDP between 2010 and 2013. Much more extensive reform of the revenue system will be required, </w:t>
      </w:r>
      <w:r w:rsidR="0022560C">
        <w:rPr>
          <w:szCs w:val="22"/>
        </w:rPr>
        <w:t>at both national and subnational levels</w:t>
      </w:r>
      <w:r>
        <w:rPr>
          <w:szCs w:val="22"/>
        </w:rPr>
        <w:t>, if the administration is to achieve its target of 16 per cent of GDP by 2016.</w:t>
      </w:r>
    </w:p>
    <w:p w:rsidR="00601472" w:rsidRDefault="00601472" w:rsidP="00601472">
      <w:pPr>
        <w:pStyle w:val="BodyText"/>
        <w:rPr>
          <w:szCs w:val="22"/>
        </w:rPr>
      </w:pPr>
      <w:r w:rsidRPr="00A737AD">
        <w:rPr>
          <w:szCs w:val="22"/>
        </w:rPr>
        <w:lastRenderedPageBreak/>
        <w:t>No populous country in the world is more vulnerable to natural disasters than</w:t>
      </w:r>
      <w:r w:rsidR="004B5B8F">
        <w:rPr>
          <w:szCs w:val="22"/>
        </w:rPr>
        <w:t xml:space="preserve"> </w:t>
      </w:r>
      <w:r w:rsidRPr="00A737AD">
        <w:rPr>
          <w:szCs w:val="22"/>
        </w:rPr>
        <w:t xml:space="preserve">the Philippines, and the past year saw two </w:t>
      </w:r>
      <w:r w:rsidR="00C15D68">
        <w:rPr>
          <w:szCs w:val="22"/>
        </w:rPr>
        <w:t>disasters</w:t>
      </w:r>
      <w:r w:rsidRPr="00A737AD">
        <w:rPr>
          <w:szCs w:val="22"/>
        </w:rPr>
        <w:t xml:space="preserve"> that would challenge the capacity of any government to respond: first the</w:t>
      </w:r>
      <w:r>
        <w:rPr>
          <w:szCs w:val="22"/>
        </w:rPr>
        <w:t xml:space="preserve"> massive</w:t>
      </w:r>
      <w:r w:rsidRPr="00A737AD">
        <w:rPr>
          <w:szCs w:val="22"/>
        </w:rPr>
        <w:t xml:space="preserve"> October 2013 earthquake in Bohol,</w:t>
      </w:r>
      <w:r>
        <w:rPr>
          <w:szCs w:val="22"/>
        </w:rPr>
        <w:t xml:space="preserve"> </w:t>
      </w:r>
      <w:r w:rsidR="00287F8A">
        <w:rPr>
          <w:szCs w:val="22"/>
        </w:rPr>
        <w:t xml:space="preserve">which </w:t>
      </w:r>
      <w:r>
        <w:rPr>
          <w:szCs w:val="22"/>
        </w:rPr>
        <w:t>register</w:t>
      </w:r>
      <w:r w:rsidR="00287F8A">
        <w:rPr>
          <w:szCs w:val="22"/>
        </w:rPr>
        <w:t>ed</w:t>
      </w:r>
      <w:r>
        <w:rPr>
          <w:szCs w:val="22"/>
        </w:rPr>
        <w:t xml:space="preserve"> 7.3 on the Richter scale,</w:t>
      </w:r>
      <w:r w:rsidRPr="00A737AD">
        <w:rPr>
          <w:szCs w:val="22"/>
        </w:rPr>
        <w:t xml:space="preserve"> followed the next month by </w:t>
      </w:r>
      <w:r w:rsidR="00287F8A" w:rsidRPr="00287F8A">
        <w:rPr>
          <w:szCs w:val="22"/>
        </w:rPr>
        <w:t>Super-Typhoon</w:t>
      </w:r>
      <w:r w:rsidRPr="00A737AD">
        <w:rPr>
          <w:szCs w:val="22"/>
        </w:rPr>
        <w:t xml:space="preserve"> Haiyan. Th</w:t>
      </w:r>
      <w:r>
        <w:rPr>
          <w:szCs w:val="22"/>
        </w:rPr>
        <w:t xml:space="preserve">e latter, known in the Philippines as </w:t>
      </w:r>
      <w:r w:rsidR="004B5B8F">
        <w:rPr>
          <w:szCs w:val="22"/>
        </w:rPr>
        <w:t>Yolanda, was</w:t>
      </w:r>
      <w:r w:rsidR="00C15D68">
        <w:rPr>
          <w:szCs w:val="22"/>
        </w:rPr>
        <w:t xml:space="preserve"> estimated to be the strongest storm ever to make landfall and </w:t>
      </w:r>
      <w:r>
        <w:rPr>
          <w:szCs w:val="22"/>
        </w:rPr>
        <w:t>caused more than 6</w:t>
      </w:r>
      <w:r w:rsidR="004B5B8F">
        <w:rPr>
          <w:szCs w:val="22"/>
        </w:rPr>
        <w:t>,</w:t>
      </w:r>
      <w:r>
        <w:rPr>
          <w:szCs w:val="22"/>
        </w:rPr>
        <w:t xml:space="preserve">300 deaths across </w:t>
      </w:r>
      <w:r w:rsidR="00C15D68">
        <w:rPr>
          <w:szCs w:val="22"/>
        </w:rPr>
        <w:t>in the</w:t>
      </w:r>
      <w:r>
        <w:rPr>
          <w:szCs w:val="22"/>
        </w:rPr>
        <w:t xml:space="preserve"> central Philippines. In response to these two disasters, an enormous </w:t>
      </w:r>
      <w:r w:rsidR="00C15D68">
        <w:rPr>
          <w:szCs w:val="22"/>
        </w:rPr>
        <w:t xml:space="preserve">international </w:t>
      </w:r>
      <w:r>
        <w:rPr>
          <w:szCs w:val="22"/>
        </w:rPr>
        <w:t>r</w:t>
      </w:r>
      <w:r w:rsidRPr="00A737AD">
        <w:rPr>
          <w:szCs w:val="22"/>
        </w:rPr>
        <w:t>elief and reconstruction effort</w:t>
      </w:r>
      <w:r>
        <w:rPr>
          <w:szCs w:val="22"/>
        </w:rPr>
        <w:t xml:space="preserve"> </w:t>
      </w:r>
      <w:r w:rsidR="00C15D68">
        <w:rPr>
          <w:szCs w:val="22"/>
        </w:rPr>
        <w:t>was given</w:t>
      </w:r>
      <w:r>
        <w:rPr>
          <w:szCs w:val="22"/>
        </w:rPr>
        <w:t xml:space="preserve"> critical support by</w:t>
      </w:r>
      <w:r w:rsidR="004B5B8F">
        <w:rPr>
          <w:szCs w:val="22"/>
        </w:rPr>
        <w:t xml:space="preserve"> </w:t>
      </w:r>
      <w:r>
        <w:rPr>
          <w:szCs w:val="22"/>
        </w:rPr>
        <w:t>Australia.</w:t>
      </w:r>
    </w:p>
    <w:p w:rsidR="00601472" w:rsidRPr="00B03998" w:rsidRDefault="00601472" w:rsidP="00601472">
      <w:pPr>
        <w:pStyle w:val="BodyText"/>
        <w:rPr>
          <w:szCs w:val="22"/>
        </w:rPr>
      </w:pPr>
      <w:r w:rsidRPr="00B03998">
        <w:rPr>
          <w:szCs w:val="22"/>
        </w:rPr>
        <w:t xml:space="preserve">The Philippines is also home to two of the longest-running insurgencies in the world: Muslim rebel groups fighting for autonomy in the South </w:t>
      </w:r>
      <w:r w:rsidR="004B5B8F">
        <w:rPr>
          <w:szCs w:val="22"/>
        </w:rPr>
        <w:t>and</w:t>
      </w:r>
      <w:r w:rsidRPr="00B03998">
        <w:rPr>
          <w:szCs w:val="22"/>
        </w:rPr>
        <w:t xml:space="preserve"> a communist insurgency found throughout many parts of the country. Major breakthroughs in negotiations between the Government and the Moro Islamic Liberation Front (MILF) led to the March 2014 signing of the Comprehensive Agreement on the Bangsamoro. But there are still many challenges ahead as an omnibus Bangsamoro Basic Law must not only pass Congress but also survive </w:t>
      </w:r>
      <w:r w:rsidR="00BD042A">
        <w:rPr>
          <w:szCs w:val="22"/>
        </w:rPr>
        <w:t>likely</w:t>
      </w:r>
      <w:r w:rsidRPr="00B03998">
        <w:rPr>
          <w:szCs w:val="22"/>
        </w:rPr>
        <w:t xml:space="preserve"> </w:t>
      </w:r>
      <w:r>
        <w:rPr>
          <w:szCs w:val="22"/>
        </w:rPr>
        <w:t>challenges in the Supreme Court and proceed to a plebiscite in areas proposed to be encompassed by the new autonomous entity.</w:t>
      </w:r>
      <w:r w:rsidRPr="00B03998">
        <w:rPr>
          <w:szCs w:val="22"/>
        </w:rPr>
        <w:t xml:space="preserve"> The September 2013 siege of Zamboanga City, led by armed supporters of </w:t>
      </w:r>
      <w:r>
        <w:rPr>
          <w:szCs w:val="22"/>
        </w:rPr>
        <w:t xml:space="preserve">the rival </w:t>
      </w:r>
      <w:r w:rsidRPr="00B03998">
        <w:rPr>
          <w:szCs w:val="22"/>
        </w:rPr>
        <w:t>Moro National Liberation Front (MNLF)</w:t>
      </w:r>
      <w:r>
        <w:rPr>
          <w:szCs w:val="22"/>
        </w:rPr>
        <w:t>,</w:t>
      </w:r>
      <w:r w:rsidRPr="00B03998">
        <w:rPr>
          <w:szCs w:val="22"/>
        </w:rPr>
        <w:t xml:space="preserve"> resulted in urban encounters that displaced thousands and left </w:t>
      </w:r>
      <w:r w:rsidR="00011D80">
        <w:rPr>
          <w:szCs w:val="22"/>
        </w:rPr>
        <w:t>more than 135 dead</w:t>
      </w:r>
      <w:r w:rsidRPr="00B03998">
        <w:rPr>
          <w:szCs w:val="22"/>
        </w:rPr>
        <w:t xml:space="preserve">. </w:t>
      </w:r>
    </w:p>
    <w:p w:rsidR="00601472" w:rsidRDefault="00601472" w:rsidP="00601472">
      <w:pPr>
        <w:pStyle w:val="BodyText"/>
        <w:rPr>
          <w:szCs w:val="22"/>
        </w:rPr>
      </w:pPr>
      <w:r w:rsidRPr="00705C53">
        <w:rPr>
          <w:szCs w:val="22"/>
        </w:rPr>
        <w:t xml:space="preserve">The Aquino administration continues to have strong reform objectives going into the final two years of its term but there is already increasing </w:t>
      </w:r>
      <w:r w:rsidR="00671087">
        <w:rPr>
          <w:szCs w:val="22"/>
        </w:rPr>
        <w:t xml:space="preserve">public </w:t>
      </w:r>
      <w:r w:rsidRPr="00705C53">
        <w:rPr>
          <w:szCs w:val="22"/>
        </w:rPr>
        <w:t>attention to the election of the next president in May 2016.</w:t>
      </w:r>
      <w:r>
        <w:rPr>
          <w:szCs w:val="22"/>
        </w:rPr>
        <w:t xml:space="preserve"> </w:t>
      </w:r>
      <w:r w:rsidR="004F2D30">
        <w:rPr>
          <w:szCs w:val="22"/>
        </w:rPr>
        <w:t>T</w:t>
      </w:r>
      <w:r>
        <w:rPr>
          <w:szCs w:val="22"/>
        </w:rPr>
        <w:t xml:space="preserve">he priorities of the next president </w:t>
      </w:r>
      <w:r w:rsidR="004F2D30">
        <w:rPr>
          <w:szCs w:val="22"/>
        </w:rPr>
        <w:t xml:space="preserve">may not </w:t>
      </w:r>
      <w:r>
        <w:rPr>
          <w:szCs w:val="22"/>
        </w:rPr>
        <w:t xml:space="preserve">mirror those of Aquino, and </w:t>
      </w:r>
      <w:r w:rsidR="004F2D30">
        <w:rPr>
          <w:szCs w:val="22"/>
        </w:rPr>
        <w:t xml:space="preserve">a </w:t>
      </w:r>
      <w:r>
        <w:rPr>
          <w:szCs w:val="22"/>
        </w:rPr>
        <w:t xml:space="preserve">degree of discontinuity </w:t>
      </w:r>
      <w:r w:rsidR="004F2D30">
        <w:rPr>
          <w:szCs w:val="22"/>
        </w:rPr>
        <w:t>can be expected</w:t>
      </w:r>
      <w:r>
        <w:rPr>
          <w:szCs w:val="22"/>
        </w:rPr>
        <w:t xml:space="preserve">—not only to legislative coalitions within a context of </w:t>
      </w:r>
      <w:r w:rsidR="004F2D30">
        <w:rPr>
          <w:szCs w:val="22"/>
        </w:rPr>
        <w:t>fluid</w:t>
      </w:r>
      <w:r>
        <w:rPr>
          <w:szCs w:val="22"/>
        </w:rPr>
        <w:t xml:space="preserve"> political parties but also across a bureaucracy </w:t>
      </w:r>
      <w:r w:rsidR="0091138A">
        <w:rPr>
          <w:szCs w:val="22"/>
        </w:rPr>
        <w:t xml:space="preserve">in which </w:t>
      </w:r>
      <w:r w:rsidR="005922AC">
        <w:rPr>
          <w:szCs w:val="22"/>
        </w:rPr>
        <w:t xml:space="preserve">roughly 10,000 </w:t>
      </w:r>
      <w:r w:rsidR="0091138A">
        <w:rPr>
          <w:szCs w:val="22"/>
        </w:rPr>
        <w:t>senior posts</w:t>
      </w:r>
      <w:r w:rsidR="005922AC">
        <w:rPr>
          <w:rStyle w:val="FootnoteReference"/>
        </w:rPr>
        <w:footnoteReference w:id="7"/>
      </w:r>
      <w:r w:rsidR="0091138A">
        <w:rPr>
          <w:szCs w:val="22"/>
        </w:rPr>
        <w:t xml:space="preserve"> </w:t>
      </w:r>
      <w:r>
        <w:rPr>
          <w:szCs w:val="22"/>
        </w:rPr>
        <w:t>are direct appointees of the president. The recent Supreme Court abolition of legislators’ constituency development funds adds a further element of uncertainty to the political landscape, as the disbursement of these funds has in the past commonly been a critical lever for Philippine presidents to push their agendas through the House and the Senate.</w:t>
      </w:r>
    </w:p>
    <w:p w:rsidR="00B82A1B" w:rsidRPr="00B82A1B" w:rsidRDefault="00B82A1B" w:rsidP="00E70828">
      <w:pPr>
        <w:pStyle w:val="Heading3"/>
      </w:pPr>
      <w:r w:rsidRPr="00B82A1B">
        <w:t>The aid program in the Philippines</w:t>
      </w:r>
    </w:p>
    <w:p w:rsidR="00C7590B" w:rsidRDefault="007E6281" w:rsidP="007E6281">
      <w:pPr>
        <w:pStyle w:val="ListBullet"/>
        <w:numPr>
          <w:ilvl w:val="0"/>
          <w:numId w:val="0"/>
        </w:numPr>
      </w:pPr>
      <w:r>
        <w:t xml:space="preserve">Australia </w:t>
      </w:r>
      <w:r w:rsidR="006B1CD7">
        <w:t xml:space="preserve">is the </w:t>
      </w:r>
      <w:r>
        <w:t>largest bilateral grant aid donor to the Philippines.</w:t>
      </w:r>
      <w:r w:rsidR="006B1CD7">
        <w:rPr>
          <w:rStyle w:val="FootnoteReference"/>
        </w:rPr>
        <w:footnoteReference w:id="8"/>
      </w:r>
      <w:r w:rsidRPr="007E6281">
        <w:t xml:space="preserve"> Yet even at </w:t>
      </w:r>
      <w:r w:rsidR="00011D80">
        <w:t xml:space="preserve">approximately </w:t>
      </w:r>
      <w:r w:rsidR="00635F8E" w:rsidRPr="00635F8E">
        <w:t>$176</w:t>
      </w:r>
      <w:r w:rsidRPr="00635F8E">
        <w:t xml:space="preserve"> million</w:t>
      </w:r>
      <w:r w:rsidRPr="007E6281">
        <w:t xml:space="preserve"> in 2013-14, Australian aid is small in comparison to </w:t>
      </w:r>
      <w:r w:rsidR="003803F5">
        <w:t xml:space="preserve">the </w:t>
      </w:r>
      <w:r w:rsidR="004B5B8F">
        <w:t>Philippine Government</w:t>
      </w:r>
      <w:r w:rsidRPr="007E6281">
        <w:t xml:space="preserve"> </w:t>
      </w:r>
      <w:r w:rsidR="00EB0D27">
        <w:t>budget of $46 billion</w:t>
      </w:r>
      <w:r w:rsidRPr="007E6281">
        <w:t xml:space="preserve">. Australia </w:t>
      </w:r>
      <w:r>
        <w:t xml:space="preserve">continues to work </w:t>
      </w:r>
      <w:r w:rsidRPr="007E6281">
        <w:t xml:space="preserve">on a </w:t>
      </w:r>
      <w:r w:rsidR="00330C51">
        <w:t>select group</w:t>
      </w:r>
      <w:r w:rsidRPr="007E6281">
        <w:t xml:space="preserve"> of sectors where we can make </w:t>
      </w:r>
      <w:r w:rsidR="00011D80">
        <w:t>the greatest impact</w:t>
      </w:r>
      <w:r w:rsidRPr="007E6281">
        <w:t>.</w:t>
      </w:r>
      <w:r>
        <w:t xml:space="preserve"> </w:t>
      </w:r>
      <w:r w:rsidRPr="007E6281">
        <w:t xml:space="preserve">Our aid dollars </w:t>
      </w:r>
      <w:r w:rsidR="006B1CD7">
        <w:t>are having</w:t>
      </w:r>
      <w:r w:rsidR="00BA3136">
        <w:t xml:space="preserve"> an</w:t>
      </w:r>
      <w:r w:rsidR="006B1CD7">
        <w:t xml:space="preserve"> </w:t>
      </w:r>
      <w:r w:rsidRPr="007E6281">
        <w:t xml:space="preserve">impact </w:t>
      </w:r>
      <w:r w:rsidR="00330C51">
        <w:t xml:space="preserve">in </w:t>
      </w:r>
      <w:r w:rsidR="006B1CD7">
        <w:t>catalysing</w:t>
      </w:r>
      <w:r w:rsidRPr="007E6281">
        <w:t xml:space="preserve"> reform</w:t>
      </w:r>
      <w:r w:rsidR="006B1CD7">
        <w:t xml:space="preserve">s, </w:t>
      </w:r>
      <w:r w:rsidR="00CA0A8B">
        <w:t>assisting policy formulation</w:t>
      </w:r>
      <w:r w:rsidRPr="007E6281">
        <w:t xml:space="preserve"> and support</w:t>
      </w:r>
      <w:r w:rsidR="006B1CD7">
        <w:t>ing the</w:t>
      </w:r>
      <w:r w:rsidRPr="007E6281">
        <w:t xml:space="preserve"> </w:t>
      </w:r>
      <w:r w:rsidR="004B5B8F">
        <w:t>Philippine Government</w:t>
      </w:r>
      <w:r w:rsidRPr="007E6281">
        <w:t xml:space="preserve"> effort</w:t>
      </w:r>
      <w:r w:rsidR="00EB0D27">
        <w:t xml:space="preserve">s to improve the </w:t>
      </w:r>
      <w:r w:rsidRPr="007E6281">
        <w:t xml:space="preserve">quality of </w:t>
      </w:r>
      <w:r w:rsidRPr="007E6281">
        <w:lastRenderedPageBreak/>
        <w:t xml:space="preserve">their own programs. </w:t>
      </w:r>
      <w:r w:rsidR="00011D80">
        <w:t>Australia’s</w:t>
      </w:r>
      <w:r>
        <w:t xml:space="preserve"> </w:t>
      </w:r>
      <w:r w:rsidRPr="00C7590B">
        <w:t xml:space="preserve">priorities </w:t>
      </w:r>
      <w:r>
        <w:t xml:space="preserve">were recalibrated </w:t>
      </w:r>
      <w:r w:rsidR="006B1CD7">
        <w:t>in early 2014</w:t>
      </w:r>
      <w:r w:rsidR="00AC4ACC">
        <w:rPr>
          <w:rStyle w:val="FootnoteReference"/>
        </w:rPr>
        <w:footnoteReference w:id="9"/>
      </w:r>
      <w:r w:rsidR="006B1CD7">
        <w:t xml:space="preserve"> </w:t>
      </w:r>
      <w:r>
        <w:t>i</w:t>
      </w:r>
      <w:r w:rsidR="00C7590B" w:rsidRPr="00C7590B">
        <w:t xml:space="preserve">n response to </w:t>
      </w:r>
      <w:r w:rsidR="000D10A4">
        <w:t xml:space="preserve">new </w:t>
      </w:r>
      <w:r w:rsidR="00C7590B" w:rsidRPr="00C7590B">
        <w:t xml:space="preserve">priorities of the Australian Government and the scale of humanitarian assistance required in the wake of </w:t>
      </w:r>
      <w:r w:rsidR="00011D80">
        <w:t>S</w:t>
      </w:r>
      <w:r w:rsidR="00C7590B" w:rsidRPr="00C7590B">
        <w:t>uper-</w:t>
      </w:r>
      <w:r w:rsidR="00011D80">
        <w:t>T</w:t>
      </w:r>
      <w:r w:rsidR="00C7590B" w:rsidRPr="00C7590B">
        <w:t>yphoon Haiyan.</w:t>
      </w:r>
      <w:r w:rsidR="00C7590B">
        <w:t xml:space="preserve">  </w:t>
      </w:r>
      <w:r w:rsidR="00C7590B" w:rsidRPr="00C7590B">
        <w:t>Australia’s aid program in the Philippines works toward the overarching objective of ‘</w:t>
      </w:r>
      <w:r w:rsidR="00C7590B" w:rsidRPr="00C7590B">
        <w:rPr>
          <w:i/>
        </w:rPr>
        <w:t>promoting prosperity, reducing poverty and enhancing political stability’</w:t>
      </w:r>
      <w:r w:rsidR="003B2D9B">
        <w:t>.</w:t>
      </w:r>
    </w:p>
    <w:p w:rsidR="00C7590B" w:rsidRPr="003B2D9B" w:rsidRDefault="00C7590B" w:rsidP="003803F5">
      <w:pPr>
        <w:pStyle w:val="ListBullet"/>
        <w:tabs>
          <w:tab w:val="clear" w:pos="284"/>
          <w:tab w:val="left" w:pos="426"/>
        </w:tabs>
        <w:rPr>
          <w:i/>
        </w:rPr>
      </w:pPr>
      <w:r w:rsidRPr="003B2D9B">
        <w:rPr>
          <w:i/>
        </w:rPr>
        <w:t xml:space="preserve">Partnering on education reforms. </w:t>
      </w:r>
      <w:r w:rsidRPr="00C7590B">
        <w:t xml:space="preserve">Australia is working with the </w:t>
      </w:r>
      <w:r w:rsidR="004B5B8F">
        <w:t>Philippine Government</w:t>
      </w:r>
      <w:r w:rsidRPr="00C7590B">
        <w:t xml:space="preserve"> and with business organisations to implement reforms and provide additional classrooms for overcrowded schools. The new Basic Education Sector Transformation (BEST) program will improve the quality of education through</w:t>
      </w:r>
      <w:r w:rsidR="003B2D9B">
        <w:t xml:space="preserve"> better trained teachers and</w:t>
      </w:r>
      <w:r w:rsidRPr="00C7590B">
        <w:t xml:space="preserve"> improved school curriculum. In </w:t>
      </w:r>
      <w:r w:rsidR="00060558">
        <w:t xml:space="preserve">the </w:t>
      </w:r>
      <w:r w:rsidR="00060558" w:rsidRPr="00060558">
        <w:t>Autonomous Region of</w:t>
      </w:r>
      <w:r w:rsidRPr="00C7590B">
        <w:t xml:space="preserve"> Muslim Mindanao, the region with the poorest education outcomes, Australia provides a comprehensive program that aims to reduce the gap in school participation and learning achievement.</w:t>
      </w:r>
    </w:p>
    <w:p w:rsidR="00C7590B" w:rsidRPr="00213989" w:rsidRDefault="00C7590B" w:rsidP="00213989">
      <w:pPr>
        <w:pStyle w:val="ListBullet"/>
        <w:tabs>
          <w:tab w:val="clear" w:pos="284"/>
        </w:tabs>
        <w:rPr>
          <w:i/>
        </w:rPr>
      </w:pPr>
      <w:r w:rsidRPr="00213989">
        <w:rPr>
          <w:i/>
        </w:rPr>
        <w:t xml:space="preserve">Enhancing the foundations for sustained economic growth. </w:t>
      </w:r>
      <w:r w:rsidRPr="00C7590B">
        <w:t xml:space="preserve">This new pillar supports the Australian Government’s economic diplomacy agenda by expanding on already influential investments in infrastructure. We give critical support to national government implementation of public-private partnerships for priority infrastructure projects, promoting increased private sector participation through better and more transparent procedures. </w:t>
      </w:r>
      <w:r w:rsidR="00213989">
        <w:t>W</w:t>
      </w:r>
      <w:r w:rsidRPr="00C7590B">
        <w:t>e will deepen our partnerships with reform advocates to address key binding constraints to growth</w:t>
      </w:r>
      <w:r w:rsidR="00213989" w:rsidRPr="00213989">
        <w:t xml:space="preserve"> </w:t>
      </w:r>
      <w:r w:rsidR="00213989" w:rsidRPr="00C7590B">
        <w:t>as the Philippines prepares for more open trade regimes, including within ASEAN</w:t>
      </w:r>
      <w:r w:rsidRPr="00C7590B">
        <w:t>.</w:t>
      </w:r>
    </w:p>
    <w:p w:rsidR="00C7590B" w:rsidRPr="00213989" w:rsidRDefault="00C7590B" w:rsidP="00213989">
      <w:pPr>
        <w:pStyle w:val="ListBullet"/>
        <w:tabs>
          <w:tab w:val="clear" w:pos="284"/>
        </w:tabs>
        <w:rPr>
          <w:i/>
        </w:rPr>
      </w:pPr>
      <w:r w:rsidRPr="00213989">
        <w:rPr>
          <w:i/>
        </w:rPr>
        <w:t xml:space="preserve">Promoting better disaster preparedness and response. </w:t>
      </w:r>
      <w:r w:rsidR="00213989" w:rsidRPr="00C7590B">
        <w:t>Disasters</w:t>
      </w:r>
      <w:r w:rsidRPr="00C7590B">
        <w:t xml:space="preserve"> drive families into poverty and cut national growth rates. Australia is working with the Philippines to improve technical knowledge on hazards and disasters as well as increase </w:t>
      </w:r>
      <w:r w:rsidR="00EF132A">
        <w:t xml:space="preserve">disaster preparedness of </w:t>
      </w:r>
      <w:r w:rsidRPr="00C7590B">
        <w:t>national and subnational government</w:t>
      </w:r>
      <w:r w:rsidR="00011D80">
        <w:t>s</w:t>
      </w:r>
      <w:r w:rsidRPr="00C7590B">
        <w:t xml:space="preserve">. Programs are implemented in partnership with Australian agencies to share expertise and build technical linkages with local counterparts. </w:t>
      </w:r>
    </w:p>
    <w:p w:rsidR="00C7590B" w:rsidRPr="00B123F5" w:rsidRDefault="00C7590B" w:rsidP="00B123F5">
      <w:pPr>
        <w:pStyle w:val="ListBullet"/>
        <w:tabs>
          <w:tab w:val="clear" w:pos="284"/>
        </w:tabs>
        <w:rPr>
          <w:i/>
        </w:rPr>
      </w:pPr>
      <w:r w:rsidRPr="00B123F5">
        <w:rPr>
          <w:i/>
        </w:rPr>
        <w:t xml:space="preserve">Improving conditions for peace and security. </w:t>
      </w:r>
      <w:r w:rsidRPr="00C7590B">
        <w:t xml:space="preserve">Australia’s national interests in regional political stability motivate aid programs in Mindanao that support a more credible and widely supported peace agreement, </w:t>
      </w:r>
      <w:r w:rsidR="00060558">
        <w:t>increased</w:t>
      </w:r>
      <w:r w:rsidRPr="00C7590B">
        <w:t xml:space="preserve"> institutional capacity to implement the agreement</w:t>
      </w:r>
      <w:r w:rsidR="005442C8">
        <w:t>,</w:t>
      </w:r>
      <w:r w:rsidRPr="00C7590B">
        <w:t xml:space="preserve"> and stronger local mechanisms for averting the escalation of violence. </w:t>
      </w:r>
    </w:p>
    <w:p w:rsidR="00C7590B" w:rsidRPr="00226C89" w:rsidRDefault="00226C89" w:rsidP="00226C89">
      <w:pPr>
        <w:pStyle w:val="ListBullet"/>
        <w:tabs>
          <w:tab w:val="clear" w:pos="284"/>
        </w:tabs>
        <w:rPr>
          <w:i/>
        </w:rPr>
      </w:pPr>
      <w:r>
        <w:rPr>
          <w:i/>
        </w:rPr>
        <w:t xml:space="preserve">Governance </w:t>
      </w:r>
      <w:r w:rsidRPr="00226C89">
        <w:rPr>
          <w:i/>
        </w:rPr>
        <w:t xml:space="preserve">and </w:t>
      </w:r>
      <w:r>
        <w:rPr>
          <w:i/>
        </w:rPr>
        <w:t>Gender</w:t>
      </w:r>
      <w:r w:rsidR="00C7590B" w:rsidRPr="00226C89">
        <w:rPr>
          <w:i/>
        </w:rPr>
        <w:t xml:space="preserve">: </w:t>
      </w:r>
      <w:r>
        <w:rPr>
          <w:i/>
        </w:rPr>
        <w:t xml:space="preserve"> </w:t>
      </w:r>
      <w:r w:rsidRPr="00C7590B">
        <w:t xml:space="preserve">Our </w:t>
      </w:r>
      <w:r w:rsidR="00AC4ACC" w:rsidRPr="00C7590B">
        <w:t xml:space="preserve">governance </w:t>
      </w:r>
      <w:r w:rsidRPr="00C7590B">
        <w:t>work addresses the weakness of public institutions</w:t>
      </w:r>
      <w:r w:rsidR="00BA5D6E">
        <w:t xml:space="preserve"> at both national and subnational levels</w:t>
      </w:r>
      <w:r w:rsidR="00117AE4">
        <w:t xml:space="preserve"> - </w:t>
      </w:r>
      <w:r w:rsidR="002070B5">
        <w:t>within a context in which many</w:t>
      </w:r>
      <w:r w:rsidR="00BA5D6E">
        <w:t xml:space="preserve"> service delivery responsibilities</w:t>
      </w:r>
      <w:r w:rsidR="002070B5">
        <w:t xml:space="preserve"> have </w:t>
      </w:r>
      <w:r w:rsidR="0011160F">
        <w:t xml:space="preserve">long </w:t>
      </w:r>
      <w:r w:rsidR="002070B5">
        <w:t>been devolved</w:t>
      </w:r>
      <w:r w:rsidR="00BA5D6E">
        <w:t xml:space="preserve"> to provinces, cities and municipalities</w:t>
      </w:r>
      <w:r w:rsidRPr="00C7590B">
        <w:t xml:space="preserve">. </w:t>
      </w:r>
      <w:r w:rsidR="003146E8">
        <w:t>W</w:t>
      </w:r>
      <w:r w:rsidRPr="00C7590B">
        <w:t>e partner with government agencies as they build technical skills and adopt more transparent and accountable processes of public expenditure</w:t>
      </w:r>
      <w:r w:rsidR="007E07CA">
        <w:t xml:space="preserve">, including </w:t>
      </w:r>
      <w:r w:rsidR="007E07CA" w:rsidRPr="00C7590B">
        <w:t>incentivi</w:t>
      </w:r>
      <w:r w:rsidR="007E07CA">
        <w:t>sing</w:t>
      </w:r>
      <w:r w:rsidR="007E07CA" w:rsidRPr="00C7590B">
        <w:t xml:space="preserve"> </w:t>
      </w:r>
      <w:r w:rsidRPr="00C7590B">
        <w:t xml:space="preserve">better performance from local governments. </w:t>
      </w:r>
      <w:r w:rsidR="007E07CA">
        <w:t>T</w:t>
      </w:r>
      <w:r w:rsidRPr="00C7590B">
        <w:t>he</w:t>
      </w:r>
      <w:r w:rsidR="003803F5">
        <w:t xml:space="preserve"> </w:t>
      </w:r>
      <w:r w:rsidRPr="00C7590B">
        <w:t xml:space="preserve">nimble and innovative Coalitions for Change program builds networks and coalitions for policy reform. </w:t>
      </w:r>
      <w:r w:rsidR="00C7590B" w:rsidRPr="00C7590B">
        <w:t xml:space="preserve">While the Philippines ranks highly on most gender </w:t>
      </w:r>
      <w:r w:rsidRPr="00C7590B">
        <w:t>indices</w:t>
      </w:r>
      <w:r w:rsidR="00BA3136">
        <w:t>,</w:t>
      </w:r>
      <w:r w:rsidR="00C7590B" w:rsidRPr="00C7590B">
        <w:t xml:space="preserve"> attention to gender is essential if the fruits of development are </w:t>
      </w:r>
      <w:r w:rsidR="00C7590B" w:rsidRPr="00C7590B">
        <w:lastRenderedPageBreak/>
        <w:t xml:space="preserve">equitably shared by women and girls as well as men and boys. </w:t>
      </w:r>
      <w:r>
        <w:t>G</w:t>
      </w:r>
      <w:r w:rsidR="00C7590B" w:rsidRPr="00C7590B">
        <w:t xml:space="preserve">ender considerations </w:t>
      </w:r>
      <w:r>
        <w:t xml:space="preserve">will </w:t>
      </w:r>
      <w:r w:rsidR="00C7590B" w:rsidRPr="00C7590B">
        <w:t>be applied more consistently across the entire aid program.</w:t>
      </w:r>
      <w:r>
        <w:rPr>
          <w:i/>
        </w:rPr>
        <w:t xml:space="preserve">  </w:t>
      </w:r>
    </w:p>
    <w:p w:rsidR="000D733F" w:rsidRPr="009E38C1" w:rsidRDefault="000D733F" w:rsidP="000D733F">
      <w:pPr>
        <w:pStyle w:val="Heading2"/>
        <w:rPr>
          <w:sz w:val="28"/>
        </w:rPr>
      </w:pPr>
      <w:r w:rsidRPr="00FA4A27">
        <w:rPr>
          <w:sz w:val="28"/>
        </w:rPr>
        <w:t>Expenditure</w:t>
      </w:r>
    </w:p>
    <w:p w:rsidR="003D0206" w:rsidRPr="00EC69B6" w:rsidRDefault="00BA3136" w:rsidP="00EC69B6">
      <w:pPr>
        <w:spacing w:after="200" w:line="276" w:lineRule="auto"/>
        <w:rPr>
          <w:rFonts w:ascii="Franklin Gothic Book" w:eastAsia="Calibri" w:hAnsi="Franklin Gothic Book"/>
          <w:sz w:val="21"/>
          <w:szCs w:val="21"/>
          <w:lang w:eastAsia="en-US"/>
        </w:rPr>
      </w:pPr>
      <w:r>
        <w:rPr>
          <w:rFonts w:ascii="Franklin Gothic Book" w:eastAsia="Calibri" w:hAnsi="Franklin Gothic Book"/>
          <w:sz w:val="21"/>
          <w:szCs w:val="21"/>
          <w:lang w:eastAsia="en-US"/>
        </w:rPr>
        <w:t>Australia’</w:t>
      </w:r>
      <w:r w:rsidR="00841782">
        <w:rPr>
          <w:rFonts w:ascii="Franklin Gothic Book" w:eastAsia="Calibri" w:hAnsi="Franklin Gothic Book"/>
          <w:sz w:val="21"/>
          <w:szCs w:val="21"/>
          <w:lang w:eastAsia="en-US"/>
        </w:rPr>
        <w:t>s</w:t>
      </w:r>
      <w:r>
        <w:rPr>
          <w:rFonts w:ascii="Franklin Gothic Book" w:eastAsia="Calibri" w:hAnsi="Franklin Gothic Book"/>
          <w:sz w:val="21"/>
          <w:szCs w:val="21"/>
          <w:lang w:eastAsia="en-US"/>
        </w:rPr>
        <w:t xml:space="preserve"> </w:t>
      </w:r>
      <w:r w:rsidR="00A929B3">
        <w:rPr>
          <w:rFonts w:ascii="Franklin Gothic Book" w:eastAsia="Calibri" w:hAnsi="Franklin Gothic Book"/>
          <w:sz w:val="21"/>
          <w:szCs w:val="21"/>
          <w:lang w:eastAsia="en-US"/>
        </w:rPr>
        <w:t>total overseas development assistance</w:t>
      </w:r>
      <w:r w:rsidR="00575ACA">
        <w:rPr>
          <w:rFonts w:ascii="Franklin Gothic Book" w:eastAsia="Calibri" w:hAnsi="Franklin Gothic Book"/>
          <w:sz w:val="21"/>
          <w:szCs w:val="21"/>
          <w:lang w:eastAsia="en-US"/>
        </w:rPr>
        <w:t xml:space="preserve"> (ODA) </w:t>
      </w:r>
      <w:r w:rsidR="00A929B3">
        <w:rPr>
          <w:rFonts w:ascii="Franklin Gothic Book" w:eastAsia="Calibri" w:hAnsi="Franklin Gothic Book"/>
          <w:sz w:val="21"/>
          <w:szCs w:val="21"/>
          <w:lang w:eastAsia="en-US"/>
        </w:rPr>
        <w:t>to the Philippines</w:t>
      </w:r>
      <w:r w:rsidR="00C258ED">
        <w:rPr>
          <w:rFonts w:ascii="Franklin Gothic Book" w:eastAsia="Calibri" w:hAnsi="Franklin Gothic Book"/>
          <w:sz w:val="21"/>
          <w:szCs w:val="21"/>
          <w:lang w:eastAsia="en-US"/>
        </w:rPr>
        <w:t xml:space="preserve"> in 2013-14</w:t>
      </w:r>
      <w:r w:rsidR="00A929B3">
        <w:rPr>
          <w:rFonts w:ascii="Franklin Gothic Book" w:eastAsia="Calibri" w:hAnsi="Franklin Gothic Book"/>
          <w:sz w:val="21"/>
          <w:szCs w:val="21"/>
          <w:lang w:eastAsia="en-US"/>
        </w:rPr>
        <w:t xml:space="preserve"> </w:t>
      </w:r>
      <w:r w:rsidR="00C258ED">
        <w:rPr>
          <w:rFonts w:ascii="Franklin Gothic Book" w:eastAsia="Calibri" w:hAnsi="Franklin Gothic Book"/>
          <w:sz w:val="21"/>
          <w:szCs w:val="21"/>
          <w:lang w:eastAsia="en-US"/>
        </w:rPr>
        <w:t xml:space="preserve">amounted </w:t>
      </w:r>
      <w:r w:rsidR="00A929B3">
        <w:rPr>
          <w:rFonts w:ascii="Franklin Gothic Book" w:eastAsia="Calibri" w:hAnsi="Franklin Gothic Book"/>
          <w:sz w:val="21"/>
          <w:szCs w:val="21"/>
          <w:lang w:eastAsia="en-US"/>
        </w:rPr>
        <w:t xml:space="preserve">to </w:t>
      </w:r>
      <w:r w:rsidR="00A929B3" w:rsidRPr="00FA4A27">
        <w:rPr>
          <w:rFonts w:ascii="Franklin Gothic Book" w:eastAsia="Calibri" w:hAnsi="Franklin Gothic Book"/>
          <w:sz w:val="21"/>
          <w:szCs w:val="21"/>
          <w:lang w:eastAsia="en-US"/>
        </w:rPr>
        <w:t>$17</w:t>
      </w:r>
      <w:r w:rsidR="00EB0D27" w:rsidRPr="00FA4A27">
        <w:rPr>
          <w:rFonts w:ascii="Franklin Gothic Book" w:eastAsia="Calibri" w:hAnsi="Franklin Gothic Book"/>
          <w:sz w:val="21"/>
          <w:szCs w:val="21"/>
          <w:lang w:eastAsia="en-US"/>
        </w:rPr>
        <w:t>6</w:t>
      </w:r>
      <w:r w:rsidR="00A929B3" w:rsidRPr="00FA4A27">
        <w:rPr>
          <w:rFonts w:ascii="Franklin Gothic Book" w:eastAsia="Calibri" w:hAnsi="Franklin Gothic Book"/>
          <w:sz w:val="21"/>
          <w:szCs w:val="21"/>
          <w:lang w:eastAsia="en-US"/>
        </w:rPr>
        <w:t xml:space="preserve"> million</w:t>
      </w:r>
      <w:r w:rsidR="00A929B3" w:rsidRPr="00EB0D27">
        <w:rPr>
          <w:rFonts w:ascii="Franklin Gothic Book" w:eastAsia="Calibri" w:hAnsi="Franklin Gothic Book"/>
          <w:sz w:val="21"/>
          <w:szCs w:val="21"/>
          <w:lang w:eastAsia="en-US"/>
        </w:rPr>
        <w:t xml:space="preserve">, with </w:t>
      </w:r>
      <w:r w:rsidR="00EB0D27">
        <w:rPr>
          <w:rFonts w:ascii="Franklin Gothic Book" w:eastAsia="Calibri" w:hAnsi="Franklin Gothic Book"/>
          <w:sz w:val="21"/>
          <w:szCs w:val="21"/>
          <w:lang w:eastAsia="en-US"/>
        </w:rPr>
        <w:t>68</w:t>
      </w:r>
      <w:r w:rsidR="00EB0D27" w:rsidRPr="00EB0D27">
        <w:rPr>
          <w:rFonts w:ascii="Franklin Gothic Book" w:eastAsia="Calibri" w:hAnsi="Franklin Gothic Book"/>
          <w:sz w:val="21"/>
          <w:szCs w:val="21"/>
          <w:lang w:eastAsia="en-US"/>
        </w:rPr>
        <w:t xml:space="preserve"> </w:t>
      </w:r>
      <w:r w:rsidR="00A929B3" w:rsidRPr="00EB0D27">
        <w:rPr>
          <w:rFonts w:ascii="Franklin Gothic Book" w:eastAsia="Calibri" w:hAnsi="Franklin Gothic Book"/>
          <w:sz w:val="21"/>
          <w:szCs w:val="21"/>
          <w:lang w:eastAsia="en-US"/>
        </w:rPr>
        <w:t>per cent</w:t>
      </w:r>
      <w:r w:rsidR="00A929B3">
        <w:rPr>
          <w:rFonts w:ascii="Franklin Gothic Book" w:eastAsia="Calibri" w:hAnsi="Franklin Gothic Book"/>
          <w:sz w:val="21"/>
          <w:szCs w:val="21"/>
          <w:lang w:eastAsia="en-US"/>
        </w:rPr>
        <w:t xml:space="preserve"> allocated to </w:t>
      </w:r>
      <w:r w:rsidR="006C27A1">
        <w:rPr>
          <w:rFonts w:ascii="Franklin Gothic Book" w:eastAsia="Calibri" w:hAnsi="Franklin Gothic Book"/>
          <w:sz w:val="21"/>
          <w:szCs w:val="21"/>
          <w:lang w:eastAsia="en-US"/>
        </w:rPr>
        <w:t xml:space="preserve">DFAT’s </w:t>
      </w:r>
      <w:r w:rsidR="00330C51">
        <w:rPr>
          <w:rFonts w:ascii="Franklin Gothic Book" w:eastAsia="Calibri" w:hAnsi="Franklin Gothic Book"/>
          <w:sz w:val="21"/>
          <w:szCs w:val="21"/>
          <w:lang w:eastAsia="en-US"/>
        </w:rPr>
        <w:t xml:space="preserve">bilateral </w:t>
      </w:r>
      <w:r w:rsidR="00A929B3">
        <w:rPr>
          <w:rFonts w:ascii="Franklin Gothic Book" w:eastAsia="Calibri" w:hAnsi="Franklin Gothic Book"/>
          <w:sz w:val="21"/>
          <w:szCs w:val="21"/>
          <w:lang w:eastAsia="en-US"/>
        </w:rPr>
        <w:t xml:space="preserve">aid program. </w:t>
      </w:r>
      <w:r w:rsidR="00575ACA">
        <w:rPr>
          <w:rFonts w:ascii="Franklin Gothic Book" w:eastAsia="Calibri" w:hAnsi="Franklin Gothic Book"/>
          <w:sz w:val="21"/>
          <w:szCs w:val="21"/>
          <w:lang w:eastAsia="en-US"/>
        </w:rPr>
        <w:t xml:space="preserve">Other ODA flows included global and regional programs, funding through other Australian Government </w:t>
      </w:r>
      <w:r w:rsidR="00C258ED">
        <w:rPr>
          <w:rFonts w:ascii="Franklin Gothic Book" w:eastAsia="Calibri" w:hAnsi="Franklin Gothic Book"/>
          <w:sz w:val="21"/>
          <w:szCs w:val="21"/>
          <w:lang w:eastAsia="en-US"/>
        </w:rPr>
        <w:t>Departments</w:t>
      </w:r>
      <w:r w:rsidR="00A929B3">
        <w:rPr>
          <w:rFonts w:ascii="Franklin Gothic Book" w:eastAsia="Calibri" w:hAnsi="Franklin Gothic Book"/>
          <w:sz w:val="21"/>
          <w:szCs w:val="21"/>
          <w:lang w:eastAsia="en-US"/>
        </w:rPr>
        <w:t xml:space="preserve"> </w:t>
      </w:r>
      <w:r w:rsidR="00575ACA">
        <w:rPr>
          <w:rFonts w:ascii="Franklin Gothic Book" w:eastAsia="Calibri" w:hAnsi="Franklin Gothic Book"/>
          <w:sz w:val="21"/>
          <w:szCs w:val="21"/>
          <w:lang w:eastAsia="en-US"/>
        </w:rPr>
        <w:t xml:space="preserve">(such as the Australian Centre for International Agricultural Research) and emergency humanitarian funds.  </w:t>
      </w:r>
    </w:p>
    <w:p w:rsidR="000D733F" w:rsidRDefault="000D733F" w:rsidP="000D733F">
      <w:pPr>
        <w:pStyle w:val="Caption"/>
      </w:pPr>
      <w:bookmarkStart w:id="2" w:name="_Toc373853206"/>
      <w:r>
        <w:t xml:space="preserve">Table </w:t>
      </w:r>
      <w:fldSimple w:instr=" SEQ Table \* ARABIC ">
        <w:r w:rsidR="00C77FE9">
          <w:rPr>
            <w:noProof/>
          </w:rPr>
          <w:t>1</w:t>
        </w:r>
      </w:fldSimple>
      <w:r>
        <w:t xml:space="preserve"> Expenditure in FY 2013-14</w:t>
      </w:r>
    </w:p>
    <w:tbl>
      <w:tblPr>
        <w:tblStyle w:val="APPR"/>
        <w:tblpPr w:leftFromText="180" w:rightFromText="180" w:vertAnchor="text" w:tblpY="1"/>
        <w:tblW w:w="5000" w:type="pct"/>
        <w:tblLayout w:type="fixed"/>
        <w:tblLook w:val="0000" w:firstRow="0" w:lastRow="0" w:firstColumn="0" w:lastColumn="0" w:noHBand="0" w:noVBand="0"/>
      </w:tblPr>
      <w:tblGrid>
        <w:gridCol w:w="6253"/>
        <w:gridCol w:w="1263"/>
        <w:gridCol w:w="1261"/>
      </w:tblGrid>
      <w:tr w:rsidR="000D733F" w:rsidRPr="00180B19" w:rsidTr="00706D81">
        <w:trPr>
          <w:cnfStyle w:val="000000010000" w:firstRow="0" w:lastRow="0" w:firstColumn="0" w:lastColumn="0" w:oddVBand="0" w:evenVBand="0" w:oddHBand="0" w:evenHBand="1" w:firstRowFirstColumn="0" w:firstRowLastColumn="0" w:lastRowFirstColumn="0" w:lastRowLastColumn="0"/>
        </w:trPr>
        <w:tc>
          <w:tcPr>
            <w:tcW w:w="6211" w:type="dxa"/>
          </w:tcPr>
          <w:p w:rsidR="000D733F" w:rsidRPr="00180B19" w:rsidRDefault="000D733F" w:rsidP="000D733F">
            <w:pPr>
              <w:pStyle w:val="TableHeading1"/>
            </w:pPr>
            <w:r w:rsidRPr="00180B19">
              <w:t>Objective</w:t>
            </w:r>
          </w:p>
        </w:tc>
        <w:tc>
          <w:tcPr>
            <w:tcW w:w="1235" w:type="dxa"/>
          </w:tcPr>
          <w:p w:rsidR="000D733F" w:rsidRPr="00180B19" w:rsidRDefault="000D733F" w:rsidP="00FB2CC4">
            <w:pPr>
              <w:pStyle w:val="TableHeading1"/>
              <w:jc w:val="center"/>
            </w:pPr>
            <w:r w:rsidRPr="00180B19">
              <w:t>A$ million</w:t>
            </w:r>
          </w:p>
        </w:tc>
        <w:tc>
          <w:tcPr>
            <w:tcW w:w="1219" w:type="dxa"/>
          </w:tcPr>
          <w:p w:rsidR="000D733F" w:rsidRPr="00180B19" w:rsidRDefault="000D733F" w:rsidP="00FB2CC4">
            <w:pPr>
              <w:pStyle w:val="TableHeading1"/>
              <w:jc w:val="center"/>
            </w:pPr>
            <w:r w:rsidRPr="00180B19">
              <w:t>% of bilateral program</w:t>
            </w:r>
            <w:r w:rsidR="00187CDE">
              <w:rPr>
                <w:rStyle w:val="FootnoteReference"/>
              </w:rPr>
              <w:footnoteReference w:id="10"/>
            </w:r>
          </w:p>
        </w:tc>
      </w:tr>
      <w:tr w:rsidR="000D733F" w:rsidRPr="00180B19" w:rsidTr="00706D81">
        <w:trPr>
          <w:cnfStyle w:val="000000010000" w:firstRow="0" w:lastRow="0" w:firstColumn="0" w:lastColumn="0" w:oddVBand="0" w:evenVBand="0" w:oddHBand="0" w:evenHBand="1" w:firstRowFirstColumn="0" w:firstRowLastColumn="0" w:lastRowFirstColumn="0" w:lastRowLastColumn="0"/>
        </w:trPr>
        <w:tc>
          <w:tcPr>
            <w:tcW w:w="6211" w:type="dxa"/>
          </w:tcPr>
          <w:p w:rsidR="000D733F" w:rsidRPr="00C57923" w:rsidRDefault="000D733F" w:rsidP="000575D8">
            <w:pPr>
              <w:pStyle w:val="TableTextEntries"/>
            </w:pPr>
            <w:r w:rsidRPr="00C57923">
              <w:t>Objective 1</w:t>
            </w:r>
            <w:r w:rsidR="000575D8">
              <w:t xml:space="preserve">  Partnering on education reforms</w:t>
            </w:r>
          </w:p>
        </w:tc>
        <w:tc>
          <w:tcPr>
            <w:tcW w:w="1235" w:type="dxa"/>
          </w:tcPr>
          <w:p w:rsidR="000D733F" w:rsidRPr="00C57923" w:rsidRDefault="003C37CC" w:rsidP="003C37CC">
            <w:pPr>
              <w:pStyle w:val="TableTextEntries"/>
              <w:jc w:val="right"/>
            </w:pPr>
            <w:r>
              <w:t>54.3</w:t>
            </w:r>
          </w:p>
        </w:tc>
        <w:tc>
          <w:tcPr>
            <w:tcW w:w="1219" w:type="dxa"/>
          </w:tcPr>
          <w:p w:rsidR="000D733F" w:rsidRPr="00C57923" w:rsidRDefault="00BB0868" w:rsidP="00117AE4">
            <w:pPr>
              <w:pStyle w:val="TableTextEntries"/>
              <w:jc w:val="right"/>
            </w:pPr>
            <w:r>
              <w:t>30</w:t>
            </w:r>
            <w:r w:rsidR="00117AE4">
              <w:t>.8</w:t>
            </w:r>
            <w:r w:rsidR="005B2D67">
              <w:t>%</w:t>
            </w:r>
          </w:p>
        </w:tc>
      </w:tr>
      <w:tr w:rsidR="000D733F" w:rsidRPr="00180B19" w:rsidTr="00706D81">
        <w:trPr>
          <w:cnfStyle w:val="000000010000" w:firstRow="0" w:lastRow="0" w:firstColumn="0" w:lastColumn="0" w:oddVBand="0" w:evenVBand="0" w:oddHBand="0" w:evenHBand="1" w:firstRowFirstColumn="0" w:firstRowLastColumn="0" w:lastRowFirstColumn="0" w:lastRowLastColumn="0"/>
        </w:trPr>
        <w:tc>
          <w:tcPr>
            <w:tcW w:w="6211" w:type="dxa"/>
          </w:tcPr>
          <w:p w:rsidR="000D733F" w:rsidRPr="00C57923" w:rsidRDefault="000D733F" w:rsidP="000D733F">
            <w:pPr>
              <w:pStyle w:val="TableTextEntries"/>
            </w:pPr>
            <w:r w:rsidRPr="00C57923">
              <w:t>Objective 2</w:t>
            </w:r>
            <w:r w:rsidR="000575D8">
              <w:t xml:space="preserve">  Enhancing the foundations for sustained economic growth</w:t>
            </w:r>
          </w:p>
        </w:tc>
        <w:tc>
          <w:tcPr>
            <w:tcW w:w="1235" w:type="dxa"/>
          </w:tcPr>
          <w:p w:rsidR="000D733F" w:rsidRPr="00C57923" w:rsidRDefault="003C37CC" w:rsidP="003C37CC">
            <w:pPr>
              <w:pStyle w:val="TableTextEntries"/>
              <w:jc w:val="right"/>
            </w:pPr>
            <w:r>
              <w:t>11.4</w:t>
            </w:r>
          </w:p>
        </w:tc>
        <w:tc>
          <w:tcPr>
            <w:tcW w:w="1219" w:type="dxa"/>
          </w:tcPr>
          <w:p w:rsidR="000D733F" w:rsidRPr="00C57923" w:rsidRDefault="00E63ED7" w:rsidP="00117AE4">
            <w:pPr>
              <w:pStyle w:val="TableTextEntries"/>
              <w:jc w:val="right"/>
            </w:pPr>
            <w:r>
              <w:t>6.4</w:t>
            </w:r>
            <w:r w:rsidR="005B2D67">
              <w:t>%</w:t>
            </w:r>
          </w:p>
        </w:tc>
      </w:tr>
      <w:tr w:rsidR="000D733F" w:rsidRPr="00180B19" w:rsidTr="00706D81">
        <w:trPr>
          <w:cnfStyle w:val="000000010000" w:firstRow="0" w:lastRow="0" w:firstColumn="0" w:lastColumn="0" w:oddVBand="0" w:evenVBand="0" w:oddHBand="0" w:evenHBand="1" w:firstRowFirstColumn="0" w:firstRowLastColumn="0" w:lastRowFirstColumn="0" w:lastRowLastColumn="0"/>
        </w:trPr>
        <w:tc>
          <w:tcPr>
            <w:tcW w:w="6211" w:type="dxa"/>
          </w:tcPr>
          <w:p w:rsidR="000D733F" w:rsidRPr="00C57923" w:rsidRDefault="000D733F" w:rsidP="000D733F">
            <w:pPr>
              <w:pStyle w:val="TableTextEntries"/>
            </w:pPr>
            <w:r w:rsidRPr="00C57923">
              <w:t>Objective 3</w:t>
            </w:r>
            <w:r w:rsidR="000575D8">
              <w:t xml:space="preserve">  Better disaster preparedness and response</w:t>
            </w:r>
          </w:p>
        </w:tc>
        <w:tc>
          <w:tcPr>
            <w:tcW w:w="1235" w:type="dxa"/>
          </w:tcPr>
          <w:p w:rsidR="000D733F" w:rsidRPr="00C57923" w:rsidRDefault="00117AE4" w:rsidP="00117AE4">
            <w:pPr>
              <w:pStyle w:val="TableTextEntries"/>
              <w:jc w:val="right"/>
            </w:pPr>
            <w:r>
              <w:t>61</w:t>
            </w:r>
            <w:r w:rsidR="003014D1">
              <w:t>.0</w:t>
            </w:r>
          </w:p>
        </w:tc>
        <w:tc>
          <w:tcPr>
            <w:tcW w:w="1219" w:type="dxa"/>
          </w:tcPr>
          <w:p w:rsidR="000D733F" w:rsidRPr="00C57923" w:rsidRDefault="00BB0868" w:rsidP="00EC102A">
            <w:pPr>
              <w:pStyle w:val="TableTextEntries"/>
              <w:jc w:val="right"/>
            </w:pPr>
            <w:r>
              <w:t>34</w:t>
            </w:r>
            <w:r w:rsidR="00117AE4">
              <w:t>.6</w:t>
            </w:r>
            <w:r w:rsidR="005B2D67">
              <w:t>%</w:t>
            </w:r>
          </w:p>
        </w:tc>
      </w:tr>
      <w:tr w:rsidR="000575D8" w:rsidRPr="00180B19" w:rsidTr="00706D81">
        <w:trPr>
          <w:cnfStyle w:val="000000010000" w:firstRow="0" w:lastRow="0" w:firstColumn="0" w:lastColumn="0" w:oddVBand="0" w:evenVBand="0" w:oddHBand="0" w:evenHBand="1" w:firstRowFirstColumn="0" w:firstRowLastColumn="0" w:lastRowFirstColumn="0" w:lastRowLastColumn="0"/>
        </w:trPr>
        <w:tc>
          <w:tcPr>
            <w:tcW w:w="6211" w:type="dxa"/>
          </w:tcPr>
          <w:p w:rsidR="000575D8" w:rsidRPr="00C57923" w:rsidRDefault="000575D8" w:rsidP="000D733F">
            <w:pPr>
              <w:pStyle w:val="TableTextEntries"/>
            </w:pPr>
            <w:r>
              <w:t>Objective 4  Improving conditions for peace and security</w:t>
            </w:r>
          </w:p>
        </w:tc>
        <w:tc>
          <w:tcPr>
            <w:tcW w:w="1235" w:type="dxa"/>
          </w:tcPr>
          <w:p w:rsidR="000575D8" w:rsidRPr="00C57923" w:rsidRDefault="003C37CC" w:rsidP="003C37CC">
            <w:pPr>
              <w:pStyle w:val="TableTextEntries"/>
              <w:jc w:val="right"/>
            </w:pPr>
            <w:r>
              <w:t>4.8</w:t>
            </w:r>
          </w:p>
        </w:tc>
        <w:tc>
          <w:tcPr>
            <w:tcW w:w="1219" w:type="dxa"/>
          </w:tcPr>
          <w:p w:rsidR="000575D8" w:rsidRPr="00C57923" w:rsidRDefault="00BB0868" w:rsidP="00117AE4">
            <w:pPr>
              <w:pStyle w:val="TableTextEntries"/>
              <w:jc w:val="right"/>
            </w:pPr>
            <w:r>
              <w:t>2.7</w:t>
            </w:r>
            <w:r w:rsidR="005B2D67">
              <w:t>%</w:t>
            </w:r>
          </w:p>
        </w:tc>
      </w:tr>
      <w:tr w:rsidR="000575D8" w:rsidRPr="00180B19" w:rsidTr="00706D81">
        <w:trPr>
          <w:cnfStyle w:val="000000010000" w:firstRow="0" w:lastRow="0" w:firstColumn="0" w:lastColumn="0" w:oddVBand="0" w:evenVBand="0" w:oddHBand="0" w:evenHBand="1" w:firstRowFirstColumn="0" w:firstRowLastColumn="0" w:lastRowFirstColumn="0" w:lastRowLastColumn="0"/>
        </w:trPr>
        <w:tc>
          <w:tcPr>
            <w:tcW w:w="6211" w:type="dxa"/>
          </w:tcPr>
          <w:p w:rsidR="000575D8" w:rsidRPr="00C57923" w:rsidRDefault="000575D8" w:rsidP="000D733F">
            <w:pPr>
              <w:pStyle w:val="TableTextEntries"/>
            </w:pPr>
            <w:r>
              <w:t>Objective 5  Building stronger institutions for accountable and inclusive governance</w:t>
            </w:r>
          </w:p>
        </w:tc>
        <w:tc>
          <w:tcPr>
            <w:tcW w:w="1235" w:type="dxa"/>
          </w:tcPr>
          <w:p w:rsidR="000575D8" w:rsidRPr="00C57923" w:rsidRDefault="003C37CC" w:rsidP="003C37CC">
            <w:pPr>
              <w:pStyle w:val="TableTextEntries"/>
              <w:jc w:val="right"/>
            </w:pPr>
            <w:r>
              <w:t>29.3</w:t>
            </w:r>
          </w:p>
        </w:tc>
        <w:tc>
          <w:tcPr>
            <w:tcW w:w="1219" w:type="dxa"/>
          </w:tcPr>
          <w:p w:rsidR="000575D8" w:rsidRPr="00C57923" w:rsidRDefault="00BB0868" w:rsidP="00117AE4">
            <w:pPr>
              <w:pStyle w:val="TableTextEntries"/>
              <w:jc w:val="right"/>
            </w:pPr>
            <w:r>
              <w:t>16.6</w:t>
            </w:r>
            <w:r w:rsidR="005B2D67">
              <w:t>%</w:t>
            </w:r>
          </w:p>
        </w:tc>
      </w:tr>
    </w:tbl>
    <w:p w:rsidR="000D733F" w:rsidRDefault="000D733F" w:rsidP="002141DF">
      <w:pPr>
        <w:pStyle w:val="Note"/>
      </w:pPr>
      <w:r w:rsidRPr="00180B19">
        <w:t>Source:</w:t>
      </w:r>
      <w:r w:rsidR="00706D81">
        <w:t xml:space="preserve"> </w:t>
      </w:r>
      <w:r w:rsidR="000C074E">
        <w:t xml:space="preserve">Budget Statistics Section, External Budget Branch and </w:t>
      </w:r>
      <w:r w:rsidR="00706D81">
        <w:t>Aidworks</w:t>
      </w:r>
    </w:p>
    <w:p w:rsidR="000D733F" w:rsidRPr="00CD50CB" w:rsidRDefault="000D733F" w:rsidP="00CD50CB">
      <w:pPr>
        <w:pStyle w:val="Heading2"/>
        <w:rPr>
          <w:sz w:val="28"/>
        </w:rPr>
      </w:pPr>
      <w:r w:rsidRPr="00CD50CB">
        <w:rPr>
          <w:sz w:val="28"/>
        </w:rPr>
        <w:t>Progress towards objectives</w:t>
      </w:r>
      <w:r w:rsidRPr="00CD50CB">
        <w:rPr>
          <w:sz w:val="28"/>
        </w:rPr>
        <w:tab/>
      </w:r>
    </w:p>
    <w:p w:rsidR="00985E57" w:rsidRPr="00985E57" w:rsidRDefault="00846D02" w:rsidP="00985E57">
      <w:pPr>
        <w:spacing w:after="200" w:line="276" w:lineRule="auto"/>
        <w:rPr>
          <w:rFonts w:ascii="Franklin Gothic Book" w:eastAsia="Calibri" w:hAnsi="Franklin Gothic Book"/>
          <w:sz w:val="21"/>
          <w:szCs w:val="21"/>
          <w:lang w:eastAsia="en-US"/>
        </w:rPr>
      </w:pPr>
      <w:r w:rsidRPr="00191953">
        <w:rPr>
          <w:rFonts w:ascii="Franklin Gothic Book" w:eastAsia="Calibri" w:hAnsi="Franklin Gothic Book"/>
          <w:sz w:val="21"/>
          <w:szCs w:val="21"/>
          <w:lang w:eastAsia="en-US"/>
        </w:rPr>
        <w:t xml:space="preserve">At the mid-point </w:t>
      </w:r>
      <w:r w:rsidR="00985E57" w:rsidRPr="00191953">
        <w:rPr>
          <w:rFonts w:ascii="Franklin Gothic Book" w:eastAsia="Calibri" w:hAnsi="Franklin Gothic Book"/>
          <w:sz w:val="21"/>
          <w:szCs w:val="21"/>
          <w:lang w:eastAsia="en-US"/>
        </w:rPr>
        <w:t xml:space="preserve">of implementing the 2012-2017 country strategy, Australia </w:t>
      </w:r>
      <w:r w:rsidRPr="00191953">
        <w:rPr>
          <w:rFonts w:ascii="Franklin Gothic Book" w:eastAsia="Calibri" w:hAnsi="Franklin Gothic Book"/>
          <w:sz w:val="21"/>
          <w:szCs w:val="21"/>
          <w:lang w:eastAsia="en-US"/>
        </w:rPr>
        <w:t xml:space="preserve">has </w:t>
      </w:r>
      <w:r w:rsidR="00985E57" w:rsidRPr="00191953">
        <w:rPr>
          <w:rFonts w:ascii="Franklin Gothic Book" w:eastAsia="Calibri" w:hAnsi="Franklin Gothic Book"/>
          <w:sz w:val="21"/>
          <w:szCs w:val="21"/>
          <w:lang w:eastAsia="en-US"/>
        </w:rPr>
        <w:t xml:space="preserve">made </w:t>
      </w:r>
      <w:r w:rsidRPr="00191953">
        <w:rPr>
          <w:rFonts w:ascii="Franklin Gothic Book" w:eastAsia="Calibri" w:hAnsi="Franklin Gothic Book"/>
          <w:sz w:val="21"/>
          <w:szCs w:val="21"/>
          <w:lang w:eastAsia="en-US"/>
        </w:rPr>
        <w:t xml:space="preserve">significant </w:t>
      </w:r>
      <w:r w:rsidR="00985E57" w:rsidRPr="00191953">
        <w:rPr>
          <w:rFonts w:ascii="Franklin Gothic Book" w:eastAsia="Calibri" w:hAnsi="Franklin Gothic Book"/>
          <w:sz w:val="21"/>
          <w:szCs w:val="21"/>
          <w:lang w:eastAsia="en-US"/>
        </w:rPr>
        <w:t>progress towards meeting its five objectives.</w:t>
      </w:r>
      <w:r w:rsidR="00985E57">
        <w:rPr>
          <w:rFonts w:ascii="Franklin Gothic Book" w:eastAsia="Calibri" w:hAnsi="Franklin Gothic Book"/>
          <w:sz w:val="21"/>
          <w:szCs w:val="21"/>
          <w:lang w:eastAsia="en-US"/>
        </w:rPr>
        <w:t xml:space="preserve">  </w:t>
      </w:r>
      <w:r w:rsidR="00191953">
        <w:rPr>
          <w:rFonts w:ascii="Franklin Gothic Book" w:eastAsia="Calibri" w:hAnsi="Franklin Gothic Book"/>
          <w:sz w:val="21"/>
          <w:szCs w:val="21"/>
          <w:lang w:eastAsia="en-US"/>
        </w:rPr>
        <w:t>Program progress is measured based on the performance of initiatives as reported in Quality at Implementation (QAI) reports and independent reviews for selected initiatives.  Progress was measured against what was expected for the period and as much as possible</w:t>
      </w:r>
      <w:r w:rsidR="00D96454">
        <w:rPr>
          <w:rFonts w:ascii="Franklin Gothic Book" w:eastAsia="Calibri" w:hAnsi="Franklin Gothic Book"/>
          <w:sz w:val="21"/>
          <w:szCs w:val="21"/>
          <w:lang w:eastAsia="en-US"/>
        </w:rPr>
        <w:t>,</w:t>
      </w:r>
      <w:r w:rsidR="00191953">
        <w:rPr>
          <w:rFonts w:ascii="Franklin Gothic Book" w:eastAsia="Calibri" w:hAnsi="Franklin Gothic Book"/>
          <w:sz w:val="21"/>
          <w:szCs w:val="21"/>
          <w:lang w:eastAsia="en-US"/>
        </w:rPr>
        <w:t xml:space="preserve"> based on target milestones in the </w:t>
      </w:r>
      <w:r w:rsidR="00F446CA">
        <w:rPr>
          <w:rFonts w:ascii="Franklin Gothic Book" w:eastAsia="Calibri" w:hAnsi="Franklin Gothic Book"/>
          <w:sz w:val="21"/>
          <w:szCs w:val="21"/>
          <w:lang w:eastAsia="en-US"/>
        </w:rPr>
        <w:t>Performance Assessment Framework</w:t>
      </w:r>
      <w:r w:rsidR="00191953">
        <w:rPr>
          <w:rFonts w:ascii="Franklin Gothic Book" w:eastAsia="Calibri" w:hAnsi="Franklin Gothic Book"/>
          <w:sz w:val="21"/>
          <w:szCs w:val="21"/>
          <w:lang w:eastAsia="en-US"/>
        </w:rPr>
        <w:t xml:space="preserve"> (PAF).</w:t>
      </w:r>
    </w:p>
    <w:p w:rsidR="000D733F" w:rsidRDefault="000D733F" w:rsidP="000D733F">
      <w:pPr>
        <w:pStyle w:val="Caption"/>
      </w:pPr>
      <w:r>
        <w:t xml:space="preserve">Table </w:t>
      </w:r>
      <w:fldSimple w:instr=" SEQ Table \* ARABIC ">
        <w:r w:rsidR="00C77FE9">
          <w:rPr>
            <w:noProof/>
          </w:rPr>
          <w:t>2</w:t>
        </w:r>
      </w:fldSimple>
      <w:r>
        <w:t xml:space="preserve"> Rating of the program's progress towards Australia’s </w:t>
      </w:r>
      <w:r w:rsidR="00D206B3">
        <w:t xml:space="preserve">aid </w:t>
      </w:r>
      <w:r>
        <w:t>objectives</w:t>
      </w:r>
    </w:p>
    <w:tbl>
      <w:tblPr>
        <w:tblStyle w:val="APPR"/>
        <w:tblW w:w="5000" w:type="pct"/>
        <w:tblLook w:val="0000" w:firstRow="0" w:lastRow="0" w:firstColumn="0" w:lastColumn="0" w:noHBand="0" w:noVBand="0"/>
      </w:tblPr>
      <w:tblGrid>
        <w:gridCol w:w="6234"/>
        <w:gridCol w:w="1026"/>
        <w:gridCol w:w="426"/>
        <w:gridCol w:w="1091"/>
      </w:tblGrid>
      <w:tr w:rsidR="000D733F" w:rsidRPr="0019341B" w:rsidTr="009F1243">
        <w:trPr>
          <w:cnfStyle w:val="000000010000" w:firstRow="0" w:lastRow="0" w:firstColumn="0" w:lastColumn="0" w:oddVBand="0" w:evenVBand="0" w:oddHBand="0" w:evenHBand="1" w:firstRowFirstColumn="0" w:firstRowLastColumn="0" w:lastRowFirstColumn="0" w:lastRowLastColumn="0"/>
          <w:trHeight w:val="450"/>
        </w:trPr>
        <w:tc>
          <w:tcPr>
            <w:tcW w:w="6192" w:type="dxa"/>
          </w:tcPr>
          <w:p w:rsidR="000D733F" w:rsidRPr="0019341B" w:rsidRDefault="000D733F" w:rsidP="009F1243">
            <w:pPr>
              <w:pStyle w:val="TableTextColumnHeading"/>
              <w:spacing w:line="240" w:lineRule="auto"/>
            </w:pPr>
            <w:r w:rsidRPr="0019341B">
              <w:rPr>
                <w:noProof/>
                <w:lang w:eastAsia="en-AU"/>
              </w:rPr>
              <w:drawing>
                <wp:anchor distT="0" distB="0" distL="114300" distR="114300" simplePos="0" relativeHeight="251663360" behindDoc="0" locked="0" layoutInCell="1" allowOverlap="1" wp14:anchorId="348C16B5" wp14:editId="7D4FE981">
                  <wp:simplePos x="0" y="0"/>
                  <wp:positionH relativeFrom="column">
                    <wp:posOffset>0</wp:posOffset>
                  </wp:positionH>
                  <wp:positionV relativeFrom="paragraph">
                    <wp:posOffset>0</wp:posOffset>
                  </wp:positionV>
                  <wp:extent cx="1857375" cy="228600"/>
                  <wp:effectExtent l="0" t="0" r="9525" b="0"/>
                  <wp:wrapNone/>
                  <wp:docPr id="12" name="Picture 12"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t>Objective</w:t>
            </w:r>
          </w:p>
        </w:tc>
        <w:tc>
          <w:tcPr>
            <w:tcW w:w="998" w:type="dxa"/>
          </w:tcPr>
          <w:p w:rsidR="000D733F" w:rsidRPr="0019341B" w:rsidRDefault="004F4630" w:rsidP="009F1243">
            <w:pPr>
              <w:pStyle w:val="TableTextColumnHeading"/>
              <w:spacing w:before="0" w:after="0" w:line="240" w:lineRule="auto"/>
            </w:pPr>
            <w:r>
              <w:t>Previous Rating</w:t>
            </w:r>
          </w:p>
        </w:tc>
        <w:tc>
          <w:tcPr>
            <w:tcW w:w="398" w:type="dxa"/>
          </w:tcPr>
          <w:p w:rsidR="000D733F" w:rsidRDefault="000D733F" w:rsidP="009F1243">
            <w:pPr>
              <w:pStyle w:val="TableTextColumnHeading"/>
              <w:spacing w:before="0" w:after="0" w:line="240" w:lineRule="auto"/>
            </w:pPr>
          </w:p>
        </w:tc>
        <w:tc>
          <w:tcPr>
            <w:tcW w:w="1049" w:type="dxa"/>
          </w:tcPr>
          <w:p w:rsidR="000D733F" w:rsidRPr="0019341B" w:rsidRDefault="004F4630" w:rsidP="009F1243">
            <w:pPr>
              <w:pStyle w:val="TableTextColumnHeading"/>
              <w:spacing w:before="0" w:after="0" w:line="240" w:lineRule="auto"/>
            </w:pPr>
            <w:r>
              <w:t>Current Rating</w:t>
            </w:r>
          </w:p>
        </w:tc>
      </w:tr>
      <w:tr w:rsidR="00E54285" w:rsidRPr="009D53C4" w:rsidTr="00F96C43">
        <w:trPr>
          <w:cnfStyle w:val="000000010000" w:firstRow="0" w:lastRow="0" w:firstColumn="0" w:lastColumn="0" w:oddVBand="0" w:evenVBand="0" w:oddHBand="0" w:evenHBand="1" w:firstRowFirstColumn="0" w:firstRowLastColumn="0" w:lastRowFirstColumn="0" w:lastRowLastColumn="0"/>
        </w:trPr>
        <w:tc>
          <w:tcPr>
            <w:tcW w:w="6192" w:type="dxa"/>
          </w:tcPr>
          <w:p w:rsidR="00E54285" w:rsidRPr="0019341B" w:rsidRDefault="00E54285" w:rsidP="000D733F">
            <w:pPr>
              <w:pStyle w:val="TableTextEntries"/>
            </w:pPr>
            <w:r>
              <w:t>Objective 1 Partnering on education reforms</w:t>
            </w:r>
          </w:p>
        </w:tc>
        <w:tc>
          <w:tcPr>
            <w:tcW w:w="998" w:type="dxa"/>
            <w:shd w:val="clear" w:color="auto" w:fill="72AF2F"/>
            <w:noWrap/>
          </w:tcPr>
          <w:p w:rsidR="00E54285" w:rsidRPr="00443639" w:rsidRDefault="00E54285" w:rsidP="000D733F">
            <w:pPr>
              <w:pStyle w:val="TableTextEntries"/>
              <w:jc w:val="center"/>
              <w:rPr>
                <w:color w:val="FFFFFF" w:themeColor="background1"/>
              </w:rPr>
            </w:pPr>
            <w:r w:rsidRPr="00443639">
              <w:rPr>
                <w:color w:val="FFFFFF" w:themeColor="background1"/>
              </w:rPr>
              <w:t>Green</w:t>
            </w:r>
          </w:p>
        </w:tc>
        <w:tc>
          <w:tcPr>
            <w:tcW w:w="398" w:type="dxa"/>
          </w:tcPr>
          <w:p w:rsidR="00E54285" w:rsidRPr="00443639" w:rsidRDefault="00E54285" w:rsidP="000D733F">
            <w:pPr>
              <w:pStyle w:val="TableTextEntries"/>
              <w:jc w:val="center"/>
              <w:rPr>
                <w:color w:val="FFFFFF" w:themeColor="background1"/>
              </w:rPr>
            </w:pPr>
          </w:p>
        </w:tc>
        <w:tc>
          <w:tcPr>
            <w:tcW w:w="1049" w:type="dxa"/>
            <w:shd w:val="clear" w:color="auto" w:fill="78B400"/>
            <w:noWrap/>
          </w:tcPr>
          <w:p w:rsidR="00E54285" w:rsidRPr="00443639" w:rsidRDefault="00E54285" w:rsidP="00E54285">
            <w:pPr>
              <w:pStyle w:val="TableTextEntries"/>
              <w:jc w:val="center"/>
              <w:rPr>
                <w:color w:val="FFFFFF" w:themeColor="background1"/>
              </w:rPr>
            </w:pPr>
            <w:r w:rsidRPr="00443639">
              <w:rPr>
                <w:color w:val="FFFFFF" w:themeColor="background1"/>
              </w:rPr>
              <w:t>Green</w:t>
            </w:r>
          </w:p>
        </w:tc>
      </w:tr>
      <w:tr w:rsidR="000D733F" w:rsidRPr="009D53C4" w:rsidTr="00E54285">
        <w:trPr>
          <w:cnfStyle w:val="000000010000" w:firstRow="0" w:lastRow="0" w:firstColumn="0" w:lastColumn="0" w:oddVBand="0" w:evenVBand="0" w:oddHBand="0" w:evenHBand="1" w:firstRowFirstColumn="0" w:firstRowLastColumn="0" w:lastRowFirstColumn="0" w:lastRowLastColumn="0"/>
        </w:trPr>
        <w:tc>
          <w:tcPr>
            <w:tcW w:w="6192" w:type="dxa"/>
          </w:tcPr>
          <w:p w:rsidR="000D733F" w:rsidRPr="0019341B" w:rsidRDefault="000D733F" w:rsidP="000D733F">
            <w:pPr>
              <w:pStyle w:val="TableTextEntries"/>
            </w:pPr>
            <w:r>
              <w:t>Objective 2</w:t>
            </w:r>
            <w:r w:rsidR="00E54285">
              <w:t xml:space="preserve"> Enhancing the </w:t>
            </w:r>
            <w:r w:rsidR="00E54285" w:rsidRPr="001A6DAE">
              <w:t>foundations</w:t>
            </w:r>
            <w:r w:rsidR="00E54285">
              <w:t xml:space="preserve"> for sustained economic growth</w:t>
            </w:r>
          </w:p>
        </w:tc>
        <w:tc>
          <w:tcPr>
            <w:tcW w:w="998" w:type="dxa"/>
            <w:shd w:val="clear" w:color="auto" w:fill="E36C0A"/>
            <w:noWrap/>
          </w:tcPr>
          <w:p w:rsidR="000D733F" w:rsidRPr="00443639" w:rsidRDefault="000D733F" w:rsidP="000D733F">
            <w:pPr>
              <w:pStyle w:val="TableTextEntries"/>
              <w:jc w:val="center"/>
              <w:rPr>
                <w:color w:val="FFFFFF" w:themeColor="background1"/>
              </w:rPr>
            </w:pPr>
            <w:r w:rsidRPr="00443639">
              <w:rPr>
                <w:color w:val="FFFFFF" w:themeColor="background1"/>
              </w:rPr>
              <w:t>Amber</w:t>
            </w:r>
          </w:p>
        </w:tc>
        <w:tc>
          <w:tcPr>
            <w:tcW w:w="398" w:type="dxa"/>
          </w:tcPr>
          <w:p w:rsidR="000D733F" w:rsidRPr="00443639" w:rsidRDefault="000D733F" w:rsidP="000D733F">
            <w:pPr>
              <w:pStyle w:val="TableTextEntries"/>
              <w:jc w:val="center"/>
              <w:rPr>
                <w:color w:val="FFFFFF" w:themeColor="background1"/>
              </w:rPr>
            </w:pPr>
          </w:p>
        </w:tc>
        <w:tc>
          <w:tcPr>
            <w:tcW w:w="1049" w:type="dxa"/>
            <w:shd w:val="clear" w:color="auto" w:fill="72AF2F"/>
            <w:noWrap/>
          </w:tcPr>
          <w:p w:rsidR="000D733F" w:rsidRPr="00443639" w:rsidRDefault="000D733F" w:rsidP="000D733F">
            <w:pPr>
              <w:pStyle w:val="TableTextEntries"/>
              <w:jc w:val="center"/>
              <w:rPr>
                <w:color w:val="FFFFFF" w:themeColor="background1"/>
              </w:rPr>
            </w:pPr>
            <w:r w:rsidRPr="00443639">
              <w:rPr>
                <w:color w:val="FFFFFF" w:themeColor="background1"/>
              </w:rPr>
              <w:t>Green</w:t>
            </w:r>
          </w:p>
        </w:tc>
      </w:tr>
      <w:tr w:rsidR="000D733F" w:rsidRPr="009D53C4" w:rsidTr="00F96C43">
        <w:trPr>
          <w:cnfStyle w:val="000000010000" w:firstRow="0" w:lastRow="0" w:firstColumn="0" w:lastColumn="0" w:oddVBand="0" w:evenVBand="0" w:oddHBand="0" w:evenHBand="1" w:firstRowFirstColumn="0" w:firstRowLastColumn="0" w:lastRowFirstColumn="0" w:lastRowLastColumn="0"/>
        </w:trPr>
        <w:tc>
          <w:tcPr>
            <w:tcW w:w="6192" w:type="dxa"/>
          </w:tcPr>
          <w:p w:rsidR="000D733F" w:rsidRDefault="000D733F" w:rsidP="000D733F">
            <w:pPr>
              <w:pStyle w:val="TableTextEntries"/>
            </w:pPr>
            <w:r>
              <w:t>Objective 3</w:t>
            </w:r>
            <w:r w:rsidR="00E54285">
              <w:t xml:space="preserve"> Better disaster preparedness and response</w:t>
            </w:r>
          </w:p>
        </w:tc>
        <w:tc>
          <w:tcPr>
            <w:tcW w:w="998" w:type="dxa"/>
            <w:shd w:val="clear" w:color="auto" w:fill="78B400"/>
            <w:noWrap/>
          </w:tcPr>
          <w:p w:rsidR="000D733F" w:rsidRPr="00443639" w:rsidRDefault="00AA6010" w:rsidP="000D733F">
            <w:pPr>
              <w:pStyle w:val="TableTextEntries"/>
              <w:jc w:val="center"/>
              <w:rPr>
                <w:color w:val="FFFFFF" w:themeColor="background1"/>
              </w:rPr>
            </w:pPr>
            <w:r w:rsidRPr="00443639">
              <w:rPr>
                <w:color w:val="FFFFFF" w:themeColor="background1"/>
              </w:rPr>
              <w:t>Green</w:t>
            </w:r>
          </w:p>
        </w:tc>
        <w:tc>
          <w:tcPr>
            <w:tcW w:w="398" w:type="dxa"/>
          </w:tcPr>
          <w:p w:rsidR="000D733F" w:rsidRPr="00443639" w:rsidRDefault="000D733F" w:rsidP="000D733F">
            <w:pPr>
              <w:pStyle w:val="TableTextEntries"/>
              <w:jc w:val="center"/>
              <w:rPr>
                <w:color w:val="FFFFFF" w:themeColor="background1"/>
              </w:rPr>
            </w:pPr>
          </w:p>
        </w:tc>
        <w:tc>
          <w:tcPr>
            <w:tcW w:w="1049" w:type="dxa"/>
            <w:shd w:val="clear" w:color="auto" w:fill="78B400"/>
            <w:noWrap/>
          </w:tcPr>
          <w:p w:rsidR="000D733F" w:rsidRPr="00443639" w:rsidRDefault="00AA6010" w:rsidP="000D733F">
            <w:pPr>
              <w:pStyle w:val="TableTextEntries"/>
              <w:jc w:val="center"/>
              <w:rPr>
                <w:color w:val="FFFFFF" w:themeColor="background1"/>
              </w:rPr>
            </w:pPr>
            <w:r w:rsidRPr="00443639">
              <w:rPr>
                <w:color w:val="FFFFFF" w:themeColor="background1"/>
              </w:rPr>
              <w:t>Green</w:t>
            </w:r>
          </w:p>
        </w:tc>
      </w:tr>
      <w:tr w:rsidR="00E54285" w:rsidRPr="009D53C4" w:rsidTr="00F96C43">
        <w:trPr>
          <w:cnfStyle w:val="000000010000" w:firstRow="0" w:lastRow="0" w:firstColumn="0" w:lastColumn="0" w:oddVBand="0" w:evenVBand="0" w:oddHBand="0" w:evenHBand="1" w:firstRowFirstColumn="0" w:firstRowLastColumn="0" w:lastRowFirstColumn="0" w:lastRowLastColumn="0"/>
        </w:trPr>
        <w:tc>
          <w:tcPr>
            <w:tcW w:w="6192" w:type="dxa"/>
          </w:tcPr>
          <w:p w:rsidR="00E54285" w:rsidRDefault="00E54285" w:rsidP="000D733F">
            <w:pPr>
              <w:pStyle w:val="TableTextEntries"/>
            </w:pPr>
            <w:r>
              <w:t>Objective 4 Improving conditions for peace and security</w:t>
            </w:r>
          </w:p>
        </w:tc>
        <w:tc>
          <w:tcPr>
            <w:tcW w:w="998" w:type="dxa"/>
            <w:shd w:val="clear" w:color="auto" w:fill="78B400"/>
            <w:noWrap/>
          </w:tcPr>
          <w:p w:rsidR="00E54285" w:rsidRPr="00443639" w:rsidRDefault="00AA6010" w:rsidP="000D733F">
            <w:pPr>
              <w:pStyle w:val="TableTextEntries"/>
              <w:jc w:val="center"/>
              <w:rPr>
                <w:color w:val="FFFFFF" w:themeColor="background1"/>
              </w:rPr>
            </w:pPr>
            <w:r w:rsidRPr="00443639">
              <w:rPr>
                <w:color w:val="FFFFFF" w:themeColor="background1"/>
              </w:rPr>
              <w:t>Green</w:t>
            </w:r>
          </w:p>
        </w:tc>
        <w:tc>
          <w:tcPr>
            <w:tcW w:w="398" w:type="dxa"/>
          </w:tcPr>
          <w:p w:rsidR="00E54285" w:rsidRPr="00443639" w:rsidRDefault="00E54285" w:rsidP="000D733F">
            <w:pPr>
              <w:pStyle w:val="TableTextEntries"/>
              <w:jc w:val="center"/>
              <w:rPr>
                <w:color w:val="FFFFFF" w:themeColor="background1"/>
              </w:rPr>
            </w:pPr>
          </w:p>
        </w:tc>
        <w:tc>
          <w:tcPr>
            <w:tcW w:w="1049" w:type="dxa"/>
            <w:shd w:val="clear" w:color="auto" w:fill="78B400"/>
            <w:noWrap/>
          </w:tcPr>
          <w:p w:rsidR="00E54285" w:rsidRPr="00443639" w:rsidRDefault="00AA6010" w:rsidP="000D733F">
            <w:pPr>
              <w:pStyle w:val="TableTextEntries"/>
              <w:jc w:val="center"/>
              <w:rPr>
                <w:color w:val="FFFFFF" w:themeColor="background1"/>
              </w:rPr>
            </w:pPr>
            <w:r w:rsidRPr="00443639">
              <w:rPr>
                <w:color w:val="FFFFFF" w:themeColor="background1"/>
              </w:rPr>
              <w:t>Green</w:t>
            </w:r>
          </w:p>
        </w:tc>
      </w:tr>
      <w:tr w:rsidR="00E54285" w:rsidRPr="009D53C4" w:rsidTr="00F96C43">
        <w:trPr>
          <w:cnfStyle w:val="000000010000" w:firstRow="0" w:lastRow="0" w:firstColumn="0" w:lastColumn="0" w:oddVBand="0" w:evenVBand="0" w:oddHBand="0" w:evenHBand="1" w:firstRowFirstColumn="0" w:firstRowLastColumn="0" w:lastRowFirstColumn="0" w:lastRowLastColumn="0"/>
        </w:trPr>
        <w:tc>
          <w:tcPr>
            <w:tcW w:w="6192" w:type="dxa"/>
          </w:tcPr>
          <w:p w:rsidR="00E54285" w:rsidRDefault="00AA6010" w:rsidP="000D733F">
            <w:pPr>
              <w:pStyle w:val="TableTextEntries"/>
            </w:pPr>
            <w:r>
              <w:t xml:space="preserve">Objective 5 </w:t>
            </w:r>
            <w:r w:rsidR="00E54285">
              <w:t xml:space="preserve">Building </w:t>
            </w:r>
            <w:r>
              <w:t>stronger institutions for accountable and inclusive governance</w:t>
            </w:r>
          </w:p>
        </w:tc>
        <w:tc>
          <w:tcPr>
            <w:tcW w:w="998" w:type="dxa"/>
            <w:shd w:val="clear" w:color="auto" w:fill="78B400"/>
            <w:noWrap/>
          </w:tcPr>
          <w:p w:rsidR="00E54285" w:rsidRPr="00443639" w:rsidRDefault="00AA6010" w:rsidP="000D733F">
            <w:pPr>
              <w:pStyle w:val="TableTextEntries"/>
              <w:jc w:val="center"/>
              <w:rPr>
                <w:color w:val="FFFFFF" w:themeColor="background1"/>
              </w:rPr>
            </w:pPr>
            <w:r w:rsidRPr="00443639">
              <w:rPr>
                <w:color w:val="FFFFFF" w:themeColor="background1"/>
              </w:rPr>
              <w:t>Green</w:t>
            </w:r>
          </w:p>
        </w:tc>
        <w:tc>
          <w:tcPr>
            <w:tcW w:w="398" w:type="dxa"/>
          </w:tcPr>
          <w:p w:rsidR="00E54285" w:rsidRPr="00443639" w:rsidRDefault="00E54285" w:rsidP="000D733F">
            <w:pPr>
              <w:pStyle w:val="TableTextEntries"/>
              <w:jc w:val="center"/>
              <w:rPr>
                <w:color w:val="FFFFFF" w:themeColor="background1"/>
              </w:rPr>
            </w:pPr>
          </w:p>
        </w:tc>
        <w:tc>
          <w:tcPr>
            <w:tcW w:w="1049" w:type="dxa"/>
            <w:shd w:val="clear" w:color="auto" w:fill="78B400"/>
            <w:noWrap/>
          </w:tcPr>
          <w:p w:rsidR="00E54285" w:rsidRPr="00443639" w:rsidRDefault="00AA6010" w:rsidP="000D733F">
            <w:pPr>
              <w:pStyle w:val="TableTextEntries"/>
              <w:jc w:val="center"/>
              <w:rPr>
                <w:color w:val="FFFFFF" w:themeColor="background1"/>
              </w:rPr>
            </w:pPr>
            <w:r w:rsidRPr="00443639">
              <w:rPr>
                <w:color w:val="FFFFFF" w:themeColor="background1"/>
              </w:rPr>
              <w:t>Green</w:t>
            </w:r>
          </w:p>
        </w:tc>
      </w:tr>
    </w:tbl>
    <w:p w:rsidR="000D733F" w:rsidRPr="00180B19" w:rsidRDefault="000D733F" w:rsidP="002141DF">
      <w:pPr>
        <w:pStyle w:val="Note"/>
      </w:pPr>
      <w:r w:rsidRPr="00180B19">
        <w:lastRenderedPageBreak/>
        <w:t xml:space="preserve">Note: </w:t>
      </w:r>
    </w:p>
    <w:p w:rsidR="000D733F" w:rsidRPr="00180B19" w:rsidRDefault="000D733F" w:rsidP="002141DF">
      <w:pPr>
        <w:pStyle w:val="Note"/>
      </w:pPr>
      <w:r w:rsidRPr="00E74404">
        <w:rPr>
          <w:color w:val="72AF2F"/>
        </w:rPr>
        <w:sym w:font="Webdings" w:char="F067"/>
      </w:r>
      <w:r w:rsidRPr="00180B19">
        <w:t> </w:t>
      </w:r>
      <w:r w:rsidRPr="00180B19">
        <w:t xml:space="preserve"> </w:t>
      </w:r>
      <w:r>
        <w:t xml:space="preserve">Green. </w:t>
      </w:r>
      <w:r w:rsidRPr="00180B19">
        <w:t>Progress is as expected for this point in time and it is likely that the objective will be achieved. Standard program management practices are sufficient.</w:t>
      </w:r>
    </w:p>
    <w:p w:rsidR="000D733F" w:rsidRPr="00180B19" w:rsidRDefault="000D733F" w:rsidP="002141DF">
      <w:pPr>
        <w:pStyle w:val="Note"/>
      </w:pPr>
      <w:r w:rsidRPr="00E74404">
        <w:rPr>
          <w:color w:val="E36C0A"/>
        </w:rPr>
        <w:sym w:font="Webdings" w:char="F067"/>
      </w:r>
      <w:r w:rsidRPr="00180B19">
        <w:t> </w:t>
      </w:r>
      <w:r w:rsidRPr="00180B19">
        <w:t xml:space="preserve"> </w:t>
      </w:r>
      <w:r>
        <w:t xml:space="preserve">Amber. </w:t>
      </w:r>
      <w:r w:rsidRPr="00180B19">
        <w:t>Progress is somewhat less than expected for this point in time and restorative action will be necessary if the objective is to be achieved. Close performance monitoring is recommended.</w:t>
      </w:r>
    </w:p>
    <w:p w:rsidR="000D733F" w:rsidRDefault="000D733F" w:rsidP="002141DF">
      <w:pPr>
        <w:pStyle w:val="Note"/>
      </w:pPr>
      <w:r w:rsidRPr="004C4A3E">
        <w:rPr>
          <w:color w:val="FF0000"/>
        </w:rPr>
        <w:sym w:font="Webdings" w:char="F067"/>
      </w:r>
      <w:r w:rsidRPr="00180B19">
        <w:t> </w:t>
      </w:r>
      <w:r w:rsidRPr="00180B19">
        <w:t xml:space="preserve"> </w:t>
      </w:r>
      <w:r>
        <w:t xml:space="preserve">Red. </w:t>
      </w:r>
      <w:r w:rsidRPr="00180B19">
        <w:t>Progress is significantly less than expected for this point in time and the objective is not likely to be met given available resources and priorities. Recasting the objective may be required.</w:t>
      </w:r>
    </w:p>
    <w:p w:rsidR="00B96759" w:rsidRDefault="00B96759" w:rsidP="00C00586">
      <w:pPr>
        <w:pStyle w:val="Heading3"/>
        <w:rPr>
          <w:highlight w:val="yellow"/>
        </w:rPr>
      </w:pPr>
    </w:p>
    <w:p w:rsidR="00AA6010" w:rsidRDefault="00AA6010" w:rsidP="00C00586">
      <w:pPr>
        <w:pStyle w:val="Heading3"/>
      </w:pPr>
      <w:r w:rsidRPr="00FA4A27">
        <w:t>Objective 1:  Partnering on education reforms</w:t>
      </w:r>
    </w:p>
    <w:tbl>
      <w:tblPr>
        <w:tblStyle w:val="TableGrid"/>
        <w:tblW w:w="0" w:type="auto"/>
        <w:tblInd w:w="108" w:type="dxa"/>
        <w:tblLook w:val="04A0" w:firstRow="1" w:lastRow="0" w:firstColumn="1" w:lastColumn="0" w:noHBand="0" w:noVBand="1"/>
      </w:tblPr>
      <w:tblGrid>
        <w:gridCol w:w="731"/>
        <w:gridCol w:w="754"/>
      </w:tblGrid>
      <w:tr w:rsidR="00B96759" w:rsidTr="00FA4A27">
        <w:trPr>
          <w:trHeight w:val="199"/>
        </w:trPr>
        <w:tc>
          <w:tcPr>
            <w:tcW w:w="0" w:type="auto"/>
            <w:tcBorders>
              <w:top w:val="nil"/>
              <w:left w:val="nil"/>
              <w:bottom w:val="nil"/>
              <w:right w:val="nil"/>
            </w:tcBorders>
          </w:tcPr>
          <w:p w:rsidR="00D3217A" w:rsidRPr="00FA4A27" w:rsidRDefault="00D3217A" w:rsidP="00FA4A27">
            <w:pPr>
              <w:pStyle w:val="BodyText"/>
              <w:ind w:left="-4" w:hanging="104"/>
              <w:rPr>
                <w:szCs w:val="21"/>
                <w:lang w:eastAsia="zh-CN"/>
              </w:rPr>
            </w:pPr>
            <w:r w:rsidRPr="00FA4A27">
              <w:rPr>
                <w:szCs w:val="21"/>
                <w:lang w:eastAsia="zh-CN"/>
              </w:rPr>
              <w:t xml:space="preserve">Rating: </w:t>
            </w:r>
          </w:p>
        </w:tc>
        <w:tc>
          <w:tcPr>
            <w:tcW w:w="0" w:type="auto"/>
            <w:tcBorders>
              <w:top w:val="nil"/>
              <w:left w:val="nil"/>
              <w:bottom w:val="nil"/>
              <w:right w:val="nil"/>
            </w:tcBorders>
            <w:shd w:val="clear" w:color="auto" w:fill="92D050"/>
          </w:tcPr>
          <w:p w:rsidR="00D3217A" w:rsidRPr="00FA4A27" w:rsidRDefault="00D3217A" w:rsidP="00FA4A27">
            <w:pPr>
              <w:pStyle w:val="BodyText"/>
              <w:jc w:val="center"/>
              <w:rPr>
                <w:szCs w:val="21"/>
                <w:lang w:eastAsia="zh-CN"/>
              </w:rPr>
            </w:pPr>
            <w:r w:rsidRPr="00FA4A27">
              <w:rPr>
                <w:szCs w:val="21"/>
                <w:lang w:eastAsia="zh-CN"/>
              </w:rPr>
              <w:t>Green</w:t>
            </w:r>
          </w:p>
        </w:tc>
      </w:tr>
    </w:tbl>
    <w:p w:rsidR="00DA7AE8" w:rsidRDefault="00DA7AE8">
      <w:pPr>
        <w:spacing w:after="200" w:line="276" w:lineRule="auto"/>
        <w:rPr>
          <w:rFonts w:ascii="Franklin Gothic Book" w:eastAsia="Calibri" w:hAnsi="Franklin Gothic Book"/>
          <w:sz w:val="21"/>
          <w:szCs w:val="21"/>
          <w:lang w:eastAsia="en-US"/>
        </w:rPr>
      </w:pPr>
    </w:p>
    <w:p w:rsidR="0062318A" w:rsidRDefault="0062318A">
      <w:pPr>
        <w:spacing w:after="200" w:line="276" w:lineRule="auto"/>
        <w:rPr>
          <w:rFonts w:ascii="Franklin Gothic Book" w:eastAsia="Calibri" w:hAnsi="Franklin Gothic Book"/>
          <w:sz w:val="21"/>
          <w:szCs w:val="21"/>
          <w:lang w:eastAsia="en-US"/>
        </w:rPr>
      </w:pPr>
      <w:r w:rsidRPr="001157BA">
        <w:rPr>
          <w:rFonts w:ascii="Franklin Gothic Book" w:eastAsia="Calibri" w:hAnsi="Franklin Gothic Book"/>
          <w:sz w:val="21"/>
          <w:szCs w:val="21"/>
          <w:lang w:eastAsia="en-US"/>
        </w:rPr>
        <w:t xml:space="preserve">The objective </w:t>
      </w:r>
      <w:r>
        <w:rPr>
          <w:rFonts w:ascii="Franklin Gothic Book" w:eastAsia="Calibri" w:hAnsi="Franklin Gothic Book"/>
          <w:sz w:val="21"/>
          <w:szCs w:val="21"/>
          <w:lang w:eastAsia="en-US"/>
        </w:rPr>
        <w:t xml:space="preserve">is </w:t>
      </w:r>
      <w:r w:rsidRPr="001157BA">
        <w:rPr>
          <w:rFonts w:ascii="Franklin Gothic Book" w:eastAsia="Calibri" w:hAnsi="Franklin Gothic Book"/>
          <w:sz w:val="21"/>
          <w:szCs w:val="21"/>
          <w:lang w:eastAsia="en-US"/>
        </w:rPr>
        <w:t xml:space="preserve">rated green because </w:t>
      </w:r>
      <w:r>
        <w:rPr>
          <w:rFonts w:ascii="Franklin Gothic Book" w:eastAsia="Calibri" w:hAnsi="Franklin Gothic Book"/>
          <w:sz w:val="21"/>
          <w:szCs w:val="21"/>
          <w:lang w:eastAsia="en-US"/>
        </w:rPr>
        <w:t xml:space="preserve">the </w:t>
      </w:r>
      <w:r w:rsidRPr="001157BA">
        <w:rPr>
          <w:rFonts w:ascii="Franklin Gothic Book" w:eastAsia="Calibri" w:hAnsi="Franklin Gothic Book"/>
          <w:sz w:val="21"/>
          <w:szCs w:val="21"/>
          <w:lang w:eastAsia="en-US"/>
        </w:rPr>
        <w:t xml:space="preserve">program was </w:t>
      </w:r>
      <w:r>
        <w:rPr>
          <w:rFonts w:ascii="Franklin Gothic Book" w:eastAsia="Calibri" w:hAnsi="Franklin Gothic Book"/>
          <w:sz w:val="21"/>
          <w:szCs w:val="21"/>
          <w:lang w:eastAsia="en-US"/>
        </w:rPr>
        <w:t xml:space="preserve">performing </w:t>
      </w:r>
      <w:r w:rsidRPr="001157BA">
        <w:rPr>
          <w:rFonts w:ascii="Franklin Gothic Book" w:eastAsia="Calibri" w:hAnsi="Franklin Gothic Book"/>
          <w:sz w:val="21"/>
          <w:szCs w:val="21"/>
          <w:lang w:eastAsia="en-US"/>
        </w:rPr>
        <w:t xml:space="preserve">as anticipated </w:t>
      </w:r>
      <w:r w:rsidR="00C15D68">
        <w:rPr>
          <w:rFonts w:ascii="Franklin Gothic Book" w:eastAsia="Calibri" w:hAnsi="Franklin Gothic Book"/>
          <w:sz w:val="21"/>
          <w:szCs w:val="21"/>
          <w:lang w:eastAsia="en-US"/>
        </w:rPr>
        <w:t>by</w:t>
      </w:r>
      <w:r>
        <w:rPr>
          <w:rFonts w:ascii="Franklin Gothic Book" w:eastAsia="Calibri" w:hAnsi="Franklin Gothic Book"/>
          <w:sz w:val="21"/>
          <w:szCs w:val="21"/>
          <w:lang w:eastAsia="en-US"/>
        </w:rPr>
        <w:t xml:space="preserve"> initiating crucial institutional changes to support nationwide education reforms and improving access </w:t>
      </w:r>
      <w:r w:rsidR="00DB46D0">
        <w:rPr>
          <w:rFonts w:ascii="Franklin Gothic Book" w:eastAsia="Calibri" w:hAnsi="Franklin Gothic Book"/>
          <w:sz w:val="21"/>
          <w:szCs w:val="21"/>
          <w:lang w:eastAsia="en-US"/>
        </w:rPr>
        <w:t>for school</w:t>
      </w:r>
      <w:r>
        <w:rPr>
          <w:rFonts w:ascii="Franklin Gothic Book" w:eastAsia="Calibri" w:hAnsi="Franklin Gothic Book"/>
          <w:sz w:val="21"/>
          <w:szCs w:val="21"/>
          <w:lang w:eastAsia="en-US"/>
        </w:rPr>
        <w:t xml:space="preserve"> children in economically disadvantaged communities, including the conflict-affected areas of </w:t>
      </w:r>
      <w:r w:rsidR="00F446CA">
        <w:rPr>
          <w:rFonts w:ascii="Franklin Gothic Book" w:eastAsia="Calibri" w:hAnsi="Franklin Gothic Book"/>
          <w:sz w:val="21"/>
          <w:szCs w:val="21"/>
          <w:lang w:eastAsia="en-US"/>
        </w:rPr>
        <w:t xml:space="preserve">the </w:t>
      </w:r>
      <w:r w:rsidR="00060558" w:rsidRPr="00060558">
        <w:rPr>
          <w:rFonts w:ascii="Franklin Gothic Book" w:eastAsia="Calibri" w:hAnsi="Franklin Gothic Book"/>
          <w:sz w:val="21"/>
          <w:szCs w:val="21"/>
          <w:lang w:eastAsia="en-US"/>
        </w:rPr>
        <w:t xml:space="preserve">Autonomous Region of </w:t>
      </w:r>
      <w:r>
        <w:rPr>
          <w:rFonts w:ascii="Franklin Gothic Book" w:eastAsia="Calibri" w:hAnsi="Franklin Gothic Book"/>
          <w:sz w:val="21"/>
          <w:szCs w:val="21"/>
          <w:lang w:eastAsia="en-US"/>
        </w:rPr>
        <w:t>Muslim Mindanao.</w:t>
      </w:r>
    </w:p>
    <w:p w:rsidR="00E071C0" w:rsidRDefault="00E071C0">
      <w:pPr>
        <w:spacing w:after="200" w:line="276" w:lineRule="auto"/>
        <w:rPr>
          <w:rFonts w:ascii="Franklin Gothic Book" w:eastAsia="Calibri" w:hAnsi="Franklin Gothic Book"/>
          <w:sz w:val="21"/>
          <w:szCs w:val="21"/>
          <w:lang w:eastAsia="en-US"/>
        </w:rPr>
      </w:pPr>
      <w:r>
        <w:rPr>
          <w:rFonts w:ascii="Franklin Gothic Book" w:eastAsia="Calibri" w:hAnsi="Franklin Gothic Book"/>
          <w:sz w:val="21"/>
          <w:szCs w:val="21"/>
          <w:lang w:eastAsia="en-US"/>
        </w:rPr>
        <w:t xml:space="preserve">The Philippines Program Education Delivery Strategy (2013-23) was approved in </w:t>
      </w:r>
      <w:r w:rsidR="00F446CA">
        <w:rPr>
          <w:rFonts w:ascii="Franklin Gothic Book" w:eastAsia="Calibri" w:hAnsi="Franklin Gothic Book"/>
          <w:sz w:val="21"/>
          <w:szCs w:val="21"/>
          <w:lang w:eastAsia="en-US"/>
        </w:rPr>
        <w:t>February</w:t>
      </w:r>
      <w:r>
        <w:rPr>
          <w:rFonts w:ascii="Franklin Gothic Book" w:eastAsia="Calibri" w:hAnsi="Franklin Gothic Book"/>
          <w:sz w:val="21"/>
          <w:szCs w:val="21"/>
          <w:lang w:eastAsia="en-US"/>
        </w:rPr>
        <w:t xml:space="preserve">. It articulates the program’s approach to supporting the transformative education </w:t>
      </w:r>
      <w:r w:rsidR="003803F5">
        <w:rPr>
          <w:rFonts w:ascii="Franklin Gothic Book" w:eastAsia="Calibri" w:hAnsi="Franklin Gothic Book"/>
          <w:sz w:val="21"/>
          <w:szCs w:val="21"/>
          <w:lang w:eastAsia="en-US"/>
        </w:rPr>
        <w:t>reform agenda of the Philippine</w:t>
      </w:r>
      <w:r>
        <w:rPr>
          <w:rFonts w:ascii="Franklin Gothic Book" w:eastAsia="Calibri" w:hAnsi="Franklin Gothic Book"/>
          <w:sz w:val="21"/>
          <w:szCs w:val="21"/>
          <w:lang w:eastAsia="en-US"/>
        </w:rPr>
        <w:t xml:space="preserve"> Government.</w:t>
      </w:r>
      <w:r w:rsidRPr="00BE76BD">
        <w:rPr>
          <w:rFonts w:ascii="Franklin Gothic Book" w:eastAsia="Calibri" w:hAnsi="Franklin Gothic Book"/>
          <w:sz w:val="21"/>
          <w:szCs w:val="21"/>
          <w:lang w:eastAsia="en-US"/>
        </w:rPr>
        <w:t xml:space="preserve"> </w:t>
      </w:r>
      <w:r>
        <w:rPr>
          <w:rFonts w:ascii="Franklin Gothic Book" w:eastAsia="Calibri" w:hAnsi="Franklin Gothic Book"/>
          <w:sz w:val="21"/>
          <w:szCs w:val="21"/>
          <w:lang w:eastAsia="en-US"/>
        </w:rPr>
        <w:t xml:space="preserve"> This adds three years of mandatory schooling (kindergarten and grades 11 and 12) to bring t</w:t>
      </w:r>
      <w:r w:rsidR="003803F5">
        <w:rPr>
          <w:rFonts w:ascii="Franklin Gothic Book" w:eastAsia="Calibri" w:hAnsi="Franklin Gothic Book"/>
          <w:sz w:val="21"/>
          <w:szCs w:val="21"/>
          <w:lang w:eastAsia="en-US"/>
        </w:rPr>
        <w:t xml:space="preserve">he education system up to </w:t>
      </w:r>
      <w:r>
        <w:rPr>
          <w:rFonts w:ascii="Franklin Gothic Book" w:eastAsia="Calibri" w:hAnsi="Franklin Gothic Book"/>
          <w:sz w:val="21"/>
          <w:szCs w:val="21"/>
          <w:lang w:eastAsia="en-US"/>
        </w:rPr>
        <w:t>international standards</w:t>
      </w:r>
      <w:r w:rsidR="00C15D68">
        <w:rPr>
          <w:rFonts w:ascii="Franklin Gothic Book" w:eastAsia="Calibri" w:hAnsi="Franklin Gothic Book"/>
          <w:sz w:val="21"/>
          <w:szCs w:val="21"/>
          <w:lang w:eastAsia="en-US"/>
        </w:rPr>
        <w:t>. It also</w:t>
      </w:r>
      <w:r>
        <w:rPr>
          <w:rFonts w:ascii="Franklin Gothic Book" w:eastAsia="Calibri" w:hAnsi="Franklin Gothic Book"/>
          <w:sz w:val="21"/>
          <w:szCs w:val="21"/>
          <w:lang w:eastAsia="en-US"/>
        </w:rPr>
        <w:t xml:space="preserve"> requires a complete overhaul of the school curriculum, and re-training of teachers to deliver it.  This is critical to increase Filipino graduates’ competitiveness</w:t>
      </w:r>
      <w:r w:rsidRPr="00BE76BD">
        <w:rPr>
          <w:rFonts w:ascii="Franklin Gothic Book" w:eastAsia="Calibri" w:hAnsi="Franklin Gothic Book"/>
          <w:sz w:val="21"/>
          <w:szCs w:val="21"/>
          <w:lang w:eastAsia="en-US"/>
        </w:rPr>
        <w:t xml:space="preserve"> </w:t>
      </w:r>
      <w:r>
        <w:rPr>
          <w:rFonts w:ascii="Franklin Gothic Book" w:eastAsia="Calibri" w:hAnsi="Franklin Gothic Book"/>
          <w:sz w:val="21"/>
          <w:szCs w:val="21"/>
          <w:lang w:eastAsia="en-US"/>
        </w:rPr>
        <w:t xml:space="preserve">as the Philippines prepares for the ASEAN economic integration in 2015.      </w:t>
      </w:r>
    </w:p>
    <w:p w:rsidR="0062318A" w:rsidRDefault="0062318A" w:rsidP="0062318A">
      <w:pPr>
        <w:spacing w:after="200" w:line="276" w:lineRule="auto"/>
        <w:rPr>
          <w:rFonts w:ascii="Franklin Gothic Book" w:eastAsia="Calibri" w:hAnsi="Franklin Gothic Book"/>
          <w:sz w:val="21"/>
          <w:szCs w:val="21"/>
          <w:lang w:eastAsia="en-US"/>
        </w:rPr>
      </w:pPr>
      <w:r>
        <w:rPr>
          <w:rFonts w:ascii="Franklin Gothic Book" w:eastAsia="Calibri" w:hAnsi="Franklin Gothic Book"/>
          <w:sz w:val="21"/>
          <w:szCs w:val="21"/>
          <w:lang w:eastAsia="en-US"/>
        </w:rPr>
        <w:t xml:space="preserve">The Australian Government, as announced by Foreign Minister Bishop (February 2014), is providing $150 million funding assistance (through BEST) over six years to help achieve the goal of </w:t>
      </w:r>
      <w:r w:rsidR="00C15D68">
        <w:rPr>
          <w:rFonts w:ascii="Franklin Gothic Book" w:eastAsia="Calibri" w:hAnsi="Franklin Gothic Book"/>
          <w:sz w:val="21"/>
          <w:szCs w:val="21"/>
          <w:lang w:eastAsia="en-US"/>
        </w:rPr>
        <w:t xml:space="preserve">helping </w:t>
      </w:r>
      <w:r>
        <w:rPr>
          <w:rFonts w:ascii="Franklin Gothic Book" w:eastAsia="Calibri" w:hAnsi="Franklin Gothic Book"/>
          <w:sz w:val="21"/>
          <w:szCs w:val="21"/>
          <w:lang w:eastAsia="en-US"/>
        </w:rPr>
        <w:t>girls and boys</w:t>
      </w:r>
      <w:r w:rsidR="003803F5">
        <w:rPr>
          <w:rFonts w:ascii="Franklin Gothic Book" w:eastAsia="Calibri" w:hAnsi="Franklin Gothic Book"/>
          <w:sz w:val="21"/>
          <w:szCs w:val="21"/>
          <w:lang w:eastAsia="en-US"/>
        </w:rPr>
        <w:t xml:space="preserve"> </w:t>
      </w:r>
      <w:r w:rsidR="00C15D68">
        <w:rPr>
          <w:rFonts w:ascii="Franklin Gothic Book" w:eastAsia="Calibri" w:hAnsi="Franklin Gothic Book"/>
          <w:sz w:val="21"/>
          <w:szCs w:val="21"/>
          <w:lang w:eastAsia="en-US"/>
        </w:rPr>
        <w:t xml:space="preserve">gain </w:t>
      </w:r>
      <w:r>
        <w:rPr>
          <w:rFonts w:ascii="Franklin Gothic Book" w:eastAsia="Calibri" w:hAnsi="Franklin Gothic Book"/>
          <w:sz w:val="21"/>
          <w:szCs w:val="21"/>
          <w:lang w:eastAsia="en-US"/>
        </w:rPr>
        <w:t xml:space="preserve">the competencies and skills to make an increased contribution to </w:t>
      </w:r>
      <w:r w:rsidR="00E071C0">
        <w:rPr>
          <w:rFonts w:ascii="Franklin Gothic Book" w:eastAsia="Calibri" w:hAnsi="Franklin Gothic Book"/>
          <w:sz w:val="21"/>
          <w:szCs w:val="21"/>
          <w:lang w:eastAsia="en-US"/>
        </w:rPr>
        <w:t xml:space="preserve">inclusive </w:t>
      </w:r>
      <w:r>
        <w:rPr>
          <w:rFonts w:ascii="Franklin Gothic Book" w:eastAsia="Calibri" w:hAnsi="Franklin Gothic Book"/>
          <w:sz w:val="21"/>
          <w:szCs w:val="21"/>
          <w:lang w:eastAsia="en-US"/>
        </w:rPr>
        <w:t xml:space="preserve">growth and stability of the Philippines.       </w:t>
      </w:r>
    </w:p>
    <w:p w:rsidR="00E071C0" w:rsidRDefault="0062318A" w:rsidP="00E071C0">
      <w:pPr>
        <w:spacing w:after="200" w:line="276" w:lineRule="auto"/>
        <w:rPr>
          <w:rFonts w:ascii="Franklin Gothic Book" w:eastAsia="Calibri" w:hAnsi="Franklin Gothic Book"/>
          <w:sz w:val="21"/>
          <w:szCs w:val="21"/>
          <w:lang w:eastAsia="en-US"/>
        </w:rPr>
      </w:pPr>
      <w:r>
        <w:rPr>
          <w:rFonts w:ascii="Franklin Gothic Book" w:eastAsia="Calibri" w:hAnsi="Franklin Gothic Book"/>
          <w:sz w:val="21"/>
          <w:szCs w:val="21"/>
          <w:lang w:eastAsia="en-US"/>
        </w:rPr>
        <w:t>To ensure the institutional readiness of the Department of Education (DepE</w:t>
      </w:r>
      <w:r w:rsidR="00841782">
        <w:rPr>
          <w:rFonts w:ascii="Franklin Gothic Book" w:eastAsia="Calibri" w:hAnsi="Franklin Gothic Book"/>
          <w:sz w:val="21"/>
          <w:szCs w:val="21"/>
          <w:lang w:eastAsia="en-US"/>
        </w:rPr>
        <w:t>D</w:t>
      </w:r>
      <w:r>
        <w:rPr>
          <w:rFonts w:ascii="Franklin Gothic Book" w:eastAsia="Calibri" w:hAnsi="Franklin Gothic Book"/>
          <w:sz w:val="21"/>
          <w:szCs w:val="21"/>
          <w:lang w:eastAsia="en-US"/>
        </w:rPr>
        <w:t>) to effectively implement its education reform agenda, an organisation restructuring plan of the department was finalised and approved with high-level technical assistance provided by Australia’s aid program.  This was complemented with leadership training to officials who are the prime movers in implementing the organisational and institutional reforms within the DepE</w:t>
      </w:r>
      <w:r w:rsidR="00841782">
        <w:rPr>
          <w:rFonts w:ascii="Franklin Gothic Book" w:eastAsia="Calibri" w:hAnsi="Franklin Gothic Book"/>
          <w:sz w:val="21"/>
          <w:szCs w:val="21"/>
          <w:lang w:eastAsia="en-US"/>
        </w:rPr>
        <w:t>D</w:t>
      </w:r>
      <w:r>
        <w:rPr>
          <w:rFonts w:ascii="Franklin Gothic Book" w:eastAsia="Calibri" w:hAnsi="Franklin Gothic Book"/>
          <w:sz w:val="21"/>
          <w:szCs w:val="21"/>
          <w:lang w:eastAsia="en-US"/>
        </w:rPr>
        <w:t>.</w:t>
      </w:r>
      <w:r w:rsidR="00E071C0">
        <w:rPr>
          <w:rFonts w:ascii="Franklin Gothic Book" w:eastAsia="Calibri" w:hAnsi="Franklin Gothic Book"/>
          <w:sz w:val="21"/>
          <w:szCs w:val="21"/>
          <w:lang w:eastAsia="en-US"/>
        </w:rPr>
        <w:t xml:space="preserve">  More than</w:t>
      </w:r>
      <w:r w:rsidR="00E071C0" w:rsidRPr="0098280A">
        <w:rPr>
          <w:rFonts w:ascii="Franklin Gothic Book" w:eastAsia="Calibri" w:hAnsi="Franklin Gothic Book"/>
          <w:sz w:val="21"/>
          <w:szCs w:val="21"/>
          <w:lang w:eastAsia="en-US"/>
        </w:rPr>
        <w:t xml:space="preserve"> 10,</w:t>
      </w:r>
      <w:r w:rsidR="00E071C0">
        <w:rPr>
          <w:rFonts w:ascii="Franklin Gothic Book" w:eastAsia="Calibri" w:hAnsi="Franklin Gothic Book"/>
          <w:sz w:val="21"/>
          <w:szCs w:val="21"/>
          <w:lang w:eastAsia="en-US"/>
        </w:rPr>
        <w:t>000</w:t>
      </w:r>
      <w:r w:rsidR="00E071C0" w:rsidRPr="00496518">
        <w:rPr>
          <w:rFonts w:ascii="Franklin Gothic Book" w:eastAsia="Calibri" w:hAnsi="Franklin Gothic Book"/>
          <w:sz w:val="21"/>
          <w:szCs w:val="21"/>
          <w:lang w:eastAsia="en-US"/>
        </w:rPr>
        <w:t xml:space="preserve"> teachers and education managers have been trained to implement the </w:t>
      </w:r>
      <w:r w:rsidR="00E071C0">
        <w:rPr>
          <w:rFonts w:ascii="Franklin Gothic Book" w:eastAsia="Calibri" w:hAnsi="Franklin Gothic Book"/>
          <w:sz w:val="21"/>
          <w:szCs w:val="21"/>
          <w:lang w:eastAsia="en-US"/>
        </w:rPr>
        <w:t xml:space="preserve">new </w:t>
      </w:r>
      <w:r w:rsidR="00E071C0" w:rsidRPr="00496518">
        <w:rPr>
          <w:rFonts w:ascii="Franklin Gothic Book" w:eastAsia="Calibri" w:hAnsi="Franklin Gothic Book"/>
          <w:sz w:val="21"/>
          <w:szCs w:val="21"/>
          <w:lang w:eastAsia="en-US"/>
        </w:rPr>
        <w:t>K-12 curriculum.</w:t>
      </w:r>
    </w:p>
    <w:p w:rsidR="0062318A" w:rsidRDefault="0062318A" w:rsidP="0062318A">
      <w:pPr>
        <w:spacing w:after="200" w:line="276" w:lineRule="auto"/>
        <w:rPr>
          <w:rFonts w:ascii="Franklin Gothic Book" w:eastAsia="Calibri" w:hAnsi="Franklin Gothic Book"/>
          <w:sz w:val="21"/>
          <w:szCs w:val="21"/>
          <w:lang w:eastAsia="en-US"/>
        </w:rPr>
      </w:pPr>
      <w:r>
        <w:rPr>
          <w:rFonts w:ascii="Franklin Gothic Book" w:eastAsia="Calibri" w:hAnsi="Franklin Gothic Book"/>
          <w:sz w:val="21"/>
          <w:szCs w:val="21"/>
          <w:lang w:eastAsia="en-US"/>
        </w:rPr>
        <w:t>Partnerships have also been mobilised between Australian and Philippine universities, the DepE</w:t>
      </w:r>
      <w:r w:rsidR="00841782">
        <w:rPr>
          <w:rFonts w:ascii="Franklin Gothic Book" w:eastAsia="Calibri" w:hAnsi="Franklin Gothic Book"/>
          <w:sz w:val="21"/>
          <w:szCs w:val="21"/>
          <w:lang w:eastAsia="en-US"/>
        </w:rPr>
        <w:t>D</w:t>
      </w:r>
      <w:r>
        <w:rPr>
          <w:rFonts w:ascii="Franklin Gothic Book" w:eastAsia="Calibri" w:hAnsi="Franklin Gothic Book"/>
          <w:sz w:val="21"/>
          <w:szCs w:val="21"/>
          <w:lang w:eastAsia="en-US"/>
        </w:rPr>
        <w:t xml:space="preserve"> and the Commission on Higher Education, to work on curriculum standards, learning assessment, and teacher quality standards – core requisites for quality education. A partnership was also established with </w:t>
      </w:r>
      <w:r w:rsidRPr="00FB6DC1">
        <w:rPr>
          <w:rFonts w:ascii="Franklin Gothic Book" w:eastAsia="Calibri" w:hAnsi="Franklin Gothic Book"/>
          <w:sz w:val="21"/>
          <w:szCs w:val="21"/>
          <w:lang w:eastAsia="en-US"/>
        </w:rPr>
        <w:t>a private sector organisation</w:t>
      </w:r>
      <w:r>
        <w:rPr>
          <w:rFonts w:ascii="Franklin Gothic Book" w:eastAsia="Calibri" w:hAnsi="Franklin Gothic Book"/>
          <w:sz w:val="21"/>
          <w:szCs w:val="21"/>
          <w:lang w:eastAsia="en-US"/>
        </w:rPr>
        <w:t xml:space="preserve"> that will provide at least 1,000 scholarships for public school teachers.  </w:t>
      </w:r>
    </w:p>
    <w:p w:rsidR="00E071C0" w:rsidRDefault="0062318A" w:rsidP="0062318A">
      <w:pPr>
        <w:spacing w:after="200" w:line="276" w:lineRule="auto"/>
        <w:rPr>
          <w:rFonts w:ascii="Franklin Gothic Book" w:eastAsia="Calibri" w:hAnsi="Franklin Gothic Book"/>
          <w:sz w:val="21"/>
          <w:szCs w:val="21"/>
          <w:lang w:eastAsia="en-US"/>
        </w:rPr>
      </w:pPr>
      <w:r>
        <w:rPr>
          <w:rFonts w:ascii="Franklin Gothic Book" w:eastAsia="Calibri" w:hAnsi="Franklin Gothic Book"/>
          <w:sz w:val="21"/>
          <w:szCs w:val="21"/>
          <w:lang w:eastAsia="en-US"/>
        </w:rPr>
        <w:t xml:space="preserve">Australia is supporting </w:t>
      </w:r>
      <w:r w:rsidR="00E071C0">
        <w:rPr>
          <w:rFonts w:ascii="Franklin Gothic Book" w:eastAsia="Calibri" w:hAnsi="Franklin Gothic Book"/>
          <w:sz w:val="21"/>
          <w:szCs w:val="21"/>
          <w:lang w:eastAsia="en-US"/>
        </w:rPr>
        <w:t xml:space="preserve">social protection </w:t>
      </w:r>
      <w:r>
        <w:rPr>
          <w:rFonts w:ascii="Franklin Gothic Book" w:eastAsia="Calibri" w:hAnsi="Franklin Gothic Book"/>
          <w:sz w:val="21"/>
          <w:szCs w:val="21"/>
          <w:lang w:eastAsia="en-US"/>
        </w:rPr>
        <w:t xml:space="preserve">policies and programs that </w:t>
      </w:r>
      <w:r w:rsidR="00E071C0">
        <w:rPr>
          <w:rFonts w:ascii="Franklin Gothic Book" w:eastAsia="Calibri" w:hAnsi="Franklin Gothic Book"/>
          <w:sz w:val="21"/>
          <w:szCs w:val="21"/>
          <w:lang w:eastAsia="en-US"/>
        </w:rPr>
        <w:t xml:space="preserve">are helping to alleviate poverty and </w:t>
      </w:r>
      <w:r w:rsidR="003803F5">
        <w:rPr>
          <w:rFonts w:ascii="Franklin Gothic Book" w:eastAsia="Calibri" w:hAnsi="Franklin Gothic Book"/>
          <w:sz w:val="21"/>
          <w:szCs w:val="21"/>
          <w:lang w:eastAsia="en-US"/>
        </w:rPr>
        <w:t>ensure that children from</w:t>
      </w:r>
      <w:r>
        <w:rPr>
          <w:rFonts w:ascii="Franklin Gothic Book" w:eastAsia="Calibri" w:hAnsi="Franklin Gothic Book"/>
          <w:sz w:val="21"/>
          <w:szCs w:val="21"/>
          <w:lang w:eastAsia="en-US"/>
        </w:rPr>
        <w:t xml:space="preserve"> disadvantaged groups </w:t>
      </w:r>
      <w:r w:rsidR="003803F5">
        <w:rPr>
          <w:rFonts w:ascii="Franklin Gothic Book" w:eastAsia="Calibri" w:hAnsi="Franklin Gothic Book"/>
          <w:sz w:val="21"/>
          <w:szCs w:val="21"/>
          <w:lang w:eastAsia="en-US"/>
        </w:rPr>
        <w:t>can attend</w:t>
      </w:r>
      <w:r>
        <w:rPr>
          <w:rFonts w:ascii="Franklin Gothic Book" w:eastAsia="Calibri" w:hAnsi="Franklin Gothic Book"/>
          <w:sz w:val="21"/>
          <w:szCs w:val="21"/>
          <w:lang w:eastAsia="en-US"/>
        </w:rPr>
        <w:t xml:space="preserve"> school.  </w:t>
      </w:r>
      <w:r w:rsidR="00E071C0">
        <w:rPr>
          <w:rFonts w:ascii="Franklin Gothic Book" w:eastAsia="Calibri" w:hAnsi="Franklin Gothic Book"/>
          <w:sz w:val="21"/>
          <w:szCs w:val="21"/>
          <w:lang w:eastAsia="en-US"/>
        </w:rPr>
        <w:t>T</w:t>
      </w:r>
      <w:r>
        <w:rPr>
          <w:rFonts w:ascii="Franklin Gothic Book" w:eastAsia="Calibri" w:hAnsi="Franklin Gothic Book"/>
          <w:sz w:val="21"/>
          <w:szCs w:val="21"/>
          <w:lang w:eastAsia="en-US"/>
        </w:rPr>
        <w:t xml:space="preserve">echnical assistance to the Department of Social Welfare and Development (DSWD) informed the expansion of the conditional cash transfer program to </w:t>
      </w:r>
      <w:r w:rsidR="00E071C0">
        <w:rPr>
          <w:rFonts w:ascii="Franklin Gothic Book" w:eastAsia="Calibri" w:hAnsi="Franklin Gothic Book"/>
          <w:sz w:val="21"/>
          <w:szCs w:val="21"/>
          <w:lang w:eastAsia="en-US"/>
        </w:rPr>
        <w:t xml:space="preserve">cover </w:t>
      </w:r>
      <w:r>
        <w:rPr>
          <w:rFonts w:ascii="Franklin Gothic Book" w:eastAsia="Calibri" w:hAnsi="Franklin Gothic Book"/>
          <w:sz w:val="21"/>
          <w:szCs w:val="21"/>
          <w:lang w:eastAsia="en-US"/>
        </w:rPr>
        <w:t xml:space="preserve">families with children in secondary </w:t>
      </w:r>
      <w:r>
        <w:rPr>
          <w:rFonts w:ascii="Franklin Gothic Book" w:eastAsia="Calibri" w:hAnsi="Franklin Gothic Book"/>
          <w:sz w:val="21"/>
          <w:szCs w:val="21"/>
          <w:lang w:eastAsia="en-US"/>
        </w:rPr>
        <w:lastRenderedPageBreak/>
        <w:t>school (up to 18 years old)</w:t>
      </w:r>
      <w:r w:rsidR="00E071C0">
        <w:rPr>
          <w:rFonts w:ascii="Franklin Gothic Book" w:eastAsia="Calibri" w:hAnsi="Franklin Gothic Book"/>
          <w:sz w:val="21"/>
          <w:szCs w:val="21"/>
          <w:lang w:eastAsia="en-US"/>
        </w:rPr>
        <w:t xml:space="preserve"> on the premise that high school graduates have better employment and income earning opportunities than those who only complete primary education.  Australian-funded research also influenced DSWD policies that are more inclusive for children with disabilities</w:t>
      </w:r>
      <w:r>
        <w:rPr>
          <w:rFonts w:ascii="Franklin Gothic Book" w:eastAsia="Calibri" w:hAnsi="Franklin Gothic Book"/>
          <w:sz w:val="21"/>
          <w:szCs w:val="21"/>
          <w:lang w:eastAsia="en-US"/>
        </w:rPr>
        <w:t xml:space="preserve">.  This expansion benefited 3.9 million poor families in 2013 — an increase from the 3.1 million families covered in 2012.  </w:t>
      </w:r>
    </w:p>
    <w:p w:rsidR="0062318A" w:rsidRDefault="0062318A" w:rsidP="0062318A">
      <w:pPr>
        <w:spacing w:after="200" w:line="276" w:lineRule="auto"/>
        <w:rPr>
          <w:rFonts w:ascii="Franklin Gothic Book" w:eastAsia="Calibri" w:hAnsi="Franklin Gothic Book"/>
          <w:sz w:val="21"/>
          <w:szCs w:val="21"/>
          <w:lang w:eastAsia="en-US"/>
        </w:rPr>
      </w:pPr>
      <w:r>
        <w:rPr>
          <w:rFonts w:ascii="Franklin Gothic Book" w:eastAsia="Calibri" w:hAnsi="Franklin Gothic Book"/>
          <w:sz w:val="21"/>
          <w:szCs w:val="21"/>
          <w:lang w:eastAsia="en-US"/>
        </w:rPr>
        <w:t xml:space="preserve">To </w:t>
      </w:r>
      <w:r w:rsidR="003803F5">
        <w:rPr>
          <w:rFonts w:ascii="Franklin Gothic Book" w:eastAsia="Calibri" w:hAnsi="Franklin Gothic Book"/>
          <w:sz w:val="21"/>
          <w:szCs w:val="21"/>
          <w:lang w:eastAsia="en-US"/>
        </w:rPr>
        <w:t>assist</w:t>
      </w:r>
      <w:r>
        <w:rPr>
          <w:rFonts w:ascii="Franklin Gothic Book" w:eastAsia="Calibri" w:hAnsi="Franklin Gothic Book"/>
          <w:sz w:val="21"/>
          <w:szCs w:val="21"/>
          <w:lang w:eastAsia="en-US"/>
        </w:rPr>
        <w:t xml:space="preserve"> the school enrolment of poor and disadvantaged children, Australia’s aid investments supported school infrastructure and implementation of alternative delivery models</w:t>
      </w:r>
      <w:r w:rsidR="00E071C0">
        <w:rPr>
          <w:rFonts w:ascii="Franklin Gothic Book" w:eastAsia="Calibri" w:hAnsi="Franklin Gothic Book"/>
          <w:sz w:val="21"/>
          <w:szCs w:val="21"/>
          <w:lang w:eastAsia="en-US"/>
        </w:rPr>
        <w:t xml:space="preserve"> in remote and indigenous communities</w:t>
      </w:r>
      <w:r>
        <w:rPr>
          <w:rFonts w:ascii="Franklin Gothic Book" w:eastAsia="Calibri" w:hAnsi="Franklin Gothic Book"/>
          <w:sz w:val="21"/>
          <w:szCs w:val="21"/>
          <w:lang w:eastAsia="en-US"/>
        </w:rPr>
        <w:t xml:space="preserve">.  </w:t>
      </w:r>
    </w:p>
    <w:p w:rsidR="0062318A" w:rsidRPr="009647CC" w:rsidRDefault="0062318A" w:rsidP="0062318A">
      <w:pPr>
        <w:pStyle w:val="ListBullet"/>
        <w:tabs>
          <w:tab w:val="clear" w:pos="284"/>
        </w:tabs>
        <w:rPr>
          <w:rFonts w:eastAsia="Calibri"/>
          <w:szCs w:val="21"/>
          <w:lang w:eastAsia="en-US"/>
        </w:rPr>
      </w:pPr>
      <w:r>
        <w:rPr>
          <w:rFonts w:eastAsia="Calibri"/>
          <w:szCs w:val="21"/>
          <w:lang w:eastAsia="en-US"/>
        </w:rPr>
        <w:t>In 2013-14, w</w:t>
      </w:r>
      <w:r w:rsidRPr="009647CC">
        <w:rPr>
          <w:rFonts w:eastAsia="Calibri"/>
          <w:szCs w:val="21"/>
          <w:lang w:eastAsia="en-US"/>
        </w:rPr>
        <w:t xml:space="preserve">ith Australia’s assistance </w:t>
      </w:r>
      <w:r w:rsidR="00E071C0">
        <w:rPr>
          <w:rFonts w:eastAsia="Calibri"/>
          <w:szCs w:val="21"/>
          <w:lang w:eastAsia="en-US"/>
        </w:rPr>
        <w:t xml:space="preserve">1,540 </w:t>
      </w:r>
      <w:r w:rsidRPr="009647CC">
        <w:rPr>
          <w:rFonts w:eastAsia="Calibri"/>
          <w:szCs w:val="21"/>
          <w:lang w:eastAsia="en-US"/>
        </w:rPr>
        <w:t>classrooms</w:t>
      </w:r>
      <w:r w:rsidR="00E071C0">
        <w:rPr>
          <w:rFonts w:eastAsia="Calibri"/>
          <w:szCs w:val="21"/>
          <w:lang w:eastAsia="en-US"/>
        </w:rPr>
        <w:t>, early learning centres and community learning centres</w:t>
      </w:r>
      <w:r w:rsidRPr="009647CC">
        <w:rPr>
          <w:rFonts w:eastAsia="Calibri"/>
          <w:szCs w:val="21"/>
          <w:lang w:eastAsia="en-US"/>
        </w:rPr>
        <w:t xml:space="preserve"> </w:t>
      </w:r>
      <w:r>
        <w:rPr>
          <w:rFonts w:eastAsia="Calibri"/>
          <w:szCs w:val="21"/>
          <w:lang w:eastAsia="en-US"/>
        </w:rPr>
        <w:t>were constructed</w:t>
      </w:r>
      <w:r w:rsidR="00E071C0">
        <w:rPr>
          <w:rFonts w:eastAsia="Calibri"/>
          <w:szCs w:val="21"/>
          <w:lang w:eastAsia="en-US"/>
        </w:rPr>
        <w:t xml:space="preserve"> or repaired</w:t>
      </w:r>
      <w:r w:rsidRPr="009647CC">
        <w:rPr>
          <w:rFonts w:eastAsia="Calibri"/>
          <w:szCs w:val="21"/>
          <w:lang w:eastAsia="en-US"/>
        </w:rPr>
        <w:t xml:space="preserve">.  </w:t>
      </w:r>
      <w:r>
        <w:rPr>
          <w:rFonts w:eastAsia="Calibri"/>
          <w:szCs w:val="21"/>
          <w:lang w:eastAsia="en-US"/>
        </w:rPr>
        <w:t>In the Autonomous Region of Muslim Mindanao</w:t>
      </w:r>
      <w:r w:rsidR="00F446CA">
        <w:rPr>
          <w:rFonts w:eastAsia="Calibri"/>
          <w:szCs w:val="21"/>
          <w:lang w:eastAsia="en-US"/>
        </w:rPr>
        <w:t>,</w:t>
      </w:r>
      <w:r>
        <w:rPr>
          <w:rFonts w:eastAsia="Calibri"/>
          <w:szCs w:val="21"/>
          <w:lang w:eastAsia="en-US"/>
        </w:rPr>
        <w:t xml:space="preserve"> an additional 75</w:t>
      </w:r>
      <w:r w:rsidRPr="00C00586">
        <w:rPr>
          <w:rFonts w:eastAsia="Calibri"/>
          <w:szCs w:val="21"/>
          <w:lang w:eastAsia="en-US"/>
        </w:rPr>
        <w:t xml:space="preserve"> </w:t>
      </w:r>
      <w:r>
        <w:rPr>
          <w:rFonts w:eastAsia="Calibri"/>
          <w:szCs w:val="21"/>
          <w:lang w:eastAsia="en-US"/>
        </w:rPr>
        <w:t>schools were supported during the annual school maintenance week and 337</w:t>
      </w:r>
      <w:r w:rsidRPr="00C00586">
        <w:rPr>
          <w:rFonts w:eastAsia="Calibri"/>
          <w:szCs w:val="21"/>
          <w:lang w:eastAsia="en-US"/>
        </w:rPr>
        <w:t xml:space="preserve"> toilets </w:t>
      </w:r>
      <w:r>
        <w:rPr>
          <w:rFonts w:eastAsia="Calibri"/>
          <w:szCs w:val="21"/>
          <w:lang w:eastAsia="en-US"/>
        </w:rPr>
        <w:t xml:space="preserve">were built or repaired </w:t>
      </w:r>
      <w:r w:rsidRPr="00C00586">
        <w:rPr>
          <w:rFonts w:eastAsia="Calibri"/>
          <w:szCs w:val="21"/>
          <w:lang w:eastAsia="en-US"/>
        </w:rPr>
        <w:t>in schools</w:t>
      </w:r>
      <w:r>
        <w:rPr>
          <w:rFonts w:eastAsia="Calibri"/>
          <w:szCs w:val="21"/>
          <w:lang w:eastAsia="en-US"/>
        </w:rPr>
        <w:t>.  A p</w:t>
      </w:r>
      <w:r w:rsidRPr="00C00586">
        <w:rPr>
          <w:rFonts w:eastAsia="Calibri"/>
          <w:szCs w:val="21"/>
          <w:lang w:eastAsia="en-US"/>
        </w:rPr>
        <w:t xml:space="preserve">artnership with </w:t>
      </w:r>
      <w:r>
        <w:rPr>
          <w:rFonts w:eastAsia="Calibri"/>
          <w:szCs w:val="21"/>
          <w:lang w:eastAsia="en-US"/>
        </w:rPr>
        <w:t xml:space="preserve">a private sector organisation was </w:t>
      </w:r>
      <w:r w:rsidR="0053031F">
        <w:rPr>
          <w:rFonts w:eastAsia="Calibri"/>
          <w:szCs w:val="21"/>
          <w:lang w:eastAsia="en-US"/>
        </w:rPr>
        <w:t xml:space="preserve">established </w:t>
      </w:r>
      <w:r>
        <w:rPr>
          <w:rFonts w:eastAsia="Calibri"/>
          <w:szCs w:val="21"/>
          <w:lang w:eastAsia="en-US"/>
        </w:rPr>
        <w:t xml:space="preserve">to build </w:t>
      </w:r>
      <w:r w:rsidRPr="00C00586">
        <w:rPr>
          <w:rFonts w:eastAsia="Calibri"/>
          <w:szCs w:val="21"/>
          <w:lang w:eastAsia="en-US"/>
        </w:rPr>
        <w:t xml:space="preserve">252 classrooms in </w:t>
      </w:r>
      <w:r>
        <w:rPr>
          <w:rFonts w:eastAsia="Calibri"/>
          <w:szCs w:val="21"/>
          <w:lang w:eastAsia="en-US"/>
        </w:rPr>
        <w:t xml:space="preserve">BEST-supported regions including Typhoon Haiyan-affected </w:t>
      </w:r>
      <w:r w:rsidR="00F446CA">
        <w:rPr>
          <w:rFonts w:eastAsia="Calibri"/>
          <w:szCs w:val="21"/>
          <w:lang w:eastAsia="en-US"/>
        </w:rPr>
        <w:t>areas</w:t>
      </w:r>
      <w:r w:rsidRPr="00C00586">
        <w:rPr>
          <w:rFonts w:eastAsia="Calibri"/>
          <w:szCs w:val="21"/>
          <w:lang w:eastAsia="en-US"/>
        </w:rPr>
        <w:t>.</w:t>
      </w:r>
      <w:r>
        <w:rPr>
          <w:rFonts w:eastAsia="Calibri"/>
          <w:szCs w:val="21"/>
          <w:lang w:eastAsia="en-US"/>
        </w:rPr>
        <w:t xml:space="preserve">  </w:t>
      </w:r>
      <w:r w:rsidR="003803F5">
        <w:rPr>
          <w:rFonts w:eastAsia="Calibri"/>
          <w:szCs w:val="21"/>
          <w:lang w:eastAsia="en-US"/>
        </w:rPr>
        <w:t>Australian a</w:t>
      </w:r>
      <w:r>
        <w:rPr>
          <w:rFonts w:eastAsia="Calibri"/>
          <w:szCs w:val="21"/>
          <w:lang w:eastAsia="en-US"/>
        </w:rPr>
        <w:t xml:space="preserve">ssistance in classroom construction </w:t>
      </w:r>
      <w:r w:rsidR="003803F5">
        <w:rPr>
          <w:rFonts w:eastAsia="Calibri"/>
          <w:szCs w:val="21"/>
          <w:lang w:eastAsia="en-US"/>
        </w:rPr>
        <w:t>was able to demonstrate best practice</w:t>
      </w:r>
      <w:r w:rsidRPr="00C00586">
        <w:rPr>
          <w:rFonts w:eastAsia="Calibri"/>
          <w:szCs w:val="21"/>
          <w:lang w:eastAsia="en-US"/>
        </w:rPr>
        <w:t xml:space="preserve"> </w:t>
      </w:r>
      <w:r w:rsidR="003803F5">
        <w:rPr>
          <w:rFonts w:eastAsia="Calibri"/>
          <w:szCs w:val="21"/>
          <w:lang w:eastAsia="en-US"/>
        </w:rPr>
        <w:t>building</w:t>
      </w:r>
      <w:r w:rsidRPr="00C00586">
        <w:rPr>
          <w:rFonts w:eastAsia="Calibri"/>
          <w:szCs w:val="21"/>
          <w:lang w:eastAsia="en-US"/>
        </w:rPr>
        <w:t xml:space="preserve"> </w:t>
      </w:r>
      <w:r w:rsidR="003803F5">
        <w:rPr>
          <w:rFonts w:eastAsia="Calibri"/>
          <w:szCs w:val="21"/>
          <w:lang w:eastAsia="en-US"/>
        </w:rPr>
        <w:t xml:space="preserve">processes </w:t>
      </w:r>
      <w:r w:rsidRPr="00C00586">
        <w:rPr>
          <w:rFonts w:eastAsia="Calibri"/>
          <w:szCs w:val="21"/>
          <w:lang w:eastAsia="en-US"/>
        </w:rPr>
        <w:t xml:space="preserve">including </w:t>
      </w:r>
      <w:r>
        <w:rPr>
          <w:rFonts w:eastAsia="Calibri"/>
          <w:szCs w:val="21"/>
          <w:lang w:eastAsia="en-US"/>
        </w:rPr>
        <w:t>designing for accessibility</w:t>
      </w:r>
      <w:r w:rsidRPr="00C00586">
        <w:rPr>
          <w:rFonts w:eastAsia="Calibri"/>
          <w:szCs w:val="21"/>
          <w:lang w:eastAsia="en-US"/>
        </w:rPr>
        <w:t xml:space="preserve"> for students with disabilities</w:t>
      </w:r>
      <w:r>
        <w:rPr>
          <w:rFonts w:eastAsia="Calibri"/>
          <w:szCs w:val="21"/>
          <w:lang w:eastAsia="en-US"/>
        </w:rPr>
        <w:t xml:space="preserve"> </w:t>
      </w:r>
      <w:r w:rsidR="003803F5">
        <w:rPr>
          <w:rFonts w:eastAsia="Calibri"/>
          <w:szCs w:val="21"/>
          <w:lang w:eastAsia="en-US"/>
        </w:rPr>
        <w:t>which</w:t>
      </w:r>
      <w:r>
        <w:rPr>
          <w:rFonts w:eastAsia="Calibri"/>
          <w:szCs w:val="21"/>
          <w:lang w:eastAsia="en-US"/>
        </w:rPr>
        <w:t xml:space="preserve"> is</w:t>
      </w:r>
      <w:r w:rsidRPr="00C00586">
        <w:rPr>
          <w:rFonts w:eastAsia="Calibri"/>
          <w:szCs w:val="21"/>
          <w:lang w:eastAsia="en-US"/>
        </w:rPr>
        <w:t xml:space="preserve"> </w:t>
      </w:r>
      <w:r>
        <w:rPr>
          <w:rFonts w:eastAsia="Calibri"/>
          <w:szCs w:val="21"/>
          <w:lang w:eastAsia="en-US"/>
        </w:rPr>
        <w:t xml:space="preserve">now being considered </w:t>
      </w:r>
      <w:r w:rsidRPr="00C00586">
        <w:rPr>
          <w:rFonts w:eastAsia="Calibri"/>
          <w:szCs w:val="21"/>
          <w:lang w:eastAsia="en-US"/>
        </w:rPr>
        <w:t>for nationwide adoption by DepED.</w:t>
      </w:r>
    </w:p>
    <w:p w:rsidR="00A107BD" w:rsidRDefault="0062318A" w:rsidP="00A107BD">
      <w:pPr>
        <w:pStyle w:val="ListBullet"/>
        <w:tabs>
          <w:tab w:val="clear" w:pos="284"/>
        </w:tabs>
        <w:rPr>
          <w:rFonts w:eastAsia="Calibri"/>
          <w:szCs w:val="21"/>
          <w:lang w:eastAsia="en-US"/>
        </w:rPr>
      </w:pPr>
      <w:r w:rsidRPr="009647CC">
        <w:rPr>
          <w:rFonts w:eastAsia="Calibri"/>
          <w:szCs w:val="21"/>
          <w:lang w:eastAsia="en-US"/>
        </w:rPr>
        <w:t>Australia’s targeted support for the education of indigenous peoples (IP) enabled the DepE</w:t>
      </w:r>
      <w:r w:rsidR="00841782">
        <w:rPr>
          <w:rFonts w:eastAsia="Calibri"/>
          <w:szCs w:val="21"/>
          <w:lang w:eastAsia="en-US"/>
        </w:rPr>
        <w:t>D</w:t>
      </w:r>
      <w:r w:rsidRPr="009647CC">
        <w:rPr>
          <w:rFonts w:eastAsia="Calibri"/>
          <w:szCs w:val="21"/>
          <w:lang w:eastAsia="en-US"/>
        </w:rPr>
        <w:t xml:space="preserve"> to </w:t>
      </w:r>
      <w:r w:rsidRPr="000A7FA9">
        <w:t>roll</w:t>
      </w:r>
      <w:r>
        <w:t>-</w:t>
      </w:r>
      <w:r w:rsidRPr="009647CC">
        <w:rPr>
          <w:rFonts w:eastAsia="Calibri"/>
          <w:szCs w:val="21"/>
          <w:lang w:eastAsia="en-US"/>
        </w:rPr>
        <w:t xml:space="preserve">out a national indigenous people education framework in line with the principles of inclusion and empowerment, and a new policy recognising education programs run by non-government organisations for indigenous people.  With Australia’s assistance, culturally relevant teaching and learning materials in local languages </w:t>
      </w:r>
      <w:r>
        <w:rPr>
          <w:rFonts w:eastAsia="Calibri"/>
          <w:szCs w:val="21"/>
          <w:lang w:eastAsia="en-US"/>
        </w:rPr>
        <w:t xml:space="preserve">were </w:t>
      </w:r>
      <w:r w:rsidRPr="009647CC">
        <w:rPr>
          <w:rFonts w:eastAsia="Calibri"/>
          <w:szCs w:val="21"/>
          <w:lang w:eastAsia="en-US"/>
        </w:rPr>
        <w:t xml:space="preserve">developed and provided to </w:t>
      </w:r>
      <w:r>
        <w:rPr>
          <w:rFonts w:eastAsia="Calibri"/>
          <w:szCs w:val="21"/>
          <w:lang w:eastAsia="en-US"/>
        </w:rPr>
        <w:t>124,500</w:t>
      </w:r>
      <w:r w:rsidRPr="009647CC">
        <w:rPr>
          <w:rFonts w:eastAsia="Calibri"/>
          <w:szCs w:val="21"/>
          <w:lang w:eastAsia="en-US"/>
        </w:rPr>
        <w:t xml:space="preserve"> indigenous</w:t>
      </w:r>
      <w:r>
        <w:rPr>
          <w:rFonts w:eastAsia="Calibri"/>
          <w:szCs w:val="21"/>
          <w:lang w:eastAsia="en-US"/>
        </w:rPr>
        <w:t xml:space="preserve"> and Muslim</w:t>
      </w:r>
      <w:r w:rsidRPr="009647CC">
        <w:rPr>
          <w:rFonts w:eastAsia="Calibri"/>
          <w:szCs w:val="21"/>
          <w:lang w:eastAsia="en-US"/>
        </w:rPr>
        <w:t xml:space="preserve"> </w:t>
      </w:r>
      <w:r>
        <w:rPr>
          <w:rFonts w:eastAsia="Calibri"/>
          <w:szCs w:val="21"/>
          <w:lang w:eastAsia="en-US"/>
        </w:rPr>
        <w:t xml:space="preserve">children including </w:t>
      </w:r>
      <w:r w:rsidRPr="009647CC">
        <w:rPr>
          <w:rFonts w:eastAsia="Calibri"/>
          <w:szCs w:val="21"/>
          <w:lang w:eastAsia="en-US"/>
        </w:rPr>
        <w:t xml:space="preserve">children with disabilities.  </w:t>
      </w:r>
    </w:p>
    <w:p w:rsidR="00E071C0" w:rsidRDefault="0062318A" w:rsidP="00A107BD">
      <w:pPr>
        <w:pStyle w:val="ListBullet"/>
        <w:tabs>
          <w:tab w:val="clear" w:pos="284"/>
        </w:tabs>
        <w:rPr>
          <w:rFonts w:eastAsia="Calibri"/>
          <w:szCs w:val="21"/>
          <w:lang w:eastAsia="en-US"/>
        </w:rPr>
      </w:pPr>
      <w:r w:rsidRPr="00A107BD">
        <w:rPr>
          <w:rFonts w:eastAsia="Calibri"/>
          <w:szCs w:val="21"/>
          <w:lang w:eastAsia="en-US"/>
        </w:rPr>
        <w:t xml:space="preserve">Australia supported the </w:t>
      </w:r>
      <w:r w:rsidR="00E071C0">
        <w:rPr>
          <w:rFonts w:eastAsia="Calibri"/>
          <w:szCs w:val="21"/>
          <w:lang w:eastAsia="en-US"/>
        </w:rPr>
        <w:t xml:space="preserve">operations </w:t>
      </w:r>
      <w:r w:rsidRPr="00A107BD">
        <w:rPr>
          <w:rFonts w:eastAsia="Calibri"/>
          <w:szCs w:val="21"/>
          <w:lang w:eastAsia="en-US"/>
        </w:rPr>
        <w:t>of 1,46</w:t>
      </w:r>
      <w:r w:rsidR="00E071C0">
        <w:rPr>
          <w:rFonts w:eastAsia="Calibri"/>
          <w:szCs w:val="21"/>
          <w:lang w:eastAsia="en-US"/>
        </w:rPr>
        <w:t>0</w:t>
      </w:r>
      <w:r w:rsidRPr="00A107BD">
        <w:rPr>
          <w:rFonts w:eastAsia="Calibri"/>
          <w:szCs w:val="21"/>
          <w:lang w:eastAsia="en-US"/>
        </w:rPr>
        <w:t xml:space="preserve"> alternative community learning centres, such as the </w:t>
      </w:r>
      <w:r w:rsidRPr="00A107BD">
        <w:rPr>
          <w:rFonts w:eastAsia="Calibri"/>
          <w:i/>
          <w:szCs w:val="21"/>
          <w:lang w:eastAsia="en-US"/>
        </w:rPr>
        <w:t>Tahderiyyah</w:t>
      </w:r>
      <w:r w:rsidRPr="00A107BD">
        <w:rPr>
          <w:rFonts w:eastAsia="Calibri"/>
          <w:szCs w:val="21"/>
          <w:lang w:eastAsia="en-US"/>
        </w:rPr>
        <w:t xml:space="preserve"> (Islamic pre-</w:t>
      </w:r>
      <w:r w:rsidRPr="000A7FA9">
        <w:t>school</w:t>
      </w:r>
      <w:r>
        <w:t>)</w:t>
      </w:r>
      <w:r w:rsidR="003803F5">
        <w:t xml:space="preserve"> and community ‘schools’ that are delivered by the NGO, BRAC. </w:t>
      </w:r>
      <w:r w:rsidRPr="00A107BD">
        <w:rPr>
          <w:rFonts w:eastAsia="Calibri"/>
          <w:szCs w:val="21"/>
          <w:lang w:eastAsia="en-US"/>
        </w:rPr>
        <w:t xml:space="preserve"> </w:t>
      </w:r>
      <w:r w:rsidR="003803F5">
        <w:rPr>
          <w:rFonts w:eastAsia="Calibri"/>
          <w:szCs w:val="21"/>
          <w:lang w:eastAsia="en-US"/>
        </w:rPr>
        <w:t>Both these approaches support</w:t>
      </w:r>
      <w:r w:rsidRPr="00A107BD">
        <w:rPr>
          <w:rFonts w:eastAsia="Calibri"/>
          <w:szCs w:val="21"/>
          <w:lang w:eastAsia="en-US"/>
        </w:rPr>
        <w:t xml:space="preserve"> a curriculu</w:t>
      </w:r>
      <w:r w:rsidR="003803F5">
        <w:rPr>
          <w:rFonts w:eastAsia="Calibri"/>
          <w:szCs w:val="21"/>
          <w:lang w:eastAsia="en-US"/>
        </w:rPr>
        <w:t xml:space="preserve">m that fits the local culture and needs and have improved the </w:t>
      </w:r>
      <w:r w:rsidRPr="00A107BD">
        <w:rPr>
          <w:rFonts w:eastAsia="Calibri"/>
          <w:szCs w:val="21"/>
          <w:lang w:eastAsia="en-US"/>
        </w:rPr>
        <w:t xml:space="preserve">chances of poor and disadvantaged students </w:t>
      </w:r>
      <w:r w:rsidR="003803F5">
        <w:rPr>
          <w:rFonts w:eastAsia="Calibri"/>
          <w:szCs w:val="21"/>
          <w:lang w:eastAsia="en-US"/>
        </w:rPr>
        <w:t>completing a basic education</w:t>
      </w:r>
      <w:r w:rsidRPr="00A107BD">
        <w:rPr>
          <w:rFonts w:eastAsia="Calibri"/>
          <w:szCs w:val="21"/>
          <w:lang w:eastAsia="en-US"/>
        </w:rPr>
        <w:t xml:space="preserve">.  </w:t>
      </w:r>
    </w:p>
    <w:p w:rsidR="00AA6010" w:rsidRDefault="00E071C0" w:rsidP="00A107BD">
      <w:pPr>
        <w:pStyle w:val="ListBullet"/>
        <w:tabs>
          <w:tab w:val="clear" w:pos="284"/>
        </w:tabs>
        <w:rPr>
          <w:rFonts w:eastAsia="Calibri"/>
          <w:szCs w:val="21"/>
          <w:lang w:eastAsia="en-US"/>
        </w:rPr>
      </w:pPr>
      <w:r>
        <w:rPr>
          <w:rFonts w:eastAsia="Calibri"/>
          <w:szCs w:val="21"/>
          <w:lang w:eastAsia="en-US"/>
        </w:rPr>
        <w:t>T</w:t>
      </w:r>
      <w:r w:rsidR="0062318A" w:rsidRPr="00A107BD">
        <w:rPr>
          <w:rFonts w:eastAsia="Calibri"/>
          <w:szCs w:val="21"/>
          <w:lang w:eastAsia="en-US"/>
        </w:rPr>
        <w:t>he Australian Government also assisted in the training of 4,014 out-of-school youth (65</w:t>
      </w:r>
      <w:r w:rsidR="00514B03">
        <w:rPr>
          <w:rFonts w:eastAsia="Calibri"/>
          <w:szCs w:val="21"/>
          <w:lang w:eastAsia="en-US"/>
        </w:rPr>
        <w:t xml:space="preserve"> percent</w:t>
      </w:r>
      <w:r w:rsidR="00514B03" w:rsidRPr="00A107BD">
        <w:rPr>
          <w:rFonts w:eastAsia="Calibri"/>
          <w:szCs w:val="21"/>
          <w:lang w:eastAsia="en-US"/>
        </w:rPr>
        <w:t xml:space="preserve"> </w:t>
      </w:r>
      <w:r w:rsidR="0062318A" w:rsidRPr="00A107BD">
        <w:rPr>
          <w:rFonts w:eastAsia="Calibri"/>
          <w:szCs w:val="21"/>
          <w:lang w:eastAsia="en-US"/>
        </w:rPr>
        <w:t xml:space="preserve">of </w:t>
      </w:r>
      <w:r w:rsidR="00DB46D0">
        <w:rPr>
          <w:rFonts w:eastAsia="Calibri"/>
          <w:szCs w:val="21"/>
          <w:lang w:eastAsia="en-US"/>
        </w:rPr>
        <w:t>whom</w:t>
      </w:r>
      <w:r w:rsidR="0062318A" w:rsidRPr="00A107BD">
        <w:rPr>
          <w:rFonts w:eastAsia="Calibri"/>
          <w:szCs w:val="21"/>
          <w:lang w:eastAsia="en-US"/>
        </w:rPr>
        <w:t xml:space="preserve"> are boys) with livelihood skills (technical and vocational) to further increase chances of employment and potentially reduce the likelihood of being recruited by armed groups. </w:t>
      </w:r>
    </w:p>
    <w:p w:rsidR="00AA6010" w:rsidRDefault="00AA6010" w:rsidP="00C00586">
      <w:pPr>
        <w:pStyle w:val="Heading3"/>
      </w:pPr>
      <w:r w:rsidRPr="00C00586">
        <w:t>Objective 2:  Enhancing the foundations for sustained economic growth</w:t>
      </w:r>
    </w:p>
    <w:tbl>
      <w:tblPr>
        <w:tblStyle w:val="TableGrid"/>
        <w:tblW w:w="0" w:type="auto"/>
        <w:tblInd w:w="108" w:type="dxa"/>
        <w:tblLook w:val="04A0" w:firstRow="1" w:lastRow="0" w:firstColumn="1" w:lastColumn="0" w:noHBand="0" w:noVBand="1"/>
      </w:tblPr>
      <w:tblGrid>
        <w:gridCol w:w="731"/>
        <w:gridCol w:w="754"/>
      </w:tblGrid>
      <w:tr w:rsidR="00B96759" w:rsidRPr="00391D7A" w:rsidTr="00B96759">
        <w:trPr>
          <w:trHeight w:val="341"/>
        </w:trPr>
        <w:tc>
          <w:tcPr>
            <w:tcW w:w="0" w:type="auto"/>
            <w:tcBorders>
              <w:top w:val="nil"/>
              <w:left w:val="nil"/>
              <w:bottom w:val="nil"/>
              <w:right w:val="nil"/>
            </w:tcBorders>
          </w:tcPr>
          <w:p w:rsidR="00B96759" w:rsidRPr="00FA4A27" w:rsidRDefault="00B96759" w:rsidP="00FA4A27">
            <w:pPr>
              <w:pStyle w:val="BodyText"/>
              <w:ind w:hanging="108"/>
              <w:rPr>
                <w:szCs w:val="21"/>
                <w:lang w:eastAsia="zh-CN"/>
              </w:rPr>
            </w:pPr>
            <w:r w:rsidRPr="00FA4A27">
              <w:rPr>
                <w:szCs w:val="21"/>
                <w:lang w:eastAsia="zh-CN"/>
              </w:rPr>
              <w:t xml:space="preserve">Rating: </w:t>
            </w:r>
          </w:p>
        </w:tc>
        <w:tc>
          <w:tcPr>
            <w:tcW w:w="0" w:type="auto"/>
            <w:tcBorders>
              <w:top w:val="nil"/>
              <w:left w:val="nil"/>
              <w:bottom w:val="nil"/>
              <w:right w:val="nil"/>
            </w:tcBorders>
            <w:shd w:val="clear" w:color="auto" w:fill="92D050"/>
          </w:tcPr>
          <w:p w:rsidR="00B96759" w:rsidRPr="00FA4A27" w:rsidRDefault="00B96759" w:rsidP="00C15D68">
            <w:pPr>
              <w:pStyle w:val="BodyText"/>
              <w:jc w:val="center"/>
              <w:rPr>
                <w:szCs w:val="21"/>
                <w:lang w:eastAsia="zh-CN"/>
              </w:rPr>
            </w:pPr>
            <w:r w:rsidRPr="00FA4A27">
              <w:rPr>
                <w:szCs w:val="21"/>
                <w:lang w:eastAsia="zh-CN"/>
              </w:rPr>
              <w:t>Green</w:t>
            </w:r>
          </w:p>
        </w:tc>
      </w:tr>
    </w:tbl>
    <w:p w:rsidR="00B96759" w:rsidRPr="00FA4A27" w:rsidRDefault="00B96759" w:rsidP="00FA4A27">
      <w:pPr>
        <w:pStyle w:val="BodyText"/>
      </w:pPr>
    </w:p>
    <w:p w:rsidR="00FE77F1" w:rsidRDefault="00EB1010" w:rsidP="00AA6010">
      <w:pPr>
        <w:spacing w:after="200" w:line="276" w:lineRule="auto"/>
        <w:rPr>
          <w:rFonts w:ascii="Franklin Gothic Book" w:eastAsia="Calibri" w:hAnsi="Franklin Gothic Book"/>
          <w:sz w:val="21"/>
          <w:szCs w:val="21"/>
          <w:lang w:eastAsia="en-US"/>
        </w:rPr>
      </w:pPr>
      <w:r w:rsidRPr="00B4007F">
        <w:rPr>
          <w:rFonts w:ascii="Franklin Gothic Book" w:eastAsia="Calibri" w:hAnsi="Franklin Gothic Book"/>
          <w:sz w:val="21"/>
          <w:szCs w:val="21"/>
          <w:lang w:eastAsia="en-US"/>
        </w:rPr>
        <w:t xml:space="preserve">The objective </w:t>
      </w:r>
      <w:r w:rsidR="00DF2613">
        <w:rPr>
          <w:rFonts w:ascii="Franklin Gothic Book" w:eastAsia="Calibri" w:hAnsi="Franklin Gothic Book"/>
          <w:sz w:val="21"/>
          <w:szCs w:val="21"/>
          <w:lang w:eastAsia="en-US"/>
        </w:rPr>
        <w:t xml:space="preserve">is </w:t>
      </w:r>
      <w:r w:rsidRPr="00B4007F">
        <w:rPr>
          <w:rFonts w:ascii="Franklin Gothic Book" w:eastAsia="Calibri" w:hAnsi="Franklin Gothic Book"/>
          <w:sz w:val="21"/>
          <w:szCs w:val="21"/>
          <w:lang w:eastAsia="en-US"/>
        </w:rPr>
        <w:t xml:space="preserve">rated green </w:t>
      </w:r>
      <w:r w:rsidR="000A7FA9">
        <w:rPr>
          <w:rFonts w:ascii="Franklin Gothic Book" w:eastAsia="Calibri" w:hAnsi="Franklin Gothic Book"/>
          <w:sz w:val="21"/>
          <w:szCs w:val="21"/>
          <w:lang w:eastAsia="en-US"/>
        </w:rPr>
        <w:t xml:space="preserve">from amber </w:t>
      </w:r>
      <w:r w:rsidR="00DF2613">
        <w:rPr>
          <w:rFonts w:ascii="Franklin Gothic Book" w:eastAsia="Calibri" w:hAnsi="Franklin Gothic Book"/>
          <w:sz w:val="21"/>
          <w:szCs w:val="21"/>
          <w:lang w:eastAsia="en-US"/>
        </w:rPr>
        <w:t xml:space="preserve">rating </w:t>
      </w:r>
      <w:r w:rsidR="000A7FA9">
        <w:rPr>
          <w:rFonts w:ascii="Franklin Gothic Book" w:eastAsia="Calibri" w:hAnsi="Franklin Gothic Book"/>
          <w:sz w:val="21"/>
          <w:szCs w:val="21"/>
          <w:lang w:eastAsia="en-US"/>
        </w:rPr>
        <w:t>last year.  P</w:t>
      </w:r>
      <w:r w:rsidRPr="00B4007F">
        <w:rPr>
          <w:rFonts w:ascii="Franklin Gothic Book" w:eastAsia="Calibri" w:hAnsi="Franklin Gothic Book"/>
          <w:sz w:val="21"/>
          <w:szCs w:val="21"/>
          <w:lang w:eastAsia="en-US"/>
        </w:rPr>
        <w:t>rogr</w:t>
      </w:r>
      <w:r w:rsidR="00B4007F">
        <w:rPr>
          <w:rFonts w:ascii="Franklin Gothic Book" w:eastAsia="Calibri" w:hAnsi="Franklin Gothic Book"/>
          <w:sz w:val="21"/>
          <w:szCs w:val="21"/>
          <w:lang w:eastAsia="en-US"/>
        </w:rPr>
        <w:t>am progress was as anticipated</w:t>
      </w:r>
      <w:r w:rsidR="00D323B4">
        <w:rPr>
          <w:rFonts w:ascii="Franklin Gothic Book" w:eastAsia="Calibri" w:hAnsi="Franklin Gothic Book"/>
          <w:sz w:val="21"/>
          <w:szCs w:val="21"/>
          <w:lang w:eastAsia="en-US"/>
        </w:rPr>
        <w:t xml:space="preserve">, particularly with regard to the </w:t>
      </w:r>
      <w:r w:rsidR="00427A53">
        <w:rPr>
          <w:rFonts w:ascii="Franklin Gothic Book" w:eastAsia="Calibri" w:hAnsi="Franklin Gothic Book"/>
          <w:sz w:val="21"/>
          <w:szCs w:val="21"/>
          <w:lang w:eastAsia="en-US"/>
        </w:rPr>
        <w:t xml:space="preserve">management </w:t>
      </w:r>
      <w:r w:rsidR="00D323B4">
        <w:rPr>
          <w:rFonts w:ascii="Franklin Gothic Book" w:eastAsia="Calibri" w:hAnsi="Franklin Gothic Book"/>
          <w:sz w:val="21"/>
          <w:szCs w:val="21"/>
          <w:lang w:eastAsia="en-US"/>
        </w:rPr>
        <w:t>of the Provincial Road Management Facility (PRMF)</w:t>
      </w:r>
      <w:r w:rsidR="00FE77F1">
        <w:rPr>
          <w:rFonts w:ascii="Franklin Gothic Book" w:eastAsia="Calibri" w:hAnsi="Franklin Gothic Book"/>
          <w:sz w:val="21"/>
          <w:szCs w:val="21"/>
          <w:lang w:eastAsia="en-US"/>
        </w:rPr>
        <w:t xml:space="preserve"> and the support to the PPP</w:t>
      </w:r>
      <w:r w:rsidR="00B4007F">
        <w:rPr>
          <w:rFonts w:ascii="Franklin Gothic Book" w:eastAsia="Calibri" w:hAnsi="Franklin Gothic Book"/>
          <w:sz w:val="21"/>
          <w:szCs w:val="21"/>
          <w:lang w:eastAsia="en-US"/>
        </w:rPr>
        <w:t xml:space="preserve">.  </w:t>
      </w:r>
    </w:p>
    <w:p w:rsidR="00130E4D" w:rsidRPr="00B4007F" w:rsidRDefault="00130E4D" w:rsidP="00130E4D">
      <w:pPr>
        <w:spacing w:after="200" w:line="276" w:lineRule="auto"/>
        <w:rPr>
          <w:rFonts w:ascii="Franklin Gothic Book" w:eastAsia="Calibri" w:hAnsi="Franklin Gothic Book"/>
          <w:sz w:val="21"/>
          <w:szCs w:val="21"/>
          <w:lang w:eastAsia="en-US"/>
        </w:rPr>
      </w:pPr>
      <w:r>
        <w:rPr>
          <w:rFonts w:ascii="Franklin Gothic Book" w:eastAsia="Calibri" w:hAnsi="Franklin Gothic Book"/>
          <w:sz w:val="21"/>
          <w:szCs w:val="21"/>
          <w:lang w:eastAsia="en-US"/>
        </w:rPr>
        <w:t xml:space="preserve">Australia provided </w:t>
      </w:r>
      <w:r w:rsidR="00692C3A">
        <w:rPr>
          <w:rFonts w:ascii="Segoe UI" w:hAnsi="Segoe UI" w:cs="Segoe UI"/>
          <w:color w:val="000000"/>
          <w:szCs w:val="20"/>
        </w:rPr>
        <w:t>$28.57 million</w:t>
      </w:r>
      <w:r w:rsidR="00692C3A">
        <w:t> </w:t>
      </w:r>
      <w:r w:rsidR="00692C3A" w:rsidRPr="00692C3A">
        <w:rPr>
          <w:rFonts w:ascii="Franklin Gothic Book" w:eastAsia="Calibri" w:hAnsi="Franklin Gothic Book"/>
          <w:sz w:val="21"/>
          <w:szCs w:val="21"/>
          <w:lang w:eastAsia="en-US"/>
        </w:rPr>
        <w:t>funding support</w:t>
      </w:r>
      <w:r w:rsidR="00692C3A">
        <w:rPr>
          <w:rFonts w:ascii="Franklin Gothic Book" w:eastAsia="Calibri" w:hAnsi="Franklin Gothic Book"/>
          <w:sz w:val="21"/>
          <w:szCs w:val="21"/>
          <w:lang w:eastAsia="en-US"/>
        </w:rPr>
        <w:t xml:space="preserve"> </w:t>
      </w:r>
      <w:r>
        <w:rPr>
          <w:rFonts w:ascii="Franklin Gothic Book" w:eastAsia="Calibri" w:hAnsi="Franklin Gothic Book"/>
          <w:sz w:val="21"/>
          <w:szCs w:val="21"/>
          <w:lang w:eastAsia="en-US"/>
        </w:rPr>
        <w:t xml:space="preserve">through the ADB, the WB, and the IFC to assist the </w:t>
      </w:r>
      <w:r w:rsidR="004B5B8F">
        <w:rPr>
          <w:rFonts w:ascii="Franklin Gothic Book" w:eastAsia="Calibri" w:hAnsi="Franklin Gothic Book"/>
          <w:sz w:val="21"/>
          <w:szCs w:val="21"/>
          <w:lang w:eastAsia="en-US"/>
        </w:rPr>
        <w:t>Philippine Government</w:t>
      </w:r>
      <w:r>
        <w:rPr>
          <w:rFonts w:ascii="Franklin Gothic Book" w:eastAsia="Calibri" w:hAnsi="Franklin Gothic Book"/>
          <w:sz w:val="21"/>
          <w:szCs w:val="21"/>
          <w:lang w:eastAsia="en-US"/>
        </w:rPr>
        <w:t xml:space="preserve"> to implement its PPP program. Our support included the </w:t>
      </w:r>
      <w:r>
        <w:rPr>
          <w:rFonts w:ascii="Franklin Gothic Book" w:eastAsia="Calibri" w:hAnsi="Franklin Gothic Book"/>
          <w:sz w:val="21"/>
          <w:szCs w:val="21"/>
          <w:lang w:eastAsia="en-US"/>
        </w:rPr>
        <w:lastRenderedPageBreak/>
        <w:t xml:space="preserve">engagement of transaction advisers that </w:t>
      </w:r>
      <w:r w:rsidRPr="00C00586">
        <w:rPr>
          <w:rFonts w:ascii="Franklin Gothic Book" w:eastAsia="Calibri" w:hAnsi="Franklin Gothic Book"/>
          <w:sz w:val="21"/>
          <w:szCs w:val="21"/>
          <w:lang w:eastAsia="en-US"/>
        </w:rPr>
        <w:t xml:space="preserve">enabled the </w:t>
      </w:r>
      <w:r w:rsidR="004B5B8F">
        <w:rPr>
          <w:rFonts w:ascii="Franklin Gothic Book" w:eastAsia="Calibri" w:hAnsi="Franklin Gothic Book"/>
          <w:sz w:val="21"/>
          <w:szCs w:val="21"/>
          <w:lang w:eastAsia="en-US"/>
        </w:rPr>
        <w:t>Philippine Government</w:t>
      </w:r>
      <w:r>
        <w:rPr>
          <w:rFonts w:ascii="Franklin Gothic Book" w:eastAsia="Calibri" w:hAnsi="Franklin Gothic Book"/>
          <w:sz w:val="21"/>
          <w:szCs w:val="21"/>
          <w:lang w:eastAsia="en-US"/>
        </w:rPr>
        <w:t>, through the PPP Centre</w:t>
      </w:r>
      <w:r w:rsidRPr="00C00586">
        <w:rPr>
          <w:rFonts w:ascii="Franklin Gothic Book" w:eastAsia="Calibri" w:hAnsi="Franklin Gothic Book"/>
          <w:sz w:val="21"/>
          <w:szCs w:val="21"/>
          <w:lang w:eastAsia="en-US"/>
        </w:rPr>
        <w:t xml:space="preserve"> to </w:t>
      </w:r>
      <w:r>
        <w:rPr>
          <w:rFonts w:ascii="Franklin Gothic Book" w:eastAsia="Calibri" w:hAnsi="Franklin Gothic Book"/>
          <w:sz w:val="21"/>
          <w:szCs w:val="21"/>
          <w:lang w:eastAsia="en-US"/>
        </w:rPr>
        <w:t xml:space="preserve">scale up procurement for PPP projects.  Australia’s investment contributed to the preparation </w:t>
      </w:r>
      <w:r w:rsidRPr="00C00586">
        <w:rPr>
          <w:rFonts w:ascii="Franklin Gothic Book" w:eastAsia="Calibri" w:hAnsi="Franklin Gothic Book"/>
          <w:sz w:val="21"/>
          <w:szCs w:val="21"/>
          <w:lang w:eastAsia="en-US"/>
        </w:rPr>
        <w:t>and award</w:t>
      </w:r>
      <w:r>
        <w:rPr>
          <w:rFonts w:ascii="Franklin Gothic Book" w:eastAsia="Calibri" w:hAnsi="Franklin Gothic Book"/>
          <w:sz w:val="21"/>
          <w:szCs w:val="21"/>
          <w:lang w:eastAsia="en-US"/>
        </w:rPr>
        <w:t xml:space="preserve">ing of seven </w:t>
      </w:r>
      <w:r w:rsidR="00DB46D0">
        <w:rPr>
          <w:rFonts w:ascii="Franklin Gothic Book" w:eastAsia="Calibri" w:hAnsi="Franklin Gothic Book"/>
          <w:sz w:val="21"/>
          <w:szCs w:val="21"/>
          <w:lang w:eastAsia="en-US"/>
        </w:rPr>
        <w:t>priority PPP projects, including the</w:t>
      </w:r>
      <w:r>
        <w:rPr>
          <w:rFonts w:ascii="Franklin Gothic Book" w:eastAsia="Calibri" w:hAnsi="Franklin Gothic Book"/>
          <w:sz w:val="21"/>
          <w:szCs w:val="21"/>
          <w:lang w:eastAsia="en-US"/>
        </w:rPr>
        <w:t xml:space="preserve"> Ninoy Aquino International Airport Expressway</w:t>
      </w:r>
      <w:r w:rsidR="004407E0">
        <w:rPr>
          <w:rFonts w:ascii="Franklin Gothic Book" w:eastAsia="Calibri" w:hAnsi="Franklin Gothic Book"/>
          <w:sz w:val="21"/>
          <w:szCs w:val="21"/>
          <w:lang w:eastAsia="en-US"/>
        </w:rPr>
        <w:t xml:space="preserve"> (USD360 million)</w:t>
      </w:r>
      <w:r>
        <w:rPr>
          <w:rFonts w:ascii="Franklin Gothic Book" w:eastAsia="Calibri" w:hAnsi="Franklin Gothic Book"/>
          <w:sz w:val="21"/>
          <w:szCs w:val="21"/>
          <w:lang w:eastAsia="en-US"/>
        </w:rPr>
        <w:t xml:space="preserve">.  This project alone will mobilise </w:t>
      </w:r>
      <w:r w:rsidR="00DB46D0">
        <w:rPr>
          <w:rFonts w:ascii="Franklin Gothic Book" w:eastAsia="Calibri" w:hAnsi="Franklin Gothic Book"/>
          <w:sz w:val="21"/>
          <w:szCs w:val="21"/>
          <w:lang w:eastAsia="en-US"/>
        </w:rPr>
        <w:t>USD</w:t>
      </w:r>
      <w:r>
        <w:rPr>
          <w:rFonts w:ascii="Franklin Gothic Book" w:eastAsia="Calibri" w:hAnsi="Franklin Gothic Book"/>
          <w:sz w:val="21"/>
          <w:szCs w:val="21"/>
          <w:lang w:eastAsia="en-US"/>
        </w:rPr>
        <w:t xml:space="preserve">250 million of private sector investment, representing over 200 times </w:t>
      </w:r>
      <w:r w:rsidR="00DB46D0">
        <w:rPr>
          <w:rFonts w:ascii="Franklin Gothic Book" w:eastAsia="Calibri" w:hAnsi="Franklin Gothic Book"/>
          <w:sz w:val="21"/>
          <w:szCs w:val="21"/>
          <w:lang w:eastAsia="en-US"/>
        </w:rPr>
        <w:t>the</w:t>
      </w:r>
      <w:r>
        <w:rPr>
          <w:rFonts w:ascii="Franklin Gothic Book" w:eastAsia="Calibri" w:hAnsi="Franklin Gothic Book"/>
          <w:sz w:val="21"/>
          <w:szCs w:val="21"/>
          <w:lang w:eastAsia="en-US"/>
        </w:rPr>
        <w:t xml:space="preserve"> aid investment.  The PPP Centre </w:t>
      </w:r>
      <w:r w:rsidR="00DB46D0">
        <w:rPr>
          <w:rFonts w:ascii="Franklin Gothic Book" w:eastAsia="Calibri" w:hAnsi="Franklin Gothic Book"/>
          <w:sz w:val="21"/>
          <w:szCs w:val="21"/>
          <w:lang w:eastAsia="en-US"/>
        </w:rPr>
        <w:t xml:space="preserve">also </w:t>
      </w:r>
      <w:r>
        <w:rPr>
          <w:rFonts w:ascii="Franklin Gothic Book" w:eastAsia="Calibri" w:hAnsi="Franklin Gothic Book"/>
          <w:sz w:val="21"/>
          <w:szCs w:val="21"/>
          <w:lang w:eastAsia="en-US"/>
        </w:rPr>
        <w:t>signed a Memorandum of Understanding with the New South Wales Government (</w:t>
      </w:r>
      <w:r w:rsidR="00DB46D0">
        <w:rPr>
          <w:rFonts w:ascii="Franklin Gothic Book" w:eastAsia="Calibri" w:hAnsi="Franklin Gothic Book"/>
          <w:sz w:val="21"/>
          <w:szCs w:val="21"/>
          <w:lang w:eastAsia="en-US"/>
        </w:rPr>
        <w:t xml:space="preserve">a </w:t>
      </w:r>
      <w:r>
        <w:rPr>
          <w:rFonts w:ascii="Franklin Gothic Book" w:eastAsia="Calibri" w:hAnsi="Franklin Gothic Book"/>
          <w:sz w:val="21"/>
          <w:szCs w:val="21"/>
          <w:lang w:eastAsia="en-US"/>
        </w:rPr>
        <w:t>twinning arrangement) focused on knowledge sharing on PPP practices.</w:t>
      </w:r>
    </w:p>
    <w:p w:rsidR="00FE77F1" w:rsidRPr="00C00586" w:rsidRDefault="00FE77F1" w:rsidP="00FE77F1">
      <w:pPr>
        <w:spacing w:after="200" w:line="276" w:lineRule="auto"/>
        <w:rPr>
          <w:rFonts w:ascii="Franklin Gothic Book" w:eastAsia="Calibri" w:hAnsi="Franklin Gothic Book"/>
          <w:sz w:val="21"/>
          <w:szCs w:val="21"/>
          <w:lang w:eastAsia="en-US"/>
        </w:rPr>
      </w:pPr>
      <w:r w:rsidRPr="00B4007F">
        <w:rPr>
          <w:rFonts w:ascii="Franklin Gothic Book" w:eastAsia="Calibri" w:hAnsi="Franklin Gothic Book"/>
          <w:sz w:val="21"/>
          <w:szCs w:val="21"/>
          <w:lang w:eastAsia="en-US"/>
        </w:rPr>
        <w:t xml:space="preserve">The </w:t>
      </w:r>
      <w:r>
        <w:rPr>
          <w:rFonts w:ascii="Franklin Gothic Book" w:eastAsia="Calibri" w:hAnsi="Franklin Gothic Book"/>
          <w:sz w:val="21"/>
          <w:szCs w:val="21"/>
          <w:lang w:eastAsia="en-US"/>
        </w:rPr>
        <w:t xml:space="preserve">Partnership Awards, organised by a UK-based finance magazine </w:t>
      </w:r>
      <w:r w:rsidRPr="00A63887">
        <w:rPr>
          <w:rFonts w:ascii="Franklin Gothic Book" w:eastAsia="Calibri" w:hAnsi="Franklin Gothic Book"/>
          <w:i/>
          <w:sz w:val="21"/>
          <w:szCs w:val="21"/>
          <w:lang w:eastAsia="en-US"/>
        </w:rPr>
        <w:t>The Partnerships Bulletin</w:t>
      </w:r>
      <w:r>
        <w:rPr>
          <w:rFonts w:ascii="Franklin Gothic Book" w:eastAsia="Calibri" w:hAnsi="Franklin Gothic Book"/>
          <w:sz w:val="21"/>
          <w:szCs w:val="21"/>
          <w:lang w:eastAsia="en-US"/>
        </w:rPr>
        <w:t xml:space="preserve">, </w:t>
      </w:r>
      <w:r w:rsidRPr="00B4007F">
        <w:rPr>
          <w:rFonts w:ascii="Franklin Gothic Book" w:eastAsia="Calibri" w:hAnsi="Franklin Gothic Book"/>
          <w:sz w:val="21"/>
          <w:szCs w:val="21"/>
          <w:lang w:eastAsia="en-US"/>
        </w:rPr>
        <w:t xml:space="preserve">awarded the Philippines PPP Program the Gold Award for Best Central Government PPP promoter </w:t>
      </w:r>
      <w:r>
        <w:rPr>
          <w:rFonts w:ascii="Franklin Gothic Book" w:eastAsia="Calibri" w:hAnsi="Franklin Gothic Book"/>
          <w:sz w:val="21"/>
          <w:szCs w:val="21"/>
          <w:lang w:eastAsia="en-US"/>
        </w:rPr>
        <w:t xml:space="preserve">in </w:t>
      </w:r>
      <w:r w:rsidRPr="00B4007F">
        <w:rPr>
          <w:rFonts w:ascii="Franklin Gothic Book" w:eastAsia="Calibri" w:hAnsi="Franklin Gothic Book"/>
          <w:sz w:val="21"/>
          <w:szCs w:val="21"/>
          <w:lang w:eastAsia="en-US"/>
        </w:rPr>
        <w:t>June 2014.</w:t>
      </w:r>
      <w:r>
        <w:rPr>
          <w:rFonts w:ascii="Franklin Gothic Book" w:eastAsia="Calibri" w:hAnsi="Franklin Gothic Book"/>
          <w:sz w:val="21"/>
          <w:szCs w:val="21"/>
          <w:lang w:eastAsia="en-US"/>
        </w:rPr>
        <w:t xml:space="preserve">  The award recognised the </w:t>
      </w:r>
      <w:r w:rsidR="004B5B8F">
        <w:rPr>
          <w:rFonts w:ascii="Franklin Gothic Book" w:eastAsia="Calibri" w:hAnsi="Franklin Gothic Book"/>
          <w:sz w:val="21"/>
          <w:szCs w:val="21"/>
          <w:lang w:eastAsia="en-US"/>
        </w:rPr>
        <w:t>Philippine Government</w:t>
      </w:r>
      <w:r>
        <w:rPr>
          <w:rFonts w:ascii="Franklin Gothic Book" w:eastAsia="Calibri" w:hAnsi="Franklin Gothic Book"/>
          <w:sz w:val="21"/>
          <w:szCs w:val="21"/>
          <w:lang w:eastAsia="en-US"/>
        </w:rPr>
        <w:t xml:space="preserve"> for building a robust PPP program pipeline, diligently rolling out structured projects, improving policies and processes, and </w:t>
      </w:r>
      <w:r w:rsidR="008E4DEE">
        <w:rPr>
          <w:rFonts w:ascii="Franklin Gothic Book" w:eastAsia="Calibri" w:hAnsi="Franklin Gothic Book"/>
          <w:sz w:val="21"/>
          <w:szCs w:val="21"/>
          <w:lang w:eastAsia="en-US"/>
        </w:rPr>
        <w:t>improving the capacity of</w:t>
      </w:r>
      <w:r>
        <w:rPr>
          <w:rFonts w:ascii="Franklin Gothic Book" w:eastAsia="Calibri" w:hAnsi="Franklin Gothic Book"/>
          <w:sz w:val="21"/>
          <w:szCs w:val="21"/>
          <w:lang w:eastAsia="en-US"/>
        </w:rPr>
        <w:t xml:space="preserve"> PPP institutions.</w:t>
      </w:r>
    </w:p>
    <w:p w:rsidR="00D323B4" w:rsidRDefault="00130E4D" w:rsidP="00AA6010">
      <w:pPr>
        <w:spacing w:after="200" w:line="276" w:lineRule="auto"/>
        <w:rPr>
          <w:rFonts w:ascii="Franklin Gothic Book" w:eastAsia="Calibri" w:hAnsi="Franklin Gothic Book"/>
          <w:sz w:val="21"/>
          <w:szCs w:val="21"/>
          <w:lang w:eastAsia="en-US"/>
        </w:rPr>
      </w:pPr>
      <w:r>
        <w:rPr>
          <w:rFonts w:ascii="Franklin Gothic Book" w:eastAsia="Calibri" w:hAnsi="Franklin Gothic Book"/>
          <w:sz w:val="21"/>
          <w:szCs w:val="21"/>
          <w:lang w:eastAsia="en-US"/>
        </w:rPr>
        <w:t>After a period of direct management</w:t>
      </w:r>
      <w:r w:rsidR="008A4B0D">
        <w:rPr>
          <w:rFonts w:ascii="Franklin Gothic Book" w:eastAsia="Calibri" w:hAnsi="Franklin Gothic Book"/>
          <w:sz w:val="21"/>
          <w:szCs w:val="21"/>
          <w:lang w:eastAsia="en-US"/>
        </w:rPr>
        <w:t xml:space="preserve"> </w:t>
      </w:r>
      <w:r>
        <w:rPr>
          <w:rFonts w:ascii="Franklin Gothic Book" w:eastAsia="Calibri" w:hAnsi="Franklin Gothic Book"/>
          <w:sz w:val="21"/>
          <w:szCs w:val="21"/>
          <w:lang w:eastAsia="en-US"/>
        </w:rPr>
        <w:t xml:space="preserve">by DFAT, the operational management of </w:t>
      </w:r>
      <w:r w:rsidR="008A4B0D">
        <w:rPr>
          <w:rFonts w:ascii="Franklin Gothic Book" w:eastAsia="Calibri" w:hAnsi="Franklin Gothic Book"/>
          <w:sz w:val="21"/>
          <w:szCs w:val="21"/>
          <w:lang w:eastAsia="en-US"/>
        </w:rPr>
        <w:t>PRMF was handed over to a</w:t>
      </w:r>
      <w:r w:rsidR="00D323B4">
        <w:rPr>
          <w:rFonts w:ascii="Franklin Gothic Book" w:eastAsia="Calibri" w:hAnsi="Franklin Gothic Book"/>
          <w:sz w:val="21"/>
          <w:szCs w:val="21"/>
          <w:lang w:eastAsia="en-US"/>
        </w:rPr>
        <w:t xml:space="preserve"> Supporting Contractor in October 2013</w:t>
      </w:r>
      <w:r w:rsidR="008A4B0D">
        <w:rPr>
          <w:rFonts w:ascii="Franklin Gothic Book" w:eastAsia="Calibri" w:hAnsi="Franklin Gothic Book"/>
          <w:sz w:val="21"/>
          <w:szCs w:val="21"/>
          <w:lang w:eastAsia="en-US"/>
        </w:rPr>
        <w:t>,</w:t>
      </w:r>
      <w:r w:rsidR="00D323B4">
        <w:rPr>
          <w:rFonts w:ascii="Franklin Gothic Book" w:eastAsia="Calibri" w:hAnsi="Franklin Gothic Book"/>
          <w:sz w:val="21"/>
          <w:szCs w:val="21"/>
          <w:lang w:eastAsia="en-US"/>
        </w:rPr>
        <w:t xml:space="preserve"> </w:t>
      </w:r>
      <w:r w:rsidR="008A4B0D">
        <w:rPr>
          <w:rFonts w:ascii="Franklin Gothic Book" w:eastAsia="Calibri" w:hAnsi="Franklin Gothic Book"/>
          <w:sz w:val="21"/>
          <w:szCs w:val="21"/>
          <w:lang w:eastAsia="en-US"/>
        </w:rPr>
        <w:t xml:space="preserve">and </w:t>
      </w:r>
      <w:r w:rsidR="00D323B4">
        <w:rPr>
          <w:rFonts w:ascii="Franklin Gothic Book" w:eastAsia="Calibri" w:hAnsi="Franklin Gothic Book"/>
          <w:sz w:val="21"/>
          <w:szCs w:val="21"/>
          <w:lang w:eastAsia="en-US"/>
        </w:rPr>
        <w:t>a</w:t>
      </w:r>
      <w:r w:rsidR="00427A53">
        <w:rPr>
          <w:rFonts w:ascii="Franklin Gothic Book" w:eastAsia="Calibri" w:hAnsi="Franklin Gothic Book"/>
          <w:sz w:val="21"/>
          <w:szCs w:val="21"/>
          <w:lang w:eastAsia="en-US"/>
        </w:rPr>
        <w:t xml:space="preserve"> Facility Management Group </w:t>
      </w:r>
      <w:r w:rsidR="008A4B0D">
        <w:rPr>
          <w:rFonts w:ascii="Franklin Gothic Book" w:eastAsia="Calibri" w:hAnsi="Franklin Gothic Book"/>
          <w:sz w:val="21"/>
          <w:szCs w:val="21"/>
          <w:lang w:eastAsia="en-US"/>
        </w:rPr>
        <w:t xml:space="preserve">(FMG) </w:t>
      </w:r>
      <w:r w:rsidR="00846D02">
        <w:rPr>
          <w:rFonts w:ascii="Franklin Gothic Book" w:eastAsia="Calibri" w:hAnsi="Franklin Gothic Book"/>
          <w:sz w:val="21"/>
          <w:szCs w:val="21"/>
          <w:lang w:eastAsia="en-US"/>
        </w:rPr>
        <w:t xml:space="preserve">was </w:t>
      </w:r>
      <w:r w:rsidR="008A4B0D">
        <w:rPr>
          <w:rFonts w:ascii="Franklin Gothic Book" w:eastAsia="Calibri" w:hAnsi="Franklin Gothic Book"/>
          <w:sz w:val="21"/>
          <w:szCs w:val="21"/>
          <w:lang w:eastAsia="en-US"/>
        </w:rPr>
        <w:t xml:space="preserve">tasked with the </w:t>
      </w:r>
      <w:r w:rsidR="00427A53">
        <w:rPr>
          <w:rFonts w:ascii="Franklin Gothic Book" w:eastAsia="Calibri" w:hAnsi="Franklin Gothic Book"/>
          <w:sz w:val="21"/>
          <w:szCs w:val="21"/>
          <w:lang w:eastAsia="en-US"/>
        </w:rPr>
        <w:t xml:space="preserve">strategic direction and management </w:t>
      </w:r>
      <w:r w:rsidR="008A4B0D">
        <w:rPr>
          <w:rFonts w:ascii="Franklin Gothic Book" w:eastAsia="Calibri" w:hAnsi="Franklin Gothic Book"/>
          <w:sz w:val="21"/>
          <w:szCs w:val="21"/>
          <w:lang w:eastAsia="en-US"/>
        </w:rPr>
        <w:t xml:space="preserve">of </w:t>
      </w:r>
      <w:r w:rsidR="00427A53">
        <w:rPr>
          <w:rFonts w:ascii="Franklin Gothic Book" w:eastAsia="Calibri" w:hAnsi="Franklin Gothic Book"/>
          <w:sz w:val="21"/>
          <w:szCs w:val="21"/>
          <w:lang w:eastAsia="en-US"/>
        </w:rPr>
        <w:t xml:space="preserve">the partnership with the ten provincial governments.  </w:t>
      </w:r>
      <w:r>
        <w:rPr>
          <w:rFonts w:ascii="Franklin Gothic Book" w:eastAsia="Calibri" w:hAnsi="Franklin Gothic Book"/>
          <w:sz w:val="21"/>
          <w:szCs w:val="21"/>
          <w:lang w:eastAsia="en-US"/>
        </w:rPr>
        <w:t xml:space="preserve">This was a significant achievement for 2013-14.  </w:t>
      </w:r>
      <w:r w:rsidR="00427A53">
        <w:rPr>
          <w:rFonts w:ascii="Franklin Gothic Book" w:eastAsia="Calibri" w:hAnsi="Franklin Gothic Book"/>
          <w:sz w:val="21"/>
          <w:szCs w:val="21"/>
          <w:lang w:eastAsia="en-US"/>
        </w:rPr>
        <w:t xml:space="preserve">The </w:t>
      </w:r>
      <w:r w:rsidR="008A4B0D">
        <w:rPr>
          <w:rFonts w:ascii="Franklin Gothic Book" w:eastAsia="Calibri" w:hAnsi="Franklin Gothic Book"/>
          <w:sz w:val="21"/>
          <w:szCs w:val="21"/>
          <w:lang w:eastAsia="en-US"/>
        </w:rPr>
        <w:t xml:space="preserve">management </w:t>
      </w:r>
      <w:r w:rsidR="00427A53">
        <w:rPr>
          <w:rFonts w:ascii="Franklin Gothic Book" w:eastAsia="Calibri" w:hAnsi="Franklin Gothic Book"/>
          <w:sz w:val="21"/>
          <w:szCs w:val="21"/>
          <w:lang w:eastAsia="en-US"/>
        </w:rPr>
        <w:t xml:space="preserve">changes include greater involvement of the </w:t>
      </w:r>
      <w:r w:rsidR="00D323B4">
        <w:rPr>
          <w:rFonts w:ascii="Franklin Gothic Book" w:eastAsia="Calibri" w:hAnsi="Franklin Gothic Book"/>
          <w:sz w:val="21"/>
          <w:szCs w:val="21"/>
          <w:lang w:eastAsia="en-US"/>
        </w:rPr>
        <w:t xml:space="preserve">Department of Interior and Local Government (DILG) </w:t>
      </w:r>
      <w:r w:rsidR="00427A53">
        <w:rPr>
          <w:rFonts w:ascii="Franklin Gothic Book" w:eastAsia="Calibri" w:hAnsi="Franklin Gothic Book"/>
          <w:sz w:val="21"/>
          <w:szCs w:val="21"/>
          <w:lang w:eastAsia="en-US"/>
        </w:rPr>
        <w:t xml:space="preserve">in the management and operations </w:t>
      </w:r>
      <w:r w:rsidR="000A7FA9">
        <w:rPr>
          <w:rFonts w:ascii="Franklin Gothic Book" w:eastAsia="Calibri" w:hAnsi="Franklin Gothic Book"/>
          <w:sz w:val="21"/>
          <w:szCs w:val="21"/>
          <w:lang w:eastAsia="en-US"/>
        </w:rPr>
        <w:t xml:space="preserve">(through the FMG) </w:t>
      </w:r>
      <w:r w:rsidR="00427A53">
        <w:rPr>
          <w:rFonts w:ascii="Franklin Gothic Book" w:eastAsia="Calibri" w:hAnsi="Franklin Gothic Book"/>
          <w:sz w:val="21"/>
          <w:szCs w:val="21"/>
          <w:lang w:eastAsia="en-US"/>
        </w:rPr>
        <w:t xml:space="preserve">of the </w:t>
      </w:r>
      <w:r w:rsidR="00346007">
        <w:rPr>
          <w:rFonts w:ascii="Franklin Gothic Book" w:eastAsia="Calibri" w:hAnsi="Franklin Gothic Book"/>
          <w:sz w:val="21"/>
          <w:szCs w:val="21"/>
          <w:lang w:eastAsia="en-US"/>
        </w:rPr>
        <w:t xml:space="preserve">PRMF, including taking on the role of </w:t>
      </w:r>
      <w:r w:rsidR="00427A53">
        <w:rPr>
          <w:rFonts w:ascii="Franklin Gothic Book" w:eastAsia="Calibri" w:hAnsi="Franklin Gothic Book"/>
          <w:sz w:val="21"/>
          <w:szCs w:val="21"/>
          <w:lang w:eastAsia="en-US"/>
        </w:rPr>
        <w:t>procuring entity for physical works projects.</w:t>
      </w:r>
      <w:r w:rsidR="00E85010">
        <w:rPr>
          <w:rFonts w:ascii="Franklin Gothic Book" w:eastAsia="Calibri" w:hAnsi="Franklin Gothic Book"/>
          <w:sz w:val="21"/>
          <w:szCs w:val="21"/>
          <w:lang w:eastAsia="en-US"/>
        </w:rPr>
        <w:t xml:space="preserve"> </w:t>
      </w:r>
    </w:p>
    <w:p w:rsidR="008A4B0D" w:rsidRDefault="000A7FA9" w:rsidP="00AA6010">
      <w:pPr>
        <w:spacing w:after="200" w:line="276" w:lineRule="auto"/>
        <w:rPr>
          <w:rFonts w:ascii="Franklin Gothic Book" w:eastAsia="Calibri" w:hAnsi="Franklin Gothic Book"/>
          <w:sz w:val="21"/>
          <w:szCs w:val="21"/>
          <w:lang w:eastAsia="en-US"/>
        </w:rPr>
      </w:pPr>
      <w:r>
        <w:rPr>
          <w:rFonts w:ascii="Franklin Gothic Book" w:eastAsia="Calibri" w:hAnsi="Franklin Gothic Book"/>
          <w:sz w:val="21"/>
          <w:szCs w:val="21"/>
          <w:lang w:eastAsia="en-US"/>
        </w:rPr>
        <w:t xml:space="preserve">Covering the period that includes DFAT’s direct management, </w:t>
      </w:r>
      <w:r w:rsidR="008A4B0D">
        <w:rPr>
          <w:rFonts w:ascii="Franklin Gothic Book" w:eastAsia="Calibri" w:hAnsi="Franklin Gothic Book"/>
          <w:sz w:val="21"/>
          <w:szCs w:val="21"/>
          <w:lang w:eastAsia="en-US"/>
        </w:rPr>
        <w:t xml:space="preserve">Australia supported the rehabilitation of 22 kilometres and maintenance of at least 30 kilometres of provincial gravel roads in seven provinces.  </w:t>
      </w:r>
      <w:r w:rsidR="00BF5784">
        <w:rPr>
          <w:rFonts w:ascii="Franklin Gothic Book" w:eastAsia="Calibri" w:hAnsi="Franklin Gothic Book"/>
          <w:sz w:val="21"/>
          <w:szCs w:val="21"/>
          <w:lang w:eastAsia="en-US"/>
        </w:rPr>
        <w:t xml:space="preserve">These numbers are as </w:t>
      </w:r>
      <w:r w:rsidR="00DB46D0">
        <w:rPr>
          <w:rFonts w:ascii="Franklin Gothic Book" w:eastAsia="Calibri" w:hAnsi="Franklin Gothic Book"/>
          <w:sz w:val="21"/>
          <w:szCs w:val="21"/>
          <w:lang w:eastAsia="en-US"/>
        </w:rPr>
        <w:t>anticipated</w:t>
      </w:r>
      <w:r w:rsidR="00BF5784">
        <w:rPr>
          <w:rFonts w:ascii="Franklin Gothic Book" w:eastAsia="Calibri" w:hAnsi="Franklin Gothic Book"/>
          <w:sz w:val="21"/>
          <w:szCs w:val="21"/>
          <w:lang w:eastAsia="en-US"/>
        </w:rPr>
        <w:t xml:space="preserve"> and reflect the fact that no new physical works were contracted during the period of Australia’s direct management of the program.  </w:t>
      </w:r>
      <w:r w:rsidR="00E37044">
        <w:rPr>
          <w:rFonts w:ascii="Franklin Gothic Book" w:eastAsia="Calibri" w:hAnsi="Franklin Gothic Book"/>
          <w:sz w:val="21"/>
          <w:szCs w:val="21"/>
          <w:lang w:eastAsia="en-US"/>
        </w:rPr>
        <w:t xml:space="preserve">It is expected that the pace of procurement and implementation of local road projects will pick up </w:t>
      </w:r>
      <w:r w:rsidR="00346007">
        <w:rPr>
          <w:rFonts w:ascii="Franklin Gothic Book" w:eastAsia="Calibri" w:hAnsi="Franklin Gothic Book"/>
          <w:sz w:val="21"/>
          <w:szCs w:val="21"/>
          <w:lang w:eastAsia="en-US"/>
        </w:rPr>
        <w:t>over the next two years</w:t>
      </w:r>
      <w:r w:rsidR="00E37044">
        <w:rPr>
          <w:rFonts w:ascii="Franklin Gothic Book" w:eastAsia="Calibri" w:hAnsi="Franklin Gothic Book"/>
          <w:sz w:val="21"/>
          <w:szCs w:val="21"/>
          <w:lang w:eastAsia="en-US"/>
        </w:rPr>
        <w:t xml:space="preserve">.  </w:t>
      </w:r>
      <w:r w:rsidR="0072704D">
        <w:rPr>
          <w:rFonts w:ascii="Franklin Gothic Book" w:eastAsia="Calibri" w:hAnsi="Franklin Gothic Book"/>
          <w:sz w:val="21"/>
          <w:szCs w:val="21"/>
          <w:lang w:eastAsia="en-US"/>
        </w:rPr>
        <w:t xml:space="preserve">The approach to capacity development </w:t>
      </w:r>
      <w:r w:rsidR="00346007">
        <w:rPr>
          <w:rFonts w:ascii="Franklin Gothic Book" w:eastAsia="Calibri" w:hAnsi="Franklin Gothic Book"/>
          <w:sz w:val="21"/>
          <w:szCs w:val="21"/>
          <w:lang w:eastAsia="en-US"/>
        </w:rPr>
        <w:t xml:space="preserve">in improving local road management systems across five reform areas (i.e. </w:t>
      </w:r>
      <w:r w:rsidR="00346007" w:rsidRPr="00346007">
        <w:rPr>
          <w:rFonts w:ascii="Franklin Gothic Book" w:eastAsia="Calibri" w:hAnsi="Franklin Gothic Book"/>
          <w:sz w:val="21"/>
          <w:szCs w:val="21"/>
          <w:lang w:eastAsia="en-US"/>
        </w:rPr>
        <w:t>planning and budgeting, local revenue generation, procurement and contracting, internal audit and control, and human resource management</w:t>
      </w:r>
      <w:r w:rsidR="00346007">
        <w:rPr>
          <w:rFonts w:ascii="Franklin Gothic Book" w:eastAsia="Calibri" w:hAnsi="Franklin Gothic Book"/>
          <w:sz w:val="21"/>
          <w:szCs w:val="21"/>
          <w:lang w:eastAsia="en-US"/>
        </w:rPr>
        <w:t xml:space="preserve">) </w:t>
      </w:r>
      <w:r w:rsidR="0072704D">
        <w:rPr>
          <w:rFonts w:ascii="Franklin Gothic Book" w:eastAsia="Calibri" w:hAnsi="Franklin Gothic Book"/>
          <w:sz w:val="21"/>
          <w:szCs w:val="21"/>
          <w:lang w:eastAsia="en-US"/>
        </w:rPr>
        <w:t>has been revised to be more specific to the particular needs of individual provinces</w:t>
      </w:r>
      <w:r w:rsidR="00031BF2">
        <w:rPr>
          <w:rFonts w:ascii="Franklin Gothic Book" w:eastAsia="Calibri" w:hAnsi="Franklin Gothic Book"/>
          <w:sz w:val="21"/>
          <w:szCs w:val="21"/>
          <w:lang w:eastAsia="en-US"/>
        </w:rPr>
        <w:t xml:space="preserve">. </w:t>
      </w:r>
      <w:r w:rsidR="00611236">
        <w:rPr>
          <w:rFonts w:ascii="Franklin Gothic Book" w:eastAsia="Calibri" w:hAnsi="Franklin Gothic Book"/>
          <w:sz w:val="21"/>
          <w:szCs w:val="21"/>
          <w:lang w:eastAsia="en-US"/>
        </w:rPr>
        <w:t>T</w:t>
      </w:r>
      <w:r w:rsidR="000F3829" w:rsidRPr="00031BF2">
        <w:rPr>
          <w:rFonts w:ascii="Franklin Gothic Book" w:eastAsia="Calibri" w:hAnsi="Franklin Gothic Book"/>
          <w:sz w:val="21"/>
          <w:szCs w:val="21"/>
          <w:lang w:eastAsia="en-US"/>
        </w:rPr>
        <w:t xml:space="preserve">he Enhanced Tax Revenue Collection and Administration System (ETRACS), </w:t>
      </w:r>
      <w:r w:rsidR="00031BF2" w:rsidRPr="00031BF2">
        <w:rPr>
          <w:rFonts w:ascii="Franklin Gothic Book" w:eastAsia="Calibri" w:hAnsi="Franklin Gothic Book"/>
          <w:sz w:val="21"/>
          <w:szCs w:val="21"/>
          <w:lang w:eastAsia="en-US"/>
        </w:rPr>
        <w:t>introduced by PRMF in 2010, ha</w:t>
      </w:r>
      <w:r w:rsidR="007C4DB2">
        <w:rPr>
          <w:rFonts w:ascii="Franklin Gothic Book" w:eastAsia="Calibri" w:hAnsi="Franklin Gothic Book"/>
          <w:sz w:val="21"/>
          <w:szCs w:val="21"/>
          <w:lang w:eastAsia="en-US"/>
        </w:rPr>
        <w:t>s</w:t>
      </w:r>
      <w:r w:rsidR="00031BF2" w:rsidRPr="00031BF2">
        <w:rPr>
          <w:rFonts w:ascii="Franklin Gothic Book" w:eastAsia="Calibri" w:hAnsi="Franklin Gothic Book"/>
          <w:sz w:val="21"/>
          <w:szCs w:val="21"/>
          <w:lang w:eastAsia="en-US"/>
        </w:rPr>
        <w:t xml:space="preserve"> already </w:t>
      </w:r>
      <w:r w:rsidR="000F3829" w:rsidRPr="00031BF2">
        <w:rPr>
          <w:rFonts w:ascii="Franklin Gothic Book" w:eastAsia="Calibri" w:hAnsi="Franklin Gothic Book"/>
          <w:sz w:val="21"/>
          <w:szCs w:val="21"/>
          <w:lang w:eastAsia="en-US"/>
        </w:rPr>
        <w:t>raise</w:t>
      </w:r>
      <w:r w:rsidR="00031BF2" w:rsidRPr="00031BF2">
        <w:rPr>
          <w:rFonts w:ascii="Franklin Gothic Book" w:eastAsia="Calibri" w:hAnsi="Franklin Gothic Book"/>
          <w:sz w:val="21"/>
          <w:szCs w:val="21"/>
          <w:lang w:eastAsia="en-US"/>
        </w:rPr>
        <w:t>d</w:t>
      </w:r>
      <w:r w:rsidR="000F3829" w:rsidRPr="00031BF2">
        <w:rPr>
          <w:rFonts w:ascii="Franklin Gothic Book" w:eastAsia="Calibri" w:hAnsi="Franklin Gothic Book"/>
          <w:sz w:val="21"/>
          <w:szCs w:val="21"/>
          <w:lang w:eastAsia="en-US"/>
        </w:rPr>
        <w:t xml:space="preserve"> real property tax collection </w:t>
      </w:r>
      <w:r w:rsidR="00031BF2" w:rsidRPr="00031BF2">
        <w:rPr>
          <w:rFonts w:ascii="Franklin Gothic Book" w:eastAsia="Calibri" w:hAnsi="Franklin Gothic Book"/>
          <w:sz w:val="21"/>
          <w:szCs w:val="21"/>
          <w:lang w:eastAsia="en-US"/>
        </w:rPr>
        <w:t xml:space="preserve">of provinces </w:t>
      </w:r>
      <w:r w:rsidR="00C77FE9">
        <w:rPr>
          <w:rFonts w:ascii="Franklin Gothic Book" w:eastAsia="Calibri" w:hAnsi="Franklin Gothic Book"/>
          <w:sz w:val="21"/>
          <w:szCs w:val="21"/>
          <w:lang w:eastAsia="en-US"/>
        </w:rPr>
        <w:t>by 47 per cent</w:t>
      </w:r>
      <w:r w:rsidR="000F3829" w:rsidRPr="00031BF2">
        <w:rPr>
          <w:rFonts w:ascii="Franklin Gothic Book" w:eastAsia="Calibri" w:hAnsi="Franklin Gothic Book"/>
          <w:sz w:val="21"/>
          <w:szCs w:val="21"/>
          <w:lang w:eastAsia="en-US"/>
        </w:rPr>
        <w:t xml:space="preserve"> fr</w:t>
      </w:r>
      <w:r w:rsidR="00346007">
        <w:rPr>
          <w:rFonts w:ascii="Franklin Gothic Book" w:eastAsia="Calibri" w:hAnsi="Franklin Gothic Book"/>
          <w:sz w:val="21"/>
          <w:szCs w:val="21"/>
          <w:lang w:eastAsia="en-US"/>
        </w:rPr>
        <w:t>om the 2009 baseline figure. This</w:t>
      </w:r>
      <w:r w:rsidR="000F3829" w:rsidRPr="00031BF2">
        <w:rPr>
          <w:rFonts w:ascii="Franklin Gothic Book" w:eastAsia="Calibri" w:hAnsi="Franklin Gothic Book"/>
          <w:sz w:val="21"/>
          <w:szCs w:val="21"/>
          <w:lang w:eastAsia="en-US"/>
        </w:rPr>
        <w:t xml:space="preserve"> cumulative value is equivalent to </w:t>
      </w:r>
      <w:r w:rsidR="00C77FE9">
        <w:rPr>
          <w:rFonts w:ascii="Franklin Gothic Book" w:eastAsia="Calibri" w:hAnsi="Franklin Gothic Book"/>
          <w:sz w:val="21"/>
          <w:szCs w:val="21"/>
          <w:lang w:eastAsia="en-US"/>
        </w:rPr>
        <w:t>$</w:t>
      </w:r>
      <w:r w:rsidR="00F446CA">
        <w:rPr>
          <w:rFonts w:ascii="Franklin Gothic Book" w:eastAsia="Calibri" w:hAnsi="Franklin Gothic Book"/>
          <w:sz w:val="21"/>
          <w:szCs w:val="21"/>
          <w:lang w:eastAsia="en-US"/>
        </w:rPr>
        <w:t>2.8</w:t>
      </w:r>
      <w:r w:rsidR="000F3829" w:rsidRPr="00031BF2">
        <w:rPr>
          <w:rFonts w:ascii="Franklin Gothic Book" w:eastAsia="Calibri" w:hAnsi="Franklin Gothic Book"/>
          <w:sz w:val="21"/>
          <w:szCs w:val="21"/>
          <w:lang w:eastAsia="en-US"/>
        </w:rPr>
        <w:t xml:space="preserve"> million which approximates the cumulative total increase in the provinces' investment in road maintenance.</w:t>
      </w:r>
    </w:p>
    <w:p w:rsidR="004E066A" w:rsidRPr="00DB46D0" w:rsidRDefault="00E85010">
      <w:pPr>
        <w:spacing w:after="200" w:line="276" w:lineRule="auto"/>
        <w:rPr>
          <w:rFonts w:ascii="Franklin Gothic Book" w:eastAsia="Calibri" w:hAnsi="Franklin Gothic Book"/>
          <w:sz w:val="21"/>
          <w:szCs w:val="21"/>
          <w:lang w:eastAsia="en-US"/>
        </w:rPr>
      </w:pPr>
      <w:r>
        <w:rPr>
          <w:rFonts w:ascii="Franklin Gothic Book" w:eastAsia="Calibri" w:hAnsi="Franklin Gothic Book"/>
          <w:sz w:val="21"/>
          <w:szCs w:val="21"/>
          <w:lang w:eastAsia="en-US"/>
        </w:rPr>
        <w:t xml:space="preserve">Complementing Australia’s support to provincial governments is our support to the local Chambers of Commerce in three </w:t>
      </w:r>
      <w:r w:rsidR="00692C3A">
        <w:rPr>
          <w:rFonts w:ascii="Franklin Gothic Book" w:eastAsia="Calibri" w:hAnsi="Franklin Gothic Book"/>
          <w:sz w:val="21"/>
          <w:szCs w:val="21"/>
          <w:lang w:eastAsia="en-US"/>
        </w:rPr>
        <w:t>PRMF-</w:t>
      </w:r>
      <w:r>
        <w:rPr>
          <w:rFonts w:ascii="Franklin Gothic Book" w:eastAsia="Calibri" w:hAnsi="Franklin Gothic Book"/>
          <w:sz w:val="21"/>
          <w:szCs w:val="21"/>
          <w:lang w:eastAsia="en-US"/>
        </w:rPr>
        <w:t>partner provinces</w:t>
      </w:r>
      <w:r w:rsidR="00344B14">
        <w:rPr>
          <w:rFonts w:ascii="Franklin Gothic Book" w:eastAsia="Calibri" w:hAnsi="Franklin Gothic Book"/>
          <w:sz w:val="21"/>
          <w:szCs w:val="21"/>
          <w:lang w:eastAsia="en-US"/>
        </w:rPr>
        <w:t xml:space="preserve">.  This </w:t>
      </w:r>
      <w:r w:rsidR="00A63887">
        <w:rPr>
          <w:rFonts w:ascii="Franklin Gothic Book" w:eastAsia="Calibri" w:hAnsi="Franklin Gothic Book"/>
          <w:sz w:val="21"/>
          <w:szCs w:val="21"/>
          <w:lang w:eastAsia="en-US"/>
        </w:rPr>
        <w:t xml:space="preserve">catalytic activity </w:t>
      </w:r>
      <w:r>
        <w:rPr>
          <w:rFonts w:ascii="Franklin Gothic Book" w:eastAsia="Calibri" w:hAnsi="Franklin Gothic Book"/>
          <w:sz w:val="21"/>
          <w:szCs w:val="21"/>
          <w:lang w:eastAsia="en-US"/>
        </w:rPr>
        <w:t xml:space="preserve">led to the establishment of </w:t>
      </w:r>
      <w:r w:rsidR="00A63887">
        <w:rPr>
          <w:rFonts w:ascii="Franklin Gothic Book" w:eastAsia="Calibri" w:hAnsi="Franklin Gothic Book"/>
          <w:sz w:val="21"/>
          <w:szCs w:val="21"/>
          <w:lang w:eastAsia="en-US"/>
        </w:rPr>
        <w:t xml:space="preserve">private sector </w:t>
      </w:r>
      <w:r w:rsidRPr="00C00586">
        <w:rPr>
          <w:rFonts w:ascii="Franklin Gothic Book" w:eastAsia="Calibri" w:hAnsi="Franklin Gothic Book"/>
          <w:sz w:val="21"/>
          <w:szCs w:val="21"/>
          <w:lang w:eastAsia="en-US"/>
        </w:rPr>
        <w:t xml:space="preserve">coalitions </w:t>
      </w:r>
      <w:r w:rsidR="00344B14">
        <w:rPr>
          <w:rFonts w:ascii="Franklin Gothic Book" w:eastAsia="Calibri" w:hAnsi="Franklin Gothic Book"/>
          <w:sz w:val="21"/>
          <w:szCs w:val="21"/>
          <w:lang w:eastAsia="en-US"/>
        </w:rPr>
        <w:t xml:space="preserve">that work with local </w:t>
      </w:r>
      <w:r w:rsidR="00203FA4">
        <w:rPr>
          <w:rFonts w:ascii="Franklin Gothic Book" w:eastAsia="Calibri" w:hAnsi="Franklin Gothic Book"/>
          <w:sz w:val="21"/>
          <w:szCs w:val="21"/>
          <w:lang w:eastAsia="en-US"/>
        </w:rPr>
        <w:t xml:space="preserve">governments </w:t>
      </w:r>
      <w:r w:rsidR="00344B14">
        <w:rPr>
          <w:rFonts w:ascii="Franklin Gothic Book" w:eastAsia="Calibri" w:hAnsi="Franklin Gothic Book"/>
          <w:sz w:val="21"/>
          <w:szCs w:val="21"/>
          <w:lang w:eastAsia="en-US"/>
        </w:rPr>
        <w:t xml:space="preserve">(provincial, city, and municipal levels) to </w:t>
      </w:r>
      <w:r w:rsidR="00A63887">
        <w:rPr>
          <w:rFonts w:ascii="Franklin Gothic Book" w:eastAsia="Calibri" w:hAnsi="Franklin Gothic Book"/>
          <w:sz w:val="21"/>
          <w:szCs w:val="21"/>
          <w:lang w:eastAsia="en-US"/>
        </w:rPr>
        <w:t xml:space="preserve">prioritise </w:t>
      </w:r>
      <w:r w:rsidR="009B18A8">
        <w:rPr>
          <w:rFonts w:ascii="Franklin Gothic Book" w:eastAsia="Calibri" w:hAnsi="Franklin Gothic Book"/>
          <w:sz w:val="21"/>
          <w:szCs w:val="21"/>
          <w:lang w:eastAsia="en-US"/>
        </w:rPr>
        <w:t>road investment</w:t>
      </w:r>
      <w:r w:rsidR="00A63887">
        <w:rPr>
          <w:rFonts w:ascii="Franklin Gothic Book" w:eastAsia="Calibri" w:hAnsi="Franklin Gothic Book"/>
          <w:sz w:val="21"/>
          <w:szCs w:val="21"/>
          <w:lang w:eastAsia="en-US"/>
        </w:rPr>
        <w:t>s</w:t>
      </w:r>
      <w:r w:rsidR="009B18A8">
        <w:rPr>
          <w:rFonts w:ascii="Franklin Gothic Book" w:eastAsia="Calibri" w:hAnsi="Franklin Gothic Book"/>
          <w:sz w:val="21"/>
          <w:szCs w:val="21"/>
          <w:lang w:eastAsia="en-US"/>
        </w:rPr>
        <w:t xml:space="preserve"> </w:t>
      </w:r>
      <w:r w:rsidR="00A63887">
        <w:rPr>
          <w:rFonts w:ascii="Franklin Gothic Book" w:eastAsia="Calibri" w:hAnsi="Franklin Gothic Book"/>
          <w:sz w:val="21"/>
          <w:szCs w:val="21"/>
          <w:lang w:eastAsia="en-US"/>
        </w:rPr>
        <w:t>based on value-chain analysis.  This initiative has improved transparency and accountability and led to improved investment decisions benefitting economic and social development</w:t>
      </w:r>
      <w:r w:rsidRPr="008101F1">
        <w:rPr>
          <w:rFonts w:ascii="Franklin Gothic Book" w:eastAsia="Calibri" w:hAnsi="Franklin Gothic Book"/>
          <w:sz w:val="21"/>
          <w:szCs w:val="21"/>
          <w:lang w:eastAsia="en-US"/>
        </w:rPr>
        <w:t>.</w:t>
      </w:r>
    </w:p>
    <w:p w:rsidR="00485A75" w:rsidRDefault="00485A75" w:rsidP="00C00586">
      <w:pPr>
        <w:pStyle w:val="Heading3"/>
      </w:pPr>
    </w:p>
    <w:p w:rsidR="00485A75" w:rsidRDefault="00485A75" w:rsidP="00C00586">
      <w:pPr>
        <w:pStyle w:val="Heading3"/>
      </w:pPr>
    </w:p>
    <w:p w:rsidR="00485A75" w:rsidRDefault="00485A75" w:rsidP="00C00586">
      <w:pPr>
        <w:pStyle w:val="Heading3"/>
      </w:pPr>
    </w:p>
    <w:p w:rsidR="00AA6010" w:rsidRDefault="00AA6010" w:rsidP="00C00586">
      <w:pPr>
        <w:pStyle w:val="Heading3"/>
      </w:pPr>
      <w:r w:rsidRPr="00C00586">
        <w:lastRenderedPageBreak/>
        <w:t>Objective 3:  Better disaster preparedness and response</w:t>
      </w:r>
    </w:p>
    <w:tbl>
      <w:tblPr>
        <w:tblStyle w:val="TableGrid"/>
        <w:tblW w:w="0" w:type="auto"/>
        <w:tblInd w:w="108" w:type="dxa"/>
        <w:tblLook w:val="04A0" w:firstRow="1" w:lastRow="0" w:firstColumn="1" w:lastColumn="0" w:noHBand="0" w:noVBand="1"/>
      </w:tblPr>
      <w:tblGrid>
        <w:gridCol w:w="731"/>
        <w:gridCol w:w="754"/>
      </w:tblGrid>
      <w:tr w:rsidR="00B96759" w:rsidRPr="00391D7A" w:rsidTr="00B96759">
        <w:trPr>
          <w:trHeight w:val="341"/>
        </w:trPr>
        <w:tc>
          <w:tcPr>
            <w:tcW w:w="0" w:type="auto"/>
            <w:tcBorders>
              <w:top w:val="nil"/>
              <w:left w:val="nil"/>
              <w:bottom w:val="nil"/>
              <w:right w:val="nil"/>
            </w:tcBorders>
          </w:tcPr>
          <w:p w:rsidR="00B96759" w:rsidRPr="00FA4A27" w:rsidRDefault="00B96759" w:rsidP="00FA4A27">
            <w:pPr>
              <w:pStyle w:val="BodyText"/>
              <w:ind w:hanging="108"/>
              <w:rPr>
                <w:szCs w:val="21"/>
                <w:lang w:eastAsia="zh-CN"/>
              </w:rPr>
            </w:pPr>
            <w:r w:rsidRPr="00FA4A27">
              <w:rPr>
                <w:szCs w:val="21"/>
                <w:lang w:eastAsia="zh-CN"/>
              </w:rPr>
              <w:t xml:space="preserve">Rating: </w:t>
            </w:r>
          </w:p>
        </w:tc>
        <w:tc>
          <w:tcPr>
            <w:tcW w:w="0" w:type="auto"/>
            <w:tcBorders>
              <w:top w:val="nil"/>
              <w:left w:val="nil"/>
              <w:bottom w:val="nil"/>
              <w:right w:val="nil"/>
            </w:tcBorders>
            <w:shd w:val="clear" w:color="auto" w:fill="92D050"/>
          </w:tcPr>
          <w:p w:rsidR="00B96759" w:rsidRPr="00FA4A27" w:rsidRDefault="00B96759" w:rsidP="00C15D68">
            <w:pPr>
              <w:pStyle w:val="BodyText"/>
              <w:jc w:val="center"/>
              <w:rPr>
                <w:szCs w:val="21"/>
                <w:lang w:eastAsia="zh-CN"/>
              </w:rPr>
            </w:pPr>
            <w:r w:rsidRPr="00FA4A27">
              <w:rPr>
                <w:szCs w:val="21"/>
                <w:lang w:eastAsia="zh-CN"/>
              </w:rPr>
              <w:t>Green</w:t>
            </w:r>
          </w:p>
        </w:tc>
      </w:tr>
    </w:tbl>
    <w:p w:rsidR="00B96759" w:rsidRPr="00FA4A27" w:rsidRDefault="00B96759" w:rsidP="00FA4A27">
      <w:pPr>
        <w:pStyle w:val="BodyText"/>
      </w:pPr>
    </w:p>
    <w:p w:rsidR="0006346F" w:rsidRDefault="00DF2613" w:rsidP="000F59E8">
      <w:pPr>
        <w:spacing w:after="200" w:line="276" w:lineRule="auto"/>
        <w:rPr>
          <w:rFonts w:ascii="Franklin Gothic Book" w:eastAsia="Calibri" w:hAnsi="Franklin Gothic Book"/>
          <w:sz w:val="21"/>
          <w:szCs w:val="21"/>
          <w:lang w:eastAsia="en-US"/>
        </w:rPr>
      </w:pPr>
      <w:r>
        <w:rPr>
          <w:rFonts w:ascii="Franklin Gothic Book" w:eastAsia="Calibri" w:hAnsi="Franklin Gothic Book"/>
          <w:sz w:val="21"/>
          <w:szCs w:val="21"/>
          <w:lang w:eastAsia="en-US"/>
        </w:rPr>
        <w:t>This</w:t>
      </w:r>
      <w:r w:rsidR="00EB1010" w:rsidRPr="009B18A8">
        <w:rPr>
          <w:rFonts w:ascii="Franklin Gothic Book" w:eastAsia="Calibri" w:hAnsi="Franklin Gothic Book"/>
          <w:sz w:val="21"/>
          <w:szCs w:val="21"/>
          <w:lang w:eastAsia="en-US"/>
        </w:rPr>
        <w:t xml:space="preserve"> objective </w:t>
      </w:r>
      <w:r>
        <w:rPr>
          <w:rFonts w:ascii="Franklin Gothic Book" w:eastAsia="Calibri" w:hAnsi="Franklin Gothic Book"/>
          <w:sz w:val="21"/>
          <w:szCs w:val="21"/>
          <w:lang w:eastAsia="en-US"/>
        </w:rPr>
        <w:t xml:space="preserve">is </w:t>
      </w:r>
      <w:r w:rsidR="00EB1010" w:rsidRPr="009B18A8">
        <w:rPr>
          <w:rFonts w:ascii="Franklin Gothic Book" w:eastAsia="Calibri" w:hAnsi="Franklin Gothic Book"/>
          <w:sz w:val="21"/>
          <w:szCs w:val="21"/>
          <w:lang w:eastAsia="en-US"/>
        </w:rPr>
        <w:t xml:space="preserve">rated </w:t>
      </w:r>
      <w:r w:rsidR="001157BA" w:rsidRPr="009B18A8">
        <w:rPr>
          <w:rFonts w:ascii="Franklin Gothic Book" w:eastAsia="Calibri" w:hAnsi="Franklin Gothic Book"/>
          <w:sz w:val="21"/>
          <w:szCs w:val="21"/>
          <w:lang w:eastAsia="en-US"/>
        </w:rPr>
        <w:t xml:space="preserve">green </w:t>
      </w:r>
      <w:r w:rsidR="00DB46D0">
        <w:rPr>
          <w:rFonts w:ascii="Franklin Gothic Book" w:eastAsia="Calibri" w:hAnsi="Franklin Gothic Book"/>
          <w:sz w:val="21"/>
          <w:szCs w:val="21"/>
          <w:lang w:eastAsia="en-US"/>
        </w:rPr>
        <w:t>as</w:t>
      </w:r>
      <w:r w:rsidR="00EB1010" w:rsidRPr="009B18A8">
        <w:rPr>
          <w:rFonts w:ascii="Franklin Gothic Book" w:eastAsia="Calibri" w:hAnsi="Franklin Gothic Book"/>
          <w:sz w:val="21"/>
          <w:szCs w:val="21"/>
          <w:lang w:eastAsia="en-US"/>
        </w:rPr>
        <w:t xml:space="preserve"> progress </w:t>
      </w:r>
      <w:r w:rsidR="000A4AA9">
        <w:rPr>
          <w:rFonts w:ascii="Franklin Gothic Book" w:eastAsia="Calibri" w:hAnsi="Franklin Gothic Book"/>
          <w:sz w:val="21"/>
          <w:szCs w:val="21"/>
          <w:lang w:eastAsia="en-US"/>
        </w:rPr>
        <w:t xml:space="preserve">was </w:t>
      </w:r>
      <w:r w:rsidR="001157BA" w:rsidRPr="009B18A8">
        <w:rPr>
          <w:rFonts w:ascii="Franklin Gothic Book" w:eastAsia="Calibri" w:hAnsi="Franklin Gothic Book"/>
          <w:sz w:val="21"/>
          <w:szCs w:val="21"/>
          <w:lang w:eastAsia="en-US"/>
        </w:rPr>
        <w:t xml:space="preserve">as </w:t>
      </w:r>
      <w:r w:rsidR="00EB1010" w:rsidRPr="009B18A8">
        <w:rPr>
          <w:rFonts w:ascii="Franklin Gothic Book" w:eastAsia="Calibri" w:hAnsi="Franklin Gothic Book"/>
          <w:sz w:val="21"/>
          <w:szCs w:val="21"/>
          <w:lang w:eastAsia="en-US"/>
        </w:rPr>
        <w:t>anticipated</w:t>
      </w:r>
      <w:r w:rsidR="009D788E">
        <w:rPr>
          <w:rFonts w:ascii="Franklin Gothic Book" w:eastAsia="Calibri" w:hAnsi="Franklin Gothic Book"/>
          <w:sz w:val="21"/>
          <w:szCs w:val="21"/>
          <w:lang w:eastAsia="en-US"/>
        </w:rPr>
        <w:t xml:space="preserve"> in both humanitarian response and disaster risk </w:t>
      </w:r>
      <w:r w:rsidR="00117AE4">
        <w:rPr>
          <w:rFonts w:ascii="Franklin Gothic Book" w:eastAsia="Calibri" w:hAnsi="Franklin Gothic Book"/>
          <w:sz w:val="21"/>
          <w:szCs w:val="21"/>
          <w:lang w:eastAsia="en-US"/>
        </w:rPr>
        <w:t xml:space="preserve">reduction and </w:t>
      </w:r>
      <w:r w:rsidR="009D788E">
        <w:rPr>
          <w:rFonts w:ascii="Franklin Gothic Book" w:eastAsia="Calibri" w:hAnsi="Franklin Gothic Book"/>
          <w:sz w:val="21"/>
          <w:szCs w:val="21"/>
          <w:lang w:eastAsia="en-US"/>
        </w:rPr>
        <w:t>management</w:t>
      </w:r>
      <w:r w:rsidR="00117AE4">
        <w:rPr>
          <w:rFonts w:ascii="Franklin Gothic Book" w:eastAsia="Calibri" w:hAnsi="Franklin Gothic Book"/>
          <w:sz w:val="21"/>
          <w:szCs w:val="21"/>
          <w:lang w:eastAsia="en-US"/>
        </w:rPr>
        <w:t xml:space="preserve"> (DRRM)</w:t>
      </w:r>
      <w:r w:rsidR="0006346F">
        <w:rPr>
          <w:rFonts w:ascii="Franklin Gothic Book" w:eastAsia="Calibri" w:hAnsi="Franklin Gothic Book"/>
          <w:sz w:val="21"/>
          <w:szCs w:val="21"/>
          <w:lang w:eastAsia="en-US"/>
        </w:rPr>
        <w:t>.</w:t>
      </w:r>
      <w:r w:rsidR="00EB1010" w:rsidRPr="009B18A8">
        <w:rPr>
          <w:rFonts w:ascii="Franklin Gothic Book" w:eastAsia="Calibri" w:hAnsi="Franklin Gothic Book"/>
          <w:sz w:val="21"/>
          <w:szCs w:val="21"/>
          <w:lang w:eastAsia="en-US"/>
        </w:rPr>
        <w:t xml:space="preserve"> </w:t>
      </w:r>
    </w:p>
    <w:p w:rsidR="00757A0D" w:rsidRPr="0006346F" w:rsidRDefault="00757A0D" w:rsidP="00757A0D">
      <w:pPr>
        <w:pStyle w:val="ListBullet"/>
        <w:tabs>
          <w:tab w:val="clear" w:pos="284"/>
        </w:tabs>
        <w:rPr>
          <w:rFonts w:eastAsia="Calibri"/>
          <w:i/>
          <w:szCs w:val="21"/>
          <w:lang w:eastAsia="en-US"/>
        </w:rPr>
      </w:pPr>
      <w:r w:rsidRPr="0006346F">
        <w:rPr>
          <w:rFonts w:eastAsia="Calibri"/>
          <w:i/>
          <w:szCs w:val="21"/>
          <w:lang w:eastAsia="en-US"/>
        </w:rPr>
        <w:t>Humanitarian response</w:t>
      </w:r>
    </w:p>
    <w:p w:rsidR="00F018A9" w:rsidRDefault="007F1ADA" w:rsidP="00757A0D">
      <w:pPr>
        <w:spacing w:after="200" w:line="276" w:lineRule="auto"/>
        <w:rPr>
          <w:rFonts w:ascii="Franklin Gothic Book" w:eastAsia="Calibri" w:hAnsi="Franklin Gothic Book"/>
          <w:sz w:val="21"/>
          <w:szCs w:val="21"/>
          <w:lang w:eastAsia="en-US"/>
        </w:rPr>
      </w:pPr>
      <w:r>
        <w:rPr>
          <w:rFonts w:ascii="Franklin Gothic Book" w:eastAsia="Calibri" w:hAnsi="Franklin Gothic Book"/>
          <w:sz w:val="21"/>
          <w:szCs w:val="21"/>
          <w:lang w:eastAsia="en-US"/>
        </w:rPr>
        <w:t xml:space="preserve">Humanitarian assistance </w:t>
      </w:r>
      <w:r w:rsidR="00757A0D">
        <w:rPr>
          <w:rFonts w:ascii="Franklin Gothic Book" w:eastAsia="Calibri" w:hAnsi="Franklin Gothic Book"/>
          <w:sz w:val="21"/>
          <w:szCs w:val="21"/>
          <w:lang w:eastAsia="en-US"/>
        </w:rPr>
        <w:t xml:space="preserve">made good progress given the immediate response delivered by Australia in the wake of major disasters in 2013 — Typhoon Haiyan, the 7.3 magnitude earthquake in Bohol, and the humanitarian emergency triggered by the </w:t>
      </w:r>
      <w:r w:rsidR="00117AE4">
        <w:rPr>
          <w:rFonts w:ascii="Franklin Gothic Book" w:eastAsia="Calibri" w:hAnsi="Franklin Gothic Book"/>
          <w:sz w:val="21"/>
          <w:szCs w:val="21"/>
          <w:lang w:eastAsia="en-US"/>
        </w:rPr>
        <w:t>conflict in Zamboanga</w:t>
      </w:r>
      <w:r w:rsidR="00757A0D">
        <w:rPr>
          <w:rFonts w:ascii="Franklin Gothic Book" w:eastAsia="Calibri" w:hAnsi="Franklin Gothic Book"/>
          <w:sz w:val="21"/>
          <w:szCs w:val="21"/>
          <w:lang w:eastAsia="en-US"/>
        </w:rPr>
        <w:t xml:space="preserve">.  </w:t>
      </w:r>
    </w:p>
    <w:p w:rsidR="00895B68" w:rsidRDefault="00895B68" w:rsidP="00895B68">
      <w:pPr>
        <w:spacing w:after="200" w:line="276" w:lineRule="auto"/>
        <w:rPr>
          <w:rFonts w:ascii="Franklin Gothic Book" w:eastAsia="Calibri" w:hAnsi="Franklin Gothic Book"/>
          <w:sz w:val="21"/>
          <w:szCs w:val="21"/>
          <w:lang w:eastAsia="en-US"/>
        </w:rPr>
      </w:pPr>
      <w:r>
        <w:rPr>
          <w:rFonts w:ascii="Franklin Gothic Book" w:eastAsia="Calibri" w:hAnsi="Franklin Gothic Book"/>
          <w:sz w:val="21"/>
          <w:szCs w:val="21"/>
          <w:lang w:eastAsia="en-US"/>
        </w:rPr>
        <w:t xml:space="preserve">On 8 </w:t>
      </w:r>
      <w:r w:rsidRPr="00BA4850">
        <w:rPr>
          <w:rFonts w:ascii="Franklin Gothic Book" w:eastAsia="Calibri" w:hAnsi="Franklin Gothic Book"/>
          <w:sz w:val="21"/>
          <w:szCs w:val="21"/>
          <w:lang w:eastAsia="en-US"/>
        </w:rPr>
        <w:t xml:space="preserve">November, </w:t>
      </w:r>
      <w:r w:rsidR="00F1126D">
        <w:rPr>
          <w:rFonts w:ascii="Franklin Gothic Book" w:eastAsia="Calibri" w:hAnsi="Franklin Gothic Book"/>
          <w:sz w:val="21"/>
          <w:szCs w:val="21"/>
          <w:lang w:eastAsia="en-US"/>
        </w:rPr>
        <w:t>a</w:t>
      </w:r>
      <w:r w:rsidRPr="00BA4850">
        <w:rPr>
          <w:rFonts w:ascii="Franklin Gothic Book" w:eastAsia="Calibri" w:hAnsi="Franklin Gothic Book"/>
          <w:sz w:val="21"/>
          <w:szCs w:val="21"/>
          <w:lang w:eastAsia="en-US"/>
        </w:rPr>
        <w:t>t least 6,</w:t>
      </w:r>
      <w:r>
        <w:rPr>
          <w:rFonts w:ascii="Franklin Gothic Book" w:eastAsia="Calibri" w:hAnsi="Franklin Gothic Book"/>
          <w:sz w:val="21"/>
          <w:szCs w:val="21"/>
          <w:lang w:eastAsia="en-US"/>
        </w:rPr>
        <w:t>3</w:t>
      </w:r>
      <w:r w:rsidRPr="00BA4850">
        <w:rPr>
          <w:rFonts w:ascii="Franklin Gothic Book" w:eastAsia="Calibri" w:hAnsi="Franklin Gothic Book"/>
          <w:sz w:val="21"/>
          <w:szCs w:val="21"/>
          <w:lang w:eastAsia="en-US"/>
        </w:rPr>
        <w:t xml:space="preserve">00 people were killed, 4 million people </w:t>
      </w:r>
      <w:r>
        <w:rPr>
          <w:rFonts w:ascii="Franklin Gothic Book" w:eastAsia="Calibri" w:hAnsi="Franklin Gothic Book"/>
          <w:sz w:val="21"/>
          <w:szCs w:val="21"/>
          <w:lang w:eastAsia="en-US"/>
        </w:rPr>
        <w:t>lost their homes</w:t>
      </w:r>
      <w:r w:rsidRPr="00BA4850">
        <w:rPr>
          <w:rFonts w:ascii="Franklin Gothic Book" w:eastAsia="Calibri" w:hAnsi="Franklin Gothic Book"/>
          <w:sz w:val="21"/>
          <w:szCs w:val="21"/>
          <w:lang w:eastAsia="en-US"/>
        </w:rPr>
        <w:t>, and 5.6 million people had their livelihoods destroyed</w:t>
      </w:r>
      <w:r w:rsidR="00F1126D">
        <w:rPr>
          <w:rFonts w:ascii="Franklin Gothic Book" w:eastAsia="Calibri" w:hAnsi="Franklin Gothic Book"/>
          <w:sz w:val="21"/>
          <w:szCs w:val="21"/>
          <w:lang w:eastAsia="en-US"/>
        </w:rPr>
        <w:t xml:space="preserve"> by Super-</w:t>
      </w:r>
      <w:r w:rsidR="008E4DEE">
        <w:rPr>
          <w:rFonts w:ascii="Franklin Gothic Book" w:eastAsia="Calibri" w:hAnsi="Franklin Gothic Book"/>
          <w:sz w:val="21"/>
          <w:szCs w:val="21"/>
          <w:lang w:eastAsia="en-US"/>
        </w:rPr>
        <w:t>T</w:t>
      </w:r>
      <w:r w:rsidR="00F1126D">
        <w:rPr>
          <w:rFonts w:ascii="Franklin Gothic Book" w:eastAsia="Calibri" w:hAnsi="Franklin Gothic Book"/>
          <w:sz w:val="21"/>
          <w:szCs w:val="21"/>
          <w:lang w:eastAsia="en-US"/>
        </w:rPr>
        <w:t>yphoon Haiyan</w:t>
      </w:r>
      <w:r w:rsidRPr="00BA4850">
        <w:rPr>
          <w:rFonts w:ascii="Franklin Gothic Book" w:eastAsia="Calibri" w:hAnsi="Franklin Gothic Book"/>
          <w:sz w:val="21"/>
          <w:szCs w:val="21"/>
          <w:lang w:eastAsia="en-US"/>
        </w:rPr>
        <w:t>.  Australia</w:t>
      </w:r>
      <w:r w:rsidRPr="00C00586">
        <w:rPr>
          <w:rFonts w:ascii="Franklin Gothic Book" w:eastAsia="Calibri" w:hAnsi="Franklin Gothic Book"/>
          <w:sz w:val="21"/>
          <w:szCs w:val="21"/>
          <w:lang w:eastAsia="en-US"/>
        </w:rPr>
        <w:t xml:space="preserve"> </w:t>
      </w:r>
      <w:r w:rsidR="00BB1A13">
        <w:rPr>
          <w:rFonts w:ascii="Franklin Gothic Book" w:eastAsia="Calibri" w:hAnsi="Franklin Gothic Book"/>
          <w:sz w:val="21"/>
          <w:szCs w:val="21"/>
          <w:lang w:eastAsia="en-US"/>
        </w:rPr>
        <w:t xml:space="preserve">contributed </w:t>
      </w:r>
      <w:r w:rsidRPr="00BB1A13">
        <w:rPr>
          <w:rFonts w:ascii="Franklin Gothic Book" w:eastAsia="Calibri" w:hAnsi="Franklin Gothic Book"/>
          <w:sz w:val="21"/>
          <w:szCs w:val="21"/>
          <w:lang w:eastAsia="en-US"/>
        </w:rPr>
        <w:t>$41 million</w:t>
      </w:r>
      <w:r w:rsidRPr="00C00586">
        <w:rPr>
          <w:rFonts w:ascii="Franklin Gothic Book" w:eastAsia="Calibri" w:hAnsi="Franklin Gothic Book"/>
          <w:sz w:val="21"/>
          <w:szCs w:val="21"/>
          <w:lang w:eastAsia="en-US"/>
        </w:rPr>
        <w:t xml:space="preserve"> </w:t>
      </w:r>
      <w:r>
        <w:rPr>
          <w:rFonts w:ascii="Franklin Gothic Book" w:eastAsia="Calibri" w:hAnsi="Franklin Gothic Book"/>
          <w:sz w:val="21"/>
          <w:szCs w:val="21"/>
          <w:lang w:eastAsia="en-US"/>
        </w:rPr>
        <w:t xml:space="preserve">to provide </w:t>
      </w:r>
      <w:r w:rsidRPr="00C00586">
        <w:rPr>
          <w:rFonts w:ascii="Franklin Gothic Book" w:eastAsia="Calibri" w:hAnsi="Franklin Gothic Book"/>
          <w:sz w:val="21"/>
          <w:szCs w:val="21"/>
          <w:lang w:eastAsia="en-US"/>
        </w:rPr>
        <w:t xml:space="preserve">immediate and life-saving needs of </w:t>
      </w:r>
      <w:r>
        <w:rPr>
          <w:rFonts w:ascii="Franklin Gothic Book" w:eastAsia="Calibri" w:hAnsi="Franklin Gothic Book"/>
          <w:sz w:val="21"/>
          <w:szCs w:val="21"/>
          <w:lang w:eastAsia="en-US"/>
        </w:rPr>
        <w:t xml:space="preserve">over </w:t>
      </w:r>
      <w:r w:rsidR="00DB46D0">
        <w:rPr>
          <w:rFonts w:ascii="Franklin Gothic Book" w:eastAsia="Calibri" w:hAnsi="Franklin Gothic Book"/>
          <w:sz w:val="21"/>
          <w:szCs w:val="21"/>
          <w:lang w:eastAsia="en-US"/>
        </w:rPr>
        <w:t>three</w:t>
      </w:r>
      <w:r w:rsidRPr="00C00586">
        <w:rPr>
          <w:rFonts w:ascii="Franklin Gothic Book" w:eastAsia="Calibri" w:hAnsi="Franklin Gothic Book"/>
          <w:sz w:val="21"/>
          <w:szCs w:val="21"/>
          <w:lang w:eastAsia="en-US"/>
        </w:rPr>
        <w:t xml:space="preserve"> million people.</w:t>
      </w:r>
      <w:r>
        <w:rPr>
          <w:rFonts w:ascii="Franklin Gothic Book" w:eastAsia="Calibri" w:hAnsi="Franklin Gothic Book"/>
          <w:sz w:val="21"/>
          <w:szCs w:val="21"/>
          <w:lang w:eastAsia="en-US"/>
        </w:rPr>
        <w:t xml:space="preserve">  Australia also deployed a 37-member </w:t>
      </w:r>
      <w:r w:rsidRPr="00C00586">
        <w:rPr>
          <w:rFonts w:ascii="Franklin Gothic Book" w:eastAsia="Calibri" w:hAnsi="Franklin Gothic Book"/>
          <w:sz w:val="21"/>
          <w:szCs w:val="21"/>
          <w:lang w:eastAsia="en-US"/>
        </w:rPr>
        <w:t xml:space="preserve">Australian Medical Assistance Team and put up </w:t>
      </w:r>
      <w:r>
        <w:rPr>
          <w:rFonts w:ascii="Franklin Gothic Book" w:eastAsia="Calibri" w:hAnsi="Franklin Gothic Book"/>
          <w:sz w:val="21"/>
          <w:szCs w:val="21"/>
          <w:lang w:eastAsia="en-US"/>
        </w:rPr>
        <w:t xml:space="preserve">a mobile </w:t>
      </w:r>
      <w:r w:rsidRPr="00C00586">
        <w:rPr>
          <w:rFonts w:ascii="Franklin Gothic Book" w:eastAsia="Calibri" w:hAnsi="Franklin Gothic Book"/>
          <w:sz w:val="21"/>
          <w:szCs w:val="21"/>
          <w:lang w:eastAsia="en-US"/>
        </w:rPr>
        <w:t>field hospital in Taclo</w:t>
      </w:r>
      <w:r>
        <w:rPr>
          <w:rFonts w:ascii="Franklin Gothic Book" w:eastAsia="Calibri" w:hAnsi="Franklin Gothic Book"/>
          <w:sz w:val="21"/>
          <w:szCs w:val="21"/>
          <w:lang w:eastAsia="en-US"/>
        </w:rPr>
        <w:t>ban where 3,281 patients</w:t>
      </w:r>
      <w:r w:rsidRPr="00C00586">
        <w:rPr>
          <w:rFonts w:ascii="Franklin Gothic Book" w:eastAsia="Calibri" w:hAnsi="Franklin Gothic Book"/>
          <w:sz w:val="21"/>
          <w:szCs w:val="21"/>
          <w:lang w:eastAsia="en-US"/>
        </w:rPr>
        <w:t xml:space="preserve"> </w:t>
      </w:r>
      <w:r>
        <w:rPr>
          <w:rFonts w:ascii="Franklin Gothic Book" w:eastAsia="Calibri" w:hAnsi="Franklin Gothic Book"/>
          <w:sz w:val="21"/>
          <w:szCs w:val="21"/>
          <w:lang w:eastAsia="en-US"/>
        </w:rPr>
        <w:t xml:space="preserve">were treated </w:t>
      </w:r>
      <w:r w:rsidRPr="00C00586">
        <w:rPr>
          <w:rFonts w:ascii="Franklin Gothic Book" w:eastAsia="Calibri" w:hAnsi="Franklin Gothic Book"/>
          <w:sz w:val="21"/>
          <w:szCs w:val="21"/>
          <w:lang w:eastAsia="en-US"/>
        </w:rPr>
        <w:t>and 238 surgeries</w:t>
      </w:r>
      <w:r>
        <w:rPr>
          <w:rFonts w:ascii="Franklin Gothic Book" w:eastAsia="Calibri" w:hAnsi="Franklin Gothic Book"/>
          <w:sz w:val="21"/>
          <w:szCs w:val="21"/>
          <w:lang w:eastAsia="en-US"/>
        </w:rPr>
        <w:t xml:space="preserve"> were performed</w:t>
      </w:r>
      <w:r w:rsidRPr="00C00586">
        <w:rPr>
          <w:rFonts w:ascii="Franklin Gothic Book" w:eastAsia="Calibri" w:hAnsi="Franklin Gothic Book"/>
          <w:sz w:val="21"/>
          <w:szCs w:val="21"/>
          <w:lang w:eastAsia="en-US"/>
        </w:rPr>
        <w:t xml:space="preserve">.  The </w:t>
      </w:r>
      <w:r w:rsidR="000C074E">
        <w:rPr>
          <w:rFonts w:ascii="Franklin Gothic Book" w:eastAsia="Calibri" w:hAnsi="Franklin Gothic Book"/>
          <w:sz w:val="21"/>
          <w:szCs w:val="21"/>
          <w:lang w:eastAsia="en-US"/>
        </w:rPr>
        <w:t>Royal Australian Air Force</w:t>
      </w:r>
      <w:r w:rsidRPr="00C00586">
        <w:rPr>
          <w:rFonts w:ascii="Franklin Gothic Book" w:eastAsia="Calibri" w:hAnsi="Franklin Gothic Book"/>
          <w:sz w:val="21"/>
          <w:szCs w:val="21"/>
          <w:lang w:eastAsia="en-US"/>
        </w:rPr>
        <w:t xml:space="preserve"> </w:t>
      </w:r>
      <w:r>
        <w:rPr>
          <w:rFonts w:ascii="Franklin Gothic Book" w:eastAsia="Calibri" w:hAnsi="Franklin Gothic Book"/>
          <w:sz w:val="21"/>
          <w:szCs w:val="21"/>
          <w:lang w:eastAsia="en-US"/>
        </w:rPr>
        <w:t xml:space="preserve">fielded </w:t>
      </w:r>
      <w:r w:rsidRPr="00C00586">
        <w:rPr>
          <w:rFonts w:ascii="Franklin Gothic Book" w:eastAsia="Calibri" w:hAnsi="Franklin Gothic Book"/>
          <w:sz w:val="21"/>
          <w:szCs w:val="21"/>
          <w:lang w:eastAsia="en-US"/>
        </w:rPr>
        <w:t xml:space="preserve">230 missions </w:t>
      </w:r>
      <w:r>
        <w:rPr>
          <w:rFonts w:ascii="Franklin Gothic Book" w:eastAsia="Calibri" w:hAnsi="Franklin Gothic Book"/>
          <w:sz w:val="21"/>
          <w:szCs w:val="21"/>
          <w:lang w:eastAsia="en-US"/>
        </w:rPr>
        <w:t xml:space="preserve">that </w:t>
      </w:r>
      <w:r w:rsidRPr="00C00586">
        <w:rPr>
          <w:rFonts w:ascii="Franklin Gothic Book" w:eastAsia="Calibri" w:hAnsi="Franklin Gothic Book"/>
          <w:sz w:val="21"/>
          <w:szCs w:val="21"/>
          <w:lang w:eastAsia="en-US"/>
        </w:rPr>
        <w:t>transport</w:t>
      </w:r>
      <w:r>
        <w:rPr>
          <w:rFonts w:ascii="Franklin Gothic Book" w:eastAsia="Calibri" w:hAnsi="Franklin Gothic Book"/>
          <w:sz w:val="21"/>
          <w:szCs w:val="21"/>
          <w:lang w:eastAsia="en-US"/>
        </w:rPr>
        <w:t>ed</w:t>
      </w:r>
      <w:r w:rsidRPr="00C00586">
        <w:rPr>
          <w:rFonts w:ascii="Franklin Gothic Book" w:eastAsia="Calibri" w:hAnsi="Franklin Gothic Book"/>
          <w:sz w:val="21"/>
          <w:szCs w:val="21"/>
          <w:lang w:eastAsia="en-US"/>
        </w:rPr>
        <w:t xml:space="preserve"> over 1,800 metric tonnes of relief goods, </w:t>
      </w:r>
      <w:r>
        <w:rPr>
          <w:rFonts w:ascii="Franklin Gothic Book" w:eastAsia="Calibri" w:hAnsi="Franklin Gothic Book"/>
          <w:sz w:val="21"/>
          <w:szCs w:val="21"/>
          <w:lang w:eastAsia="en-US"/>
        </w:rPr>
        <w:t xml:space="preserve">ferried </w:t>
      </w:r>
      <w:r w:rsidRPr="00C00586">
        <w:rPr>
          <w:rFonts w:ascii="Franklin Gothic Book" w:eastAsia="Calibri" w:hAnsi="Franklin Gothic Book"/>
          <w:sz w:val="21"/>
          <w:szCs w:val="21"/>
          <w:lang w:eastAsia="en-US"/>
        </w:rPr>
        <w:t xml:space="preserve">200 officials and humanitarian </w:t>
      </w:r>
      <w:r>
        <w:rPr>
          <w:rFonts w:ascii="Franklin Gothic Book" w:eastAsia="Calibri" w:hAnsi="Franklin Gothic Book"/>
          <w:sz w:val="21"/>
          <w:szCs w:val="21"/>
          <w:lang w:eastAsia="en-US"/>
        </w:rPr>
        <w:t>workers,</w:t>
      </w:r>
      <w:r w:rsidRPr="00C00586">
        <w:rPr>
          <w:rFonts w:ascii="Franklin Gothic Book" w:eastAsia="Calibri" w:hAnsi="Franklin Gothic Book"/>
          <w:sz w:val="21"/>
          <w:szCs w:val="21"/>
          <w:lang w:eastAsia="en-US"/>
        </w:rPr>
        <w:t xml:space="preserve"> and evacuated </w:t>
      </w:r>
      <w:r>
        <w:rPr>
          <w:rFonts w:ascii="Franklin Gothic Book" w:eastAsia="Calibri" w:hAnsi="Franklin Gothic Book"/>
          <w:sz w:val="21"/>
          <w:szCs w:val="21"/>
          <w:lang w:eastAsia="en-US"/>
        </w:rPr>
        <w:t xml:space="preserve">at least </w:t>
      </w:r>
      <w:r w:rsidRPr="00C00586">
        <w:rPr>
          <w:rFonts w:ascii="Franklin Gothic Book" w:eastAsia="Calibri" w:hAnsi="Franklin Gothic Book"/>
          <w:sz w:val="21"/>
          <w:szCs w:val="21"/>
          <w:lang w:eastAsia="en-US"/>
        </w:rPr>
        <w:t xml:space="preserve">3,300 </w:t>
      </w:r>
      <w:r>
        <w:rPr>
          <w:rFonts w:ascii="Franklin Gothic Book" w:eastAsia="Calibri" w:hAnsi="Franklin Gothic Book"/>
          <w:sz w:val="21"/>
          <w:szCs w:val="21"/>
          <w:lang w:eastAsia="en-US"/>
        </w:rPr>
        <w:t>survivors.  O</w:t>
      </w:r>
      <w:r w:rsidRPr="00C00586">
        <w:rPr>
          <w:rFonts w:ascii="Franklin Gothic Book" w:eastAsia="Calibri" w:hAnsi="Franklin Gothic Book"/>
          <w:sz w:val="21"/>
          <w:szCs w:val="21"/>
          <w:lang w:eastAsia="en-US"/>
        </w:rPr>
        <w:t xml:space="preserve">ver 500 personnel of the Australian Defence Force </w:t>
      </w:r>
      <w:r>
        <w:rPr>
          <w:rFonts w:ascii="Franklin Gothic Book" w:eastAsia="Calibri" w:hAnsi="Franklin Gothic Book"/>
          <w:sz w:val="21"/>
          <w:szCs w:val="21"/>
          <w:lang w:eastAsia="en-US"/>
        </w:rPr>
        <w:t>joined operations to clear debris</w:t>
      </w:r>
      <w:r w:rsidRPr="00C00586">
        <w:rPr>
          <w:rFonts w:ascii="Franklin Gothic Book" w:eastAsia="Calibri" w:hAnsi="Franklin Gothic Book"/>
          <w:sz w:val="21"/>
          <w:szCs w:val="21"/>
          <w:lang w:eastAsia="en-US"/>
        </w:rPr>
        <w:t xml:space="preserve"> and </w:t>
      </w:r>
      <w:r>
        <w:rPr>
          <w:rFonts w:ascii="Franklin Gothic Book" w:eastAsia="Calibri" w:hAnsi="Franklin Gothic Book"/>
          <w:sz w:val="21"/>
          <w:szCs w:val="21"/>
          <w:lang w:eastAsia="en-US"/>
        </w:rPr>
        <w:t>to repair</w:t>
      </w:r>
      <w:r w:rsidRPr="00C00586">
        <w:rPr>
          <w:rFonts w:ascii="Franklin Gothic Book" w:eastAsia="Calibri" w:hAnsi="Franklin Gothic Book"/>
          <w:sz w:val="21"/>
          <w:szCs w:val="21"/>
          <w:lang w:eastAsia="en-US"/>
        </w:rPr>
        <w:t xml:space="preserve"> 16 schools </w:t>
      </w:r>
      <w:r>
        <w:rPr>
          <w:rFonts w:ascii="Franklin Gothic Book" w:eastAsia="Calibri" w:hAnsi="Franklin Gothic Book"/>
          <w:sz w:val="21"/>
          <w:szCs w:val="21"/>
          <w:lang w:eastAsia="en-US"/>
        </w:rPr>
        <w:t xml:space="preserve">in and around Ormoc, Leyte, allowing </w:t>
      </w:r>
      <w:r w:rsidRPr="00C00586">
        <w:rPr>
          <w:rFonts w:ascii="Franklin Gothic Book" w:eastAsia="Calibri" w:hAnsi="Franklin Gothic Book"/>
          <w:sz w:val="21"/>
          <w:szCs w:val="21"/>
          <w:lang w:eastAsia="en-US"/>
        </w:rPr>
        <w:t>15,000 children to go back to school.</w:t>
      </w:r>
    </w:p>
    <w:p w:rsidR="00895B68" w:rsidRDefault="00895B68" w:rsidP="00895B68">
      <w:pPr>
        <w:spacing w:after="200" w:line="276" w:lineRule="auto"/>
        <w:rPr>
          <w:rFonts w:ascii="Franklin Gothic Book" w:eastAsia="Calibri" w:hAnsi="Franklin Gothic Book"/>
          <w:sz w:val="21"/>
          <w:szCs w:val="21"/>
          <w:lang w:eastAsia="en-US"/>
        </w:rPr>
      </w:pPr>
      <w:r>
        <w:rPr>
          <w:rFonts w:ascii="Franklin Gothic Book" w:eastAsia="Calibri" w:hAnsi="Franklin Gothic Book"/>
          <w:sz w:val="21"/>
          <w:szCs w:val="21"/>
          <w:lang w:eastAsia="en-US"/>
        </w:rPr>
        <w:t xml:space="preserve">Australia recognised the huge challenge in </w:t>
      </w:r>
      <w:r w:rsidR="00DB46D0">
        <w:rPr>
          <w:rFonts w:ascii="Franklin Gothic Book" w:eastAsia="Calibri" w:hAnsi="Franklin Gothic Book"/>
          <w:sz w:val="21"/>
          <w:szCs w:val="21"/>
          <w:lang w:eastAsia="en-US"/>
        </w:rPr>
        <w:t>helping four</w:t>
      </w:r>
      <w:r w:rsidRPr="00BA4850">
        <w:rPr>
          <w:rFonts w:ascii="Franklin Gothic Book" w:eastAsia="Calibri" w:hAnsi="Franklin Gothic Book"/>
          <w:sz w:val="21"/>
          <w:szCs w:val="21"/>
          <w:lang w:eastAsia="en-US"/>
        </w:rPr>
        <w:t xml:space="preserve"> million people</w:t>
      </w:r>
      <w:r>
        <w:rPr>
          <w:rFonts w:ascii="Franklin Gothic Book" w:eastAsia="Calibri" w:hAnsi="Franklin Gothic Book"/>
          <w:sz w:val="21"/>
          <w:szCs w:val="21"/>
          <w:lang w:eastAsia="en-US"/>
        </w:rPr>
        <w:t xml:space="preserve"> recover from this </w:t>
      </w:r>
      <w:r w:rsidR="00C030AB">
        <w:rPr>
          <w:rFonts w:ascii="Franklin Gothic Book" w:eastAsia="Calibri" w:hAnsi="Franklin Gothic Book"/>
          <w:sz w:val="21"/>
          <w:szCs w:val="21"/>
          <w:lang w:eastAsia="en-US"/>
        </w:rPr>
        <w:t xml:space="preserve">devastation </w:t>
      </w:r>
      <w:r>
        <w:rPr>
          <w:rFonts w:ascii="Franklin Gothic Book" w:eastAsia="Calibri" w:hAnsi="Franklin Gothic Book"/>
          <w:sz w:val="21"/>
          <w:szCs w:val="21"/>
          <w:lang w:eastAsia="en-US"/>
        </w:rPr>
        <w:t xml:space="preserve">and is providing $36.3 million in recovery </w:t>
      </w:r>
      <w:r w:rsidR="00692C3A">
        <w:rPr>
          <w:rFonts w:ascii="Franklin Gothic Book" w:eastAsia="Calibri" w:hAnsi="Franklin Gothic Book"/>
          <w:sz w:val="21"/>
          <w:szCs w:val="21"/>
          <w:lang w:eastAsia="en-US"/>
        </w:rPr>
        <w:t>assistance</w:t>
      </w:r>
      <w:r>
        <w:rPr>
          <w:rFonts w:ascii="Franklin Gothic Book" w:eastAsia="Calibri" w:hAnsi="Franklin Gothic Book"/>
          <w:sz w:val="21"/>
          <w:szCs w:val="21"/>
          <w:lang w:eastAsia="en-US"/>
        </w:rPr>
        <w:t xml:space="preserve">.  This will support the construction of 500 classrooms and 75 day care centres, small grants for livelihood and economic recovery assistance to over 100,000 affected families, and building the disaster preparedness and resilience of 12 local governments and 150 communities benefiting 430,000 people.  Three </w:t>
      </w:r>
      <w:r w:rsidRPr="00BF57F4">
        <w:rPr>
          <w:rFonts w:ascii="Franklin Gothic Book" w:eastAsia="Calibri" w:hAnsi="Franklin Gothic Book"/>
          <w:sz w:val="21"/>
          <w:szCs w:val="21"/>
          <w:lang w:eastAsia="en-US"/>
        </w:rPr>
        <w:t xml:space="preserve">Australian Civilian Corps personnel have also been providing technical expertise to support </w:t>
      </w:r>
      <w:r w:rsidR="004B5B8F">
        <w:rPr>
          <w:rFonts w:ascii="Franklin Gothic Book" w:eastAsia="Calibri" w:hAnsi="Franklin Gothic Book"/>
          <w:sz w:val="21"/>
          <w:szCs w:val="21"/>
          <w:lang w:eastAsia="en-US"/>
        </w:rPr>
        <w:t>Philippine Government</w:t>
      </w:r>
      <w:r w:rsidRPr="00BF57F4">
        <w:rPr>
          <w:rFonts w:ascii="Franklin Gothic Book" w:eastAsia="Calibri" w:hAnsi="Franklin Gothic Book"/>
          <w:sz w:val="21"/>
          <w:szCs w:val="21"/>
          <w:lang w:eastAsia="en-US"/>
        </w:rPr>
        <w:t xml:space="preserve"> efforts in assessment, planning</w:t>
      </w:r>
      <w:r>
        <w:rPr>
          <w:rFonts w:ascii="Franklin Gothic Book" w:eastAsia="Calibri" w:hAnsi="Franklin Gothic Book"/>
          <w:sz w:val="21"/>
          <w:szCs w:val="21"/>
          <w:lang w:eastAsia="en-US"/>
        </w:rPr>
        <w:t xml:space="preserve"> and</w:t>
      </w:r>
      <w:r w:rsidRPr="00BF57F4">
        <w:rPr>
          <w:rFonts w:ascii="Franklin Gothic Book" w:eastAsia="Calibri" w:hAnsi="Franklin Gothic Book"/>
          <w:sz w:val="21"/>
          <w:szCs w:val="21"/>
          <w:lang w:eastAsia="en-US"/>
        </w:rPr>
        <w:t xml:space="preserve"> coordination, and </w:t>
      </w:r>
      <w:r>
        <w:rPr>
          <w:rFonts w:ascii="Franklin Gothic Book" w:eastAsia="Calibri" w:hAnsi="Franklin Gothic Book"/>
          <w:sz w:val="21"/>
          <w:szCs w:val="21"/>
          <w:lang w:eastAsia="en-US"/>
        </w:rPr>
        <w:t>increasing</w:t>
      </w:r>
      <w:r w:rsidRPr="00BF57F4">
        <w:rPr>
          <w:rFonts w:ascii="Franklin Gothic Book" w:eastAsia="Calibri" w:hAnsi="Franklin Gothic Book"/>
          <w:sz w:val="21"/>
          <w:szCs w:val="21"/>
          <w:lang w:eastAsia="en-US"/>
        </w:rPr>
        <w:t xml:space="preserve"> the resilience of vulnerable communities</w:t>
      </w:r>
      <w:r w:rsidR="00692C3A">
        <w:rPr>
          <w:rFonts w:ascii="Franklin Gothic Book" w:eastAsia="Calibri" w:hAnsi="Franklin Gothic Book"/>
          <w:sz w:val="21"/>
          <w:szCs w:val="21"/>
          <w:lang w:eastAsia="en-US"/>
        </w:rPr>
        <w:t xml:space="preserve">.  Their technical expertise contributed to the completion of the Comprehensive Recovery and Rehabilitation </w:t>
      </w:r>
      <w:r w:rsidR="004E066A">
        <w:rPr>
          <w:rFonts w:ascii="Franklin Gothic Book" w:eastAsia="Calibri" w:hAnsi="Franklin Gothic Book"/>
          <w:sz w:val="21"/>
          <w:szCs w:val="21"/>
          <w:lang w:eastAsia="en-US"/>
        </w:rPr>
        <w:t xml:space="preserve">Plan </w:t>
      </w:r>
      <w:r w:rsidR="00692C3A">
        <w:rPr>
          <w:rFonts w:ascii="Franklin Gothic Book" w:eastAsia="Calibri" w:hAnsi="Franklin Gothic Book"/>
          <w:sz w:val="21"/>
          <w:szCs w:val="21"/>
          <w:lang w:eastAsia="en-US"/>
        </w:rPr>
        <w:t>for Typhoon Yolanda (Haiyan) affected areas.</w:t>
      </w:r>
    </w:p>
    <w:p w:rsidR="00895B68" w:rsidRDefault="00895B68" w:rsidP="00895B68">
      <w:pPr>
        <w:spacing w:after="200" w:line="276" w:lineRule="auto"/>
        <w:rPr>
          <w:rFonts w:ascii="Franklin Gothic Book" w:eastAsia="Calibri" w:hAnsi="Franklin Gothic Book"/>
          <w:sz w:val="21"/>
          <w:szCs w:val="21"/>
          <w:lang w:eastAsia="en-US"/>
        </w:rPr>
      </w:pPr>
      <w:r>
        <w:rPr>
          <w:rFonts w:ascii="Franklin Gothic Book" w:eastAsia="Calibri" w:hAnsi="Franklin Gothic Book"/>
          <w:sz w:val="21"/>
          <w:szCs w:val="21"/>
          <w:lang w:eastAsia="en-US"/>
        </w:rPr>
        <w:t xml:space="preserve">On 15 </w:t>
      </w:r>
      <w:r w:rsidRPr="00BA4850">
        <w:rPr>
          <w:rFonts w:ascii="Franklin Gothic Book" w:eastAsia="Calibri" w:hAnsi="Franklin Gothic Book"/>
          <w:sz w:val="21"/>
          <w:szCs w:val="21"/>
          <w:lang w:eastAsia="en-US"/>
        </w:rPr>
        <w:t>October,</w:t>
      </w:r>
      <w:r>
        <w:rPr>
          <w:rFonts w:ascii="Franklin Gothic Book" w:eastAsia="Calibri" w:hAnsi="Franklin Gothic Book"/>
          <w:sz w:val="21"/>
          <w:szCs w:val="21"/>
          <w:lang w:eastAsia="en-US"/>
        </w:rPr>
        <w:t xml:space="preserve"> </w:t>
      </w:r>
      <w:r w:rsidR="00C030AB">
        <w:rPr>
          <w:rFonts w:ascii="Franklin Gothic Book" w:eastAsia="Calibri" w:hAnsi="Franklin Gothic Book"/>
          <w:sz w:val="21"/>
          <w:szCs w:val="21"/>
          <w:lang w:eastAsia="en-US"/>
        </w:rPr>
        <w:t xml:space="preserve">the </w:t>
      </w:r>
      <w:r>
        <w:rPr>
          <w:rFonts w:ascii="Franklin Gothic Book" w:eastAsia="Calibri" w:hAnsi="Franklin Gothic Book"/>
          <w:sz w:val="21"/>
          <w:szCs w:val="21"/>
          <w:lang w:eastAsia="en-US"/>
        </w:rPr>
        <w:t xml:space="preserve">7.3 magnitude earthquake </w:t>
      </w:r>
      <w:r w:rsidR="00C030AB">
        <w:rPr>
          <w:rFonts w:ascii="Franklin Gothic Book" w:eastAsia="Calibri" w:hAnsi="Franklin Gothic Book"/>
          <w:sz w:val="21"/>
          <w:szCs w:val="21"/>
          <w:lang w:eastAsia="en-US"/>
        </w:rPr>
        <w:t xml:space="preserve">largely devastated </w:t>
      </w:r>
      <w:r>
        <w:rPr>
          <w:rFonts w:ascii="Franklin Gothic Book" w:eastAsia="Calibri" w:hAnsi="Franklin Gothic Book"/>
          <w:sz w:val="21"/>
          <w:szCs w:val="21"/>
          <w:lang w:eastAsia="en-US"/>
        </w:rPr>
        <w:t>the province of B</w:t>
      </w:r>
      <w:r w:rsidR="00C030AB">
        <w:rPr>
          <w:rFonts w:ascii="Franklin Gothic Book" w:eastAsia="Calibri" w:hAnsi="Franklin Gothic Book"/>
          <w:sz w:val="21"/>
          <w:szCs w:val="21"/>
          <w:lang w:eastAsia="en-US"/>
        </w:rPr>
        <w:t xml:space="preserve">ohol. In response to </w:t>
      </w:r>
      <w:r w:rsidR="004B5B8F">
        <w:rPr>
          <w:rFonts w:ascii="Franklin Gothic Book" w:eastAsia="Calibri" w:hAnsi="Franklin Gothic Book"/>
          <w:sz w:val="21"/>
          <w:szCs w:val="21"/>
          <w:lang w:eastAsia="en-US"/>
        </w:rPr>
        <w:t>Philippine Government</w:t>
      </w:r>
      <w:r>
        <w:rPr>
          <w:rFonts w:ascii="Franklin Gothic Book" w:eastAsia="Calibri" w:hAnsi="Franklin Gothic Book"/>
          <w:sz w:val="21"/>
          <w:szCs w:val="21"/>
          <w:lang w:eastAsia="en-US"/>
        </w:rPr>
        <w:t xml:space="preserve"> and UN appeal, Australia provided </w:t>
      </w:r>
      <w:r w:rsidRPr="00C00586">
        <w:rPr>
          <w:rFonts w:ascii="Franklin Gothic Book" w:eastAsia="Calibri" w:hAnsi="Franklin Gothic Book"/>
          <w:sz w:val="21"/>
          <w:szCs w:val="21"/>
          <w:lang w:eastAsia="en-US"/>
        </w:rPr>
        <w:t>$2.</w:t>
      </w:r>
      <w:r>
        <w:rPr>
          <w:rFonts w:ascii="Franklin Gothic Book" w:eastAsia="Calibri" w:hAnsi="Franklin Gothic Book"/>
          <w:sz w:val="21"/>
          <w:szCs w:val="21"/>
          <w:lang w:eastAsia="en-US"/>
        </w:rPr>
        <w:t>1</w:t>
      </w:r>
      <w:r w:rsidRPr="00C00586">
        <w:rPr>
          <w:rFonts w:ascii="Franklin Gothic Book" w:eastAsia="Calibri" w:hAnsi="Franklin Gothic Book"/>
          <w:sz w:val="21"/>
          <w:szCs w:val="21"/>
          <w:lang w:eastAsia="en-US"/>
        </w:rPr>
        <w:t xml:space="preserve"> million </w:t>
      </w:r>
      <w:r>
        <w:rPr>
          <w:rFonts w:ascii="Franklin Gothic Book" w:eastAsia="Calibri" w:hAnsi="Franklin Gothic Book"/>
          <w:sz w:val="21"/>
          <w:szCs w:val="21"/>
          <w:lang w:eastAsia="en-US"/>
        </w:rPr>
        <w:t xml:space="preserve">for food and essential emergency supplies, </w:t>
      </w:r>
      <w:r w:rsidRPr="00C00586">
        <w:rPr>
          <w:rFonts w:ascii="Franklin Gothic Book" w:eastAsia="Calibri" w:hAnsi="Franklin Gothic Book"/>
          <w:sz w:val="21"/>
          <w:szCs w:val="21"/>
          <w:lang w:eastAsia="en-US"/>
        </w:rPr>
        <w:t xml:space="preserve">water and sanitation facilities, </w:t>
      </w:r>
      <w:r>
        <w:rPr>
          <w:rFonts w:ascii="Franklin Gothic Book" w:eastAsia="Calibri" w:hAnsi="Franklin Gothic Book"/>
          <w:sz w:val="21"/>
          <w:szCs w:val="21"/>
          <w:lang w:eastAsia="en-US"/>
        </w:rPr>
        <w:t xml:space="preserve">shelter recovery, </w:t>
      </w:r>
      <w:r w:rsidR="00C030AB">
        <w:rPr>
          <w:rFonts w:ascii="Franklin Gothic Book" w:eastAsia="Calibri" w:hAnsi="Franklin Gothic Book"/>
          <w:sz w:val="21"/>
          <w:szCs w:val="21"/>
          <w:lang w:eastAsia="en-US"/>
        </w:rPr>
        <w:t xml:space="preserve">and </w:t>
      </w:r>
      <w:r w:rsidRPr="00C00586">
        <w:rPr>
          <w:rFonts w:ascii="Franklin Gothic Book" w:eastAsia="Calibri" w:hAnsi="Franklin Gothic Book"/>
          <w:sz w:val="21"/>
          <w:szCs w:val="21"/>
          <w:lang w:eastAsia="en-US"/>
        </w:rPr>
        <w:t>debris clearing</w:t>
      </w:r>
      <w:r>
        <w:rPr>
          <w:rFonts w:ascii="Franklin Gothic Book" w:eastAsia="Calibri" w:hAnsi="Franklin Gothic Book"/>
          <w:sz w:val="21"/>
          <w:szCs w:val="21"/>
          <w:lang w:eastAsia="en-US"/>
        </w:rPr>
        <w:t xml:space="preserve"> (</w:t>
      </w:r>
      <w:r w:rsidRPr="00C00586">
        <w:rPr>
          <w:rFonts w:ascii="Franklin Gothic Book" w:eastAsia="Calibri" w:hAnsi="Franklin Gothic Book"/>
          <w:sz w:val="21"/>
          <w:szCs w:val="21"/>
          <w:lang w:eastAsia="en-US"/>
        </w:rPr>
        <w:t>cash-for-work</w:t>
      </w:r>
      <w:r>
        <w:rPr>
          <w:rFonts w:ascii="Franklin Gothic Book" w:eastAsia="Calibri" w:hAnsi="Franklin Gothic Book"/>
          <w:sz w:val="21"/>
          <w:szCs w:val="21"/>
          <w:lang w:eastAsia="en-US"/>
        </w:rPr>
        <w:t>)-</w:t>
      </w:r>
      <w:r w:rsidRPr="00C00586">
        <w:rPr>
          <w:rFonts w:ascii="Franklin Gothic Book" w:eastAsia="Calibri" w:hAnsi="Franklin Gothic Book"/>
          <w:sz w:val="21"/>
          <w:szCs w:val="21"/>
          <w:lang w:eastAsia="en-US"/>
        </w:rPr>
        <w:t xml:space="preserve">helping </w:t>
      </w:r>
      <w:r>
        <w:rPr>
          <w:rFonts w:ascii="Franklin Gothic Book" w:eastAsia="Calibri" w:hAnsi="Franklin Gothic Book"/>
          <w:sz w:val="21"/>
          <w:szCs w:val="21"/>
          <w:lang w:eastAsia="en-US"/>
        </w:rPr>
        <w:t xml:space="preserve">over </w:t>
      </w:r>
      <w:r w:rsidRPr="00C00586">
        <w:rPr>
          <w:rFonts w:ascii="Franklin Gothic Book" w:eastAsia="Calibri" w:hAnsi="Franklin Gothic Book"/>
          <w:sz w:val="21"/>
          <w:szCs w:val="21"/>
          <w:lang w:eastAsia="en-US"/>
        </w:rPr>
        <w:t xml:space="preserve">34,000 people.  </w:t>
      </w:r>
      <w:r>
        <w:rPr>
          <w:rFonts w:ascii="Franklin Gothic Book" w:eastAsia="Calibri" w:hAnsi="Franklin Gothic Book"/>
          <w:sz w:val="21"/>
          <w:szCs w:val="21"/>
          <w:lang w:eastAsia="en-US"/>
        </w:rPr>
        <w:t xml:space="preserve">With the </w:t>
      </w:r>
      <w:r w:rsidRPr="000F6641">
        <w:rPr>
          <w:rFonts w:ascii="Franklin Gothic Book" w:eastAsia="Calibri" w:hAnsi="Franklin Gothic Book"/>
          <w:sz w:val="21"/>
          <w:szCs w:val="21"/>
          <w:lang w:eastAsia="en-US"/>
        </w:rPr>
        <w:t xml:space="preserve">massive devastation of </w:t>
      </w:r>
      <w:r w:rsidR="00C030AB">
        <w:rPr>
          <w:rFonts w:ascii="Franklin Gothic Book" w:eastAsia="Calibri" w:hAnsi="Franklin Gothic Book"/>
          <w:sz w:val="21"/>
          <w:szCs w:val="21"/>
          <w:lang w:eastAsia="en-US"/>
        </w:rPr>
        <w:t xml:space="preserve">road </w:t>
      </w:r>
      <w:r w:rsidRPr="000F6641">
        <w:rPr>
          <w:rFonts w:ascii="Franklin Gothic Book" w:eastAsia="Calibri" w:hAnsi="Franklin Gothic Book"/>
          <w:sz w:val="21"/>
          <w:szCs w:val="21"/>
          <w:lang w:eastAsia="en-US"/>
        </w:rPr>
        <w:t>infrastructure, $5 million was re-allocated to support the repair of up to 114 kilometres of local roads</w:t>
      </w:r>
      <w:r w:rsidR="00C030AB">
        <w:rPr>
          <w:rFonts w:ascii="Franklin Gothic Book" w:eastAsia="Calibri" w:hAnsi="Franklin Gothic Book"/>
          <w:sz w:val="21"/>
          <w:szCs w:val="21"/>
          <w:lang w:eastAsia="en-US"/>
        </w:rPr>
        <w:t>. An</w:t>
      </w:r>
      <w:r>
        <w:rPr>
          <w:rFonts w:ascii="Franklin Gothic Book" w:eastAsia="Calibri" w:hAnsi="Franklin Gothic Book"/>
          <w:sz w:val="21"/>
          <w:szCs w:val="21"/>
          <w:lang w:eastAsia="en-US"/>
        </w:rPr>
        <w:t xml:space="preserve"> </w:t>
      </w:r>
      <w:r w:rsidR="00C030AB">
        <w:rPr>
          <w:rFonts w:ascii="Franklin Gothic Book" w:eastAsia="Calibri" w:hAnsi="Franklin Gothic Book"/>
          <w:sz w:val="21"/>
          <w:szCs w:val="21"/>
          <w:lang w:eastAsia="en-US"/>
        </w:rPr>
        <w:t xml:space="preserve">additional </w:t>
      </w:r>
      <w:r>
        <w:rPr>
          <w:rFonts w:ascii="Franklin Gothic Book" w:eastAsia="Calibri" w:hAnsi="Franklin Gothic Book"/>
          <w:sz w:val="21"/>
          <w:szCs w:val="21"/>
          <w:lang w:eastAsia="en-US"/>
        </w:rPr>
        <w:t>$1 million was reallocated for livelihood recovery support to about 100,000 people.</w:t>
      </w:r>
    </w:p>
    <w:p w:rsidR="00F018A9" w:rsidRDefault="00757A0D" w:rsidP="00757A0D">
      <w:pPr>
        <w:spacing w:after="200" w:line="276" w:lineRule="auto"/>
        <w:rPr>
          <w:rFonts w:ascii="Franklin Gothic Book" w:eastAsia="Calibri" w:hAnsi="Franklin Gothic Book"/>
          <w:sz w:val="21"/>
          <w:szCs w:val="21"/>
          <w:lang w:eastAsia="en-US"/>
        </w:rPr>
      </w:pPr>
      <w:r>
        <w:rPr>
          <w:rFonts w:ascii="Franklin Gothic Book" w:eastAsia="Calibri" w:hAnsi="Franklin Gothic Book"/>
          <w:sz w:val="21"/>
          <w:szCs w:val="21"/>
          <w:lang w:eastAsia="en-US"/>
        </w:rPr>
        <w:t xml:space="preserve">On </w:t>
      </w:r>
      <w:r w:rsidR="00151166">
        <w:rPr>
          <w:rFonts w:ascii="Franklin Gothic Book" w:eastAsia="Calibri" w:hAnsi="Franklin Gothic Book"/>
          <w:sz w:val="21"/>
          <w:szCs w:val="21"/>
          <w:lang w:eastAsia="en-US"/>
        </w:rPr>
        <w:t xml:space="preserve">9 </w:t>
      </w:r>
      <w:r>
        <w:rPr>
          <w:rFonts w:ascii="Franklin Gothic Book" w:eastAsia="Calibri" w:hAnsi="Franklin Gothic Book"/>
          <w:sz w:val="21"/>
          <w:szCs w:val="21"/>
          <w:lang w:eastAsia="en-US"/>
        </w:rPr>
        <w:t xml:space="preserve">September, forces of the </w:t>
      </w:r>
      <w:r w:rsidR="00151166">
        <w:rPr>
          <w:rFonts w:ascii="Franklin Gothic Book" w:eastAsia="Calibri" w:hAnsi="Franklin Gothic Book"/>
          <w:sz w:val="21"/>
          <w:szCs w:val="21"/>
          <w:lang w:eastAsia="en-US"/>
        </w:rPr>
        <w:t xml:space="preserve">Moro National Liberation Front </w:t>
      </w:r>
      <w:r w:rsidR="00DB46D0">
        <w:rPr>
          <w:rFonts w:ascii="Franklin Gothic Book" w:eastAsia="Calibri" w:hAnsi="Franklin Gothic Book"/>
          <w:sz w:val="21"/>
          <w:szCs w:val="21"/>
          <w:lang w:eastAsia="en-US"/>
        </w:rPr>
        <w:t>seized</w:t>
      </w:r>
      <w:r w:rsidR="00692C3A">
        <w:rPr>
          <w:rFonts w:ascii="Franklin Gothic Book" w:eastAsia="Calibri" w:hAnsi="Franklin Gothic Book"/>
          <w:sz w:val="21"/>
          <w:szCs w:val="21"/>
          <w:lang w:eastAsia="en-US"/>
        </w:rPr>
        <w:t xml:space="preserve"> </w:t>
      </w:r>
      <w:r>
        <w:rPr>
          <w:rFonts w:ascii="Franklin Gothic Book" w:eastAsia="Calibri" w:hAnsi="Franklin Gothic Book"/>
          <w:sz w:val="21"/>
          <w:szCs w:val="21"/>
          <w:lang w:eastAsia="en-US"/>
        </w:rPr>
        <w:t xml:space="preserve">the city of Zamboanga.  </w:t>
      </w:r>
      <w:r w:rsidRPr="00BA4850">
        <w:rPr>
          <w:rFonts w:ascii="Franklin Gothic Book" w:eastAsia="Calibri" w:hAnsi="Franklin Gothic Book"/>
          <w:sz w:val="21"/>
          <w:szCs w:val="21"/>
          <w:lang w:eastAsia="en-US"/>
        </w:rPr>
        <w:t>Over 10,000 homes were destroyed and more than 135 people were killed.  In response, Australia released $290,600 worth</w:t>
      </w:r>
      <w:r>
        <w:rPr>
          <w:rFonts w:ascii="Franklin Gothic Book" w:eastAsia="Calibri" w:hAnsi="Franklin Gothic Book"/>
          <w:sz w:val="21"/>
          <w:szCs w:val="21"/>
          <w:lang w:eastAsia="en-US"/>
        </w:rPr>
        <w:t xml:space="preserve"> of prepositioned relief supplies (held by the Philippine Red Cross, UNFPA, and WFP) within 48 hours of receiving a request for assistance from the </w:t>
      </w:r>
      <w:r w:rsidR="004B5B8F">
        <w:rPr>
          <w:rFonts w:ascii="Franklin Gothic Book" w:eastAsia="Calibri" w:hAnsi="Franklin Gothic Book"/>
          <w:sz w:val="21"/>
          <w:szCs w:val="21"/>
          <w:lang w:eastAsia="en-US"/>
        </w:rPr>
        <w:t>Philippine Government</w:t>
      </w:r>
      <w:r>
        <w:rPr>
          <w:rFonts w:ascii="Franklin Gothic Book" w:eastAsia="Calibri" w:hAnsi="Franklin Gothic Book"/>
          <w:sz w:val="21"/>
          <w:szCs w:val="21"/>
          <w:lang w:eastAsia="en-US"/>
        </w:rPr>
        <w:t>.  The prepositioned rice</w:t>
      </w:r>
      <w:r w:rsidR="00C40DBF">
        <w:rPr>
          <w:rFonts w:ascii="Franklin Gothic Book" w:eastAsia="Calibri" w:hAnsi="Franklin Gothic Book"/>
          <w:sz w:val="21"/>
          <w:szCs w:val="21"/>
          <w:lang w:eastAsia="en-US"/>
        </w:rPr>
        <w:t>,</w:t>
      </w:r>
      <w:r>
        <w:rPr>
          <w:rFonts w:ascii="Franklin Gothic Book" w:eastAsia="Calibri" w:hAnsi="Franklin Gothic Book"/>
          <w:sz w:val="21"/>
          <w:szCs w:val="21"/>
          <w:lang w:eastAsia="en-US"/>
        </w:rPr>
        <w:t xml:space="preserve"> family packs of essential emergency </w:t>
      </w:r>
      <w:r w:rsidRPr="00BA4850">
        <w:rPr>
          <w:rFonts w:ascii="Franklin Gothic Book" w:eastAsia="Calibri" w:hAnsi="Franklin Gothic Book"/>
          <w:sz w:val="21"/>
          <w:szCs w:val="21"/>
          <w:lang w:eastAsia="en-US"/>
        </w:rPr>
        <w:t xml:space="preserve">supplies </w:t>
      </w:r>
      <w:r w:rsidRPr="00BA4850">
        <w:rPr>
          <w:rFonts w:ascii="Franklin Gothic Book" w:eastAsia="Calibri" w:hAnsi="Franklin Gothic Book"/>
          <w:sz w:val="21"/>
          <w:szCs w:val="21"/>
          <w:lang w:eastAsia="en-US"/>
        </w:rPr>
        <w:lastRenderedPageBreak/>
        <w:t>(sleeping mats, blankets, mosquito nets and jerry cans)</w:t>
      </w:r>
      <w:r w:rsidR="00C40DBF">
        <w:rPr>
          <w:rFonts w:ascii="Franklin Gothic Book" w:eastAsia="Calibri" w:hAnsi="Franklin Gothic Book"/>
          <w:sz w:val="21"/>
          <w:szCs w:val="21"/>
          <w:lang w:eastAsia="en-US"/>
        </w:rPr>
        <w:t>,</w:t>
      </w:r>
      <w:r>
        <w:rPr>
          <w:rFonts w:ascii="Franklin Gothic Book" w:eastAsia="Calibri" w:hAnsi="Franklin Gothic Book"/>
          <w:sz w:val="21"/>
          <w:szCs w:val="21"/>
          <w:lang w:eastAsia="en-US"/>
        </w:rPr>
        <w:t xml:space="preserve"> and reproductive health and hygiene kits benefitted </w:t>
      </w:r>
      <w:r w:rsidRPr="00BA4850">
        <w:rPr>
          <w:rFonts w:ascii="Franklin Gothic Book" w:eastAsia="Calibri" w:hAnsi="Franklin Gothic Book"/>
          <w:sz w:val="21"/>
          <w:szCs w:val="21"/>
          <w:lang w:eastAsia="en-US"/>
        </w:rPr>
        <w:t>21,078 people</w:t>
      </w:r>
      <w:r>
        <w:rPr>
          <w:rFonts w:ascii="Franklin Gothic Book" w:eastAsia="Calibri" w:hAnsi="Franklin Gothic Book"/>
          <w:sz w:val="21"/>
          <w:szCs w:val="21"/>
          <w:lang w:eastAsia="en-US"/>
        </w:rPr>
        <w:t xml:space="preserve"> </w:t>
      </w:r>
      <w:r w:rsidR="00C40DBF">
        <w:rPr>
          <w:rFonts w:ascii="Franklin Gothic Book" w:eastAsia="Calibri" w:hAnsi="Franklin Gothic Book"/>
          <w:sz w:val="21"/>
          <w:szCs w:val="21"/>
          <w:lang w:eastAsia="en-US"/>
        </w:rPr>
        <w:t xml:space="preserve">affected by the conflict </w:t>
      </w:r>
      <w:r>
        <w:rPr>
          <w:rFonts w:ascii="Franklin Gothic Book" w:eastAsia="Calibri" w:hAnsi="Franklin Gothic Book"/>
          <w:sz w:val="21"/>
          <w:szCs w:val="21"/>
          <w:lang w:eastAsia="en-US"/>
        </w:rPr>
        <w:t xml:space="preserve">including more than 13,000 indigenous people and 2,358 pregnant and lactating women. </w:t>
      </w:r>
      <w:r w:rsidR="007F1ADA">
        <w:rPr>
          <w:rFonts w:ascii="Franklin Gothic Book" w:eastAsia="Calibri" w:hAnsi="Franklin Gothic Book"/>
          <w:sz w:val="21"/>
          <w:szCs w:val="21"/>
          <w:lang w:eastAsia="en-US"/>
        </w:rPr>
        <w:t xml:space="preserve">Australia also provided $500,000 through UNICEF and </w:t>
      </w:r>
      <w:r w:rsidR="006D3DC0" w:rsidRPr="006D3DC0">
        <w:rPr>
          <w:rFonts w:ascii="Franklin Gothic Book" w:eastAsia="Calibri" w:hAnsi="Franklin Gothic Book"/>
          <w:sz w:val="21"/>
          <w:szCs w:val="21"/>
          <w:lang w:eastAsia="en-US"/>
        </w:rPr>
        <w:t xml:space="preserve">Community and Family Services International </w:t>
      </w:r>
      <w:r w:rsidR="006D3DC0">
        <w:rPr>
          <w:rFonts w:ascii="Franklin Gothic Book" w:eastAsia="Calibri" w:hAnsi="Franklin Gothic Book"/>
          <w:sz w:val="21"/>
          <w:szCs w:val="21"/>
          <w:lang w:eastAsia="en-US"/>
        </w:rPr>
        <w:t>(</w:t>
      </w:r>
      <w:r w:rsidR="007F1ADA">
        <w:rPr>
          <w:rFonts w:ascii="Franklin Gothic Book" w:eastAsia="Calibri" w:hAnsi="Franklin Gothic Book"/>
          <w:sz w:val="21"/>
          <w:szCs w:val="21"/>
          <w:lang w:eastAsia="en-US"/>
        </w:rPr>
        <w:t>CFSI</w:t>
      </w:r>
      <w:r w:rsidR="006D3DC0">
        <w:rPr>
          <w:rFonts w:ascii="Franklin Gothic Book" w:eastAsia="Calibri" w:hAnsi="Franklin Gothic Book"/>
          <w:sz w:val="21"/>
          <w:szCs w:val="21"/>
          <w:lang w:eastAsia="en-US"/>
        </w:rPr>
        <w:t>)</w:t>
      </w:r>
      <w:r w:rsidR="007F1ADA">
        <w:rPr>
          <w:rFonts w:ascii="Franklin Gothic Book" w:eastAsia="Calibri" w:hAnsi="Franklin Gothic Book"/>
          <w:sz w:val="21"/>
          <w:szCs w:val="21"/>
          <w:lang w:eastAsia="en-US"/>
        </w:rPr>
        <w:t xml:space="preserve"> for education support and child protection and psychosocial counselling benefiting more than 70,500 beneficiaries.  </w:t>
      </w:r>
    </w:p>
    <w:p w:rsidR="00757A0D" w:rsidRPr="00EB2A13" w:rsidRDefault="00757A0D" w:rsidP="00757A0D">
      <w:pPr>
        <w:pStyle w:val="ListBullet"/>
        <w:tabs>
          <w:tab w:val="clear" w:pos="284"/>
        </w:tabs>
        <w:rPr>
          <w:rFonts w:eastAsia="Calibri"/>
          <w:szCs w:val="21"/>
          <w:lang w:eastAsia="en-US"/>
        </w:rPr>
      </w:pPr>
      <w:r w:rsidRPr="0063090D">
        <w:rPr>
          <w:rFonts w:eastAsia="Calibri"/>
          <w:i/>
          <w:szCs w:val="21"/>
          <w:lang w:eastAsia="en-US"/>
        </w:rPr>
        <w:t xml:space="preserve">Disaster Risk </w:t>
      </w:r>
      <w:r w:rsidR="00C40DBF">
        <w:rPr>
          <w:rFonts w:eastAsia="Calibri"/>
          <w:i/>
          <w:szCs w:val="21"/>
          <w:lang w:eastAsia="en-US"/>
        </w:rPr>
        <w:t xml:space="preserve">Reduction and </w:t>
      </w:r>
      <w:r w:rsidRPr="0063090D">
        <w:rPr>
          <w:rFonts w:eastAsia="Calibri"/>
          <w:i/>
          <w:szCs w:val="21"/>
          <w:lang w:eastAsia="en-US"/>
        </w:rPr>
        <w:t>Management Programming</w:t>
      </w:r>
    </w:p>
    <w:p w:rsidR="00757A0D" w:rsidRDefault="00151166" w:rsidP="00757A0D">
      <w:pPr>
        <w:spacing w:after="200" w:line="276" w:lineRule="auto"/>
        <w:rPr>
          <w:rFonts w:ascii="Franklin Gothic Book" w:eastAsia="Calibri" w:hAnsi="Franklin Gothic Book"/>
          <w:sz w:val="21"/>
          <w:szCs w:val="21"/>
          <w:lang w:eastAsia="en-US"/>
        </w:rPr>
      </w:pPr>
      <w:r>
        <w:rPr>
          <w:rFonts w:ascii="Franklin Gothic Book" w:eastAsia="Calibri" w:hAnsi="Franklin Gothic Book"/>
          <w:sz w:val="21"/>
          <w:szCs w:val="21"/>
          <w:lang w:eastAsia="en-US"/>
        </w:rPr>
        <w:t>Australia’s</w:t>
      </w:r>
      <w:r w:rsidR="00757A0D">
        <w:rPr>
          <w:rFonts w:ascii="Franklin Gothic Book" w:eastAsia="Calibri" w:hAnsi="Franklin Gothic Book"/>
          <w:sz w:val="21"/>
          <w:szCs w:val="21"/>
          <w:lang w:eastAsia="en-US"/>
        </w:rPr>
        <w:t xml:space="preserve"> assistance </w:t>
      </w:r>
      <w:r w:rsidR="00A6676F">
        <w:rPr>
          <w:rFonts w:ascii="Franklin Gothic Book" w:eastAsia="Calibri" w:hAnsi="Franklin Gothic Book"/>
          <w:sz w:val="21"/>
          <w:szCs w:val="21"/>
          <w:lang w:eastAsia="en-US"/>
        </w:rPr>
        <w:t xml:space="preserve">with </w:t>
      </w:r>
      <w:r w:rsidR="00757A0D">
        <w:rPr>
          <w:rFonts w:ascii="Franklin Gothic Book" w:eastAsia="Calibri" w:hAnsi="Franklin Gothic Book"/>
          <w:sz w:val="21"/>
          <w:szCs w:val="21"/>
          <w:lang w:eastAsia="en-US"/>
        </w:rPr>
        <w:t xml:space="preserve">mainstreaming disaster and climate risk management into development and decision-making processes </w:t>
      </w:r>
      <w:r>
        <w:rPr>
          <w:rFonts w:ascii="Franklin Gothic Book" w:eastAsia="Calibri" w:hAnsi="Franklin Gothic Book"/>
          <w:sz w:val="21"/>
          <w:szCs w:val="21"/>
          <w:lang w:eastAsia="en-US"/>
        </w:rPr>
        <w:t xml:space="preserve">of government partners </w:t>
      </w:r>
      <w:r w:rsidR="00757A0D">
        <w:rPr>
          <w:rFonts w:ascii="Franklin Gothic Book" w:eastAsia="Calibri" w:hAnsi="Franklin Gothic Book"/>
          <w:sz w:val="21"/>
          <w:szCs w:val="21"/>
          <w:lang w:eastAsia="en-US"/>
        </w:rPr>
        <w:t>continue</w:t>
      </w:r>
      <w:r w:rsidR="007C4DB2">
        <w:rPr>
          <w:rFonts w:ascii="Franklin Gothic Book" w:eastAsia="Calibri" w:hAnsi="Franklin Gothic Book"/>
          <w:sz w:val="21"/>
          <w:szCs w:val="21"/>
          <w:lang w:eastAsia="en-US"/>
        </w:rPr>
        <w:t>s</w:t>
      </w:r>
      <w:r w:rsidR="00757A0D">
        <w:rPr>
          <w:rFonts w:ascii="Franklin Gothic Book" w:eastAsia="Calibri" w:hAnsi="Franklin Gothic Book"/>
          <w:sz w:val="21"/>
          <w:szCs w:val="21"/>
          <w:lang w:eastAsia="en-US"/>
        </w:rPr>
        <w:t xml:space="preserve"> to progress</w:t>
      </w:r>
      <w:r w:rsidR="00692C3A">
        <w:rPr>
          <w:rFonts w:ascii="Franklin Gothic Book" w:eastAsia="Calibri" w:hAnsi="Franklin Gothic Book"/>
          <w:sz w:val="21"/>
          <w:szCs w:val="21"/>
          <w:lang w:eastAsia="en-US"/>
        </w:rPr>
        <w:t xml:space="preserve"> well</w:t>
      </w:r>
      <w:r w:rsidR="00BF5784">
        <w:rPr>
          <w:rFonts w:ascii="Franklin Gothic Book" w:eastAsia="Calibri" w:hAnsi="Franklin Gothic Book"/>
          <w:sz w:val="21"/>
          <w:szCs w:val="21"/>
          <w:lang w:eastAsia="en-US"/>
        </w:rPr>
        <w:t>, but some delays were experienced due to the string of disasters that afflicted the Philippines during the year</w:t>
      </w:r>
      <w:r w:rsidR="00757A0D">
        <w:rPr>
          <w:rFonts w:ascii="Franklin Gothic Book" w:eastAsia="Calibri" w:hAnsi="Franklin Gothic Book"/>
          <w:sz w:val="21"/>
          <w:szCs w:val="21"/>
          <w:lang w:eastAsia="en-US"/>
        </w:rPr>
        <w:t xml:space="preserve">.  </w:t>
      </w:r>
      <w:r>
        <w:rPr>
          <w:rFonts w:ascii="Franklin Gothic Book" w:eastAsia="Calibri" w:hAnsi="Franklin Gothic Book"/>
          <w:sz w:val="21"/>
          <w:szCs w:val="21"/>
          <w:lang w:eastAsia="en-US"/>
        </w:rPr>
        <w:t xml:space="preserve">Our </w:t>
      </w:r>
      <w:r w:rsidR="00757A0D">
        <w:rPr>
          <w:rFonts w:ascii="Franklin Gothic Book" w:eastAsia="Calibri" w:hAnsi="Franklin Gothic Book"/>
          <w:sz w:val="21"/>
          <w:szCs w:val="21"/>
          <w:lang w:eastAsia="en-US"/>
        </w:rPr>
        <w:t xml:space="preserve">support through </w:t>
      </w:r>
      <w:r w:rsidR="00757A0D" w:rsidRPr="00BF57F4">
        <w:rPr>
          <w:rFonts w:ascii="Franklin Gothic Book" w:eastAsia="Calibri" w:hAnsi="Franklin Gothic Book"/>
          <w:sz w:val="21"/>
          <w:szCs w:val="21"/>
          <w:lang w:eastAsia="en-US"/>
        </w:rPr>
        <w:t>Geoscience Australia</w:t>
      </w:r>
      <w:r w:rsidR="00757A0D">
        <w:rPr>
          <w:rFonts w:ascii="Franklin Gothic Book" w:eastAsia="Calibri" w:hAnsi="Franklin Gothic Book"/>
          <w:sz w:val="21"/>
          <w:szCs w:val="21"/>
          <w:lang w:eastAsia="en-US"/>
        </w:rPr>
        <w:t xml:space="preserve"> and partnership with </w:t>
      </w:r>
      <w:r w:rsidR="00757A0D" w:rsidRPr="00BF57F4">
        <w:rPr>
          <w:rFonts w:ascii="Franklin Gothic Book" w:eastAsia="Calibri" w:hAnsi="Franklin Gothic Book"/>
          <w:sz w:val="21"/>
          <w:szCs w:val="21"/>
          <w:lang w:eastAsia="en-US"/>
        </w:rPr>
        <w:t>the Philippines National Disaster Risk Reduction and Management Council</w:t>
      </w:r>
      <w:r w:rsidR="00757A0D">
        <w:rPr>
          <w:rFonts w:ascii="Franklin Gothic Book" w:eastAsia="Calibri" w:hAnsi="Franklin Gothic Book"/>
          <w:sz w:val="21"/>
          <w:szCs w:val="21"/>
          <w:lang w:eastAsia="en-US"/>
        </w:rPr>
        <w:t xml:space="preserve"> </w:t>
      </w:r>
      <w:r w:rsidR="00A65885">
        <w:rPr>
          <w:rFonts w:ascii="Franklin Gothic Book" w:eastAsia="Calibri" w:hAnsi="Franklin Gothic Book"/>
          <w:sz w:val="21"/>
          <w:szCs w:val="21"/>
          <w:lang w:eastAsia="en-US"/>
        </w:rPr>
        <w:t xml:space="preserve">provided for the production of </w:t>
      </w:r>
      <w:r w:rsidR="00757A0D" w:rsidRPr="00BF57F4">
        <w:rPr>
          <w:rFonts w:ascii="Franklin Gothic Book" w:eastAsia="Calibri" w:hAnsi="Franklin Gothic Book"/>
          <w:sz w:val="21"/>
          <w:szCs w:val="21"/>
          <w:lang w:eastAsia="en-US"/>
        </w:rPr>
        <w:t>multi-hazard maps</w:t>
      </w:r>
      <w:r w:rsidR="00757A0D">
        <w:rPr>
          <w:rFonts w:ascii="Franklin Gothic Book" w:eastAsia="Calibri" w:hAnsi="Franklin Gothic Book"/>
          <w:sz w:val="21"/>
          <w:szCs w:val="21"/>
          <w:lang w:eastAsia="en-US"/>
        </w:rPr>
        <w:t>, exposure database,</w:t>
      </w:r>
      <w:r w:rsidR="00757A0D" w:rsidRPr="00BF57F4">
        <w:rPr>
          <w:rFonts w:ascii="Franklin Gothic Book" w:eastAsia="Calibri" w:hAnsi="Franklin Gothic Book"/>
          <w:sz w:val="21"/>
          <w:szCs w:val="21"/>
          <w:lang w:eastAsia="en-US"/>
        </w:rPr>
        <w:t xml:space="preserve"> and disaster and climate risk profiles </w:t>
      </w:r>
      <w:r w:rsidR="00A65885">
        <w:rPr>
          <w:rFonts w:ascii="Franklin Gothic Book" w:eastAsia="Calibri" w:hAnsi="Franklin Gothic Book"/>
          <w:sz w:val="21"/>
          <w:szCs w:val="21"/>
          <w:lang w:eastAsia="en-US"/>
        </w:rPr>
        <w:t xml:space="preserve">now being used by </w:t>
      </w:r>
      <w:r w:rsidR="00757A0D">
        <w:rPr>
          <w:rFonts w:ascii="Franklin Gothic Book" w:eastAsia="Calibri" w:hAnsi="Franklin Gothic Book"/>
          <w:sz w:val="21"/>
          <w:szCs w:val="21"/>
          <w:lang w:eastAsia="en-US"/>
        </w:rPr>
        <w:t xml:space="preserve">24 </w:t>
      </w:r>
      <w:r w:rsidR="00757A0D" w:rsidRPr="00BF57F4">
        <w:rPr>
          <w:rFonts w:ascii="Franklin Gothic Book" w:eastAsia="Calibri" w:hAnsi="Franklin Gothic Book"/>
          <w:sz w:val="21"/>
          <w:szCs w:val="21"/>
          <w:lang w:eastAsia="en-US"/>
        </w:rPr>
        <w:t>cities and municipalities in Metro Manila</w:t>
      </w:r>
      <w:r w:rsidR="00757A0D">
        <w:rPr>
          <w:rFonts w:ascii="Franklin Gothic Book" w:eastAsia="Calibri" w:hAnsi="Franklin Gothic Book"/>
          <w:sz w:val="21"/>
          <w:szCs w:val="21"/>
          <w:lang w:eastAsia="en-US"/>
        </w:rPr>
        <w:t xml:space="preserve"> </w:t>
      </w:r>
      <w:r w:rsidR="00A65885">
        <w:rPr>
          <w:rFonts w:ascii="Franklin Gothic Book" w:eastAsia="Calibri" w:hAnsi="Franklin Gothic Book"/>
          <w:sz w:val="21"/>
          <w:szCs w:val="21"/>
          <w:lang w:eastAsia="en-US"/>
        </w:rPr>
        <w:t xml:space="preserve">and surrounding areas. </w:t>
      </w:r>
      <w:r w:rsidR="00757A0D">
        <w:rPr>
          <w:rFonts w:ascii="Franklin Gothic Book" w:eastAsia="Calibri" w:hAnsi="Franklin Gothic Book"/>
          <w:sz w:val="21"/>
          <w:szCs w:val="21"/>
          <w:lang w:eastAsia="en-US"/>
        </w:rPr>
        <w:t xml:space="preserve">This is critical in preparing Metro Manila residents and </w:t>
      </w:r>
      <w:r w:rsidR="00A65885">
        <w:rPr>
          <w:rFonts w:ascii="Franklin Gothic Book" w:eastAsia="Calibri" w:hAnsi="Franklin Gothic Book"/>
          <w:sz w:val="21"/>
          <w:szCs w:val="21"/>
          <w:lang w:eastAsia="en-US"/>
        </w:rPr>
        <w:t xml:space="preserve">in </w:t>
      </w:r>
      <w:r w:rsidR="00757A0D">
        <w:rPr>
          <w:rFonts w:ascii="Franklin Gothic Book" w:eastAsia="Calibri" w:hAnsi="Franklin Gothic Book"/>
          <w:sz w:val="21"/>
          <w:szCs w:val="21"/>
          <w:lang w:eastAsia="en-US"/>
        </w:rPr>
        <w:t>improving infrastructure</w:t>
      </w:r>
      <w:r w:rsidR="00A65885">
        <w:rPr>
          <w:rFonts w:ascii="Franklin Gothic Book" w:eastAsia="Calibri" w:hAnsi="Franklin Gothic Book"/>
          <w:sz w:val="21"/>
          <w:szCs w:val="21"/>
          <w:lang w:eastAsia="en-US"/>
        </w:rPr>
        <w:t xml:space="preserve"> so that the </w:t>
      </w:r>
      <w:r w:rsidR="00757A0D">
        <w:rPr>
          <w:rFonts w:ascii="Franklin Gothic Book" w:eastAsia="Calibri" w:hAnsi="Franklin Gothic Book"/>
          <w:sz w:val="21"/>
          <w:szCs w:val="21"/>
          <w:lang w:eastAsia="en-US"/>
        </w:rPr>
        <w:t>loss of life and damage to social and economic infrastructure</w:t>
      </w:r>
      <w:r w:rsidR="00A65885">
        <w:rPr>
          <w:rFonts w:ascii="Franklin Gothic Book" w:eastAsia="Calibri" w:hAnsi="Franklin Gothic Book"/>
          <w:sz w:val="21"/>
          <w:szCs w:val="21"/>
          <w:lang w:eastAsia="en-US"/>
        </w:rPr>
        <w:t xml:space="preserve"> are minimise</w:t>
      </w:r>
      <w:r w:rsidR="007C4DB2">
        <w:rPr>
          <w:rFonts w:ascii="Franklin Gothic Book" w:eastAsia="Calibri" w:hAnsi="Franklin Gothic Book"/>
          <w:sz w:val="21"/>
          <w:szCs w:val="21"/>
          <w:lang w:eastAsia="en-US"/>
        </w:rPr>
        <w:t>d</w:t>
      </w:r>
      <w:r w:rsidR="00757A0D">
        <w:rPr>
          <w:rFonts w:ascii="Franklin Gothic Book" w:eastAsia="Calibri" w:hAnsi="Franklin Gothic Book"/>
          <w:sz w:val="21"/>
          <w:szCs w:val="21"/>
          <w:lang w:eastAsia="en-US"/>
        </w:rPr>
        <w:t xml:space="preserve">.  </w:t>
      </w:r>
      <w:r w:rsidR="00A65885">
        <w:rPr>
          <w:rFonts w:ascii="Franklin Gothic Book" w:eastAsia="Calibri" w:hAnsi="Franklin Gothic Book"/>
          <w:sz w:val="21"/>
          <w:szCs w:val="21"/>
          <w:lang w:eastAsia="en-US"/>
        </w:rPr>
        <w:t xml:space="preserve">Australia also provides </w:t>
      </w:r>
      <w:r w:rsidR="00757A0D">
        <w:rPr>
          <w:rFonts w:ascii="Franklin Gothic Book" w:eastAsia="Calibri" w:hAnsi="Franklin Gothic Book"/>
          <w:sz w:val="21"/>
          <w:szCs w:val="21"/>
          <w:lang w:eastAsia="en-US"/>
        </w:rPr>
        <w:t xml:space="preserve">parallel assistance to local governments to work with other stakeholders in land use planning and zoning, and implement appropriate disaster response and management strategies.  </w:t>
      </w:r>
      <w:r w:rsidR="00A65885">
        <w:rPr>
          <w:rFonts w:ascii="Franklin Gothic Book" w:eastAsia="Calibri" w:hAnsi="Franklin Gothic Book"/>
          <w:sz w:val="21"/>
          <w:szCs w:val="21"/>
          <w:lang w:eastAsia="en-US"/>
        </w:rPr>
        <w:t xml:space="preserve">As a result, 37 communities in Metro Manila have been educated on potential impact of disasters and have been trained on disaster preparedness. Our support also </w:t>
      </w:r>
      <w:r w:rsidR="007F1ADA">
        <w:rPr>
          <w:rFonts w:ascii="Franklin Gothic Book" w:eastAsia="Calibri" w:hAnsi="Franklin Gothic Book"/>
          <w:sz w:val="21"/>
          <w:szCs w:val="21"/>
          <w:lang w:eastAsia="en-US"/>
        </w:rPr>
        <w:t xml:space="preserve">facilitated </w:t>
      </w:r>
      <w:r w:rsidR="00A65885">
        <w:rPr>
          <w:rFonts w:ascii="Franklin Gothic Book" w:eastAsia="Calibri" w:hAnsi="Franklin Gothic Book"/>
          <w:sz w:val="21"/>
          <w:szCs w:val="21"/>
          <w:lang w:eastAsia="en-US"/>
        </w:rPr>
        <w:t>the government’s adoption of the Supplemental Guidelines on Integrating Disaster Risk Reduction and Climate Change Adaptation into Comprehensive Land Use Planning</w:t>
      </w:r>
      <w:r w:rsidR="007F1ADA">
        <w:rPr>
          <w:rFonts w:ascii="Franklin Gothic Book" w:eastAsia="Calibri" w:hAnsi="Franklin Gothic Book"/>
          <w:sz w:val="21"/>
          <w:szCs w:val="21"/>
          <w:lang w:eastAsia="en-US"/>
        </w:rPr>
        <w:t>,</w:t>
      </w:r>
      <w:r w:rsidR="00A65885">
        <w:rPr>
          <w:rFonts w:ascii="Franklin Gothic Book" w:eastAsia="Calibri" w:hAnsi="Franklin Gothic Book"/>
          <w:sz w:val="21"/>
          <w:szCs w:val="21"/>
          <w:lang w:eastAsia="en-US"/>
        </w:rPr>
        <w:t xml:space="preserve"> </w:t>
      </w:r>
      <w:r w:rsidR="007F1ADA">
        <w:rPr>
          <w:rFonts w:ascii="Franklin Gothic Book" w:eastAsia="Calibri" w:hAnsi="Franklin Gothic Book"/>
          <w:sz w:val="21"/>
          <w:szCs w:val="21"/>
          <w:lang w:eastAsia="en-US"/>
        </w:rPr>
        <w:t xml:space="preserve">which </w:t>
      </w:r>
      <w:r w:rsidR="00A65885">
        <w:rPr>
          <w:rFonts w:ascii="Franklin Gothic Book" w:eastAsia="Calibri" w:hAnsi="Franklin Gothic Book"/>
          <w:sz w:val="21"/>
          <w:szCs w:val="21"/>
          <w:lang w:eastAsia="en-US"/>
        </w:rPr>
        <w:t>is</w:t>
      </w:r>
      <w:r w:rsidR="00757A0D">
        <w:rPr>
          <w:rFonts w:ascii="Franklin Gothic Book" w:eastAsia="Calibri" w:hAnsi="Franklin Gothic Book"/>
          <w:sz w:val="21"/>
          <w:szCs w:val="21"/>
          <w:lang w:eastAsia="en-US"/>
        </w:rPr>
        <w:t xml:space="preserve"> now being used </w:t>
      </w:r>
      <w:r w:rsidR="00A65885">
        <w:rPr>
          <w:rFonts w:ascii="Franklin Gothic Book" w:eastAsia="Calibri" w:hAnsi="Franklin Gothic Book"/>
          <w:sz w:val="21"/>
          <w:szCs w:val="21"/>
          <w:lang w:eastAsia="en-US"/>
        </w:rPr>
        <w:t xml:space="preserve">by cities and municipalities </w:t>
      </w:r>
      <w:r w:rsidR="00757A0D">
        <w:rPr>
          <w:rFonts w:ascii="Franklin Gothic Book" w:eastAsia="Calibri" w:hAnsi="Franklin Gothic Book"/>
          <w:sz w:val="21"/>
          <w:szCs w:val="21"/>
          <w:lang w:eastAsia="en-US"/>
        </w:rPr>
        <w:t xml:space="preserve">in updating </w:t>
      </w:r>
      <w:r w:rsidR="00A65885">
        <w:rPr>
          <w:rFonts w:ascii="Franklin Gothic Book" w:eastAsia="Calibri" w:hAnsi="Franklin Gothic Book"/>
          <w:sz w:val="21"/>
          <w:szCs w:val="21"/>
          <w:lang w:eastAsia="en-US"/>
        </w:rPr>
        <w:t xml:space="preserve">their </w:t>
      </w:r>
      <w:r w:rsidR="00757A0D">
        <w:rPr>
          <w:rFonts w:ascii="Franklin Gothic Book" w:eastAsia="Calibri" w:hAnsi="Franklin Gothic Book"/>
          <w:sz w:val="21"/>
          <w:szCs w:val="21"/>
          <w:lang w:eastAsia="en-US"/>
        </w:rPr>
        <w:t xml:space="preserve">comprehensive land use plans and zoning ordinances.  </w:t>
      </w:r>
      <w:r w:rsidR="00A65885">
        <w:rPr>
          <w:rFonts w:ascii="Franklin Gothic Book" w:eastAsia="Calibri" w:hAnsi="Franklin Gothic Book"/>
          <w:sz w:val="21"/>
          <w:szCs w:val="21"/>
          <w:lang w:eastAsia="en-US"/>
        </w:rPr>
        <w:t>Likewise, t</w:t>
      </w:r>
      <w:r w:rsidR="00757A0D">
        <w:rPr>
          <w:rFonts w:ascii="Franklin Gothic Book" w:eastAsia="Calibri" w:hAnsi="Franklin Gothic Book"/>
          <w:sz w:val="21"/>
          <w:szCs w:val="21"/>
          <w:lang w:eastAsia="en-US"/>
        </w:rPr>
        <w:t xml:space="preserve">he Guidelines on Disaster Audit and Accounting </w:t>
      </w:r>
      <w:r w:rsidR="006D06C5">
        <w:rPr>
          <w:rFonts w:ascii="Franklin Gothic Book" w:eastAsia="Calibri" w:hAnsi="Franklin Gothic Book"/>
          <w:sz w:val="21"/>
          <w:szCs w:val="21"/>
          <w:lang w:eastAsia="en-US"/>
        </w:rPr>
        <w:t xml:space="preserve">were </w:t>
      </w:r>
      <w:r w:rsidR="00757A0D">
        <w:rPr>
          <w:rFonts w:ascii="Franklin Gothic Book" w:eastAsia="Calibri" w:hAnsi="Franklin Gothic Book"/>
          <w:sz w:val="21"/>
          <w:szCs w:val="21"/>
          <w:lang w:eastAsia="en-US"/>
        </w:rPr>
        <w:t xml:space="preserve">adopted by the Commission on Audit </w:t>
      </w:r>
      <w:r w:rsidR="00473858">
        <w:rPr>
          <w:rFonts w:ascii="Franklin Gothic Book" w:eastAsia="Calibri" w:hAnsi="Franklin Gothic Book"/>
          <w:sz w:val="21"/>
          <w:szCs w:val="21"/>
          <w:lang w:eastAsia="en-US"/>
        </w:rPr>
        <w:t xml:space="preserve">on April 2014 </w:t>
      </w:r>
      <w:r w:rsidR="00757A0D">
        <w:rPr>
          <w:rFonts w:ascii="Franklin Gothic Book" w:eastAsia="Calibri" w:hAnsi="Franklin Gothic Book"/>
          <w:sz w:val="21"/>
          <w:szCs w:val="21"/>
          <w:lang w:eastAsia="en-US"/>
        </w:rPr>
        <w:t xml:space="preserve">and </w:t>
      </w:r>
      <w:r w:rsidR="007C4DB2">
        <w:rPr>
          <w:rFonts w:ascii="Franklin Gothic Book" w:eastAsia="Calibri" w:hAnsi="Franklin Gothic Book"/>
          <w:sz w:val="21"/>
          <w:szCs w:val="21"/>
          <w:lang w:eastAsia="en-US"/>
        </w:rPr>
        <w:t>are</w:t>
      </w:r>
      <w:r w:rsidR="00757A0D">
        <w:rPr>
          <w:rFonts w:ascii="Franklin Gothic Book" w:eastAsia="Calibri" w:hAnsi="Franklin Gothic Book"/>
          <w:sz w:val="21"/>
          <w:szCs w:val="21"/>
          <w:lang w:eastAsia="en-US"/>
        </w:rPr>
        <w:t xml:space="preserve"> now being rolled out </w:t>
      </w:r>
      <w:r w:rsidR="007F1ADA">
        <w:rPr>
          <w:rFonts w:ascii="Franklin Gothic Book" w:eastAsia="Calibri" w:hAnsi="Franklin Gothic Book"/>
          <w:sz w:val="21"/>
          <w:szCs w:val="21"/>
          <w:lang w:eastAsia="en-US"/>
        </w:rPr>
        <w:t xml:space="preserve">to </w:t>
      </w:r>
      <w:r w:rsidR="00A65885">
        <w:rPr>
          <w:rFonts w:ascii="Franklin Gothic Book" w:eastAsia="Calibri" w:hAnsi="Franklin Gothic Book"/>
          <w:sz w:val="21"/>
          <w:szCs w:val="21"/>
          <w:lang w:eastAsia="en-US"/>
        </w:rPr>
        <w:t xml:space="preserve">state </w:t>
      </w:r>
      <w:r w:rsidR="005C2FCB">
        <w:rPr>
          <w:rFonts w:ascii="Franklin Gothic Book" w:eastAsia="Calibri" w:hAnsi="Franklin Gothic Book"/>
          <w:sz w:val="21"/>
          <w:szCs w:val="21"/>
          <w:lang w:eastAsia="en-US"/>
        </w:rPr>
        <w:t>auditors</w:t>
      </w:r>
      <w:r w:rsidR="00A65885">
        <w:rPr>
          <w:rFonts w:ascii="Franklin Gothic Book" w:eastAsia="Calibri" w:hAnsi="Franklin Gothic Book"/>
          <w:sz w:val="21"/>
          <w:szCs w:val="21"/>
          <w:lang w:eastAsia="en-US"/>
        </w:rPr>
        <w:t xml:space="preserve"> </w:t>
      </w:r>
      <w:r w:rsidR="007F1ADA">
        <w:rPr>
          <w:rFonts w:ascii="Franklin Gothic Book" w:eastAsia="Calibri" w:hAnsi="Franklin Gothic Book"/>
          <w:sz w:val="21"/>
          <w:szCs w:val="21"/>
          <w:lang w:eastAsia="en-US"/>
        </w:rPr>
        <w:t xml:space="preserve">in </w:t>
      </w:r>
      <w:r w:rsidR="00757A0D">
        <w:rPr>
          <w:rFonts w:ascii="Franklin Gothic Book" w:eastAsia="Calibri" w:hAnsi="Franklin Gothic Book"/>
          <w:sz w:val="21"/>
          <w:szCs w:val="21"/>
          <w:lang w:eastAsia="en-US"/>
        </w:rPr>
        <w:t xml:space="preserve">all government agencies. </w:t>
      </w:r>
    </w:p>
    <w:p w:rsidR="00700A1C" w:rsidRDefault="00A65885" w:rsidP="00757A0D">
      <w:pPr>
        <w:spacing w:after="200" w:line="276" w:lineRule="auto"/>
        <w:rPr>
          <w:rFonts w:ascii="Franklin Gothic Book" w:eastAsia="Calibri" w:hAnsi="Franklin Gothic Book"/>
          <w:sz w:val="21"/>
          <w:szCs w:val="21"/>
          <w:lang w:eastAsia="en-US"/>
        </w:rPr>
      </w:pPr>
      <w:r>
        <w:rPr>
          <w:rFonts w:ascii="Franklin Gothic Book" w:eastAsia="Calibri" w:hAnsi="Franklin Gothic Book"/>
          <w:sz w:val="21"/>
          <w:szCs w:val="21"/>
          <w:lang w:eastAsia="en-US"/>
        </w:rPr>
        <w:t xml:space="preserve">Australia continues to </w:t>
      </w:r>
      <w:r w:rsidR="00700A1C">
        <w:rPr>
          <w:rFonts w:ascii="Franklin Gothic Book" w:eastAsia="Calibri" w:hAnsi="Franklin Gothic Book"/>
          <w:sz w:val="21"/>
          <w:szCs w:val="21"/>
          <w:lang w:eastAsia="en-US"/>
        </w:rPr>
        <w:t xml:space="preserve">expanded its </w:t>
      </w:r>
      <w:r>
        <w:rPr>
          <w:rFonts w:ascii="Franklin Gothic Book" w:eastAsia="Calibri" w:hAnsi="Franklin Gothic Book"/>
          <w:sz w:val="21"/>
          <w:szCs w:val="21"/>
          <w:lang w:eastAsia="en-US"/>
        </w:rPr>
        <w:t xml:space="preserve">assistance to areas affected by </w:t>
      </w:r>
      <w:r w:rsidR="00700A1C">
        <w:rPr>
          <w:rFonts w:ascii="Franklin Gothic Book" w:eastAsia="Calibri" w:hAnsi="Franklin Gothic Book"/>
          <w:sz w:val="21"/>
          <w:szCs w:val="21"/>
          <w:lang w:eastAsia="en-US"/>
        </w:rPr>
        <w:t xml:space="preserve">previous </w:t>
      </w:r>
      <w:r>
        <w:rPr>
          <w:rFonts w:ascii="Franklin Gothic Book" w:eastAsia="Calibri" w:hAnsi="Franklin Gothic Book"/>
          <w:sz w:val="21"/>
          <w:szCs w:val="21"/>
          <w:lang w:eastAsia="en-US"/>
        </w:rPr>
        <w:t xml:space="preserve">typhoons </w:t>
      </w:r>
      <w:r w:rsidR="00700A1C">
        <w:rPr>
          <w:rFonts w:ascii="Franklin Gothic Book" w:eastAsia="Calibri" w:hAnsi="Franklin Gothic Book"/>
          <w:sz w:val="21"/>
          <w:szCs w:val="21"/>
          <w:lang w:eastAsia="en-US"/>
        </w:rPr>
        <w:t xml:space="preserve">(Bopha in 2012 and Washi in 2011) to support </w:t>
      </w:r>
      <w:r w:rsidR="00757A0D">
        <w:rPr>
          <w:rFonts w:ascii="Franklin Gothic Book" w:eastAsia="Calibri" w:hAnsi="Franklin Gothic Book"/>
          <w:sz w:val="21"/>
          <w:szCs w:val="21"/>
          <w:lang w:eastAsia="en-US"/>
        </w:rPr>
        <w:t xml:space="preserve">recovery and </w:t>
      </w:r>
      <w:r w:rsidR="00C7590B">
        <w:rPr>
          <w:rFonts w:ascii="Franklin Gothic Book" w:eastAsia="Calibri" w:hAnsi="Franklin Gothic Book"/>
          <w:sz w:val="21"/>
          <w:szCs w:val="21"/>
          <w:lang w:eastAsia="en-US"/>
        </w:rPr>
        <w:t>efforts to build</w:t>
      </w:r>
      <w:r w:rsidR="00757A0D">
        <w:rPr>
          <w:rFonts w:ascii="Franklin Gothic Book" w:eastAsia="Calibri" w:hAnsi="Franklin Gothic Book"/>
          <w:sz w:val="21"/>
          <w:szCs w:val="21"/>
          <w:lang w:eastAsia="en-US"/>
        </w:rPr>
        <w:t xml:space="preserve"> back better. </w:t>
      </w:r>
      <w:r w:rsidR="00700A1C">
        <w:rPr>
          <w:rFonts w:ascii="Franklin Gothic Book" w:eastAsia="Calibri" w:hAnsi="Franklin Gothic Book"/>
          <w:sz w:val="21"/>
          <w:szCs w:val="21"/>
          <w:lang w:eastAsia="en-US"/>
        </w:rPr>
        <w:t xml:space="preserve">Through our assistance, the </w:t>
      </w:r>
      <w:r w:rsidR="00757A0D">
        <w:rPr>
          <w:rFonts w:ascii="Franklin Gothic Book" w:eastAsia="Calibri" w:hAnsi="Franklin Gothic Book"/>
          <w:sz w:val="21"/>
          <w:szCs w:val="21"/>
          <w:lang w:eastAsia="en-US"/>
        </w:rPr>
        <w:t xml:space="preserve">capacity of local officials </w:t>
      </w:r>
      <w:r w:rsidR="00700A1C">
        <w:rPr>
          <w:rFonts w:ascii="Franklin Gothic Book" w:eastAsia="Calibri" w:hAnsi="Franklin Gothic Book"/>
          <w:sz w:val="21"/>
          <w:szCs w:val="21"/>
          <w:lang w:eastAsia="en-US"/>
        </w:rPr>
        <w:t xml:space="preserve">in four provinces </w:t>
      </w:r>
      <w:r w:rsidR="003D7099">
        <w:rPr>
          <w:rFonts w:ascii="Franklin Gothic Book" w:eastAsia="Calibri" w:hAnsi="Franklin Gothic Book"/>
          <w:sz w:val="21"/>
          <w:szCs w:val="21"/>
          <w:lang w:eastAsia="en-US"/>
        </w:rPr>
        <w:t xml:space="preserve">was </w:t>
      </w:r>
      <w:r w:rsidR="00700A1C">
        <w:rPr>
          <w:rFonts w:ascii="Franklin Gothic Book" w:eastAsia="Calibri" w:hAnsi="Franklin Gothic Book"/>
          <w:sz w:val="21"/>
          <w:szCs w:val="21"/>
          <w:lang w:eastAsia="en-US"/>
        </w:rPr>
        <w:t>increased in terms of generating</w:t>
      </w:r>
      <w:r w:rsidR="00757A0D">
        <w:rPr>
          <w:rFonts w:ascii="Franklin Gothic Book" w:eastAsia="Calibri" w:hAnsi="Franklin Gothic Book"/>
          <w:sz w:val="21"/>
          <w:szCs w:val="21"/>
          <w:lang w:eastAsia="en-US"/>
        </w:rPr>
        <w:t xml:space="preserve"> multi-hazard and risk maps, </w:t>
      </w:r>
      <w:r w:rsidR="00700A1C">
        <w:rPr>
          <w:rFonts w:ascii="Franklin Gothic Book" w:eastAsia="Calibri" w:hAnsi="Franklin Gothic Book"/>
          <w:sz w:val="21"/>
          <w:szCs w:val="21"/>
          <w:lang w:eastAsia="en-US"/>
        </w:rPr>
        <w:t>land use planning</w:t>
      </w:r>
      <w:r w:rsidR="00757A0D">
        <w:rPr>
          <w:rFonts w:ascii="Franklin Gothic Book" w:eastAsia="Calibri" w:hAnsi="Franklin Gothic Book"/>
          <w:sz w:val="21"/>
          <w:szCs w:val="21"/>
          <w:lang w:eastAsia="en-US"/>
        </w:rPr>
        <w:t>, and deliver</w:t>
      </w:r>
      <w:r w:rsidR="00700A1C">
        <w:rPr>
          <w:rFonts w:ascii="Franklin Gothic Book" w:eastAsia="Calibri" w:hAnsi="Franklin Gothic Book"/>
          <w:sz w:val="21"/>
          <w:szCs w:val="21"/>
          <w:lang w:eastAsia="en-US"/>
        </w:rPr>
        <w:t>y</w:t>
      </w:r>
      <w:r w:rsidR="00757A0D">
        <w:rPr>
          <w:rFonts w:ascii="Franklin Gothic Book" w:eastAsia="Calibri" w:hAnsi="Franklin Gothic Book"/>
          <w:sz w:val="21"/>
          <w:szCs w:val="21"/>
          <w:lang w:eastAsia="en-US"/>
        </w:rPr>
        <w:t xml:space="preserve"> </w:t>
      </w:r>
      <w:r w:rsidR="00017CD3">
        <w:rPr>
          <w:rFonts w:ascii="Franklin Gothic Book" w:eastAsia="Calibri" w:hAnsi="Franklin Gothic Book"/>
          <w:sz w:val="21"/>
          <w:szCs w:val="21"/>
          <w:lang w:eastAsia="en-US"/>
        </w:rPr>
        <w:t xml:space="preserve">of </w:t>
      </w:r>
      <w:r w:rsidR="00757A0D">
        <w:rPr>
          <w:rFonts w:ascii="Franklin Gothic Book" w:eastAsia="Calibri" w:hAnsi="Franklin Gothic Book"/>
          <w:sz w:val="21"/>
          <w:szCs w:val="21"/>
          <w:lang w:eastAsia="en-US"/>
        </w:rPr>
        <w:t xml:space="preserve">community-based disaster risk management plans.  </w:t>
      </w:r>
    </w:p>
    <w:p w:rsidR="00757A0D" w:rsidRDefault="00757A0D" w:rsidP="00757A0D">
      <w:pPr>
        <w:spacing w:after="200" w:line="276" w:lineRule="auto"/>
        <w:rPr>
          <w:rFonts w:ascii="Franklin Gothic Book" w:eastAsia="Calibri" w:hAnsi="Franklin Gothic Book"/>
          <w:sz w:val="21"/>
          <w:szCs w:val="21"/>
          <w:lang w:eastAsia="en-US"/>
        </w:rPr>
      </w:pPr>
      <w:r>
        <w:rPr>
          <w:rFonts w:ascii="Franklin Gothic Book" w:eastAsia="Calibri" w:hAnsi="Franklin Gothic Book"/>
          <w:sz w:val="21"/>
          <w:szCs w:val="21"/>
          <w:lang w:eastAsia="en-US"/>
        </w:rPr>
        <w:t xml:space="preserve">Australia is supporting the </w:t>
      </w:r>
      <w:r w:rsidR="004B5B8F">
        <w:rPr>
          <w:rFonts w:ascii="Franklin Gothic Book" w:eastAsia="Calibri" w:hAnsi="Franklin Gothic Book"/>
          <w:sz w:val="21"/>
          <w:szCs w:val="21"/>
          <w:lang w:eastAsia="en-US"/>
        </w:rPr>
        <w:t>Philippine Government</w:t>
      </w:r>
      <w:r w:rsidR="007F1ADA">
        <w:rPr>
          <w:rFonts w:ascii="Franklin Gothic Book" w:eastAsia="Calibri" w:hAnsi="Franklin Gothic Book"/>
          <w:sz w:val="21"/>
          <w:szCs w:val="21"/>
          <w:lang w:eastAsia="en-US"/>
        </w:rPr>
        <w:t>’s</w:t>
      </w:r>
      <w:r>
        <w:rPr>
          <w:rFonts w:ascii="Franklin Gothic Book" w:eastAsia="Calibri" w:hAnsi="Franklin Gothic Book"/>
          <w:sz w:val="21"/>
          <w:szCs w:val="21"/>
          <w:lang w:eastAsia="en-US"/>
        </w:rPr>
        <w:t xml:space="preserve"> strategy of providing safer housing options and relocating informal </w:t>
      </w:r>
      <w:r w:rsidR="007F1ADA">
        <w:rPr>
          <w:rFonts w:ascii="Franklin Gothic Book" w:eastAsia="Calibri" w:hAnsi="Franklin Gothic Book"/>
          <w:sz w:val="21"/>
          <w:szCs w:val="21"/>
          <w:lang w:eastAsia="en-US"/>
        </w:rPr>
        <w:t xml:space="preserve">settlers </w:t>
      </w:r>
      <w:r>
        <w:rPr>
          <w:rFonts w:ascii="Franklin Gothic Book" w:eastAsia="Calibri" w:hAnsi="Franklin Gothic Book"/>
          <w:sz w:val="21"/>
          <w:szCs w:val="21"/>
          <w:lang w:eastAsia="en-US"/>
        </w:rPr>
        <w:t xml:space="preserve">living in danger zones </w:t>
      </w:r>
      <w:r w:rsidR="00700A1C">
        <w:rPr>
          <w:rFonts w:ascii="Franklin Gothic Book" w:eastAsia="Calibri" w:hAnsi="Franklin Gothic Book"/>
          <w:sz w:val="21"/>
          <w:szCs w:val="21"/>
          <w:lang w:eastAsia="en-US"/>
        </w:rPr>
        <w:t>(</w:t>
      </w:r>
      <w:r>
        <w:rPr>
          <w:rFonts w:ascii="Franklin Gothic Book" w:eastAsia="Calibri" w:hAnsi="Franklin Gothic Book"/>
          <w:sz w:val="21"/>
          <w:szCs w:val="21"/>
          <w:lang w:eastAsia="en-US"/>
        </w:rPr>
        <w:t>alongside Metro Manila waterways</w:t>
      </w:r>
      <w:r w:rsidR="00700A1C">
        <w:rPr>
          <w:rFonts w:ascii="Franklin Gothic Book" w:eastAsia="Calibri" w:hAnsi="Franklin Gothic Book"/>
          <w:sz w:val="21"/>
          <w:szCs w:val="21"/>
          <w:lang w:eastAsia="en-US"/>
        </w:rPr>
        <w:t>)</w:t>
      </w:r>
      <w:r>
        <w:rPr>
          <w:rFonts w:ascii="Franklin Gothic Book" w:eastAsia="Calibri" w:hAnsi="Franklin Gothic Book"/>
          <w:sz w:val="21"/>
          <w:szCs w:val="21"/>
          <w:lang w:eastAsia="en-US"/>
        </w:rPr>
        <w:t>.  As a result of this assistance, the first detailed demographic analysis of informal settler</w:t>
      </w:r>
      <w:r w:rsidR="007F1ADA">
        <w:rPr>
          <w:rFonts w:ascii="Franklin Gothic Book" w:eastAsia="Calibri" w:hAnsi="Franklin Gothic Book"/>
          <w:sz w:val="21"/>
          <w:szCs w:val="21"/>
          <w:lang w:eastAsia="en-US"/>
        </w:rPr>
        <w:t>s</w:t>
      </w:r>
      <w:r>
        <w:rPr>
          <w:rFonts w:ascii="Franklin Gothic Book" w:eastAsia="Calibri" w:hAnsi="Franklin Gothic Book"/>
          <w:sz w:val="21"/>
          <w:szCs w:val="21"/>
          <w:lang w:eastAsia="en-US"/>
        </w:rPr>
        <w:t xml:space="preserve"> in Metro Manila was undertaken, informing resettlement planning and improving the delivery of social services.  </w:t>
      </w:r>
      <w:r w:rsidR="00700A1C">
        <w:rPr>
          <w:rFonts w:ascii="Franklin Gothic Book" w:eastAsia="Calibri" w:hAnsi="Franklin Gothic Book"/>
          <w:sz w:val="21"/>
          <w:szCs w:val="21"/>
          <w:lang w:eastAsia="en-US"/>
        </w:rPr>
        <w:t>T</w:t>
      </w:r>
      <w:r>
        <w:rPr>
          <w:rFonts w:ascii="Franklin Gothic Book" w:eastAsia="Calibri" w:hAnsi="Franklin Gothic Book"/>
          <w:sz w:val="21"/>
          <w:szCs w:val="21"/>
          <w:lang w:eastAsia="en-US"/>
        </w:rPr>
        <w:t xml:space="preserve">wo community-generated resettlement programs </w:t>
      </w:r>
      <w:r w:rsidR="00700A1C" w:rsidRPr="00700A1C">
        <w:rPr>
          <w:rFonts w:ascii="Franklin Gothic Book" w:eastAsia="Calibri" w:hAnsi="Franklin Gothic Book"/>
          <w:sz w:val="21"/>
          <w:szCs w:val="21"/>
          <w:lang w:eastAsia="en-US"/>
        </w:rPr>
        <w:t>are now</w:t>
      </w:r>
      <w:r w:rsidRPr="00700A1C">
        <w:rPr>
          <w:rFonts w:ascii="Franklin Gothic Book" w:eastAsia="Calibri" w:hAnsi="Franklin Gothic Book"/>
          <w:sz w:val="21"/>
          <w:szCs w:val="21"/>
          <w:lang w:eastAsia="en-US"/>
        </w:rPr>
        <w:t xml:space="preserve"> benefitting 3,000 informal settler families </w:t>
      </w:r>
      <w:r w:rsidR="00700A1C" w:rsidRPr="00700A1C">
        <w:rPr>
          <w:rFonts w:ascii="Franklin Gothic Book" w:eastAsia="Calibri" w:hAnsi="Franklin Gothic Book"/>
          <w:sz w:val="21"/>
          <w:szCs w:val="21"/>
          <w:lang w:eastAsia="en-US"/>
        </w:rPr>
        <w:t>(</w:t>
      </w:r>
      <w:r w:rsidRPr="00700A1C">
        <w:rPr>
          <w:rFonts w:ascii="Franklin Gothic Book" w:eastAsia="Calibri" w:hAnsi="Franklin Gothic Book"/>
          <w:sz w:val="21"/>
          <w:szCs w:val="21"/>
          <w:lang w:eastAsia="en-US"/>
        </w:rPr>
        <w:t xml:space="preserve">funded by the </w:t>
      </w:r>
      <w:r w:rsidR="004B5B8F">
        <w:rPr>
          <w:rFonts w:ascii="Franklin Gothic Book" w:eastAsia="Calibri" w:hAnsi="Franklin Gothic Book"/>
          <w:sz w:val="21"/>
          <w:szCs w:val="21"/>
          <w:lang w:eastAsia="en-US"/>
        </w:rPr>
        <w:t>Philippine Government</w:t>
      </w:r>
      <w:r w:rsidR="00700A1C" w:rsidRPr="00700A1C">
        <w:rPr>
          <w:rFonts w:ascii="Franklin Gothic Book" w:eastAsia="Calibri" w:hAnsi="Franklin Gothic Book"/>
          <w:sz w:val="21"/>
          <w:szCs w:val="21"/>
          <w:lang w:eastAsia="en-US"/>
        </w:rPr>
        <w:t>)</w:t>
      </w:r>
      <w:r w:rsidRPr="00700A1C">
        <w:rPr>
          <w:rFonts w:ascii="Franklin Gothic Book" w:eastAsia="Calibri" w:hAnsi="Franklin Gothic Book"/>
          <w:sz w:val="21"/>
          <w:szCs w:val="21"/>
          <w:lang w:eastAsia="en-US"/>
        </w:rPr>
        <w:t xml:space="preserve"> and </w:t>
      </w:r>
      <w:r w:rsidR="00700A1C" w:rsidRPr="00700A1C">
        <w:rPr>
          <w:rFonts w:ascii="Franklin Gothic Book" w:eastAsia="Calibri" w:hAnsi="Franklin Gothic Book"/>
          <w:sz w:val="21"/>
          <w:szCs w:val="21"/>
          <w:lang w:eastAsia="en-US"/>
        </w:rPr>
        <w:t>60 communities with a high number of informal settlers</w:t>
      </w:r>
      <w:r w:rsidR="007F1ADA">
        <w:rPr>
          <w:rFonts w:ascii="Franklin Gothic Book" w:eastAsia="Calibri" w:hAnsi="Franklin Gothic Book"/>
          <w:sz w:val="21"/>
          <w:szCs w:val="21"/>
          <w:lang w:eastAsia="en-US"/>
        </w:rPr>
        <w:t>,</w:t>
      </w:r>
      <w:r w:rsidR="00700A1C" w:rsidRPr="00700A1C">
        <w:rPr>
          <w:rFonts w:ascii="Franklin Gothic Book" w:eastAsia="Calibri" w:hAnsi="Franklin Gothic Book"/>
          <w:sz w:val="21"/>
          <w:szCs w:val="21"/>
          <w:lang w:eastAsia="en-US"/>
        </w:rPr>
        <w:t xml:space="preserve"> have been trained on </w:t>
      </w:r>
      <w:r w:rsidRPr="00700A1C">
        <w:rPr>
          <w:rFonts w:ascii="Franklin Gothic Book" w:eastAsia="Calibri" w:hAnsi="Franklin Gothic Book"/>
          <w:sz w:val="21"/>
          <w:szCs w:val="21"/>
          <w:lang w:eastAsia="en-US"/>
        </w:rPr>
        <w:t>community-based</w:t>
      </w:r>
      <w:r>
        <w:rPr>
          <w:rFonts w:ascii="Franklin Gothic Book" w:eastAsia="Calibri" w:hAnsi="Franklin Gothic Book"/>
          <w:sz w:val="21"/>
          <w:szCs w:val="21"/>
          <w:lang w:eastAsia="en-US"/>
        </w:rPr>
        <w:t xml:space="preserve"> disaster risk management.</w:t>
      </w:r>
      <w:r w:rsidR="00C414B3">
        <w:rPr>
          <w:rFonts w:ascii="Franklin Gothic Book" w:eastAsia="Calibri" w:hAnsi="Franklin Gothic Book"/>
          <w:sz w:val="21"/>
          <w:szCs w:val="21"/>
          <w:lang w:eastAsia="en-US"/>
        </w:rPr>
        <w:t xml:space="preserve"> </w:t>
      </w:r>
    </w:p>
    <w:p w:rsidR="00AA6010" w:rsidRDefault="00AA6010" w:rsidP="00C00586">
      <w:pPr>
        <w:pStyle w:val="Heading3"/>
      </w:pPr>
      <w:r w:rsidRPr="00C00586">
        <w:t>Objective 4:  Improving conditions for peace and security</w:t>
      </w:r>
    </w:p>
    <w:tbl>
      <w:tblPr>
        <w:tblStyle w:val="TableGrid"/>
        <w:tblW w:w="0" w:type="auto"/>
        <w:tblInd w:w="108" w:type="dxa"/>
        <w:tblLook w:val="04A0" w:firstRow="1" w:lastRow="0" w:firstColumn="1" w:lastColumn="0" w:noHBand="0" w:noVBand="1"/>
      </w:tblPr>
      <w:tblGrid>
        <w:gridCol w:w="731"/>
        <w:gridCol w:w="754"/>
      </w:tblGrid>
      <w:tr w:rsidR="00B96759" w:rsidRPr="00391D7A" w:rsidTr="00B96759">
        <w:trPr>
          <w:trHeight w:val="341"/>
        </w:trPr>
        <w:tc>
          <w:tcPr>
            <w:tcW w:w="0" w:type="auto"/>
            <w:tcBorders>
              <w:top w:val="nil"/>
              <w:left w:val="nil"/>
              <w:bottom w:val="nil"/>
              <w:right w:val="nil"/>
            </w:tcBorders>
          </w:tcPr>
          <w:p w:rsidR="00B96759" w:rsidRPr="00FA4A27" w:rsidRDefault="00B96759" w:rsidP="00FA4A27">
            <w:pPr>
              <w:pStyle w:val="BodyText"/>
              <w:ind w:hanging="108"/>
              <w:rPr>
                <w:szCs w:val="21"/>
                <w:lang w:eastAsia="zh-CN"/>
              </w:rPr>
            </w:pPr>
            <w:r w:rsidRPr="00FA4A27">
              <w:rPr>
                <w:szCs w:val="21"/>
                <w:lang w:eastAsia="zh-CN"/>
              </w:rPr>
              <w:t xml:space="preserve">Rating: </w:t>
            </w:r>
          </w:p>
        </w:tc>
        <w:tc>
          <w:tcPr>
            <w:tcW w:w="0" w:type="auto"/>
            <w:tcBorders>
              <w:top w:val="nil"/>
              <w:left w:val="nil"/>
              <w:bottom w:val="nil"/>
              <w:right w:val="nil"/>
            </w:tcBorders>
            <w:shd w:val="clear" w:color="auto" w:fill="92D050"/>
          </w:tcPr>
          <w:p w:rsidR="00B96759" w:rsidRPr="00FA4A27" w:rsidRDefault="00B96759" w:rsidP="00C15D68">
            <w:pPr>
              <w:pStyle w:val="BodyText"/>
              <w:jc w:val="center"/>
              <w:rPr>
                <w:szCs w:val="21"/>
                <w:lang w:eastAsia="zh-CN"/>
              </w:rPr>
            </w:pPr>
            <w:r w:rsidRPr="00FA4A27">
              <w:rPr>
                <w:szCs w:val="21"/>
                <w:lang w:eastAsia="zh-CN"/>
              </w:rPr>
              <w:t>Green</w:t>
            </w:r>
          </w:p>
        </w:tc>
      </w:tr>
    </w:tbl>
    <w:p w:rsidR="00B96759" w:rsidRPr="00FA4A27" w:rsidRDefault="00B96759" w:rsidP="00FA4A27">
      <w:pPr>
        <w:pStyle w:val="BodyText"/>
      </w:pPr>
    </w:p>
    <w:p w:rsidR="00AF365E" w:rsidRDefault="00EB1010" w:rsidP="00AF365E">
      <w:pPr>
        <w:spacing w:after="200" w:line="276" w:lineRule="auto"/>
        <w:rPr>
          <w:rFonts w:ascii="Franklin Gothic Book" w:eastAsia="Calibri" w:hAnsi="Franklin Gothic Book"/>
          <w:sz w:val="21"/>
          <w:szCs w:val="21"/>
          <w:lang w:eastAsia="en-US"/>
        </w:rPr>
      </w:pPr>
      <w:r w:rsidRPr="00F94260">
        <w:rPr>
          <w:rFonts w:ascii="Franklin Gothic Book" w:eastAsia="Calibri" w:hAnsi="Franklin Gothic Book"/>
          <w:sz w:val="21"/>
          <w:szCs w:val="21"/>
          <w:lang w:eastAsia="en-US"/>
        </w:rPr>
        <w:t xml:space="preserve">The objective </w:t>
      </w:r>
      <w:r w:rsidR="00915B4F">
        <w:rPr>
          <w:rFonts w:ascii="Franklin Gothic Book" w:eastAsia="Calibri" w:hAnsi="Franklin Gothic Book"/>
          <w:sz w:val="21"/>
          <w:szCs w:val="21"/>
          <w:lang w:eastAsia="en-US"/>
        </w:rPr>
        <w:t xml:space="preserve">is </w:t>
      </w:r>
      <w:r w:rsidRPr="00F94260">
        <w:rPr>
          <w:rFonts w:ascii="Franklin Gothic Book" w:eastAsia="Calibri" w:hAnsi="Franklin Gothic Book"/>
          <w:sz w:val="21"/>
          <w:szCs w:val="21"/>
          <w:lang w:eastAsia="en-US"/>
        </w:rPr>
        <w:t xml:space="preserve">rated </w:t>
      </w:r>
      <w:r w:rsidR="001157BA" w:rsidRPr="00F94260">
        <w:rPr>
          <w:rFonts w:ascii="Franklin Gothic Book" w:eastAsia="Calibri" w:hAnsi="Franklin Gothic Book"/>
          <w:sz w:val="21"/>
          <w:szCs w:val="21"/>
          <w:lang w:eastAsia="en-US"/>
        </w:rPr>
        <w:t>green</w:t>
      </w:r>
      <w:r w:rsidR="009C6139">
        <w:rPr>
          <w:rFonts w:ascii="Franklin Gothic Book" w:eastAsia="Calibri" w:hAnsi="Franklin Gothic Book"/>
          <w:sz w:val="21"/>
          <w:szCs w:val="21"/>
          <w:lang w:eastAsia="en-US"/>
        </w:rPr>
        <w:t xml:space="preserve">.  </w:t>
      </w:r>
      <w:r w:rsidR="00915B4F">
        <w:rPr>
          <w:rFonts w:ascii="Franklin Gothic Book" w:eastAsia="Calibri" w:hAnsi="Franklin Gothic Book"/>
          <w:sz w:val="21"/>
          <w:szCs w:val="21"/>
          <w:lang w:eastAsia="en-US"/>
        </w:rPr>
        <w:t>P</w:t>
      </w:r>
      <w:r w:rsidRPr="00F94260">
        <w:rPr>
          <w:rFonts w:ascii="Franklin Gothic Book" w:eastAsia="Calibri" w:hAnsi="Franklin Gothic Book"/>
          <w:sz w:val="21"/>
          <w:szCs w:val="21"/>
          <w:lang w:eastAsia="en-US"/>
        </w:rPr>
        <w:t xml:space="preserve">rogram progress </w:t>
      </w:r>
      <w:r w:rsidR="00F94260">
        <w:rPr>
          <w:rFonts w:ascii="Franklin Gothic Book" w:eastAsia="Calibri" w:hAnsi="Franklin Gothic Book"/>
          <w:sz w:val="21"/>
          <w:szCs w:val="21"/>
          <w:lang w:eastAsia="en-US"/>
        </w:rPr>
        <w:t xml:space="preserve">was as anticipated and was able to </w:t>
      </w:r>
      <w:r w:rsidR="00915B4F">
        <w:rPr>
          <w:rFonts w:ascii="Franklin Gothic Book" w:eastAsia="Calibri" w:hAnsi="Franklin Gothic Book"/>
          <w:sz w:val="21"/>
          <w:szCs w:val="21"/>
          <w:lang w:eastAsia="en-US"/>
        </w:rPr>
        <w:t xml:space="preserve">adapt </w:t>
      </w:r>
      <w:r w:rsidR="00F94260">
        <w:rPr>
          <w:rFonts w:ascii="Franklin Gothic Book" w:eastAsia="Calibri" w:hAnsi="Franklin Gothic Book"/>
          <w:sz w:val="21"/>
          <w:szCs w:val="21"/>
          <w:lang w:eastAsia="en-US"/>
        </w:rPr>
        <w:t>to</w:t>
      </w:r>
      <w:r w:rsidR="00915B4F">
        <w:rPr>
          <w:rFonts w:ascii="Franklin Gothic Book" w:eastAsia="Calibri" w:hAnsi="Franklin Gothic Book"/>
          <w:sz w:val="21"/>
          <w:szCs w:val="21"/>
          <w:lang w:eastAsia="en-US"/>
        </w:rPr>
        <w:t xml:space="preserve"> the changing political context, particularly in response to the </w:t>
      </w:r>
      <w:r w:rsidR="00473858">
        <w:rPr>
          <w:rFonts w:ascii="Franklin Gothic Book" w:eastAsia="Calibri" w:hAnsi="Franklin Gothic Book"/>
          <w:sz w:val="21"/>
          <w:szCs w:val="21"/>
          <w:lang w:eastAsia="en-US"/>
        </w:rPr>
        <w:t>signing of the Comprehensive Agreement on the Bangsamoro</w:t>
      </w:r>
      <w:r w:rsidR="00915B4F">
        <w:rPr>
          <w:rFonts w:ascii="Franklin Gothic Book" w:eastAsia="Calibri" w:hAnsi="Franklin Gothic Book"/>
          <w:sz w:val="21"/>
          <w:szCs w:val="21"/>
          <w:lang w:eastAsia="en-US"/>
        </w:rPr>
        <w:t>.</w:t>
      </w:r>
    </w:p>
    <w:p w:rsidR="00AA6010" w:rsidRDefault="00B62DEA" w:rsidP="00AA6010">
      <w:pPr>
        <w:spacing w:after="200" w:line="276" w:lineRule="auto"/>
        <w:rPr>
          <w:rFonts w:ascii="Franklin Gothic Book" w:eastAsia="Calibri" w:hAnsi="Franklin Gothic Book"/>
          <w:sz w:val="21"/>
          <w:szCs w:val="21"/>
          <w:lang w:eastAsia="en-US"/>
        </w:rPr>
      </w:pPr>
      <w:r>
        <w:rPr>
          <w:rFonts w:ascii="Franklin Gothic Book" w:eastAsia="Calibri" w:hAnsi="Franklin Gothic Book"/>
          <w:sz w:val="21"/>
          <w:szCs w:val="21"/>
          <w:lang w:eastAsia="en-US"/>
        </w:rPr>
        <w:lastRenderedPageBreak/>
        <w:t xml:space="preserve">The </w:t>
      </w:r>
      <w:r w:rsidR="004B5B8F">
        <w:rPr>
          <w:rFonts w:ascii="Franklin Gothic Book" w:eastAsia="Calibri" w:hAnsi="Franklin Gothic Book"/>
          <w:sz w:val="21"/>
          <w:szCs w:val="21"/>
          <w:lang w:eastAsia="en-US"/>
        </w:rPr>
        <w:t>Philippine Government</w:t>
      </w:r>
      <w:r>
        <w:rPr>
          <w:rFonts w:ascii="Franklin Gothic Book" w:eastAsia="Calibri" w:hAnsi="Franklin Gothic Book"/>
          <w:sz w:val="21"/>
          <w:szCs w:val="21"/>
          <w:lang w:eastAsia="en-US"/>
        </w:rPr>
        <w:t xml:space="preserve"> and the Moro Islamic Liberation Front </w:t>
      </w:r>
      <w:r w:rsidR="00E071C0">
        <w:rPr>
          <w:rFonts w:ascii="Franklin Gothic Book" w:eastAsia="Calibri" w:hAnsi="Franklin Gothic Book"/>
          <w:sz w:val="21"/>
          <w:szCs w:val="21"/>
          <w:lang w:eastAsia="en-US"/>
        </w:rPr>
        <w:t xml:space="preserve">(MILF) </w:t>
      </w:r>
      <w:r w:rsidR="00DB46D0">
        <w:rPr>
          <w:rFonts w:ascii="Franklin Gothic Book" w:eastAsia="Calibri" w:hAnsi="Franklin Gothic Book"/>
          <w:sz w:val="21"/>
          <w:szCs w:val="21"/>
          <w:lang w:eastAsia="en-US"/>
        </w:rPr>
        <w:t xml:space="preserve">successfully concluded </w:t>
      </w:r>
      <w:r>
        <w:rPr>
          <w:rFonts w:ascii="Franklin Gothic Book" w:eastAsia="Calibri" w:hAnsi="Franklin Gothic Book"/>
          <w:sz w:val="21"/>
          <w:szCs w:val="21"/>
          <w:lang w:eastAsia="en-US"/>
        </w:rPr>
        <w:t xml:space="preserve">peace negotiations through the Comprehensive Agreement on the Bangsamoro.  </w:t>
      </w:r>
      <w:r w:rsidR="009C6139" w:rsidRPr="00F94260">
        <w:rPr>
          <w:rFonts w:ascii="Franklin Gothic Book" w:eastAsia="Calibri" w:hAnsi="Franklin Gothic Book"/>
          <w:sz w:val="21"/>
          <w:szCs w:val="21"/>
          <w:lang w:eastAsia="en-US"/>
        </w:rPr>
        <w:t xml:space="preserve">Australia’s support to the peace process was publicly acknowledged by President Aquino in his speech during the signing of the </w:t>
      </w:r>
      <w:r w:rsidR="009C6139">
        <w:rPr>
          <w:rFonts w:ascii="Franklin Gothic Book" w:eastAsia="Calibri" w:hAnsi="Franklin Gothic Book"/>
          <w:sz w:val="21"/>
          <w:szCs w:val="21"/>
          <w:lang w:eastAsia="en-US"/>
        </w:rPr>
        <w:t xml:space="preserve">agreement </w:t>
      </w:r>
      <w:r w:rsidR="009C6139" w:rsidRPr="00F94260">
        <w:rPr>
          <w:rFonts w:ascii="Franklin Gothic Book" w:eastAsia="Calibri" w:hAnsi="Franklin Gothic Book"/>
          <w:sz w:val="21"/>
          <w:szCs w:val="21"/>
          <w:lang w:eastAsia="en-US"/>
        </w:rPr>
        <w:t xml:space="preserve">(27 March 2014): </w:t>
      </w:r>
      <w:r w:rsidR="009C6139" w:rsidRPr="00F94260">
        <w:rPr>
          <w:rFonts w:ascii="Franklin Gothic Book" w:eastAsia="Calibri" w:hAnsi="Franklin Gothic Book"/>
          <w:iCs/>
          <w:sz w:val="21"/>
          <w:szCs w:val="21"/>
          <w:lang w:eastAsia="en-US"/>
        </w:rPr>
        <w:t>“</w:t>
      </w:r>
      <w:r w:rsidR="009C6139" w:rsidRPr="00F94260">
        <w:rPr>
          <w:rFonts w:ascii="Franklin Gothic Book" w:eastAsia="Calibri" w:hAnsi="Franklin Gothic Book"/>
          <w:i/>
          <w:iCs/>
          <w:sz w:val="21"/>
          <w:szCs w:val="21"/>
          <w:lang w:eastAsia="en-US"/>
        </w:rPr>
        <w:t>We li</w:t>
      </w:r>
      <w:r w:rsidR="009C6139">
        <w:rPr>
          <w:rFonts w:ascii="Franklin Gothic Book" w:eastAsia="Calibri" w:hAnsi="Franklin Gothic Book"/>
          <w:i/>
          <w:iCs/>
          <w:sz w:val="21"/>
          <w:szCs w:val="21"/>
          <w:lang w:eastAsia="en-US"/>
        </w:rPr>
        <w:t>kewise thank all our partners…</w:t>
      </w:r>
      <w:r w:rsidR="009C6139" w:rsidRPr="00F94260">
        <w:rPr>
          <w:rFonts w:ascii="Franklin Gothic Book" w:eastAsia="Calibri" w:hAnsi="Franklin Gothic Book"/>
          <w:i/>
          <w:iCs/>
          <w:sz w:val="21"/>
          <w:szCs w:val="21"/>
          <w:lang w:eastAsia="en-US"/>
        </w:rPr>
        <w:t xml:space="preserve"> Australia and New Zealand for the Facility for Advisory Support for Transition Capacities (FASTRAC); and Australia once more for the OPAPP-DFAT Technical Assistance Facility and the Basic Education Assistance for Mindanao.”</w:t>
      </w:r>
      <w:r w:rsidR="009C6139" w:rsidRPr="00F94260">
        <w:rPr>
          <w:rFonts w:ascii="Franklin Gothic Book" w:eastAsia="Calibri" w:hAnsi="Franklin Gothic Book"/>
          <w:sz w:val="21"/>
          <w:szCs w:val="21"/>
          <w:lang w:eastAsia="en-US"/>
        </w:rPr>
        <w:t xml:space="preserve"> </w:t>
      </w:r>
      <w:r w:rsidR="00201E2C">
        <w:rPr>
          <w:rFonts w:ascii="Franklin Gothic Book" w:eastAsia="Calibri" w:hAnsi="Franklin Gothic Book"/>
          <w:sz w:val="21"/>
          <w:szCs w:val="21"/>
          <w:lang w:eastAsia="en-US"/>
        </w:rPr>
        <w:t xml:space="preserve">In response to this landmark agreement, Australian </w:t>
      </w:r>
      <w:r w:rsidR="00201E2C" w:rsidRPr="00F94260">
        <w:rPr>
          <w:rFonts w:ascii="Franklin Gothic Book" w:eastAsia="Calibri" w:hAnsi="Franklin Gothic Book"/>
          <w:sz w:val="21"/>
          <w:szCs w:val="21"/>
          <w:lang w:eastAsia="en-US"/>
        </w:rPr>
        <w:t xml:space="preserve">Foreign Minister, Julie Bishop, announced additional support to help boost institutional capacity to implement the peace agreement. </w:t>
      </w:r>
    </w:p>
    <w:p w:rsidR="00DE48C0" w:rsidRDefault="00793AD7" w:rsidP="00AA6010">
      <w:pPr>
        <w:spacing w:after="200" w:line="276" w:lineRule="auto"/>
        <w:rPr>
          <w:rFonts w:ascii="Franklin Gothic Book" w:eastAsia="Calibri" w:hAnsi="Franklin Gothic Book"/>
          <w:sz w:val="21"/>
          <w:szCs w:val="21"/>
          <w:lang w:eastAsia="en-US"/>
        </w:rPr>
      </w:pPr>
      <w:r w:rsidRPr="00DE48C0">
        <w:rPr>
          <w:rFonts w:ascii="Franklin Gothic Book" w:eastAsia="Calibri" w:hAnsi="Franklin Gothic Book"/>
          <w:sz w:val="21"/>
          <w:szCs w:val="21"/>
          <w:lang w:eastAsia="en-US"/>
        </w:rPr>
        <w:t xml:space="preserve">Australia’s </w:t>
      </w:r>
      <w:r w:rsidR="009C6139" w:rsidRPr="00DE48C0">
        <w:rPr>
          <w:rFonts w:ascii="Franklin Gothic Book" w:eastAsia="Calibri" w:hAnsi="Franklin Gothic Book"/>
          <w:sz w:val="21"/>
          <w:szCs w:val="21"/>
          <w:lang w:eastAsia="en-US"/>
        </w:rPr>
        <w:t>investments to peace and s</w:t>
      </w:r>
      <w:r w:rsidR="006C7D2A">
        <w:rPr>
          <w:rFonts w:ascii="Franklin Gothic Book" w:eastAsia="Calibri" w:hAnsi="Franklin Gothic Book"/>
          <w:sz w:val="21"/>
          <w:szCs w:val="21"/>
          <w:lang w:eastAsia="en-US"/>
        </w:rPr>
        <w:t>tability are relatively modest but t</w:t>
      </w:r>
      <w:r w:rsidR="009C6139" w:rsidRPr="00DE48C0">
        <w:rPr>
          <w:rFonts w:ascii="Franklin Gothic Book" w:eastAsia="Calibri" w:hAnsi="Franklin Gothic Book"/>
          <w:sz w:val="21"/>
          <w:szCs w:val="21"/>
          <w:lang w:eastAsia="en-US"/>
        </w:rPr>
        <w:t xml:space="preserve">he flexible nature of </w:t>
      </w:r>
      <w:r w:rsidR="00BE2A6D">
        <w:rPr>
          <w:rFonts w:ascii="Franklin Gothic Book" w:eastAsia="Calibri" w:hAnsi="Franklin Gothic Book"/>
          <w:sz w:val="21"/>
          <w:szCs w:val="21"/>
          <w:lang w:eastAsia="en-US"/>
        </w:rPr>
        <w:t xml:space="preserve">our </w:t>
      </w:r>
      <w:r w:rsidR="009C6139" w:rsidRPr="00DE48C0">
        <w:rPr>
          <w:rFonts w:ascii="Franklin Gothic Book" w:eastAsia="Calibri" w:hAnsi="Franklin Gothic Book"/>
          <w:sz w:val="21"/>
          <w:szCs w:val="21"/>
          <w:lang w:eastAsia="en-US"/>
        </w:rPr>
        <w:t>small grant</w:t>
      </w:r>
      <w:r w:rsidR="00C77FE9">
        <w:rPr>
          <w:rFonts w:ascii="Franklin Gothic Book" w:eastAsia="Calibri" w:hAnsi="Franklin Gothic Book"/>
          <w:sz w:val="21"/>
          <w:szCs w:val="21"/>
          <w:lang w:eastAsia="en-US"/>
        </w:rPr>
        <w:t>s</w:t>
      </w:r>
      <w:r w:rsidR="009C6139" w:rsidRPr="00DE48C0">
        <w:rPr>
          <w:rFonts w:ascii="Franklin Gothic Book" w:eastAsia="Calibri" w:hAnsi="Franklin Gothic Book"/>
          <w:sz w:val="21"/>
          <w:szCs w:val="21"/>
          <w:lang w:eastAsia="en-US"/>
        </w:rPr>
        <w:t xml:space="preserve"> </w:t>
      </w:r>
      <w:r w:rsidRPr="00DE48C0">
        <w:rPr>
          <w:rFonts w:ascii="Franklin Gothic Book" w:eastAsia="Calibri" w:hAnsi="Franklin Gothic Book"/>
          <w:sz w:val="21"/>
          <w:szCs w:val="21"/>
          <w:lang w:eastAsia="en-US"/>
        </w:rPr>
        <w:t>allowed for successful partnerships between government, non-government, and donor agencies</w:t>
      </w:r>
      <w:r w:rsidR="009C6139" w:rsidRPr="00DE48C0">
        <w:rPr>
          <w:rFonts w:ascii="Franklin Gothic Book" w:eastAsia="Calibri" w:hAnsi="Franklin Gothic Book"/>
          <w:sz w:val="21"/>
          <w:szCs w:val="21"/>
          <w:lang w:eastAsia="en-US"/>
        </w:rPr>
        <w:t xml:space="preserve">.  </w:t>
      </w:r>
      <w:r w:rsidR="00DE48C0">
        <w:rPr>
          <w:rFonts w:ascii="Franklin Gothic Book" w:eastAsia="Calibri" w:hAnsi="Franklin Gothic Book"/>
          <w:sz w:val="21"/>
          <w:szCs w:val="21"/>
          <w:lang w:eastAsia="en-US"/>
        </w:rPr>
        <w:t>One grant supported a range of workshops on business climate and investment with results used as inputs to t</w:t>
      </w:r>
      <w:r w:rsidR="00E2647C">
        <w:rPr>
          <w:rFonts w:ascii="Franklin Gothic Book" w:eastAsia="Calibri" w:hAnsi="Franklin Gothic Book"/>
          <w:sz w:val="21"/>
          <w:szCs w:val="21"/>
          <w:lang w:eastAsia="en-US"/>
        </w:rPr>
        <w:t>he Bangsamoro Development Plan.</w:t>
      </w:r>
      <w:r w:rsidR="00DE48C0">
        <w:rPr>
          <w:rFonts w:ascii="Franklin Gothic Book" w:eastAsia="Calibri" w:hAnsi="Franklin Gothic Book"/>
          <w:sz w:val="21"/>
          <w:szCs w:val="21"/>
          <w:lang w:eastAsia="en-US"/>
        </w:rPr>
        <w:t xml:space="preserve"> </w:t>
      </w:r>
      <w:r w:rsidR="00E2647C">
        <w:rPr>
          <w:rFonts w:ascii="Franklin Gothic Book" w:eastAsia="Calibri" w:hAnsi="Franklin Gothic Book"/>
          <w:sz w:val="21"/>
          <w:szCs w:val="21"/>
          <w:lang w:eastAsia="en-US"/>
        </w:rPr>
        <w:t xml:space="preserve"> </w:t>
      </w:r>
      <w:r w:rsidR="00DE48C0">
        <w:rPr>
          <w:rFonts w:ascii="Franklin Gothic Book" w:eastAsia="Calibri" w:hAnsi="Franklin Gothic Book"/>
          <w:sz w:val="21"/>
          <w:szCs w:val="21"/>
          <w:lang w:eastAsia="en-US"/>
        </w:rPr>
        <w:t xml:space="preserve">Our support to the Coalition for Bangsamoro Civil Society enabled local organisations to monitor and report on progress of governance reforms in </w:t>
      </w:r>
      <w:r w:rsidR="004E066A">
        <w:rPr>
          <w:rFonts w:ascii="Franklin Gothic Book" w:eastAsia="Calibri" w:hAnsi="Franklin Gothic Book"/>
          <w:sz w:val="21"/>
          <w:szCs w:val="21"/>
          <w:lang w:eastAsia="en-US"/>
        </w:rPr>
        <w:t xml:space="preserve">the </w:t>
      </w:r>
      <w:r w:rsidR="00DE48C0">
        <w:rPr>
          <w:rFonts w:ascii="Franklin Gothic Book" w:eastAsia="Calibri" w:hAnsi="Franklin Gothic Book"/>
          <w:sz w:val="21"/>
          <w:szCs w:val="21"/>
          <w:lang w:eastAsia="en-US"/>
        </w:rPr>
        <w:t>A</w:t>
      </w:r>
      <w:r w:rsidR="004E066A">
        <w:rPr>
          <w:rFonts w:ascii="Franklin Gothic Book" w:eastAsia="Calibri" w:hAnsi="Franklin Gothic Book"/>
          <w:sz w:val="21"/>
          <w:szCs w:val="21"/>
          <w:lang w:eastAsia="en-US"/>
        </w:rPr>
        <w:t>utonomous Region of Muslim Mindanao.</w:t>
      </w:r>
      <w:r w:rsidR="00C77FE9">
        <w:rPr>
          <w:rFonts w:ascii="Franklin Gothic Book" w:eastAsia="Calibri" w:hAnsi="Franklin Gothic Book"/>
          <w:sz w:val="21"/>
          <w:szCs w:val="21"/>
          <w:lang w:eastAsia="en-US"/>
        </w:rPr>
        <w:t xml:space="preserve"> </w:t>
      </w:r>
      <w:r w:rsidR="006C7D2A" w:rsidRPr="00BE2A6D">
        <w:rPr>
          <w:rFonts w:ascii="Franklin Gothic Book" w:eastAsia="Calibri" w:hAnsi="Franklin Gothic Book"/>
          <w:color w:val="000000"/>
          <w:sz w:val="21"/>
          <w:szCs w:val="21"/>
          <w:lang w:eastAsia="en-US"/>
        </w:rPr>
        <w:t>Australia</w:t>
      </w:r>
      <w:r w:rsidR="006C7D2A">
        <w:rPr>
          <w:rFonts w:ascii="Franklin Gothic Book" w:eastAsia="Calibri" w:hAnsi="Franklin Gothic Book"/>
          <w:color w:val="000000"/>
          <w:sz w:val="21"/>
          <w:szCs w:val="21"/>
          <w:lang w:eastAsia="en-US"/>
        </w:rPr>
        <w:t>’s</w:t>
      </w:r>
      <w:r w:rsidR="006C7D2A" w:rsidRPr="00BE2A6D">
        <w:rPr>
          <w:rFonts w:ascii="Franklin Gothic Book" w:eastAsia="Calibri" w:hAnsi="Franklin Gothic Book"/>
          <w:color w:val="000000"/>
          <w:sz w:val="21"/>
          <w:szCs w:val="21"/>
          <w:lang w:eastAsia="en-US"/>
        </w:rPr>
        <w:t xml:space="preserve"> </w:t>
      </w:r>
      <w:r w:rsidR="006C7D2A">
        <w:rPr>
          <w:rFonts w:ascii="Franklin Gothic Book" w:eastAsia="Calibri" w:hAnsi="Franklin Gothic Book"/>
          <w:color w:val="000000"/>
          <w:sz w:val="21"/>
          <w:szCs w:val="21"/>
          <w:lang w:eastAsia="en-US"/>
        </w:rPr>
        <w:t xml:space="preserve">support </w:t>
      </w:r>
      <w:r w:rsidR="006C7D2A" w:rsidRPr="00BE2A6D">
        <w:rPr>
          <w:rFonts w:ascii="Franklin Gothic Book" w:eastAsia="Calibri" w:hAnsi="Franklin Gothic Book"/>
          <w:color w:val="000000"/>
          <w:sz w:val="21"/>
          <w:szCs w:val="21"/>
          <w:lang w:eastAsia="en-US"/>
        </w:rPr>
        <w:t>through bilater</w:t>
      </w:r>
      <w:r w:rsidR="006C7D2A">
        <w:rPr>
          <w:rFonts w:ascii="Franklin Gothic Book" w:eastAsia="Calibri" w:hAnsi="Franklin Gothic Book"/>
          <w:color w:val="000000"/>
          <w:sz w:val="21"/>
          <w:szCs w:val="21"/>
          <w:lang w:eastAsia="en-US"/>
        </w:rPr>
        <w:t xml:space="preserve">al and multilateral modalities </w:t>
      </w:r>
      <w:r w:rsidR="006C7D2A" w:rsidRPr="00BE2A6D">
        <w:rPr>
          <w:rFonts w:ascii="Franklin Gothic Book" w:eastAsia="Calibri" w:hAnsi="Franklin Gothic Book"/>
          <w:color w:val="000000"/>
          <w:sz w:val="21"/>
          <w:szCs w:val="21"/>
          <w:lang w:eastAsia="en-US"/>
        </w:rPr>
        <w:t xml:space="preserve">has provided the </w:t>
      </w:r>
      <w:r w:rsidR="004B5B8F">
        <w:rPr>
          <w:rFonts w:ascii="Franklin Gothic Book" w:eastAsia="Calibri" w:hAnsi="Franklin Gothic Book"/>
          <w:color w:val="000000"/>
          <w:sz w:val="21"/>
          <w:szCs w:val="21"/>
          <w:lang w:eastAsia="en-US"/>
        </w:rPr>
        <w:t>Philippine Government</w:t>
      </w:r>
      <w:r w:rsidR="006C7D2A" w:rsidRPr="00BE2A6D">
        <w:rPr>
          <w:rFonts w:ascii="Franklin Gothic Book" w:eastAsia="Calibri" w:hAnsi="Franklin Gothic Book"/>
          <w:color w:val="000000"/>
          <w:sz w:val="21"/>
          <w:szCs w:val="21"/>
          <w:lang w:eastAsia="en-US"/>
        </w:rPr>
        <w:t xml:space="preserve"> Peace Negotiating Panel and the Bangsamoro Transition Commission access to both local and international experts during the negotiations and early parts of the transition period. </w:t>
      </w:r>
      <w:r w:rsidR="006C7D2A">
        <w:rPr>
          <w:rFonts w:ascii="Franklin Gothic Book" w:eastAsia="Calibri" w:hAnsi="Franklin Gothic Book"/>
          <w:color w:val="000000"/>
          <w:sz w:val="21"/>
          <w:szCs w:val="21"/>
          <w:lang w:eastAsia="en-US"/>
        </w:rPr>
        <w:t xml:space="preserve"> </w:t>
      </w:r>
      <w:r w:rsidR="006C7D2A" w:rsidRPr="00BE2A6D">
        <w:rPr>
          <w:rFonts w:ascii="Franklin Gothic Book" w:eastAsia="Calibri" w:hAnsi="Franklin Gothic Book"/>
          <w:color w:val="000000"/>
          <w:sz w:val="21"/>
          <w:szCs w:val="21"/>
          <w:lang w:eastAsia="en-US"/>
        </w:rPr>
        <w:t>It is also helping ensure that the peace process is more credible and widely supported by funding multi</w:t>
      </w:r>
      <w:r w:rsidR="00DB46D0">
        <w:rPr>
          <w:rFonts w:ascii="Franklin Gothic Book" w:eastAsia="Calibri" w:hAnsi="Franklin Gothic Book"/>
          <w:color w:val="000000"/>
          <w:sz w:val="21"/>
          <w:szCs w:val="21"/>
          <w:lang w:eastAsia="en-US"/>
        </w:rPr>
        <w:t>-</w:t>
      </w:r>
      <w:r w:rsidR="006C7D2A" w:rsidRPr="00BE2A6D">
        <w:rPr>
          <w:rFonts w:ascii="Franklin Gothic Book" w:eastAsia="Calibri" w:hAnsi="Franklin Gothic Book"/>
          <w:color w:val="000000"/>
          <w:sz w:val="21"/>
          <w:szCs w:val="21"/>
          <w:lang w:eastAsia="en-US"/>
        </w:rPr>
        <w:t>sectoral consultations which serve as avenues for participation of various stakeholders</w:t>
      </w:r>
      <w:r w:rsidR="006D3DC0">
        <w:rPr>
          <w:rFonts w:ascii="Franklin Gothic Book" w:eastAsia="Calibri" w:hAnsi="Franklin Gothic Book"/>
          <w:color w:val="000000"/>
          <w:sz w:val="21"/>
          <w:szCs w:val="21"/>
          <w:lang w:eastAsia="en-US"/>
        </w:rPr>
        <w:t>,</w:t>
      </w:r>
      <w:r w:rsidR="006C7D2A" w:rsidRPr="00BE2A6D">
        <w:rPr>
          <w:rFonts w:ascii="Franklin Gothic Book" w:eastAsia="Calibri" w:hAnsi="Franklin Gothic Book"/>
          <w:color w:val="000000"/>
          <w:sz w:val="21"/>
          <w:szCs w:val="21"/>
          <w:lang w:eastAsia="en-US"/>
        </w:rPr>
        <w:t xml:space="preserve"> </w:t>
      </w:r>
      <w:r w:rsidR="006C7D2A">
        <w:rPr>
          <w:rFonts w:ascii="Franklin Gothic Book" w:eastAsia="Calibri" w:hAnsi="Franklin Gothic Book"/>
          <w:color w:val="000000"/>
          <w:sz w:val="21"/>
          <w:szCs w:val="21"/>
          <w:lang w:eastAsia="en-US"/>
        </w:rPr>
        <w:t xml:space="preserve">especially </w:t>
      </w:r>
      <w:r w:rsidR="006C7D2A" w:rsidRPr="00BE2A6D">
        <w:rPr>
          <w:rFonts w:ascii="Franklin Gothic Book" w:eastAsia="Calibri" w:hAnsi="Franklin Gothic Book"/>
          <w:color w:val="000000"/>
          <w:sz w:val="21"/>
          <w:szCs w:val="21"/>
          <w:lang w:eastAsia="en-US"/>
        </w:rPr>
        <w:t>women.</w:t>
      </w:r>
      <w:r w:rsidR="006C7D2A">
        <w:rPr>
          <w:rFonts w:ascii="Franklin Gothic Book" w:eastAsia="Calibri" w:hAnsi="Franklin Gothic Book"/>
          <w:color w:val="000000"/>
          <w:sz w:val="21"/>
          <w:szCs w:val="21"/>
          <w:lang w:eastAsia="en-US"/>
        </w:rPr>
        <w:t xml:space="preserve">  Australia provided</w:t>
      </w:r>
      <w:r w:rsidR="006C7D2A" w:rsidRPr="00DE48C0">
        <w:rPr>
          <w:rFonts w:ascii="Franklin Gothic Book" w:eastAsia="Calibri" w:hAnsi="Franklin Gothic Book"/>
          <w:color w:val="000000"/>
          <w:sz w:val="21"/>
          <w:szCs w:val="21"/>
          <w:lang w:eastAsia="en-US"/>
        </w:rPr>
        <w:t xml:space="preserve"> technical and operational support to the Bangsamoro Transition Commission</w:t>
      </w:r>
      <w:r w:rsidR="004268EF">
        <w:rPr>
          <w:rFonts w:ascii="Franklin Gothic Book" w:eastAsia="Calibri" w:hAnsi="Franklin Gothic Book"/>
          <w:color w:val="000000"/>
          <w:sz w:val="21"/>
          <w:szCs w:val="21"/>
          <w:lang w:eastAsia="en-US"/>
        </w:rPr>
        <w:t>, and</w:t>
      </w:r>
      <w:r w:rsidR="006C7D2A" w:rsidRPr="00DE48C0">
        <w:rPr>
          <w:rFonts w:ascii="Franklin Gothic Book" w:eastAsia="Calibri" w:hAnsi="Franklin Gothic Book"/>
          <w:color w:val="000000"/>
          <w:sz w:val="21"/>
          <w:szCs w:val="21"/>
          <w:lang w:eastAsia="en-US"/>
        </w:rPr>
        <w:t xml:space="preserve"> reconstruction and socio-economic development </w:t>
      </w:r>
      <w:r w:rsidR="006C7D2A">
        <w:rPr>
          <w:rFonts w:ascii="Franklin Gothic Book" w:eastAsia="Calibri" w:hAnsi="Franklin Gothic Book"/>
          <w:color w:val="000000"/>
          <w:sz w:val="21"/>
          <w:szCs w:val="21"/>
          <w:lang w:eastAsia="en-US"/>
        </w:rPr>
        <w:t xml:space="preserve">support </w:t>
      </w:r>
      <w:r w:rsidR="00521CB2">
        <w:rPr>
          <w:rFonts w:ascii="Franklin Gothic Book" w:eastAsia="Calibri" w:hAnsi="Franklin Gothic Book"/>
          <w:color w:val="000000"/>
          <w:sz w:val="21"/>
          <w:szCs w:val="21"/>
          <w:lang w:eastAsia="en-US"/>
        </w:rPr>
        <w:t>in conflict-</w:t>
      </w:r>
      <w:r w:rsidR="006C7D2A" w:rsidRPr="00DE48C0">
        <w:rPr>
          <w:rFonts w:ascii="Franklin Gothic Book" w:eastAsia="Calibri" w:hAnsi="Franklin Gothic Book"/>
          <w:color w:val="000000"/>
          <w:sz w:val="21"/>
          <w:szCs w:val="21"/>
          <w:lang w:eastAsia="en-US"/>
        </w:rPr>
        <w:t>affec</w:t>
      </w:r>
      <w:r w:rsidR="006C7D2A">
        <w:rPr>
          <w:rFonts w:ascii="Franklin Gothic Book" w:eastAsia="Calibri" w:hAnsi="Franklin Gothic Book"/>
          <w:color w:val="000000"/>
          <w:sz w:val="21"/>
          <w:szCs w:val="21"/>
          <w:lang w:eastAsia="en-US"/>
        </w:rPr>
        <w:t xml:space="preserve">ted communities.  </w:t>
      </w:r>
    </w:p>
    <w:p w:rsidR="00BE2A6D" w:rsidRDefault="009C6139" w:rsidP="00AF365E">
      <w:pPr>
        <w:spacing w:after="200" w:line="276" w:lineRule="auto"/>
        <w:rPr>
          <w:rFonts w:ascii="Franklin Gothic Book" w:eastAsia="Calibri" w:hAnsi="Franklin Gothic Book"/>
          <w:sz w:val="21"/>
          <w:szCs w:val="21"/>
          <w:lang w:eastAsia="en-US"/>
        </w:rPr>
      </w:pPr>
      <w:r w:rsidRPr="00DE48C0">
        <w:rPr>
          <w:rFonts w:ascii="Franklin Gothic Book" w:eastAsia="Calibri" w:hAnsi="Franklin Gothic Book"/>
          <w:sz w:val="21"/>
          <w:szCs w:val="21"/>
          <w:lang w:eastAsia="en-US"/>
        </w:rPr>
        <w:t xml:space="preserve">Australia was able to engage in </w:t>
      </w:r>
      <w:r w:rsidR="003A2A75" w:rsidRPr="00DE48C0">
        <w:rPr>
          <w:rFonts w:ascii="Franklin Gothic Book" w:eastAsia="Calibri" w:hAnsi="Franklin Gothic Book"/>
          <w:sz w:val="21"/>
          <w:szCs w:val="21"/>
          <w:lang w:eastAsia="en-US"/>
        </w:rPr>
        <w:t>a wide</w:t>
      </w:r>
      <w:r w:rsidR="006D3DC0">
        <w:rPr>
          <w:rFonts w:ascii="Franklin Gothic Book" w:eastAsia="Calibri" w:hAnsi="Franklin Gothic Book"/>
          <w:sz w:val="21"/>
          <w:szCs w:val="21"/>
          <w:lang w:eastAsia="en-US"/>
        </w:rPr>
        <w:t xml:space="preserve"> </w:t>
      </w:r>
      <w:r w:rsidR="003A2A75" w:rsidRPr="00DE48C0">
        <w:rPr>
          <w:rFonts w:ascii="Franklin Gothic Book" w:eastAsia="Calibri" w:hAnsi="Franklin Gothic Book"/>
          <w:sz w:val="21"/>
          <w:szCs w:val="21"/>
          <w:lang w:eastAsia="en-US"/>
        </w:rPr>
        <w:t xml:space="preserve">range of policy </w:t>
      </w:r>
      <w:r w:rsidR="004E066A">
        <w:rPr>
          <w:rFonts w:ascii="Franklin Gothic Book" w:eastAsia="Calibri" w:hAnsi="Franklin Gothic Book"/>
          <w:sz w:val="21"/>
          <w:szCs w:val="21"/>
          <w:lang w:eastAsia="en-US"/>
        </w:rPr>
        <w:t>discussions</w:t>
      </w:r>
      <w:r w:rsidR="003A2A75" w:rsidRPr="00DE48C0">
        <w:rPr>
          <w:rFonts w:ascii="Franklin Gothic Book" w:eastAsia="Calibri" w:hAnsi="Franklin Gothic Book"/>
          <w:sz w:val="21"/>
          <w:szCs w:val="21"/>
          <w:lang w:eastAsia="en-US"/>
        </w:rPr>
        <w:t xml:space="preserve"> about the current </w:t>
      </w:r>
      <w:r w:rsidR="004E066A">
        <w:rPr>
          <w:rFonts w:ascii="Franklin Gothic Book" w:eastAsia="Calibri" w:hAnsi="Franklin Gothic Book"/>
          <w:sz w:val="21"/>
          <w:szCs w:val="21"/>
          <w:lang w:eastAsia="en-US"/>
        </w:rPr>
        <w:t>Autonomous Region of Muslim Mindanao</w:t>
      </w:r>
      <w:r w:rsidR="003A2A75" w:rsidRPr="00DE48C0">
        <w:rPr>
          <w:rFonts w:ascii="Franklin Gothic Book" w:eastAsia="Calibri" w:hAnsi="Franklin Gothic Book"/>
          <w:sz w:val="21"/>
          <w:szCs w:val="21"/>
          <w:lang w:eastAsia="en-US"/>
        </w:rPr>
        <w:t xml:space="preserve"> and the future Bangsamoro.</w:t>
      </w:r>
      <w:r w:rsidR="003A2A75" w:rsidRPr="00DE48C0">
        <w:rPr>
          <w:rFonts w:ascii="Franklin Gothic Book" w:eastAsia="Calibri" w:hAnsi="Franklin Gothic Book"/>
          <w:color w:val="000000"/>
          <w:sz w:val="21"/>
          <w:szCs w:val="21"/>
          <w:lang w:eastAsia="en-US"/>
        </w:rPr>
        <w:t xml:space="preserve"> </w:t>
      </w:r>
      <w:r w:rsidR="00BE2A6D">
        <w:rPr>
          <w:rFonts w:ascii="Franklin Gothic Book" w:eastAsia="Calibri" w:hAnsi="Franklin Gothic Book"/>
          <w:color w:val="000000"/>
          <w:sz w:val="21"/>
          <w:szCs w:val="21"/>
          <w:lang w:eastAsia="en-US"/>
        </w:rPr>
        <w:t xml:space="preserve">Our </w:t>
      </w:r>
      <w:r w:rsidR="00BE2A6D" w:rsidRPr="00DE48C0">
        <w:rPr>
          <w:rFonts w:ascii="Franklin Gothic Book" w:eastAsia="Calibri" w:hAnsi="Franklin Gothic Book"/>
          <w:color w:val="000000"/>
          <w:sz w:val="21"/>
          <w:szCs w:val="21"/>
          <w:lang w:eastAsia="en-US"/>
        </w:rPr>
        <w:t>T</w:t>
      </w:r>
      <w:r w:rsidR="00BE2A6D">
        <w:rPr>
          <w:rFonts w:ascii="Franklin Gothic Book" w:eastAsia="Calibri" w:hAnsi="Franklin Gothic Book"/>
          <w:color w:val="000000"/>
          <w:sz w:val="21"/>
          <w:szCs w:val="21"/>
          <w:lang w:eastAsia="en-US"/>
        </w:rPr>
        <w:t xml:space="preserve">echnical </w:t>
      </w:r>
      <w:r w:rsidR="00BE2A6D" w:rsidRPr="00DE48C0">
        <w:rPr>
          <w:rFonts w:ascii="Franklin Gothic Book" w:eastAsia="Calibri" w:hAnsi="Franklin Gothic Book"/>
          <w:color w:val="000000"/>
          <w:sz w:val="21"/>
          <w:szCs w:val="21"/>
          <w:lang w:eastAsia="en-US"/>
        </w:rPr>
        <w:t>A</w:t>
      </w:r>
      <w:r w:rsidR="00BE2A6D">
        <w:rPr>
          <w:rFonts w:ascii="Franklin Gothic Book" w:eastAsia="Calibri" w:hAnsi="Franklin Gothic Book"/>
          <w:color w:val="000000"/>
          <w:sz w:val="21"/>
          <w:szCs w:val="21"/>
          <w:lang w:eastAsia="en-US"/>
        </w:rPr>
        <w:t>ssistance</w:t>
      </w:r>
      <w:r w:rsidR="00BE2A6D" w:rsidRPr="00DE48C0">
        <w:rPr>
          <w:rFonts w:ascii="Franklin Gothic Book" w:eastAsia="Calibri" w:hAnsi="Franklin Gothic Book"/>
          <w:color w:val="000000"/>
          <w:sz w:val="21"/>
          <w:szCs w:val="21"/>
          <w:lang w:eastAsia="en-US"/>
        </w:rPr>
        <w:t xml:space="preserve"> Facility with the Office of the Presidential Adviser on the Peace Process (OPAPP) allow</w:t>
      </w:r>
      <w:r w:rsidR="00BE2A6D">
        <w:rPr>
          <w:rFonts w:ascii="Franklin Gothic Book" w:eastAsia="Calibri" w:hAnsi="Franklin Gothic Book"/>
          <w:color w:val="000000"/>
          <w:sz w:val="21"/>
          <w:szCs w:val="21"/>
          <w:lang w:eastAsia="en-US"/>
        </w:rPr>
        <w:t>s</w:t>
      </w:r>
      <w:r w:rsidR="00BE2A6D" w:rsidRPr="00DE48C0">
        <w:rPr>
          <w:rFonts w:ascii="Franklin Gothic Book" w:eastAsia="Calibri" w:hAnsi="Franklin Gothic Book"/>
          <w:color w:val="000000"/>
          <w:sz w:val="21"/>
          <w:szCs w:val="21"/>
          <w:lang w:eastAsia="en-US"/>
        </w:rPr>
        <w:t xml:space="preserve"> Australia to engage with key stakeholders in the peace process.</w:t>
      </w:r>
      <w:r w:rsidR="00BE2A6D" w:rsidRPr="00C00586">
        <w:rPr>
          <w:rFonts w:ascii="Franklin Gothic Book" w:eastAsia="Calibri" w:hAnsi="Franklin Gothic Book"/>
          <w:color w:val="000000"/>
          <w:sz w:val="21"/>
          <w:szCs w:val="21"/>
          <w:lang w:eastAsia="en-US"/>
        </w:rPr>
        <w:t xml:space="preserve">  Australia </w:t>
      </w:r>
      <w:r w:rsidR="00BE2A6D">
        <w:rPr>
          <w:rFonts w:ascii="Franklin Gothic Book" w:eastAsia="Calibri" w:hAnsi="Franklin Gothic Book"/>
          <w:color w:val="000000"/>
          <w:sz w:val="21"/>
          <w:szCs w:val="21"/>
          <w:lang w:eastAsia="en-US"/>
        </w:rPr>
        <w:t xml:space="preserve">also deployed </w:t>
      </w:r>
      <w:r w:rsidR="00BE2A6D" w:rsidRPr="00C00586">
        <w:rPr>
          <w:rFonts w:ascii="Franklin Gothic Book" w:eastAsia="Calibri" w:hAnsi="Franklin Gothic Book"/>
          <w:color w:val="000000"/>
          <w:sz w:val="21"/>
          <w:szCs w:val="21"/>
          <w:lang w:eastAsia="en-US"/>
        </w:rPr>
        <w:t>a</w:t>
      </w:r>
      <w:r w:rsidR="00BE2A6D">
        <w:rPr>
          <w:rFonts w:ascii="Franklin Gothic Book" w:eastAsia="Calibri" w:hAnsi="Franklin Gothic Book"/>
          <w:color w:val="000000"/>
          <w:sz w:val="21"/>
          <w:szCs w:val="21"/>
          <w:lang w:eastAsia="en-US"/>
        </w:rPr>
        <w:t>n Australian Civilian Corp</w:t>
      </w:r>
      <w:r w:rsidR="006D3DC0">
        <w:rPr>
          <w:rFonts w:ascii="Franklin Gothic Book" w:eastAsia="Calibri" w:hAnsi="Franklin Gothic Book"/>
          <w:color w:val="000000"/>
          <w:sz w:val="21"/>
          <w:szCs w:val="21"/>
          <w:lang w:eastAsia="en-US"/>
        </w:rPr>
        <w:t>s</w:t>
      </w:r>
      <w:r w:rsidR="00BE2A6D">
        <w:rPr>
          <w:rFonts w:ascii="Franklin Gothic Book" w:eastAsia="Calibri" w:hAnsi="Franklin Gothic Book"/>
          <w:color w:val="000000"/>
          <w:sz w:val="21"/>
          <w:szCs w:val="21"/>
          <w:lang w:eastAsia="en-US"/>
        </w:rPr>
        <w:t xml:space="preserve"> </w:t>
      </w:r>
      <w:r w:rsidR="006D3DC0">
        <w:rPr>
          <w:rFonts w:ascii="Franklin Gothic Book" w:eastAsia="Calibri" w:hAnsi="Franklin Gothic Book"/>
          <w:color w:val="000000"/>
          <w:sz w:val="21"/>
          <w:szCs w:val="21"/>
          <w:lang w:eastAsia="en-US"/>
        </w:rPr>
        <w:t xml:space="preserve">member </w:t>
      </w:r>
      <w:r w:rsidR="00BE2A6D">
        <w:rPr>
          <w:rFonts w:ascii="Franklin Gothic Book" w:eastAsia="Calibri" w:hAnsi="Franklin Gothic Book"/>
          <w:color w:val="000000"/>
          <w:sz w:val="21"/>
          <w:szCs w:val="21"/>
          <w:lang w:eastAsia="en-US"/>
        </w:rPr>
        <w:t xml:space="preserve">to serve </w:t>
      </w:r>
      <w:r w:rsidR="006D3DC0">
        <w:rPr>
          <w:rFonts w:ascii="Franklin Gothic Book" w:eastAsia="Calibri" w:hAnsi="Franklin Gothic Book"/>
          <w:color w:val="000000"/>
          <w:sz w:val="21"/>
          <w:szCs w:val="21"/>
          <w:lang w:eastAsia="en-US"/>
        </w:rPr>
        <w:t xml:space="preserve">on </w:t>
      </w:r>
      <w:r w:rsidR="00BE2A6D">
        <w:rPr>
          <w:rFonts w:ascii="Franklin Gothic Book" w:eastAsia="Calibri" w:hAnsi="Franklin Gothic Book"/>
          <w:color w:val="000000"/>
          <w:sz w:val="21"/>
          <w:szCs w:val="21"/>
          <w:lang w:eastAsia="en-US"/>
        </w:rPr>
        <w:t xml:space="preserve">the </w:t>
      </w:r>
      <w:r w:rsidR="00BE2A6D" w:rsidRPr="00C00586">
        <w:rPr>
          <w:rFonts w:ascii="Franklin Gothic Book" w:eastAsia="Calibri" w:hAnsi="Franklin Gothic Book"/>
          <w:color w:val="000000"/>
          <w:sz w:val="21"/>
          <w:szCs w:val="21"/>
          <w:lang w:eastAsia="en-US"/>
        </w:rPr>
        <w:t>Independent Commission on Policing</w:t>
      </w:r>
      <w:r w:rsidR="00BE2A6D">
        <w:rPr>
          <w:rFonts w:ascii="Franklin Gothic Book" w:eastAsia="Calibri" w:hAnsi="Franklin Gothic Book"/>
          <w:color w:val="000000"/>
          <w:sz w:val="21"/>
          <w:szCs w:val="21"/>
          <w:lang w:eastAsia="en-US"/>
        </w:rPr>
        <w:t xml:space="preserve"> who,</w:t>
      </w:r>
      <w:r w:rsidR="00BE2A6D" w:rsidRPr="00C00586">
        <w:rPr>
          <w:rFonts w:ascii="Franklin Gothic Book" w:eastAsia="Calibri" w:hAnsi="Franklin Gothic Book"/>
          <w:color w:val="000000"/>
          <w:sz w:val="21"/>
          <w:szCs w:val="21"/>
          <w:lang w:eastAsia="en-US"/>
        </w:rPr>
        <w:t xml:space="preserve"> </w:t>
      </w:r>
      <w:r w:rsidR="00BE2A6D">
        <w:rPr>
          <w:rFonts w:ascii="Franklin Gothic Book" w:eastAsia="Calibri" w:hAnsi="Franklin Gothic Book"/>
          <w:color w:val="000000"/>
          <w:sz w:val="21"/>
          <w:szCs w:val="21"/>
          <w:lang w:eastAsia="en-US"/>
        </w:rPr>
        <w:t xml:space="preserve">upon the joint request of the </w:t>
      </w:r>
      <w:r w:rsidR="004B5B8F">
        <w:rPr>
          <w:rFonts w:ascii="Franklin Gothic Book" w:eastAsia="Calibri" w:hAnsi="Franklin Gothic Book"/>
          <w:color w:val="000000"/>
          <w:sz w:val="21"/>
          <w:szCs w:val="21"/>
          <w:lang w:eastAsia="en-US"/>
        </w:rPr>
        <w:t>Philippine Government</w:t>
      </w:r>
      <w:r w:rsidR="00BE2A6D">
        <w:rPr>
          <w:rFonts w:ascii="Franklin Gothic Book" w:eastAsia="Calibri" w:hAnsi="Franklin Gothic Book"/>
          <w:color w:val="000000"/>
          <w:sz w:val="21"/>
          <w:szCs w:val="21"/>
          <w:lang w:eastAsia="en-US"/>
        </w:rPr>
        <w:t xml:space="preserve"> and Moro Islamic Liberation Front Peace Panels, provided </w:t>
      </w:r>
      <w:r w:rsidR="00BE2A6D" w:rsidRPr="00C00586">
        <w:rPr>
          <w:rFonts w:ascii="Franklin Gothic Book" w:eastAsia="Calibri" w:hAnsi="Franklin Gothic Book"/>
          <w:color w:val="000000"/>
          <w:sz w:val="21"/>
          <w:szCs w:val="21"/>
          <w:lang w:eastAsia="en-US"/>
        </w:rPr>
        <w:t xml:space="preserve">advice on </w:t>
      </w:r>
      <w:r w:rsidR="00BE2A6D">
        <w:rPr>
          <w:rFonts w:ascii="Franklin Gothic Book" w:eastAsia="Calibri" w:hAnsi="Franklin Gothic Book"/>
          <w:color w:val="000000"/>
          <w:sz w:val="21"/>
          <w:szCs w:val="21"/>
          <w:lang w:eastAsia="en-US"/>
        </w:rPr>
        <w:t xml:space="preserve">appropriate </w:t>
      </w:r>
      <w:r w:rsidR="00BE2A6D" w:rsidRPr="00C00586">
        <w:rPr>
          <w:rFonts w:ascii="Franklin Gothic Book" w:eastAsia="Calibri" w:hAnsi="Franklin Gothic Book"/>
          <w:color w:val="000000"/>
          <w:sz w:val="21"/>
          <w:szCs w:val="21"/>
          <w:lang w:eastAsia="en-US"/>
        </w:rPr>
        <w:t>policing arrangements in the Bangsamoro</w:t>
      </w:r>
      <w:r w:rsidR="00BE2A6D">
        <w:rPr>
          <w:rFonts w:ascii="Franklin Gothic Book" w:eastAsia="Calibri" w:hAnsi="Franklin Gothic Book"/>
          <w:color w:val="000000"/>
          <w:sz w:val="21"/>
          <w:szCs w:val="21"/>
          <w:lang w:eastAsia="en-US"/>
        </w:rPr>
        <w:t xml:space="preserve">. </w:t>
      </w:r>
      <w:r w:rsidR="00BE2A6D" w:rsidRPr="00AF365E">
        <w:rPr>
          <w:rFonts w:ascii="Franklin Gothic Book" w:eastAsia="Calibri" w:hAnsi="Franklin Gothic Book"/>
          <w:sz w:val="21"/>
          <w:szCs w:val="21"/>
          <w:lang w:eastAsia="en-US"/>
        </w:rPr>
        <w:t xml:space="preserve"> </w:t>
      </w:r>
    </w:p>
    <w:p w:rsidR="009F1243" w:rsidRDefault="009F1243" w:rsidP="009F1243">
      <w:pPr>
        <w:spacing w:after="200" w:line="276" w:lineRule="auto"/>
        <w:rPr>
          <w:rFonts w:ascii="Franklin Gothic Book" w:eastAsia="Calibri" w:hAnsi="Franklin Gothic Book"/>
          <w:sz w:val="21"/>
          <w:szCs w:val="21"/>
          <w:lang w:eastAsia="en-US"/>
        </w:rPr>
      </w:pPr>
      <w:r w:rsidRPr="00FA4A27">
        <w:rPr>
          <w:rFonts w:ascii="Franklin Gothic Book" w:eastAsia="Calibri" w:hAnsi="Franklin Gothic Book"/>
          <w:sz w:val="21"/>
          <w:szCs w:val="21"/>
          <w:lang w:eastAsia="en-US"/>
        </w:rPr>
        <w:t xml:space="preserve">Australia makes a significant contribution to peace and stability in conflict-affected areas of Mindanao through </w:t>
      </w:r>
      <w:r w:rsidR="00DB46D0" w:rsidRPr="00FA4A27">
        <w:rPr>
          <w:rFonts w:ascii="Franklin Gothic Book" w:eastAsia="Calibri" w:hAnsi="Franklin Gothic Book"/>
          <w:sz w:val="21"/>
          <w:szCs w:val="21"/>
          <w:lang w:eastAsia="en-US"/>
        </w:rPr>
        <w:t>strengthening the</w:t>
      </w:r>
      <w:r w:rsidRPr="00FA4A27">
        <w:rPr>
          <w:rFonts w:ascii="Franklin Gothic Book" w:eastAsia="Calibri" w:hAnsi="Franklin Gothic Book"/>
          <w:sz w:val="21"/>
          <w:szCs w:val="21"/>
          <w:lang w:eastAsia="en-US"/>
        </w:rPr>
        <w:t xml:space="preserve"> education sector through the </w:t>
      </w:r>
      <w:r w:rsidR="004E066A" w:rsidRPr="004E066A">
        <w:rPr>
          <w:rFonts w:ascii="Franklin Gothic Book" w:eastAsia="Calibri" w:hAnsi="Franklin Gothic Book"/>
          <w:sz w:val="21"/>
          <w:szCs w:val="21"/>
          <w:lang w:eastAsia="en-US"/>
        </w:rPr>
        <w:t>Basic Education Assistance for Mindanao</w:t>
      </w:r>
      <w:r w:rsidR="004E066A">
        <w:rPr>
          <w:rFonts w:ascii="Franklin Gothic Book" w:eastAsia="Calibri" w:hAnsi="Franklin Gothic Book"/>
          <w:sz w:val="21"/>
          <w:szCs w:val="21"/>
          <w:lang w:eastAsia="en-US"/>
        </w:rPr>
        <w:t xml:space="preserve"> – </w:t>
      </w:r>
      <w:r w:rsidRPr="00FA4A27">
        <w:rPr>
          <w:rFonts w:ascii="Franklin Gothic Book" w:eastAsia="Calibri" w:hAnsi="Franklin Gothic Book"/>
          <w:sz w:val="21"/>
          <w:szCs w:val="21"/>
          <w:lang w:eastAsia="en-US"/>
        </w:rPr>
        <w:t>A</w:t>
      </w:r>
      <w:r w:rsidR="004E066A">
        <w:rPr>
          <w:rFonts w:ascii="Franklin Gothic Book" w:eastAsia="Calibri" w:hAnsi="Franklin Gothic Book"/>
          <w:sz w:val="21"/>
          <w:szCs w:val="21"/>
          <w:lang w:eastAsia="en-US"/>
        </w:rPr>
        <w:t xml:space="preserve">utonomous </w:t>
      </w:r>
      <w:r w:rsidRPr="00FA4A27">
        <w:rPr>
          <w:rFonts w:ascii="Franklin Gothic Book" w:eastAsia="Calibri" w:hAnsi="Franklin Gothic Book"/>
          <w:sz w:val="21"/>
          <w:szCs w:val="21"/>
          <w:lang w:eastAsia="en-US"/>
        </w:rPr>
        <w:t>R</w:t>
      </w:r>
      <w:r w:rsidR="004E066A">
        <w:rPr>
          <w:rFonts w:ascii="Franklin Gothic Book" w:eastAsia="Calibri" w:hAnsi="Franklin Gothic Book"/>
          <w:sz w:val="21"/>
          <w:szCs w:val="21"/>
          <w:lang w:eastAsia="en-US"/>
        </w:rPr>
        <w:t xml:space="preserve">egion for </w:t>
      </w:r>
      <w:r w:rsidRPr="00FA4A27">
        <w:rPr>
          <w:rFonts w:ascii="Franklin Gothic Book" w:eastAsia="Calibri" w:hAnsi="Franklin Gothic Book"/>
          <w:sz w:val="21"/>
          <w:szCs w:val="21"/>
          <w:lang w:eastAsia="en-US"/>
        </w:rPr>
        <w:t>M</w:t>
      </w:r>
      <w:r w:rsidR="004E066A">
        <w:rPr>
          <w:rFonts w:ascii="Franklin Gothic Book" w:eastAsia="Calibri" w:hAnsi="Franklin Gothic Book"/>
          <w:sz w:val="21"/>
          <w:szCs w:val="21"/>
          <w:lang w:eastAsia="en-US"/>
        </w:rPr>
        <w:t xml:space="preserve">uslim </w:t>
      </w:r>
      <w:r w:rsidRPr="00FA4A27">
        <w:rPr>
          <w:rFonts w:ascii="Franklin Gothic Book" w:eastAsia="Calibri" w:hAnsi="Franklin Gothic Book"/>
          <w:sz w:val="21"/>
          <w:szCs w:val="21"/>
          <w:lang w:eastAsia="en-US"/>
        </w:rPr>
        <w:t>M</w:t>
      </w:r>
      <w:r w:rsidR="004E066A">
        <w:rPr>
          <w:rFonts w:ascii="Franklin Gothic Book" w:eastAsia="Calibri" w:hAnsi="Franklin Gothic Book"/>
          <w:sz w:val="21"/>
          <w:szCs w:val="21"/>
          <w:lang w:eastAsia="en-US"/>
        </w:rPr>
        <w:t>indanao</w:t>
      </w:r>
      <w:r w:rsidRPr="00FA4A27">
        <w:rPr>
          <w:rFonts w:ascii="Franklin Gothic Book" w:eastAsia="Calibri" w:hAnsi="Franklin Gothic Book"/>
          <w:sz w:val="21"/>
          <w:szCs w:val="21"/>
          <w:lang w:eastAsia="en-US"/>
        </w:rPr>
        <w:t xml:space="preserve"> program. Education is a development priority for the MILF and Bangsamoro Development Authority, and the role Australia is playing is acknowledged by them and by President Aquino.</w:t>
      </w:r>
    </w:p>
    <w:p w:rsidR="00AF365E" w:rsidRPr="0041391E" w:rsidRDefault="00AF365E" w:rsidP="00AF365E">
      <w:pPr>
        <w:spacing w:after="200" w:line="276" w:lineRule="auto"/>
        <w:contextualSpacing/>
      </w:pPr>
      <w:r>
        <w:rPr>
          <w:rFonts w:ascii="Franklin Gothic Book" w:eastAsia="Calibri" w:hAnsi="Franklin Gothic Book"/>
          <w:sz w:val="21"/>
          <w:szCs w:val="21"/>
          <w:lang w:eastAsia="en-US"/>
        </w:rPr>
        <w:t xml:space="preserve">DFAT has </w:t>
      </w:r>
      <w:r w:rsidR="004E066A">
        <w:rPr>
          <w:rFonts w:ascii="Franklin Gothic Book" w:eastAsia="Calibri" w:hAnsi="Franklin Gothic Book"/>
          <w:sz w:val="21"/>
          <w:szCs w:val="21"/>
          <w:lang w:eastAsia="en-US"/>
        </w:rPr>
        <w:t>increased its</w:t>
      </w:r>
      <w:r w:rsidR="008E4DEE">
        <w:rPr>
          <w:rFonts w:ascii="Franklin Gothic Book" w:eastAsia="Calibri" w:hAnsi="Franklin Gothic Book"/>
          <w:sz w:val="21"/>
          <w:szCs w:val="21"/>
          <w:lang w:eastAsia="en-US"/>
        </w:rPr>
        <w:t xml:space="preserve"> </w:t>
      </w:r>
      <w:r>
        <w:rPr>
          <w:rFonts w:ascii="Franklin Gothic Book" w:eastAsia="Calibri" w:hAnsi="Franklin Gothic Book"/>
          <w:sz w:val="21"/>
          <w:szCs w:val="21"/>
          <w:lang w:eastAsia="en-US"/>
        </w:rPr>
        <w:t>engage</w:t>
      </w:r>
      <w:r w:rsidR="008E4DEE">
        <w:rPr>
          <w:rFonts w:ascii="Franklin Gothic Book" w:eastAsia="Calibri" w:hAnsi="Franklin Gothic Book"/>
          <w:sz w:val="21"/>
          <w:szCs w:val="21"/>
          <w:lang w:eastAsia="en-US"/>
        </w:rPr>
        <w:t>ment with</w:t>
      </w:r>
      <w:r>
        <w:rPr>
          <w:rFonts w:ascii="Franklin Gothic Book" w:eastAsia="Calibri" w:hAnsi="Franklin Gothic Book"/>
          <w:sz w:val="21"/>
          <w:szCs w:val="21"/>
          <w:lang w:eastAsia="en-US"/>
        </w:rPr>
        <w:t xml:space="preserve"> the Moro Islamic Liberation Front </w:t>
      </w:r>
      <w:r w:rsidR="008E4DEE">
        <w:rPr>
          <w:rFonts w:ascii="Franklin Gothic Book" w:eastAsia="Calibri" w:hAnsi="Franklin Gothic Book"/>
          <w:sz w:val="21"/>
          <w:szCs w:val="21"/>
          <w:lang w:eastAsia="en-US"/>
        </w:rPr>
        <w:t xml:space="preserve">in </w:t>
      </w:r>
      <w:r w:rsidR="00DE48C0">
        <w:rPr>
          <w:rFonts w:ascii="Franklin Gothic Book" w:eastAsia="Calibri" w:hAnsi="Franklin Gothic Book"/>
          <w:sz w:val="21"/>
          <w:szCs w:val="21"/>
          <w:lang w:eastAsia="en-US"/>
        </w:rPr>
        <w:t>recogni</w:t>
      </w:r>
      <w:r w:rsidR="008E4DEE">
        <w:rPr>
          <w:rFonts w:ascii="Franklin Gothic Book" w:eastAsia="Calibri" w:hAnsi="Franklin Gothic Book"/>
          <w:sz w:val="21"/>
          <w:szCs w:val="21"/>
          <w:lang w:eastAsia="en-US"/>
        </w:rPr>
        <w:t>tion</w:t>
      </w:r>
      <w:r w:rsidR="00DE48C0">
        <w:rPr>
          <w:rFonts w:ascii="Franklin Gothic Book" w:eastAsia="Calibri" w:hAnsi="Franklin Gothic Book"/>
          <w:sz w:val="21"/>
          <w:szCs w:val="21"/>
          <w:lang w:eastAsia="en-US"/>
        </w:rPr>
        <w:t xml:space="preserve"> that </w:t>
      </w:r>
      <w:r>
        <w:rPr>
          <w:rFonts w:ascii="Franklin Gothic Book" w:eastAsia="Calibri" w:hAnsi="Franklin Gothic Book"/>
          <w:sz w:val="21"/>
          <w:szCs w:val="21"/>
          <w:lang w:eastAsia="en-US"/>
        </w:rPr>
        <w:t xml:space="preserve">it is a partner and </w:t>
      </w:r>
      <w:r w:rsidR="00DE48C0">
        <w:rPr>
          <w:rFonts w:ascii="Franklin Gothic Book" w:eastAsia="Calibri" w:hAnsi="Franklin Gothic Book"/>
          <w:sz w:val="21"/>
          <w:szCs w:val="21"/>
          <w:lang w:eastAsia="en-US"/>
        </w:rPr>
        <w:t xml:space="preserve">a </w:t>
      </w:r>
      <w:r>
        <w:rPr>
          <w:rFonts w:ascii="Franklin Gothic Book" w:eastAsia="Calibri" w:hAnsi="Franklin Gothic Book"/>
          <w:sz w:val="21"/>
          <w:szCs w:val="21"/>
          <w:lang w:eastAsia="en-US"/>
        </w:rPr>
        <w:t xml:space="preserve">major stakeholder </w:t>
      </w:r>
      <w:r w:rsidR="00DE48C0">
        <w:rPr>
          <w:rFonts w:ascii="Franklin Gothic Book" w:eastAsia="Calibri" w:hAnsi="Franklin Gothic Book"/>
          <w:sz w:val="21"/>
          <w:szCs w:val="21"/>
          <w:lang w:eastAsia="en-US"/>
        </w:rPr>
        <w:t xml:space="preserve">for </w:t>
      </w:r>
      <w:r>
        <w:rPr>
          <w:rFonts w:ascii="Franklin Gothic Book" w:eastAsia="Calibri" w:hAnsi="Franklin Gothic Book"/>
          <w:sz w:val="21"/>
          <w:szCs w:val="21"/>
          <w:lang w:eastAsia="en-US"/>
        </w:rPr>
        <w:t xml:space="preserve">peace and stability in Mindanao. </w:t>
      </w:r>
      <w:r w:rsidR="00E2647C">
        <w:rPr>
          <w:rFonts w:ascii="Franklin Gothic Book" w:eastAsia="Calibri" w:hAnsi="Franklin Gothic Book"/>
          <w:sz w:val="21"/>
          <w:szCs w:val="21"/>
          <w:lang w:eastAsia="en-US"/>
        </w:rPr>
        <w:t>T</w:t>
      </w:r>
      <w:r>
        <w:rPr>
          <w:rFonts w:ascii="Franklin Gothic Book" w:eastAsia="Calibri" w:hAnsi="Franklin Gothic Book"/>
          <w:sz w:val="21"/>
          <w:szCs w:val="21"/>
          <w:lang w:eastAsia="en-US"/>
        </w:rPr>
        <w:t xml:space="preserve">he improving relationship and </w:t>
      </w:r>
      <w:r w:rsidR="00E2647C">
        <w:rPr>
          <w:rFonts w:ascii="Franklin Gothic Book" w:eastAsia="Calibri" w:hAnsi="Franklin Gothic Book"/>
          <w:sz w:val="21"/>
          <w:szCs w:val="21"/>
          <w:lang w:eastAsia="en-US"/>
        </w:rPr>
        <w:t xml:space="preserve">open communication lines with the group has informed our </w:t>
      </w:r>
      <w:r>
        <w:rPr>
          <w:rFonts w:ascii="Franklin Gothic Book" w:eastAsia="Calibri" w:hAnsi="Franklin Gothic Book"/>
          <w:sz w:val="21"/>
          <w:szCs w:val="21"/>
          <w:lang w:eastAsia="en-US"/>
        </w:rPr>
        <w:t xml:space="preserve">programming </w:t>
      </w:r>
      <w:r w:rsidR="00E2647C">
        <w:rPr>
          <w:rFonts w:ascii="Franklin Gothic Book" w:eastAsia="Calibri" w:hAnsi="Franklin Gothic Book"/>
          <w:sz w:val="21"/>
          <w:szCs w:val="21"/>
          <w:lang w:eastAsia="en-US"/>
        </w:rPr>
        <w:t xml:space="preserve">in responding to the </w:t>
      </w:r>
      <w:r>
        <w:rPr>
          <w:rFonts w:ascii="Franklin Gothic Book" w:eastAsia="Calibri" w:hAnsi="Franklin Gothic Book"/>
          <w:sz w:val="21"/>
          <w:szCs w:val="21"/>
          <w:lang w:eastAsia="en-US"/>
        </w:rPr>
        <w:t>development priorities of the</w:t>
      </w:r>
      <w:r w:rsidR="00E2647C">
        <w:rPr>
          <w:rFonts w:ascii="Franklin Gothic Book" w:eastAsia="Calibri" w:hAnsi="Franklin Gothic Book"/>
          <w:sz w:val="21"/>
          <w:szCs w:val="21"/>
          <w:lang w:eastAsia="en-US"/>
        </w:rPr>
        <w:t>ir</w:t>
      </w:r>
      <w:r>
        <w:rPr>
          <w:rFonts w:ascii="Franklin Gothic Book" w:eastAsia="Calibri" w:hAnsi="Franklin Gothic Book"/>
          <w:sz w:val="21"/>
          <w:szCs w:val="21"/>
          <w:lang w:eastAsia="en-US"/>
        </w:rPr>
        <w:t xml:space="preserve"> </w:t>
      </w:r>
      <w:r w:rsidR="00E2647C">
        <w:rPr>
          <w:rFonts w:ascii="Franklin Gothic Book" w:eastAsia="Calibri" w:hAnsi="Franklin Gothic Book"/>
          <w:sz w:val="21"/>
          <w:szCs w:val="21"/>
          <w:lang w:eastAsia="en-US"/>
        </w:rPr>
        <w:t>associated communities</w:t>
      </w:r>
      <w:r>
        <w:rPr>
          <w:rFonts w:ascii="Franklin Gothic Book" w:eastAsia="Calibri" w:hAnsi="Franklin Gothic Book"/>
          <w:sz w:val="21"/>
          <w:szCs w:val="21"/>
          <w:lang w:eastAsia="en-US"/>
        </w:rPr>
        <w:t xml:space="preserve">. </w:t>
      </w:r>
    </w:p>
    <w:p w:rsidR="003A2A75" w:rsidRDefault="003A2A75" w:rsidP="003A2A75">
      <w:pPr>
        <w:spacing w:after="200" w:line="276" w:lineRule="auto"/>
        <w:contextualSpacing/>
        <w:rPr>
          <w:rFonts w:ascii="Franklin Gothic Book" w:eastAsia="Calibri" w:hAnsi="Franklin Gothic Book"/>
          <w:color w:val="000000"/>
          <w:sz w:val="21"/>
          <w:szCs w:val="21"/>
          <w:lang w:eastAsia="en-US"/>
        </w:rPr>
      </w:pPr>
    </w:p>
    <w:p w:rsidR="00AF365E" w:rsidRDefault="00AA6010" w:rsidP="00AF365E">
      <w:pPr>
        <w:spacing w:after="200" w:line="276" w:lineRule="auto"/>
        <w:contextualSpacing/>
        <w:rPr>
          <w:rFonts w:ascii="Franklin Gothic Book" w:eastAsia="Calibri" w:hAnsi="Franklin Gothic Book"/>
          <w:color w:val="000000"/>
          <w:sz w:val="21"/>
          <w:szCs w:val="21"/>
          <w:lang w:eastAsia="en-US"/>
        </w:rPr>
      </w:pPr>
      <w:r w:rsidRPr="00C00586">
        <w:rPr>
          <w:rFonts w:ascii="Franklin Gothic Book" w:eastAsia="Calibri" w:hAnsi="Franklin Gothic Book"/>
          <w:color w:val="000000"/>
          <w:sz w:val="21"/>
          <w:szCs w:val="21"/>
          <w:lang w:eastAsia="en-US"/>
        </w:rPr>
        <w:t xml:space="preserve">A new program of support has </w:t>
      </w:r>
      <w:r w:rsidR="00C0669E">
        <w:rPr>
          <w:rFonts w:ascii="Franklin Gothic Book" w:eastAsia="Calibri" w:hAnsi="Franklin Gothic Book"/>
          <w:color w:val="000000"/>
          <w:sz w:val="21"/>
          <w:szCs w:val="21"/>
          <w:lang w:eastAsia="en-US"/>
        </w:rPr>
        <w:t xml:space="preserve">also </w:t>
      </w:r>
      <w:r w:rsidRPr="00C00586">
        <w:rPr>
          <w:rFonts w:ascii="Franklin Gothic Book" w:eastAsia="Calibri" w:hAnsi="Franklin Gothic Book"/>
          <w:color w:val="000000"/>
          <w:sz w:val="21"/>
          <w:szCs w:val="21"/>
          <w:lang w:eastAsia="en-US"/>
        </w:rPr>
        <w:t>been designed</w:t>
      </w:r>
      <w:r w:rsidR="00AF365E">
        <w:rPr>
          <w:rFonts w:ascii="Franklin Gothic Book" w:eastAsia="Calibri" w:hAnsi="Franklin Gothic Book"/>
          <w:color w:val="000000"/>
          <w:sz w:val="21"/>
          <w:szCs w:val="21"/>
          <w:lang w:eastAsia="en-US"/>
        </w:rPr>
        <w:t xml:space="preserve">, </w:t>
      </w:r>
      <w:r w:rsidR="00AF365E" w:rsidRPr="00C549BA">
        <w:rPr>
          <w:rFonts w:ascii="Franklin Gothic Book" w:eastAsia="Calibri" w:hAnsi="Franklin Gothic Book"/>
          <w:i/>
          <w:color w:val="000000"/>
          <w:sz w:val="21"/>
          <w:szCs w:val="21"/>
          <w:lang w:eastAsia="en-US"/>
        </w:rPr>
        <w:t>Building Autonomous and Sustainable Institutions and Communities in the Bangsamoro</w:t>
      </w:r>
      <w:r w:rsidR="00AF365E">
        <w:rPr>
          <w:rFonts w:ascii="Franklin Gothic Book" w:eastAsia="Calibri" w:hAnsi="Franklin Gothic Book"/>
          <w:i/>
          <w:color w:val="000000"/>
          <w:sz w:val="21"/>
          <w:szCs w:val="21"/>
          <w:lang w:eastAsia="en-US"/>
        </w:rPr>
        <w:t xml:space="preserve"> </w:t>
      </w:r>
      <w:r w:rsidRPr="00C00586">
        <w:rPr>
          <w:rFonts w:ascii="Franklin Gothic Book" w:eastAsia="Calibri" w:hAnsi="Franklin Gothic Book"/>
          <w:color w:val="000000"/>
          <w:sz w:val="21"/>
          <w:szCs w:val="21"/>
          <w:lang w:eastAsia="en-US"/>
        </w:rPr>
        <w:t xml:space="preserve"> (</w:t>
      </w:r>
      <w:r w:rsidRPr="00E2647C">
        <w:rPr>
          <w:rFonts w:ascii="Franklin Gothic Book" w:eastAsia="Calibri" w:hAnsi="Franklin Gothic Book"/>
          <w:color w:val="000000"/>
          <w:sz w:val="21"/>
          <w:szCs w:val="21"/>
          <w:lang w:eastAsia="en-US"/>
        </w:rPr>
        <w:t>BASIC</w:t>
      </w:r>
      <w:r w:rsidRPr="00C00586">
        <w:rPr>
          <w:rFonts w:ascii="Franklin Gothic Book" w:eastAsia="Calibri" w:hAnsi="Franklin Gothic Book"/>
          <w:color w:val="000000"/>
          <w:sz w:val="21"/>
          <w:szCs w:val="21"/>
          <w:lang w:eastAsia="en-US"/>
        </w:rPr>
        <w:t xml:space="preserve"> Bangsamoro) that is more targeted and focuses on assisting the transition to the Bangsamoro and will commence </w:t>
      </w:r>
      <w:r w:rsidR="00A35814">
        <w:rPr>
          <w:rFonts w:ascii="Franklin Gothic Book" w:eastAsia="Calibri" w:hAnsi="Franklin Gothic Book"/>
          <w:color w:val="000000"/>
          <w:sz w:val="21"/>
          <w:szCs w:val="21"/>
          <w:lang w:eastAsia="en-US"/>
        </w:rPr>
        <w:t xml:space="preserve">in the financial year </w:t>
      </w:r>
      <w:r w:rsidR="003A2A75">
        <w:rPr>
          <w:rFonts w:ascii="Franklin Gothic Book" w:eastAsia="Calibri" w:hAnsi="Franklin Gothic Book"/>
          <w:color w:val="000000"/>
          <w:sz w:val="21"/>
          <w:szCs w:val="21"/>
          <w:lang w:eastAsia="en-US"/>
        </w:rPr>
        <w:t>2014-15</w:t>
      </w:r>
      <w:r w:rsidRPr="00C00586">
        <w:rPr>
          <w:rFonts w:ascii="Franklin Gothic Book" w:eastAsia="Calibri" w:hAnsi="Franklin Gothic Book"/>
          <w:color w:val="000000"/>
          <w:sz w:val="21"/>
          <w:szCs w:val="21"/>
          <w:lang w:eastAsia="en-US"/>
        </w:rPr>
        <w:t xml:space="preserve">. </w:t>
      </w:r>
    </w:p>
    <w:p w:rsidR="00AA6010" w:rsidRDefault="00AA6010" w:rsidP="00C00586">
      <w:pPr>
        <w:pStyle w:val="Heading3"/>
      </w:pPr>
      <w:r w:rsidRPr="00C00586">
        <w:lastRenderedPageBreak/>
        <w:t>Objective 5:  Building stronger institutions for accountable and inclusive governance</w:t>
      </w:r>
    </w:p>
    <w:tbl>
      <w:tblPr>
        <w:tblStyle w:val="TableGrid"/>
        <w:tblW w:w="0" w:type="auto"/>
        <w:tblInd w:w="108" w:type="dxa"/>
        <w:tblLook w:val="04A0" w:firstRow="1" w:lastRow="0" w:firstColumn="1" w:lastColumn="0" w:noHBand="0" w:noVBand="1"/>
      </w:tblPr>
      <w:tblGrid>
        <w:gridCol w:w="731"/>
        <w:gridCol w:w="754"/>
      </w:tblGrid>
      <w:tr w:rsidR="00B96759" w:rsidRPr="00391D7A" w:rsidTr="00B96759">
        <w:trPr>
          <w:trHeight w:val="341"/>
        </w:trPr>
        <w:tc>
          <w:tcPr>
            <w:tcW w:w="0" w:type="auto"/>
            <w:tcBorders>
              <w:top w:val="nil"/>
              <w:left w:val="nil"/>
              <w:bottom w:val="nil"/>
              <w:right w:val="nil"/>
            </w:tcBorders>
          </w:tcPr>
          <w:p w:rsidR="00B96759" w:rsidRPr="00FA4A27" w:rsidRDefault="00B96759" w:rsidP="00FA4A27">
            <w:pPr>
              <w:pStyle w:val="BodyText"/>
              <w:ind w:hanging="108"/>
              <w:rPr>
                <w:szCs w:val="21"/>
                <w:lang w:eastAsia="zh-CN"/>
              </w:rPr>
            </w:pPr>
            <w:r w:rsidRPr="00FA4A27">
              <w:rPr>
                <w:szCs w:val="21"/>
                <w:lang w:eastAsia="zh-CN"/>
              </w:rPr>
              <w:t xml:space="preserve">Rating: </w:t>
            </w:r>
          </w:p>
        </w:tc>
        <w:tc>
          <w:tcPr>
            <w:tcW w:w="0" w:type="auto"/>
            <w:tcBorders>
              <w:top w:val="nil"/>
              <w:left w:val="nil"/>
              <w:bottom w:val="nil"/>
              <w:right w:val="nil"/>
            </w:tcBorders>
            <w:shd w:val="clear" w:color="auto" w:fill="92D050"/>
          </w:tcPr>
          <w:p w:rsidR="00B96759" w:rsidRPr="00FA4A27" w:rsidRDefault="00B96759" w:rsidP="00C15D68">
            <w:pPr>
              <w:pStyle w:val="BodyText"/>
              <w:jc w:val="center"/>
              <w:rPr>
                <w:szCs w:val="21"/>
                <w:lang w:eastAsia="zh-CN"/>
              </w:rPr>
            </w:pPr>
            <w:r w:rsidRPr="00FA4A27">
              <w:rPr>
                <w:szCs w:val="21"/>
                <w:lang w:eastAsia="zh-CN"/>
              </w:rPr>
              <w:t>Green</w:t>
            </w:r>
          </w:p>
        </w:tc>
      </w:tr>
    </w:tbl>
    <w:p w:rsidR="00B96759" w:rsidRPr="00FA4A27" w:rsidRDefault="00B96759" w:rsidP="00FA4A27">
      <w:pPr>
        <w:pStyle w:val="BodyText"/>
      </w:pPr>
    </w:p>
    <w:p w:rsidR="00584EC4" w:rsidRDefault="00D17209" w:rsidP="000D2E67">
      <w:pPr>
        <w:spacing w:after="200" w:line="276" w:lineRule="auto"/>
        <w:rPr>
          <w:rFonts w:ascii="Franklin Gothic Book" w:eastAsia="Calibri" w:hAnsi="Franklin Gothic Book"/>
          <w:sz w:val="21"/>
          <w:szCs w:val="21"/>
          <w:lang w:eastAsia="en-US"/>
        </w:rPr>
      </w:pPr>
      <w:r>
        <w:rPr>
          <w:rFonts w:ascii="Franklin Gothic Book" w:eastAsia="Calibri" w:hAnsi="Franklin Gothic Book"/>
          <w:sz w:val="21"/>
          <w:szCs w:val="21"/>
          <w:lang w:eastAsia="en-US"/>
        </w:rPr>
        <w:t>This</w:t>
      </w:r>
      <w:r w:rsidR="00EB1010" w:rsidRPr="00F24091">
        <w:rPr>
          <w:rFonts w:ascii="Franklin Gothic Book" w:eastAsia="Calibri" w:hAnsi="Franklin Gothic Book"/>
          <w:sz w:val="21"/>
          <w:szCs w:val="21"/>
          <w:lang w:eastAsia="en-US"/>
        </w:rPr>
        <w:t xml:space="preserve"> objective </w:t>
      </w:r>
      <w:r>
        <w:rPr>
          <w:rFonts w:ascii="Franklin Gothic Book" w:eastAsia="Calibri" w:hAnsi="Franklin Gothic Book"/>
          <w:sz w:val="21"/>
          <w:szCs w:val="21"/>
          <w:lang w:eastAsia="en-US"/>
        </w:rPr>
        <w:t xml:space="preserve">is </w:t>
      </w:r>
      <w:r w:rsidR="00EB1010" w:rsidRPr="00F24091">
        <w:rPr>
          <w:rFonts w:ascii="Franklin Gothic Book" w:eastAsia="Calibri" w:hAnsi="Franklin Gothic Book"/>
          <w:sz w:val="21"/>
          <w:szCs w:val="21"/>
          <w:lang w:eastAsia="en-US"/>
        </w:rPr>
        <w:t xml:space="preserve">rated </w:t>
      </w:r>
      <w:r w:rsidR="001157BA" w:rsidRPr="00F24091">
        <w:rPr>
          <w:rFonts w:ascii="Franklin Gothic Book" w:eastAsia="Calibri" w:hAnsi="Franklin Gothic Book"/>
          <w:sz w:val="21"/>
          <w:szCs w:val="21"/>
          <w:lang w:eastAsia="en-US"/>
        </w:rPr>
        <w:t xml:space="preserve">green </w:t>
      </w:r>
      <w:r w:rsidR="00EB1010" w:rsidRPr="00F24091">
        <w:rPr>
          <w:rFonts w:ascii="Franklin Gothic Book" w:eastAsia="Calibri" w:hAnsi="Franklin Gothic Book"/>
          <w:sz w:val="21"/>
          <w:szCs w:val="21"/>
          <w:lang w:eastAsia="en-US"/>
        </w:rPr>
        <w:t xml:space="preserve">because </w:t>
      </w:r>
      <w:r w:rsidR="00FD1285">
        <w:rPr>
          <w:rFonts w:ascii="Franklin Gothic Book" w:eastAsia="Calibri" w:hAnsi="Franklin Gothic Book"/>
          <w:sz w:val="21"/>
          <w:szCs w:val="21"/>
          <w:lang w:eastAsia="en-US"/>
        </w:rPr>
        <w:t xml:space="preserve">of the strong </w:t>
      </w:r>
      <w:r w:rsidR="00EB1010" w:rsidRPr="00F24091">
        <w:rPr>
          <w:rFonts w:ascii="Franklin Gothic Book" w:eastAsia="Calibri" w:hAnsi="Franklin Gothic Book"/>
          <w:sz w:val="21"/>
          <w:szCs w:val="21"/>
          <w:lang w:eastAsia="en-US"/>
        </w:rPr>
        <w:t>progress</w:t>
      </w:r>
      <w:r w:rsidR="005E2CA3">
        <w:rPr>
          <w:rFonts w:ascii="Franklin Gothic Book" w:eastAsia="Calibri" w:hAnsi="Franklin Gothic Book"/>
          <w:sz w:val="21"/>
          <w:szCs w:val="21"/>
          <w:lang w:eastAsia="en-US"/>
        </w:rPr>
        <w:t xml:space="preserve"> </w:t>
      </w:r>
      <w:r w:rsidR="00F24091" w:rsidRPr="00F24091">
        <w:rPr>
          <w:rFonts w:ascii="Franklin Gothic Book" w:eastAsia="Calibri" w:hAnsi="Franklin Gothic Book"/>
          <w:sz w:val="21"/>
          <w:szCs w:val="21"/>
          <w:lang w:eastAsia="en-US"/>
        </w:rPr>
        <w:t>across a number of foundational investments</w:t>
      </w:r>
      <w:r w:rsidR="00C0669E">
        <w:rPr>
          <w:rFonts w:ascii="Franklin Gothic Book" w:eastAsia="Calibri" w:hAnsi="Franklin Gothic Book"/>
          <w:sz w:val="21"/>
          <w:szCs w:val="21"/>
          <w:lang w:eastAsia="en-US"/>
        </w:rPr>
        <w:t xml:space="preserve"> such as i</w:t>
      </w:r>
      <w:r w:rsidR="00584EC4" w:rsidRPr="000A60E1">
        <w:rPr>
          <w:rFonts w:ascii="Franklin Gothic Book" w:eastAsia="Calibri" w:hAnsi="Franklin Gothic Book"/>
          <w:sz w:val="21"/>
          <w:szCs w:val="21"/>
          <w:lang w:eastAsia="en-US"/>
        </w:rPr>
        <w:t>nstitutional strengthening in the areas of human resource and organisational development, public financial management</w:t>
      </w:r>
      <w:r w:rsidR="000A60E1">
        <w:rPr>
          <w:rFonts w:ascii="Franklin Gothic Book" w:eastAsia="Calibri" w:hAnsi="Franklin Gothic Book"/>
          <w:sz w:val="21"/>
          <w:szCs w:val="21"/>
          <w:lang w:eastAsia="en-US"/>
        </w:rPr>
        <w:t>; and</w:t>
      </w:r>
      <w:r w:rsidR="000D2E67">
        <w:rPr>
          <w:rFonts w:ascii="Franklin Gothic Book" w:eastAsia="Calibri" w:hAnsi="Franklin Gothic Book"/>
          <w:sz w:val="21"/>
          <w:szCs w:val="21"/>
          <w:lang w:eastAsia="en-US"/>
        </w:rPr>
        <w:t xml:space="preserve"> </w:t>
      </w:r>
      <w:r w:rsidR="000A60E1" w:rsidRPr="000D2E67">
        <w:rPr>
          <w:rFonts w:ascii="Franklin Gothic Book" w:eastAsia="Calibri" w:hAnsi="Franklin Gothic Book"/>
          <w:sz w:val="21"/>
          <w:szCs w:val="21"/>
          <w:lang w:eastAsia="en-US"/>
        </w:rPr>
        <w:t>i</w:t>
      </w:r>
      <w:r w:rsidR="00584EC4" w:rsidRPr="000D2E67">
        <w:rPr>
          <w:rFonts w:ascii="Franklin Gothic Book" w:eastAsia="Calibri" w:hAnsi="Franklin Gothic Book"/>
          <w:sz w:val="21"/>
          <w:szCs w:val="21"/>
          <w:lang w:eastAsia="en-US"/>
        </w:rPr>
        <w:t xml:space="preserve">ncreasing </w:t>
      </w:r>
      <w:r w:rsidR="000D2E67" w:rsidRPr="000D2E67">
        <w:rPr>
          <w:rFonts w:ascii="Franklin Gothic Book" w:eastAsia="Calibri" w:hAnsi="Franklin Gothic Book"/>
          <w:sz w:val="21"/>
          <w:szCs w:val="21"/>
          <w:lang w:eastAsia="en-US"/>
        </w:rPr>
        <w:t xml:space="preserve">civil society and private sector </w:t>
      </w:r>
      <w:r w:rsidR="00584EC4" w:rsidRPr="000D2E67">
        <w:rPr>
          <w:rFonts w:ascii="Franklin Gothic Book" w:eastAsia="Calibri" w:hAnsi="Franklin Gothic Book"/>
          <w:sz w:val="21"/>
          <w:szCs w:val="21"/>
          <w:lang w:eastAsia="en-US"/>
        </w:rPr>
        <w:t>participation in policy reforms</w:t>
      </w:r>
      <w:r w:rsidR="000D2E67">
        <w:rPr>
          <w:rFonts w:ascii="Franklin Gothic Book" w:eastAsia="Calibri" w:hAnsi="Franklin Gothic Book"/>
          <w:sz w:val="21"/>
          <w:szCs w:val="21"/>
          <w:lang w:eastAsia="en-US"/>
        </w:rPr>
        <w:t>.</w:t>
      </w:r>
      <w:r w:rsidR="00C0669E">
        <w:rPr>
          <w:rFonts w:ascii="Franklin Gothic Book" w:eastAsia="Calibri" w:hAnsi="Franklin Gothic Book"/>
          <w:sz w:val="21"/>
          <w:szCs w:val="21"/>
          <w:lang w:eastAsia="en-US"/>
        </w:rPr>
        <w:t xml:space="preserve">  Our investments work across the other four objectives in achieving program wide outcomes.</w:t>
      </w:r>
    </w:p>
    <w:p w:rsidR="00912A5D" w:rsidRPr="00977C19" w:rsidRDefault="00912A5D" w:rsidP="00912A5D">
      <w:pPr>
        <w:pStyle w:val="ListBullet"/>
        <w:tabs>
          <w:tab w:val="clear" w:pos="284"/>
        </w:tabs>
        <w:rPr>
          <w:rFonts w:eastAsia="Calibri"/>
          <w:i/>
          <w:szCs w:val="21"/>
          <w:lang w:eastAsia="en-US"/>
        </w:rPr>
      </w:pPr>
      <w:r w:rsidRPr="00977C19">
        <w:rPr>
          <w:rFonts w:eastAsia="Calibri"/>
          <w:i/>
          <w:szCs w:val="21"/>
          <w:lang w:eastAsia="en-US"/>
        </w:rPr>
        <w:t xml:space="preserve">Development entrepreneurship and civil-society based approaches </w:t>
      </w:r>
    </w:p>
    <w:p w:rsidR="008503B5" w:rsidRDefault="00A1117F" w:rsidP="000D2E67">
      <w:pPr>
        <w:spacing w:after="200" w:line="276" w:lineRule="auto"/>
        <w:rPr>
          <w:rFonts w:ascii="Franklin Gothic Book" w:eastAsia="Calibri" w:hAnsi="Franklin Gothic Book"/>
          <w:sz w:val="21"/>
          <w:szCs w:val="21"/>
          <w:lang w:eastAsia="en-US"/>
        </w:rPr>
      </w:pPr>
      <w:r>
        <w:rPr>
          <w:rFonts w:ascii="Franklin Gothic Book" w:eastAsia="Calibri" w:hAnsi="Franklin Gothic Book"/>
          <w:sz w:val="21"/>
          <w:szCs w:val="21"/>
          <w:lang w:eastAsia="en-US"/>
        </w:rPr>
        <w:t xml:space="preserve">DFAT’s partnership with The Asia Foundation is supporting </w:t>
      </w:r>
      <w:r w:rsidR="00C0669E">
        <w:rPr>
          <w:rFonts w:ascii="Franklin Gothic Book" w:eastAsia="Calibri" w:hAnsi="Franklin Gothic Book"/>
          <w:sz w:val="21"/>
          <w:szCs w:val="21"/>
          <w:lang w:eastAsia="en-US"/>
        </w:rPr>
        <w:t>Australia’s foundational objective to promote stronger institutions for accountable and inclusive governance in the Philippines.</w:t>
      </w:r>
      <w:r>
        <w:rPr>
          <w:rFonts w:ascii="Franklin Gothic Book" w:eastAsia="Calibri" w:hAnsi="Franklin Gothic Book"/>
          <w:sz w:val="21"/>
          <w:szCs w:val="21"/>
          <w:lang w:eastAsia="en-US"/>
        </w:rPr>
        <w:t xml:space="preserve">  </w:t>
      </w:r>
      <w:r w:rsidR="008503B5">
        <w:rPr>
          <w:rFonts w:ascii="Franklin Gothic Book" w:eastAsia="Calibri" w:hAnsi="Franklin Gothic Book"/>
          <w:sz w:val="21"/>
          <w:szCs w:val="21"/>
          <w:lang w:eastAsia="en-US"/>
        </w:rPr>
        <w:t>The Coalition for Change (CfC)</w:t>
      </w:r>
      <w:r>
        <w:rPr>
          <w:rFonts w:ascii="Franklin Gothic Book" w:eastAsia="Calibri" w:hAnsi="Franklin Gothic Book"/>
          <w:sz w:val="21"/>
          <w:szCs w:val="21"/>
          <w:lang w:eastAsia="en-US"/>
        </w:rPr>
        <w:t>,</w:t>
      </w:r>
      <w:r w:rsidR="008503B5">
        <w:rPr>
          <w:rFonts w:ascii="Franklin Gothic Book" w:eastAsia="Calibri" w:hAnsi="Franklin Gothic Book"/>
          <w:sz w:val="21"/>
          <w:szCs w:val="21"/>
          <w:lang w:eastAsia="en-US"/>
        </w:rPr>
        <w:t xml:space="preserve"> the program centrepiece managed by the partnership ($20.45 million)</w:t>
      </w:r>
      <w:r>
        <w:rPr>
          <w:rFonts w:ascii="Franklin Gothic Book" w:eastAsia="Calibri" w:hAnsi="Franklin Gothic Book"/>
          <w:sz w:val="21"/>
          <w:szCs w:val="21"/>
          <w:lang w:eastAsia="en-US"/>
        </w:rPr>
        <w:t>,</w:t>
      </w:r>
      <w:r w:rsidR="008503B5">
        <w:rPr>
          <w:rFonts w:ascii="Franklin Gothic Book" w:eastAsia="Calibri" w:hAnsi="Franklin Gothic Book"/>
          <w:sz w:val="21"/>
          <w:szCs w:val="21"/>
          <w:lang w:eastAsia="en-US"/>
        </w:rPr>
        <w:t xml:space="preserve"> is designed to form coalitions among civil society, private sector and government and create platforms for dialogue </w:t>
      </w:r>
      <w:r>
        <w:rPr>
          <w:rFonts w:ascii="Franklin Gothic Book" w:eastAsia="Calibri" w:hAnsi="Franklin Gothic Book"/>
          <w:sz w:val="21"/>
          <w:szCs w:val="21"/>
          <w:lang w:eastAsia="en-US"/>
        </w:rPr>
        <w:t xml:space="preserve">and </w:t>
      </w:r>
      <w:r w:rsidR="008503B5">
        <w:rPr>
          <w:rFonts w:ascii="Franklin Gothic Book" w:eastAsia="Calibri" w:hAnsi="Franklin Gothic Book"/>
          <w:sz w:val="21"/>
          <w:szCs w:val="21"/>
          <w:lang w:eastAsia="en-US"/>
        </w:rPr>
        <w:t xml:space="preserve">influence public policy </w:t>
      </w:r>
      <w:r>
        <w:rPr>
          <w:rFonts w:ascii="Franklin Gothic Book" w:eastAsia="Calibri" w:hAnsi="Franklin Gothic Book"/>
          <w:sz w:val="21"/>
          <w:szCs w:val="21"/>
          <w:lang w:eastAsia="en-US"/>
        </w:rPr>
        <w:t xml:space="preserve">that are </w:t>
      </w:r>
      <w:r w:rsidR="008503B5">
        <w:rPr>
          <w:rFonts w:ascii="Franklin Gothic Book" w:eastAsia="Calibri" w:hAnsi="Franklin Gothic Book"/>
          <w:sz w:val="21"/>
          <w:szCs w:val="21"/>
          <w:lang w:eastAsia="en-US"/>
        </w:rPr>
        <w:t xml:space="preserve">crucial to achieving Australia’s and Philippines’ development </w:t>
      </w:r>
      <w:r>
        <w:rPr>
          <w:rFonts w:ascii="Franklin Gothic Book" w:eastAsia="Calibri" w:hAnsi="Franklin Gothic Book"/>
          <w:sz w:val="21"/>
          <w:szCs w:val="21"/>
          <w:lang w:eastAsia="en-US"/>
        </w:rPr>
        <w:t>priorities</w:t>
      </w:r>
      <w:r w:rsidR="008503B5">
        <w:rPr>
          <w:rFonts w:ascii="Franklin Gothic Book" w:eastAsia="Calibri" w:hAnsi="Franklin Gothic Book"/>
          <w:sz w:val="21"/>
          <w:szCs w:val="21"/>
          <w:lang w:eastAsia="en-US"/>
        </w:rPr>
        <w:t xml:space="preserve">.  </w:t>
      </w:r>
      <w:r w:rsidR="00AF27B1">
        <w:rPr>
          <w:rFonts w:ascii="Franklin Gothic Book" w:eastAsia="Calibri" w:hAnsi="Franklin Gothic Book"/>
          <w:sz w:val="21"/>
          <w:szCs w:val="21"/>
          <w:lang w:eastAsia="en-US"/>
        </w:rPr>
        <w:t>An independent</w:t>
      </w:r>
      <w:r>
        <w:rPr>
          <w:rFonts w:ascii="Franklin Gothic Book" w:eastAsia="Calibri" w:hAnsi="Franklin Gothic Book"/>
          <w:sz w:val="21"/>
          <w:szCs w:val="21"/>
          <w:lang w:eastAsia="en-US"/>
        </w:rPr>
        <w:t xml:space="preserve"> review team found </w:t>
      </w:r>
      <w:r w:rsidR="008503B5">
        <w:rPr>
          <w:rFonts w:ascii="Franklin Gothic Book" w:eastAsia="Calibri" w:hAnsi="Franklin Gothic Book"/>
          <w:sz w:val="21"/>
          <w:szCs w:val="21"/>
          <w:lang w:eastAsia="en-US"/>
        </w:rPr>
        <w:t xml:space="preserve">CfC </w:t>
      </w:r>
      <w:r>
        <w:rPr>
          <w:rFonts w:ascii="Franklin Gothic Book" w:eastAsia="Calibri" w:hAnsi="Franklin Gothic Book"/>
          <w:sz w:val="21"/>
          <w:szCs w:val="21"/>
          <w:lang w:eastAsia="en-US"/>
        </w:rPr>
        <w:t xml:space="preserve">to be </w:t>
      </w:r>
      <w:r w:rsidR="008503B5">
        <w:rPr>
          <w:rFonts w:ascii="Franklin Gothic Book" w:eastAsia="Calibri" w:hAnsi="Franklin Gothic Book"/>
          <w:sz w:val="21"/>
          <w:szCs w:val="21"/>
          <w:lang w:eastAsia="en-US"/>
        </w:rPr>
        <w:t xml:space="preserve">highly innovative and successful </w:t>
      </w:r>
      <w:r>
        <w:rPr>
          <w:rFonts w:ascii="Franklin Gothic Book" w:eastAsia="Calibri" w:hAnsi="Franklin Gothic Book"/>
          <w:sz w:val="21"/>
          <w:szCs w:val="21"/>
          <w:lang w:eastAsia="en-US"/>
        </w:rPr>
        <w:t>(</w:t>
      </w:r>
      <w:r w:rsidR="008503B5">
        <w:rPr>
          <w:rFonts w:ascii="Franklin Gothic Book" w:eastAsia="Calibri" w:hAnsi="Franklin Gothic Book"/>
          <w:sz w:val="21"/>
          <w:szCs w:val="21"/>
          <w:lang w:eastAsia="en-US"/>
        </w:rPr>
        <w:t>December 2013</w:t>
      </w:r>
      <w:r>
        <w:rPr>
          <w:rFonts w:ascii="Franklin Gothic Book" w:eastAsia="Calibri" w:hAnsi="Franklin Gothic Book"/>
          <w:sz w:val="21"/>
          <w:szCs w:val="21"/>
          <w:lang w:eastAsia="en-US"/>
        </w:rPr>
        <w:t>)</w:t>
      </w:r>
      <w:r w:rsidR="00A773BF">
        <w:rPr>
          <w:rFonts w:ascii="Franklin Gothic Book" w:eastAsia="Calibri" w:hAnsi="Franklin Gothic Book"/>
          <w:sz w:val="21"/>
          <w:szCs w:val="21"/>
          <w:lang w:eastAsia="en-US"/>
        </w:rPr>
        <w:t>, noting that CfC, and more broadly the p</w:t>
      </w:r>
      <w:r w:rsidR="008503B5">
        <w:rPr>
          <w:rFonts w:ascii="Franklin Gothic Book" w:eastAsia="Calibri" w:hAnsi="Franklin Gothic Book"/>
          <w:sz w:val="21"/>
          <w:szCs w:val="21"/>
          <w:lang w:eastAsia="en-US"/>
        </w:rPr>
        <w:t xml:space="preserve">artnership </w:t>
      </w:r>
      <w:r w:rsidR="00DB46D0">
        <w:rPr>
          <w:rFonts w:ascii="Franklin Gothic Book" w:eastAsia="Calibri" w:hAnsi="Franklin Gothic Book"/>
          <w:sz w:val="21"/>
          <w:szCs w:val="21"/>
          <w:lang w:eastAsia="en-US"/>
        </w:rPr>
        <w:t>with T</w:t>
      </w:r>
      <w:r w:rsidR="00A773BF">
        <w:rPr>
          <w:rFonts w:ascii="Franklin Gothic Book" w:eastAsia="Calibri" w:hAnsi="Franklin Gothic Book"/>
          <w:sz w:val="21"/>
          <w:szCs w:val="21"/>
          <w:lang w:eastAsia="en-US"/>
        </w:rPr>
        <w:t>he Asia Foundation</w:t>
      </w:r>
      <w:r w:rsidR="008503B5">
        <w:rPr>
          <w:rFonts w:ascii="Franklin Gothic Book" w:eastAsia="Calibri" w:hAnsi="Franklin Gothic Book"/>
          <w:sz w:val="21"/>
          <w:szCs w:val="21"/>
          <w:lang w:eastAsia="en-US"/>
        </w:rPr>
        <w:t xml:space="preserve">, is a “highly relevant program” to </w:t>
      </w:r>
      <w:r w:rsidR="00A773BF">
        <w:rPr>
          <w:rFonts w:ascii="Franklin Gothic Book" w:eastAsia="Calibri" w:hAnsi="Franklin Gothic Book"/>
          <w:sz w:val="21"/>
          <w:szCs w:val="21"/>
          <w:lang w:eastAsia="en-US"/>
        </w:rPr>
        <w:t xml:space="preserve">the </w:t>
      </w:r>
      <w:r w:rsidR="008503B5">
        <w:rPr>
          <w:rFonts w:ascii="Franklin Gothic Book" w:eastAsia="Calibri" w:hAnsi="Franklin Gothic Book"/>
          <w:sz w:val="21"/>
          <w:szCs w:val="21"/>
          <w:lang w:eastAsia="en-US"/>
        </w:rPr>
        <w:t>Philippines context and to the Australian aid objectives adding that “it is the right thing to be doing, in the right place, and the right time.”</w:t>
      </w:r>
    </w:p>
    <w:p w:rsidR="00AE6CF0" w:rsidRPr="00912A5D" w:rsidRDefault="00551427" w:rsidP="00912A5D">
      <w:pPr>
        <w:spacing w:after="200" w:line="276" w:lineRule="auto"/>
        <w:rPr>
          <w:rFonts w:ascii="Franklin Gothic Book" w:eastAsia="Calibri" w:hAnsi="Franklin Gothic Book"/>
          <w:sz w:val="21"/>
          <w:szCs w:val="21"/>
          <w:lang w:eastAsia="en-US"/>
        </w:rPr>
      </w:pPr>
      <w:r>
        <w:rPr>
          <w:rFonts w:ascii="Franklin Gothic Book" w:eastAsia="Calibri" w:hAnsi="Franklin Gothic Book"/>
          <w:sz w:val="21"/>
          <w:szCs w:val="21"/>
          <w:lang w:eastAsia="en-US"/>
        </w:rPr>
        <w:t xml:space="preserve">To date, CfC has worked with </w:t>
      </w:r>
      <w:r w:rsidR="00A773BF">
        <w:rPr>
          <w:rFonts w:ascii="Franklin Gothic Book" w:eastAsia="Calibri" w:hAnsi="Franklin Gothic Book"/>
          <w:sz w:val="21"/>
          <w:szCs w:val="21"/>
          <w:lang w:eastAsia="en-US"/>
        </w:rPr>
        <w:t>173 civil society organisations</w:t>
      </w:r>
      <w:r>
        <w:rPr>
          <w:rFonts w:ascii="Franklin Gothic Book" w:eastAsia="Calibri" w:hAnsi="Franklin Gothic Book"/>
          <w:sz w:val="21"/>
          <w:szCs w:val="21"/>
          <w:lang w:eastAsia="en-US"/>
        </w:rPr>
        <w:t xml:space="preserve"> in Australia’s priority sectors to access policy dialogue opportunities with government.  Of the 13 policy reform areas, CfC has successfully brokered the passage of </w:t>
      </w:r>
      <w:r w:rsidR="00A35814">
        <w:rPr>
          <w:rFonts w:ascii="Franklin Gothic Book" w:eastAsia="Calibri" w:hAnsi="Franklin Gothic Book"/>
          <w:sz w:val="21"/>
          <w:szCs w:val="21"/>
          <w:lang w:eastAsia="en-US"/>
        </w:rPr>
        <w:t xml:space="preserve">seven </w:t>
      </w:r>
      <w:r>
        <w:rPr>
          <w:rFonts w:ascii="Franklin Gothic Book" w:eastAsia="Calibri" w:hAnsi="Franklin Gothic Book"/>
          <w:sz w:val="21"/>
          <w:szCs w:val="21"/>
          <w:lang w:eastAsia="en-US"/>
        </w:rPr>
        <w:t xml:space="preserve">reforms.  One example is the formation of coalitions with private groups to influence </w:t>
      </w:r>
      <w:r w:rsidR="00A773BF">
        <w:rPr>
          <w:rFonts w:ascii="Franklin Gothic Book" w:eastAsia="Calibri" w:hAnsi="Franklin Gothic Book"/>
          <w:sz w:val="21"/>
          <w:szCs w:val="21"/>
          <w:lang w:eastAsia="en-US"/>
        </w:rPr>
        <w:t xml:space="preserve">local </w:t>
      </w:r>
      <w:r>
        <w:rPr>
          <w:rFonts w:ascii="Franklin Gothic Book" w:eastAsia="Calibri" w:hAnsi="Franklin Gothic Book"/>
          <w:sz w:val="21"/>
          <w:szCs w:val="21"/>
          <w:lang w:eastAsia="en-US"/>
        </w:rPr>
        <w:t xml:space="preserve">government road investment planning, </w:t>
      </w:r>
      <w:r w:rsidR="00A773BF">
        <w:rPr>
          <w:rFonts w:ascii="Franklin Gothic Book" w:eastAsia="Calibri" w:hAnsi="Franklin Gothic Book"/>
          <w:sz w:val="21"/>
          <w:szCs w:val="21"/>
          <w:lang w:eastAsia="en-US"/>
        </w:rPr>
        <w:t xml:space="preserve">and </w:t>
      </w:r>
      <w:r>
        <w:rPr>
          <w:rFonts w:ascii="Franklin Gothic Book" w:eastAsia="Calibri" w:hAnsi="Franklin Gothic Book"/>
          <w:sz w:val="21"/>
          <w:szCs w:val="21"/>
          <w:lang w:eastAsia="en-US"/>
        </w:rPr>
        <w:t>ensuring that infrastructure investment</w:t>
      </w:r>
      <w:r w:rsidR="00A773BF">
        <w:rPr>
          <w:rFonts w:ascii="Franklin Gothic Book" w:eastAsia="Calibri" w:hAnsi="Franklin Gothic Book"/>
          <w:sz w:val="21"/>
          <w:szCs w:val="21"/>
          <w:lang w:eastAsia="en-US"/>
        </w:rPr>
        <w:t>s</w:t>
      </w:r>
      <w:r>
        <w:rPr>
          <w:rFonts w:ascii="Franklin Gothic Book" w:eastAsia="Calibri" w:hAnsi="Franklin Gothic Book"/>
          <w:sz w:val="21"/>
          <w:szCs w:val="21"/>
          <w:lang w:eastAsia="en-US"/>
        </w:rPr>
        <w:t xml:space="preserve"> are transparent, accountable, and prioritised to impact on social and economic development.  </w:t>
      </w:r>
    </w:p>
    <w:p w:rsidR="00AA6010" w:rsidRPr="000A60E1" w:rsidRDefault="00AA6010" w:rsidP="00584EC4">
      <w:pPr>
        <w:pStyle w:val="ListBullet"/>
        <w:tabs>
          <w:tab w:val="clear" w:pos="284"/>
        </w:tabs>
        <w:rPr>
          <w:rFonts w:eastAsia="Calibri"/>
          <w:i/>
          <w:szCs w:val="21"/>
          <w:lang w:eastAsia="en-US"/>
        </w:rPr>
      </w:pPr>
      <w:r w:rsidRPr="000A60E1">
        <w:rPr>
          <w:rFonts w:eastAsia="Calibri"/>
          <w:i/>
          <w:szCs w:val="21"/>
          <w:lang w:eastAsia="en-US"/>
        </w:rPr>
        <w:t xml:space="preserve">Human resource development and institutional strengthening </w:t>
      </w:r>
    </w:p>
    <w:p w:rsidR="001E5049" w:rsidRDefault="00912A5D" w:rsidP="00912A5D">
      <w:pPr>
        <w:spacing w:after="200" w:line="276" w:lineRule="auto"/>
        <w:rPr>
          <w:rFonts w:ascii="Franklin Gothic Book" w:eastAsia="Calibri" w:hAnsi="Franklin Gothic Book"/>
          <w:sz w:val="21"/>
          <w:szCs w:val="21"/>
          <w:lang w:eastAsia="en-US"/>
        </w:rPr>
      </w:pPr>
      <w:r>
        <w:rPr>
          <w:rFonts w:ascii="Franklin Gothic Book" w:eastAsia="Calibri" w:hAnsi="Franklin Gothic Book"/>
          <w:sz w:val="21"/>
          <w:szCs w:val="21"/>
          <w:lang w:eastAsia="en-US"/>
        </w:rPr>
        <w:t>Strengthening the capacity of the civil service is recognised as essential to the development of the Philippines.  Government department</w:t>
      </w:r>
      <w:r w:rsidR="00C14609">
        <w:rPr>
          <w:rFonts w:ascii="Franklin Gothic Book" w:eastAsia="Calibri" w:hAnsi="Franklin Gothic Book"/>
          <w:sz w:val="21"/>
          <w:szCs w:val="21"/>
          <w:lang w:eastAsia="en-US"/>
        </w:rPr>
        <w:t>s</w:t>
      </w:r>
      <w:r>
        <w:rPr>
          <w:rFonts w:ascii="Franklin Gothic Book" w:eastAsia="Calibri" w:hAnsi="Franklin Gothic Book"/>
          <w:sz w:val="21"/>
          <w:szCs w:val="21"/>
          <w:lang w:eastAsia="en-US"/>
        </w:rPr>
        <w:t xml:space="preserve"> require effective structures and public servants need adequate skills and knowledge to perform their roles.  </w:t>
      </w:r>
    </w:p>
    <w:p w:rsidR="001E5049" w:rsidRDefault="00244B7E" w:rsidP="00244B7E">
      <w:pPr>
        <w:spacing w:after="200" w:line="276" w:lineRule="auto"/>
        <w:rPr>
          <w:rFonts w:ascii="Franklin Gothic Book" w:eastAsia="Calibri" w:hAnsi="Franklin Gothic Book"/>
          <w:sz w:val="21"/>
          <w:szCs w:val="21"/>
          <w:lang w:eastAsia="en-US"/>
        </w:rPr>
      </w:pPr>
      <w:r>
        <w:rPr>
          <w:rFonts w:ascii="Franklin Gothic Book" w:eastAsia="Calibri" w:hAnsi="Franklin Gothic Book"/>
          <w:sz w:val="21"/>
          <w:szCs w:val="21"/>
          <w:lang w:eastAsia="en-US"/>
        </w:rPr>
        <w:t>Australia</w:t>
      </w:r>
      <w:r w:rsidR="00A773BF">
        <w:rPr>
          <w:rFonts w:ascii="Franklin Gothic Book" w:eastAsia="Calibri" w:hAnsi="Franklin Gothic Book"/>
          <w:sz w:val="21"/>
          <w:szCs w:val="21"/>
          <w:lang w:eastAsia="en-US"/>
        </w:rPr>
        <w:t xml:space="preserve"> </w:t>
      </w:r>
      <w:r>
        <w:rPr>
          <w:rFonts w:ascii="Franklin Gothic Book" w:eastAsia="Calibri" w:hAnsi="Franklin Gothic Book"/>
          <w:sz w:val="21"/>
          <w:szCs w:val="21"/>
          <w:lang w:eastAsia="en-US"/>
        </w:rPr>
        <w:t xml:space="preserve">currently </w:t>
      </w:r>
      <w:r w:rsidR="00A773BF">
        <w:rPr>
          <w:rFonts w:ascii="Franklin Gothic Book" w:eastAsia="Calibri" w:hAnsi="Franklin Gothic Book"/>
          <w:sz w:val="21"/>
          <w:szCs w:val="21"/>
          <w:lang w:eastAsia="en-US"/>
        </w:rPr>
        <w:t>support</w:t>
      </w:r>
      <w:r>
        <w:rPr>
          <w:rFonts w:ascii="Franklin Gothic Book" w:eastAsia="Calibri" w:hAnsi="Franklin Gothic Book"/>
          <w:sz w:val="21"/>
          <w:szCs w:val="21"/>
          <w:lang w:eastAsia="en-US"/>
        </w:rPr>
        <w:t>s</w:t>
      </w:r>
      <w:r w:rsidR="00A773BF">
        <w:rPr>
          <w:rFonts w:ascii="Franklin Gothic Book" w:eastAsia="Calibri" w:hAnsi="Franklin Gothic Book"/>
          <w:sz w:val="21"/>
          <w:szCs w:val="21"/>
          <w:lang w:eastAsia="en-US"/>
        </w:rPr>
        <w:t xml:space="preserve"> </w:t>
      </w:r>
      <w:r>
        <w:rPr>
          <w:rFonts w:ascii="Franklin Gothic Book" w:eastAsia="Calibri" w:hAnsi="Franklin Gothic Book"/>
          <w:sz w:val="21"/>
          <w:szCs w:val="21"/>
          <w:lang w:eastAsia="en-US"/>
        </w:rPr>
        <w:t xml:space="preserve">15 </w:t>
      </w:r>
      <w:r w:rsidR="00A773BF">
        <w:rPr>
          <w:rFonts w:ascii="Franklin Gothic Book" w:eastAsia="Calibri" w:hAnsi="Franklin Gothic Book"/>
          <w:sz w:val="21"/>
          <w:szCs w:val="21"/>
          <w:lang w:eastAsia="en-US"/>
        </w:rPr>
        <w:t xml:space="preserve">Philippine public institutions </w:t>
      </w:r>
      <w:r>
        <w:rPr>
          <w:rFonts w:ascii="Franklin Gothic Book" w:eastAsia="Calibri" w:hAnsi="Franklin Gothic Book"/>
          <w:sz w:val="21"/>
          <w:szCs w:val="21"/>
          <w:lang w:eastAsia="en-US"/>
        </w:rPr>
        <w:t xml:space="preserve">to </w:t>
      </w:r>
      <w:r w:rsidR="00A773BF">
        <w:rPr>
          <w:rFonts w:ascii="Franklin Gothic Book" w:eastAsia="Calibri" w:hAnsi="Franklin Gothic Book"/>
          <w:sz w:val="21"/>
          <w:szCs w:val="21"/>
          <w:lang w:eastAsia="en-US"/>
        </w:rPr>
        <w:t xml:space="preserve">improve systems and practices on </w:t>
      </w:r>
      <w:r w:rsidR="00912A5D">
        <w:rPr>
          <w:rFonts w:ascii="Franklin Gothic Book" w:eastAsia="Calibri" w:hAnsi="Franklin Gothic Book"/>
          <w:sz w:val="21"/>
          <w:szCs w:val="21"/>
          <w:lang w:eastAsia="en-US"/>
        </w:rPr>
        <w:t>human resource management</w:t>
      </w:r>
      <w:r w:rsidR="00A773BF">
        <w:rPr>
          <w:rFonts w:ascii="Franklin Gothic Book" w:eastAsia="Calibri" w:hAnsi="Franklin Gothic Book"/>
          <w:sz w:val="21"/>
          <w:szCs w:val="21"/>
          <w:lang w:eastAsia="en-US"/>
        </w:rPr>
        <w:t xml:space="preserve"> and </w:t>
      </w:r>
      <w:r w:rsidR="00912A5D">
        <w:rPr>
          <w:rFonts w:ascii="Franklin Gothic Book" w:eastAsia="Calibri" w:hAnsi="Franklin Gothic Book"/>
          <w:sz w:val="21"/>
          <w:szCs w:val="21"/>
          <w:lang w:eastAsia="en-US"/>
        </w:rPr>
        <w:t>organisational development</w:t>
      </w:r>
      <w:r>
        <w:rPr>
          <w:rFonts w:ascii="Franklin Gothic Book" w:eastAsia="Calibri" w:hAnsi="Franklin Gothic Book"/>
          <w:sz w:val="21"/>
          <w:szCs w:val="21"/>
          <w:lang w:eastAsia="en-US"/>
        </w:rPr>
        <w:t xml:space="preserve"> through short-term training, post-graduate scholarships (through Australia Awards), and workplace coaching and mentoring</w:t>
      </w:r>
      <w:r w:rsidR="00912A5D">
        <w:rPr>
          <w:rFonts w:ascii="Franklin Gothic Book" w:eastAsia="Calibri" w:hAnsi="Franklin Gothic Book"/>
          <w:sz w:val="21"/>
          <w:szCs w:val="21"/>
          <w:lang w:eastAsia="en-US"/>
        </w:rPr>
        <w:t>.</w:t>
      </w:r>
      <w:r>
        <w:rPr>
          <w:rFonts w:ascii="Franklin Gothic Book" w:eastAsia="Calibri" w:hAnsi="Franklin Gothic Book"/>
          <w:sz w:val="21"/>
          <w:szCs w:val="21"/>
          <w:lang w:eastAsia="en-US"/>
        </w:rPr>
        <w:t xml:space="preserve">  These </w:t>
      </w:r>
      <w:r w:rsidR="00DB46D0">
        <w:rPr>
          <w:rFonts w:ascii="Franklin Gothic Book" w:eastAsia="Calibri" w:hAnsi="Franklin Gothic Book"/>
          <w:sz w:val="21"/>
          <w:szCs w:val="21"/>
          <w:lang w:eastAsia="en-US"/>
        </w:rPr>
        <w:t>institutions</w:t>
      </w:r>
      <w:r w:rsidR="00A35814">
        <w:rPr>
          <w:rFonts w:ascii="Franklin Gothic Book" w:eastAsia="Calibri" w:hAnsi="Franklin Gothic Book"/>
          <w:sz w:val="21"/>
          <w:szCs w:val="21"/>
          <w:lang w:eastAsia="en-US"/>
        </w:rPr>
        <w:t xml:space="preserve"> are</w:t>
      </w:r>
      <w:r>
        <w:rPr>
          <w:rFonts w:ascii="Franklin Gothic Book" w:eastAsia="Calibri" w:hAnsi="Franklin Gothic Book"/>
          <w:sz w:val="21"/>
          <w:szCs w:val="21"/>
          <w:lang w:eastAsia="en-US"/>
        </w:rPr>
        <w:t xml:space="preserve"> Australia’s key strategic partners.  </w:t>
      </w:r>
      <w:r w:rsidR="008C7910">
        <w:rPr>
          <w:rFonts w:ascii="Franklin Gothic Book" w:eastAsia="Calibri" w:hAnsi="Franklin Gothic Book"/>
          <w:sz w:val="21"/>
          <w:szCs w:val="21"/>
          <w:lang w:eastAsia="en-US"/>
        </w:rPr>
        <w:t xml:space="preserve">Australia’s main counterpart agency, the Philippines Civil Service Commission, noted that </w:t>
      </w:r>
      <w:r w:rsidR="00C77FE9">
        <w:rPr>
          <w:rFonts w:ascii="Franklin Gothic Book" w:eastAsia="Calibri" w:hAnsi="Franklin Gothic Book"/>
          <w:sz w:val="21"/>
          <w:szCs w:val="21"/>
          <w:lang w:eastAsia="en-US"/>
        </w:rPr>
        <w:t>DFAT</w:t>
      </w:r>
      <w:r w:rsidR="00A35814">
        <w:rPr>
          <w:rFonts w:ascii="Franklin Gothic Book" w:eastAsia="Calibri" w:hAnsi="Franklin Gothic Book"/>
          <w:sz w:val="21"/>
          <w:szCs w:val="21"/>
          <w:lang w:eastAsia="en-US"/>
        </w:rPr>
        <w:t xml:space="preserve"> is</w:t>
      </w:r>
      <w:r w:rsidR="001E5049">
        <w:rPr>
          <w:rFonts w:ascii="Franklin Gothic Book" w:eastAsia="Calibri" w:hAnsi="Franklin Gothic Book"/>
          <w:sz w:val="21"/>
          <w:szCs w:val="21"/>
          <w:lang w:eastAsia="en-US"/>
        </w:rPr>
        <w:t xml:space="preserve"> the only </w:t>
      </w:r>
      <w:r w:rsidR="008C7910">
        <w:rPr>
          <w:rFonts w:ascii="Franklin Gothic Book" w:eastAsia="Calibri" w:hAnsi="Franklin Gothic Book"/>
          <w:sz w:val="21"/>
          <w:szCs w:val="21"/>
          <w:lang w:eastAsia="en-US"/>
        </w:rPr>
        <w:t xml:space="preserve">donor </w:t>
      </w:r>
      <w:r w:rsidR="001E5049">
        <w:rPr>
          <w:rFonts w:ascii="Franklin Gothic Book" w:eastAsia="Calibri" w:hAnsi="Franklin Gothic Book"/>
          <w:sz w:val="21"/>
          <w:szCs w:val="21"/>
          <w:lang w:eastAsia="en-US"/>
        </w:rPr>
        <w:t xml:space="preserve">agency </w:t>
      </w:r>
      <w:r w:rsidR="008C7910">
        <w:rPr>
          <w:rFonts w:ascii="Franklin Gothic Book" w:eastAsia="Calibri" w:hAnsi="Franklin Gothic Book"/>
          <w:sz w:val="21"/>
          <w:szCs w:val="21"/>
          <w:lang w:eastAsia="en-US"/>
        </w:rPr>
        <w:t xml:space="preserve">in the </w:t>
      </w:r>
      <w:r w:rsidR="001E5049">
        <w:rPr>
          <w:rFonts w:ascii="Franklin Gothic Book" w:eastAsia="Calibri" w:hAnsi="Franklin Gothic Book"/>
          <w:sz w:val="21"/>
          <w:szCs w:val="21"/>
          <w:lang w:eastAsia="en-US"/>
        </w:rPr>
        <w:t xml:space="preserve">Philippines </w:t>
      </w:r>
      <w:r w:rsidR="008C7910">
        <w:rPr>
          <w:rFonts w:ascii="Franklin Gothic Book" w:eastAsia="Calibri" w:hAnsi="Franklin Gothic Book"/>
          <w:sz w:val="21"/>
          <w:szCs w:val="21"/>
          <w:lang w:eastAsia="en-US"/>
        </w:rPr>
        <w:t xml:space="preserve">that </w:t>
      </w:r>
      <w:r w:rsidR="001E5049">
        <w:rPr>
          <w:rFonts w:ascii="Franklin Gothic Book" w:eastAsia="Calibri" w:hAnsi="Franklin Gothic Book"/>
          <w:sz w:val="21"/>
          <w:szCs w:val="21"/>
          <w:lang w:eastAsia="en-US"/>
        </w:rPr>
        <w:t>directly support</w:t>
      </w:r>
      <w:r w:rsidR="003D7099">
        <w:rPr>
          <w:rFonts w:ascii="Franklin Gothic Book" w:eastAsia="Calibri" w:hAnsi="Franklin Gothic Book"/>
          <w:sz w:val="21"/>
          <w:szCs w:val="21"/>
          <w:lang w:eastAsia="en-US"/>
        </w:rPr>
        <w:t>s</w:t>
      </w:r>
      <w:r w:rsidR="001E5049">
        <w:rPr>
          <w:rFonts w:ascii="Franklin Gothic Book" w:eastAsia="Calibri" w:hAnsi="Franklin Gothic Book"/>
          <w:sz w:val="21"/>
          <w:szCs w:val="21"/>
          <w:lang w:eastAsia="en-US"/>
        </w:rPr>
        <w:t xml:space="preserve"> public servants </w:t>
      </w:r>
      <w:r w:rsidR="00A35814">
        <w:rPr>
          <w:rFonts w:ascii="Franklin Gothic Book" w:eastAsia="Calibri" w:hAnsi="Franklin Gothic Book"/>
          <w:sz w:val="21"/>
          <w:szCs w:val="21"/>
          <w:lang w:eastAsia="en-US"/>
        </w:rPr>
        <w:t>to</w:t>
      </w:r>
      <w:r w:rsidR="001E5049">
        <w:rPr>
          <w:rFonts w:ascii="Franklin Gothic Book" w:eastAsia="Calibri" w:hAnsi="Franklin Gothic Book"/>
          <w:sz w:val="21"/>
          <w:szCs w:val="21"/>
          <w:lang w:eastAsia="en-US"/>
        </w:rPr>
        <w:t xml:space="preserve"> </w:t>
      </w:r>
      <w:r w:rsidR="008C7910">
        <w:rPr>
          <w:rFonts w:ascii="Franklin Gothic Book" w:eastAsia="Calibri" w:hAnsi="Franklin Gothic Book"/>
          <w:sz w:val="21"/>
          <w:szCs w:val="21"/>
          <w:lang w:eastAsia="en-US"/>
        </w:rPr>
        <w:t>improv</w:t>
      </w:r>
      <w:r w:rsidR="00DB46D0">
        <w:rPr>
          <w:rFonts w:ascii="Franklin Gothic Book" w:eastAsia="Calibri" w:hAnsi="Franklin Gothic Book"/>
          <w:sz w:val="21"/>
          <w:szCs w:val="21"/>
          <w:lang w:eastAsia="en-US"/>
        </w:rPr>
        <w:t>e</w:t>
      </w:r>
      <w:r w:rsidR="008C7910">
        <w:rPr>
          <w:rFonts w:ascii="Franklin Gothic Book" w:eastAsia="Calibri" w:hAnsi="Franklin Gothic Book"/>
          <w:sz w:val="21"/>
          <w:szCs w:val="21"/>
          <w:lang w:eastAsia="en-US"/>
        </w:rPr>
        <w:t xml:space="preserve"> the</w:t>
      </w:r>
      <w:r w:rsidR="001E5049">
        <w:rPr>
          <w:rFonts w:ascii="Franklin Gothic Book" w:eastAsia="Calibri" w:hAnsi="Franklin Gothic Book"/>
          <w:sz w:val="21"/>
          <w:szCs w:val="21"/>
          <w:lang w:eastAsia="en-US"/>
        </w:rPr>
        <w:t>ir</w:t>
      </w:r>
      <w:r w:rsidR="008C7910">
        <w:rPr>
          <w:rFonts w:ascii="Franklin Gothic Book" w:eastAsia="Calibri" w:hAnsi="Franklin Gothic Book"/>
          <w:sz w:val="21"/>
          <w:szCs w:val="21"/>
          <w:lang w:eastAsia="en-US"/>
        </w:rPr>
        <w:t xml:space="preserve"> skills, knowledge, and integrity</w:t>
      </w:r>
      <w:r w:rsidR="001E5049">
        <w:rPr>
          <w:rFonts w:ascii="Franklin Gothic Book" w:eastAsia="Calibri" w:hAnsi="Franklin Gothic Book"/>
          <w:sz w:val="21"/>
          <w:szCs w:val="21"/>
          <w:lang w:eastAsia="en-US"/>
        </w:rPr>
        <w:t>.</w:t>
      </w:r>
      <w:r w:rsidR="008C7910">
        <w:rPr>
          <w:rFonts w:ascii="Franklin Gothic Book" w:eastAsia="Calibri" w:hAnsi="Franklin Gothic Book"/>
          <w:sz w:val="21"/>
          <w:szCs w:val="21"/>
          <w:lang w:eastAsia="en-US"/>
        </w:rPr>
        <w:t xml:space="preserve"> </w:t>
      </w:r>
    </w:p>
    <w:p w:rsidR="002929F5" w:rsidRPr="00C00586" w:rsidRDefault="00473858" w:rsidP="002929F5">
      <w:pPr>
        <w:spacing w:after="200" w:line="276" w:lineRule="auto"/>
        <w:rPr>
          <w:rFonts w:ascii="Franklin Gothic Book" w:eastAsia="Calibri" w:hAnsi="Franklin Gothic Book"/>
          <w:sz w:val="21"/>
          <w:szCs w:val="21"/>
          <w:lang w:eastAsia="en-US"/>
        </w:rPr>
      </w:pPr>
      <w:r>
        <w:rPr>
          <w:rFonts w:ascii="Franklin Gothic Book" w:eastAsia="Calibri" w:hAnsi="Franklin Gothic Book"/>
          <w:sz w:val="21"/>
          <w:szCs w:val="21"/>
          <w:lang w:eastAsia="en-US"/>
        </w:rPr>
        <w:t xml:space="preserve">Australia has mobilised and provided pre-departure support to 120 awardees for the 2013 </w:t>
      </w:r>
      <w:r w:rsidR="004E066A">
        <w:rPr>
          <w:rFonts w:ascii="Franklin Gothic Book" w:eastAsia="Calibri" w:hAnsi="Franklin Gothic Book"/>
          <w:sz w:val="21"/>
          <w:szCs w:val="21"/>
          <w:lang w:eastAsia="en-US"/>
        </w:rPr>
        <w:t xml:space="preserve">Australia Awards </w:t>
      </w:r>
      <w:r>
        <w:rPr>
          <w:rFonts w:ascii="Franklin Gothic Book" w:eastAsia="Calibri" w:hAnsi="Franklin Gothic Book"/>
          <w:sz w:val="21"/>
          <w:szCs w:val="21"/>
          <w:lang w:eastAsia="en-US"/>
        </w:rPr>
        <w:t xml:space="preserve">intake.  </w:t>
      </w:r>
      <w:r w:rsidR="0036620B">
        <w:rPr>
          <w:rFonts w:ascii="Franklin Gothic Book" w:eastAsia="Calibri" w:hAnsi="Franklin Gothic Book"/>
          <w:sz w:val="21"/>
          <w:szCs w:val="21"/>
          <w:lang w:eastAsia="en-US"/>
        </w:rPr>
        <w:t>All scholars develop</w:t>
      </w:r>
      <w:r w:rsidR="006F621F">
        <w:rPr>
          <w:rFonts w:ascii="Franklin Gothic Book" w:eastAsia="Calibri" w:hAnsi="Franklin Gothic Book"/>
          <w:sz w:val="21"/>
          <w:szCs w:val="21"/>
          <w:lang w:eastAsia="en-US"/>
        </w:rPr>
        <w:t>ed</w:t>
      </w:r>
      <w:r w:rsidR="0036620B">
        <w:rPr>
          <w:rFonts w:ascii="Franklin Gothic Book" w:eastAsia="Calibri" w:hAnsi="Franklin Gothic Book"/>
          <w:sz w:val="21"/>
          <w:szCs w:val="21"/>
          <w:lang w:eastAsia="en-US"/>
        </w:rPr>
        <w:t xml:space="preserve"> </w:t>
      </w:r>
      <w:r w:rsidR="002929F5">
        <w:rPr>
          <w:rFonts w:ascii="Franklin Gothic Book" w:eastAsia="Calibri" w:hAnsi="Franklin Gothic Book"/>
          <w:sz w:val="21"/>
          <w:szCs w:val="21"/>
          <w:lang w:eastAsia="en-US"/>
        </w:rPr>
        <w:t>a re-entry action plan</w:t>
      </w:r>
      <w:r w:rsidR="0036620B">
        <w:rPr>
          <w:rFonts w:ascii="Franklin Gothic Book" w:eastAsia="Calibri" w:hAnsi="Franklin Gothic Book"/>
          <w:sz w:val="21"/>
          <w:szCs w:val="21"/>
          <w:lang w:eastAsia="en-US"/>
        </w:rPr>
        <w:t xml:space="preserve"> </w:t>
      </w:r>
      <w:r w:rsidR="006F621F">
        <w:rPr>
          <w:rFonts w:ascii="Franklin Gothic Book" w:eastAsia="Calibri" w:hAnsi="Franklin Gothic Book"/>
          <w:sz w:val="21"/>
          <w:szCs w:val="21"/>
          <w:lang w:eastAsia="en-US"/>
        </w:rPr>
        <w:t xml:space="preserve">that </w:t>
      </w:r>
      <w:r>
        <w:rPr>
          <w:rFonts w:ascii="Franklin Gothic Book" w:eastAsia="Calibri" w:hAnsi="Franklin Gothic Book"/>
          <w:sz w:val="21"/>
          <w:szCs w:val="21"/>
          <w:lang w:eastAsia="en-US"/>
        </w:rPr>
        <w:t xml:space="preserve">facilitated an effective and smooth transition to work on return from </w:t>
      </w:r>
      <w:r w:rsidR="006F621F">
        <w:rPr>
          <w:rFonts w:ascii="Franklin Gothic Book" w:eastAsia="Calibri" w:hAnsi="Franklin Gothic Book"/>
          <w:sz w:val="21"/>
          <w:szCs w:val="21"/>
          <w:lang w:eastAsia="en-US"/>
        </w:rPr>
        <w:t xml:space="preserve">their </w:t>
      </w:r>
      <w:r>
        <w:rPr>
          <w:rFonts w:ascii="Franklin Gothic Book" w:eastAsia="Calibri" w:hAnsi="Franklin Gothic Book"/>
          <w:sz w:val="21"/>
          <w:szCs w:val="21"/>
          <w:lang w:eastAsia="en-US"/>
        </w:rPr>
        <w:t>studies</w:t>
      </w:r>
      <w:r w:rsidR="0036620B">
        <w:rPr>
          <w:rFonts w:ascii="Franklin Gothic Book" w:eastAsia="Calibri" w:hAnsi="Franklin Gothic Book"/>
          <w:sz w:val="21"/>
          <w:szCs w:val="21"/>
          <w:lang w:eastAsia="en-US"/>
        </w:rPr>
        <w:t xml:space="preserve">.  </w:t>
      </w:r>
      <w:r w:rsidR="00D75417">
        <w:rPr>
          <w:rFonts w:ascii="Franklin Gothic Book" w:eastAsia="Calibri" w:hAnsi="Franklin Gothic Book"/>
          <w:sz w:val="21"/>
          <w:szCs w:val="21"/>
          <w:lang w:eastAsia="en-US"/>
        </w:rPr>
        <w:t>O</w:t>
      </w:r>
      <w:r w:rsidR="00D669CD">
        <w:rPr>
          <w:rFonts w:ascii="Franklin Gothic Book" w:eastAsia="Calibri" w:hAnsi="Franklin Gothic Book"/>
          <w:sz w:val="21"/>
          <w:szCs w:val="21"/>
          <w:lang w:eastAsia="en-US"/>
        </w:rPr>
        <w:t xml:space="preserve">ur support through the Human Resource and Organisational Development Facility has </w:t>
      </w:r>
      <w:r w:rsidR="00D75417">
        <w:rPr>
          <w:rFonts w:ascii="Franklin Gothic Book" w:eastAsia="Calibri" w:hAnsi="Franklin Gothic Book"/>
          <w:sz w:val="21"/>
          <w:szCs w:val="21"/>
          <w:lang w:eastAsia="en-US"/>
        </w:rPr>
        <w:t xml:space="preserve">also </w:t>
      </w:r>
      <w:r w:rsidR="00D669CD">
        <w:rPr>
          <w:rFonts w:ascii="Franklin Gothic Book" w:eastAsia="Calibri" w:hAnsi="Franklin Gothic Book"/>
          <w:sz w:val="21"/>
          <w:szCs w:val="21"/>
          <w:lang w:eastAsia="en-US"/>
        </w:rPr>
        <w:t xml:space="preserve">trained </w:t>
      </w:r>
      <w:r w:rsidR="002929F5">
        <w:rPr>
          <w:rFonts w:ascii="Franklin Gothic Book" w:eastAsia="Calibri" w:hAnsi="Franklin Gothic Book"/>
          <w:sz w:val="21"/>
          <w:szCs w:val="21"/>
          <w:lang w:eastAsia="en-US"/>
        </w:rPr>
        <w:t xml:space="preserve">1,043 public </w:t>
      </w:r>
      <w:r w:rsidR="002929F5">
        <w:rPr>
          <w:rFonts w:ascii="Franklin Gothic Book" w:eastAsia="Calibri" w:hAnsi="Franklin Gothic Book"/>
          <w:sz w:val="21"/>
          <w:szCs w:val="21"/>
          <w:lang w:eastAsia="en-US"/>
        </w:rPr>
        <w:lastRenderedPageBreak/>
        <w:t xml:space="preserve">servants.  </w:t>
      </w:r>
      <w:r w:rsidR="00DB46D0">
        <w:rPr>
          <w:rFonts w:ascii="Franklin Gothic Book" w:eastAsia="Calibri" w:hAnsi="Franklin Gothic Book"/>
          <w:sz w:val="21"/>
          <w:szCs w:val="21"/>
          <w:lang w:eastAsia="en-US"/>
        </w:rPr>
        <w:t>A</w:t>
      </w:r>
      <w:r w:rsidR="00A35814">
        <w:rPr>
          <w:rFonts w:ascii="Franklin Gothic Book" w:eastAsia="Calibri" w:hAnsi="Franklin Gothic Book"/>
          <w:sz w:val="21"/>
          <w:szCs w:val="21"/>
          <w:lang w:eastAsia="en-US"/>
        </w:rPr>
        <w:t>n independent</w:t>
      </w:r>
      <w:r w:rsidR="002929F5">
        <w:rPr>
          <w:rFonts w:ascii="Franklin Gothic Book" w:eastAsia="Calibri" w:hAnsi="Franklin Gothic Book"/>
          <w:sz w:val="21"/>
          <w:szCs w:val="21"/>
          <w:lang w:eastAsia="en-US"/>
        </w:rPr>
        <w:t xml:space="preserve"> assessment </w:t>
      </w:r>
      <w:r w:rsidR="00A35814">
        <w:rPr>
          <w:rFonts w:ascii="Franklin Gothic Book" w:eastAsia="Calibri" w:hAnsi="Franklin Gothic Book"/>
          <w:sz w:val="21"/>
          <w:szCs w:val="21"/>
          <w:lang w:eastAsia="en-US"/>
        </w:rPr>
        <w:t xml:space="preserve">found </w:t>
      </w:r>
      <w:r w:rsidR="002929F5">
        <w:rPr>
          <w:rFonts w:ascii="Franklin Gothic Book" w:eastAsia="Calibri" w:hAnsi="Franklin Gothic Book"/>
          <w:sz w:val="21"/>
          <w:szCs w:val="21"/>
          <w:lang w:eastAsia="en-US"/>
        </w:rPr>
        <w:t>that all of our key partners registered significantly improved scores in organisational capacity, staff competency</w:t>
      </w:r>
      <w:r w:rsidR="006F621F">
        <w:rPr>
          <w:rFonts w:ascii="Franklin Gothic Book" w:eastAsia="Calibri" w:hAnsi="Franklin Gothic Book"/>
          <w:sz w:val="21"/>
          <w:szCs w:val="21"/>
          <w:lang w:eastAsia="en-US"/>
        </w:rPr>
        <w:t>,</w:t>
      </w:r>
      <w:r w:rsidR="002929F5">
        <w:rPr>
          <w:rFonts w:ascii="Franklin Gothic Book" w:eastAsia="Calibri" w:hAnsi="Franklin Gothic Book"/>
          <w:sz w:val="21"/>
          <w:szCs w:val="21"/>
          <w:lang w:eastAsia="en-US"/>
        </w:rPr>
        <w:t xml:space="preserve"> and ability to pursue </w:t>
      </w:r>
      <w:r w:rsidR="00BD0E65">
        <w:rPr>
          <w:rFonts w:ascii="Franklin Gothic Book" w:eastAsia="Calibri" w:hAnsi="Franklin Gothic Book"/>
          <w:sz w:val="21"/>
          <w:szCs w:val="21"/>
          <w:lang w:eastAsia="en-US"/>
        </w:rPr>
        <w:t>and manage organisational change</w:t>
      </w:r>
      <w:r w:rsidR="002929F5">
        <w:rPr>
          <w:rFonts w:ascii="Franklin Gothic Book" w:eastAsia="Calibri" w:hAnsi="Franklin Gothic Book"/>
          <w:sz w:val="21"/>
          <w:szCs w:val="21"/>
          <w:lang w:eastAsia="en-US"/>
        </w:rPr>
        <w:t xml:space="preserve">.  </w:t>
      </w:r>
    </w:p>
    <w:p w:rsidR="00244B7E" w:rsidRDefault="00D669CD" w:rsidP="00244B7E">
      <w:pPr>
        <w:spacing w:after="200" w:line="276" w:lineRule="auto"/>
        <w:rPr>
          <w:rFonts w:ascii="Franklin Gothic Book" w:eastAsia="Calibri" w:hAnsi="Franklin Gothic Book"/>
          <w:sz w:val="21"/>
          <w:szCs w:val="21"/>
          <w:lang w:eastAsia="en-US"/>
        </w:rPr>
      </w:pPr>
      <w:r>
        <w:rPr>
          <w:rFonts w:ascii="Franklin Gothic Book" w:eastAsia="Calibri" w:hAnsi="Franklin Gothic Book"/>
          <w:sz w:val="21"/>
          <w:szCs w:val="21"/>
          <w:lang w:eastAsia="en-US"/>
        </w:rPr>
        <w:t xml:space="preserve">Our aid program </w:t>
      </w:r>
      <w:r w:rsidR="00DB46D0">
        <w:rPr>
          <w:rFonts w:ascii="Franklin Gothic Book" w:eastAsia="Calibri" w:hAnsi="Franklin Gothic Book"/>
          <w:sz w:val="21"/>
          <w:szCs w:val="21"/>
          <w:lang w:eastAsia="en-US"/>
        </w:rPr>
        <w:t>forged</w:t>
      </w:r>
      <w:r>
        <w:rPr>
          <w:rFonts w:ascii="Franklin Gothic Book" w:eastAsia="Calibri" w:hAnsi="Franklin Gothic Book"/>
          <w:sz w:val="21"/>
          <w:szCs w:val="21"/>
          <w:lang w:eastAsia="en-US"/>
        </w:rPr>
        <w:t xml:space="preserve"> </w:t>
      </w:r>
      <w:r w:rsidR="00244B7E">
        <w:rPr>
          <w:rFonts w:ascii="Franklin Gothic Book" w:eastAsia="Calibri" w:hAnsi="Franklin Gothic Book"/>
          <w:sz w:val="21"/>
          <w:szCs w:val="21"/>
          <w:lang w:eastAsia="en-US"/>
        </w:rPr>
        <w:t>partnerships between Australia</w:t>
      </w:r>
      <w:r w:rsidR="00A35814">
        <w:rPr>
          <w:rFonts w:ascii="Franklin Gothic Book" w:eastAsia="Calibri" w:hAnsi="Franklin Gothic Book"/>
          <w:sz w:val="21"/>
          <w:szCs w:val="21"/>
          <w:lang w:eastAsia="en-US"/>
        </w:rPr>
        <w:t>n</w:t>
      </w:r>
      <w:r w:rsidR="00244B7E">
        <w:rPr>
          <w:rFonts w:ascii="Franklin Gothic Book" w:eastAsia="Calibri" w:hAnsi="Franklin Gothic Book"/>
          <w:sz w:val="21"/>
          <w:szCs w:val="21"/>
          <w:lang w:eastAsia="en-US"/>
        </w:rPr>
        <w:t xml:space="preserve"> and</w:t>
      </w:r>
      <w:r w:rsidR="00DB46D0">
        <w:rPr>
          <w:rFonts w:ascii="Franklin Gothic Book" w:eastAsia="Calibri" w:hAnsi="Franklin Gothic Book"/>
          <w:sz w:val="21"/>
          <w:szCs w:val="21"/>
          <w:lang w:eastAsia="en-US"/>
        </w:rPr>
        <w:t xml:space="preserve"> </w:t>
      </w:r>
      <w:r w:rsidR="00A35814">
        <w:rPr>
          <w:rFonts w:ascii="Franklin Gothic Book" w:eastAsia="Calibri" w:hAnsi="Franklin Gothic Book"/>
          <w:sz w:val="21"/>
          <w:szCs w:val="21"/>
          <w:lang w:eastAsia="en-US"/>
        </w:rPr>
        <w:t xml:space="preserve">Filipino </w:t>
      </w:r>
      <w:r w:rsidR="00244B7E">
        <w:rPr>
          <w:rFonts w:ascii="Franklin Gothic Book" w:eastAsia="Calibri" w:hAnsi="Franklin Gothic Book"/>
          <w:sz w:val="21"/>
          <w:szCs w:val="21"/>
          <w:lang w:eastAsia="en-US"/>
        </w:rPr>
        <w:t xml:space="preserve">universities to pursue jointly accredited degree scholarship programs in priority fields of study.  </w:t>
      </w:r>
      <w:r>
        <w:rPr>
          <w:rFonts w:ascii="Franklin Gothic Book" w:eastAsia="Calibri" w:hAnsi="Franklin Gothic Book"/>
          <w:sz w:val="21"/>
          <w:szCs w:val="21"/>
          <w:lang w:eastAsia="en-US"/>
        </w:rPr>
        <w:t>Four institutional partnerships have already been established to deliver joint courses including human resource management, education, mining and mining-related courses.</w:t>
      </w:r>
    </w:p>
    <w:p w:rsidR="00AA6010" w:rsidRPr="000A60E1" w:rsidRDefault="00AA6010" w:rsidP="00584EC4">
      <w:pPr>
        <w:pStyle w:val="ListBullet"/>
        <w:tabs>
          <w:tab w:val="clear" w:pos="284"/>
        </w:tabs>
        <w:rPr>
          <w:rFonts w:eastAsia="Calibri"/>
          <w:i/>
          <w:szCs w:val="21"/>
          <w:lang w:eastAsia="en-US"/>
        </w:rPr>
      </w:pPr>
      <w:r w:rsidRPr="000A60E1">
        <w:rPr>
          <w:rFonts w:eastAsia="Calibri"/>
          <w:i/>
          <w:szCs w:val="21"/>
          <w:lang w:eastAsia="en-US"/>
        </w:rPr>
        <w:t>Public financial management (PFM)</w:t>
      </w:r>
    </w:p>
    <w:p w:rsidR="00641229" w:rsidRDefault="00AA6010" w:rsidP="00641229">
      <w:pPr>
        <w:spacing w:after="200" w:line="276" w:lineRule="auto"/>
        <w:rPr>
          <w:rFonts w:ascii="Franklin Gothic Book" w:eastAsia="Calibri" w:hAnsi="Franklin Gothic Book"/>
          <w:sz w:val="21"/>
          <w:szCs w:val="21"/>
          <w:lang w:eastAsia="en-US"/>
        </w:rPr>
      </w:pPr>
      <w:r w:rsidRPr="00AD16B3">
        <w:rPr>
          <w:rFonts w:ascii="Franklin Gothic Book" w:eastAsia="Calibri" w:hAnsi="Franklin Gothic Book"/>
          <w:sz w:val="21"/>
          <w:szCs w:val="21"/>
          <w:lang w:eastAsia="en-US"/>
        </w:rPr>
        <w:t xml:space="preserve">Australia through the </w:t>
      </w:r>
      <w:r w:rsidR="00AD16B3" w:rsidRPr="00AD16B3">
        <w:rPr>
          <w:rFonts w:ascii="Franklin Gothic Book" w:eastAsia="Calibri" w:hAnsi="Franklin Gothic Book"/>
          <w:sz w:val="21"/>
          <w:szCs w:val="21"/>
          <w:lang w:eastAsia="en-US"/>
        </w:rPr>
        <w:t>Public Financial Management Program (</w:t>
      </w:r>
      <w:r w:rsidRPr="00AD16B3">
        <w:rPr>
          <w:rFonts w:ascii="Franklin Gothic Book" w:eastAsia="Calibri" w:hAnsi="Franklin Gothic Book"/>
          <w:sz w:val="21"/>
          <w:szCs w:val="21"/>
          <w:lang w:eastAsia="en-US"/>
        </w:rPr>
        <w:t>PFMP</w:t>
      </w:r>
      <w:r w:rsidR="00AD16B3" w:rsidRPr="00AD16B3">
        <w:rPr>
          <w:rFonts w:ascii="Franklin Gothic Book" w:eastAsia="Calibri" w:hAnsi="Franklin Gothic Book"/>
          <w:sz w:val="21"/>
          <w:szCs w:val="21"/>
          <w:lang w:eastAsia="en-US"/>
        </w:rPr>
        <w:t>)</w:t>
      </w:r>
      <w:r w:rsidRPr="00AD16B3">
        <w:rPr>
          <w:rFonts w:ascii="Franklin Gothic Book" w:eastAsia="Calibri" w:hAnsi="Franklin Gothic Book"/>
          <w:sz w:val="21"/>
          <w:szCs w:val="21"/>
          <w:lang w:eastAsia="en-US"/>
        </w:rPr>
        <w:t xml:space="preserve"> support</w:t>
      </w:r>
      <w:r w:rsidR="00AD16B3" w:rsidRPr="00AD16B3">
        <w:rPr>
          <w:rFonts w:ascii="Franklin Gothic Book" w:eastAsia="Calibri" w:hAnsi="Franklin Gothic Book"/>
          <w:sz w:val="21"/>
          <w:szCs w:val="21"/>
          <w:lang w:eastAsia="en-US"/>
        </w:rPr>
        <w:t>s</w:t>
      </w:r>
      <w:r w:rsidRPr="00AD16B3">
        <w:rPr>
          <w:rFonts w:ascii="Franklin Gothic Book" w:eastAsia="Calibri" w:hAnsi="Franklin Gothic Book"/>
          <w:sz w:val="21"/>
          <w:szCs w:val="21"/>
          <w:lang w:eastAsia="en-US"/>
        </w:rPr>
        <w:t xml:space="preserve"> the implementation of the Government of the Philippines PFM Reform Roadmap.  </w:t>
      </w:r>
      <w:r w:rsidR="00AD16B3" w:rsidRPr="00AD16B3">
        <w:rPr>
          <w:rFonts w:ascii="Franklin Gothic Book" w:eastAsia="Calibri" w:hAnsi="Franklin Gothic Book"/>
          <w:sz w:val="21"/>
          <w:szCs w:val="21"/>
          <w:lang w:eastAsia="en-US"/>
        </w:rPr>
        <w:t xml:space="preserve">The Government of Australia committed $30 million over five years to the program.  </w:t>
      </w:r>
      <w:r w:rsidRPr="00AD16B3">
        <w:rPr>
          <w:rFonts w:ascii="Franklin Gothic Book" w:eastAsia="Calibri" w:hAnsi="Franklin Gothic Book"/>
          <w:sz w:val="21"/>
          <w:szCs w:val="21"/>
          <w:lang w:eastAsia="en-US"/>
        </w:rPr>
        <w:t xml:space="preserve">The reform process seeks to improve accountability and transparency of Government expenditure.  The PFMP was subject to an independent </w:t>
      </w:r>
      <w:r w:rsidR="00641229">
        <w:rPr>
          <w:rFonts w:ascii="Franklin Gothic Book" w:eastAsia="Calibri" w:hAnsi="Franklin Gothic Book"/>
          <w:sz w:val="21"/>
          <w:szCs w:val="21"/>
          <w:lang w:eastAsia="en-US"/>
        </w:rPr>
        <w:t>progress review (</w:t>
      </w:r>
      <w:r w:rsidRPr="00AD16B3">
        <w:rPr>
          <w:rFonts w:ascii="Franklin Gothic Book" w:eastAsia="Calibri" w:hAnsi="Franklin Gothic Book"/>
          <w:sz w:val="21"/>
          <w:szCs w:val="21"/>
          <w:lang w:eastAsia="en-US"/>
        </w:rPr>
        <w:t xml:space="preserve">January to </w:t>
      </w:r>
      <w:r w:rsidR="00641229">
        <w:rPr>
          <w:rFonts w:ascii="Franklin Gothic Book" w:eastAsia="Calibri" w:hAnsi="Franklin Gothic Book"/>
          <w:sz w:val="21"/>
          <w:szCs w:val="21"/>
          <w:lang w:eastAsia="en-US"/>
        </w:rPr>
        <w:t>M</w:t>
      </w:r>
      <w:r w:rsidRPr="00AD16B3">
        <w:rPr>
          <w:rFonts w:ascii="Franklin Gothic Book" w:eastAsia="Calibri" w:hAnsi="Franklin Gothic Book"/>
          <w:sz w:val="21"/>
          <w:szCs w:val="21"/>
          <w:lang w:eastAsia="en-US"/>
        </w:rPr>
        <w:t>arch 2014</w:t>
      </w:r>
      <w:r w:rsidR="00641229">
        <w:rPr>
          <w:rFonts w:ascii="Franklin Gothic Book" w:eastAsia="Calibri" w:hAnsi="Franklin Gothic Book"/>
          <w:sz w:val="21"/>
          <w:szCs w:val="21"/>
          <w:lang w:eastAsia="en-US"/>
        </w:rPr>
        <w:t>) which</w:t>
      </w:r>
      <w:r w:rsidRPr="00AD16B3">
        <w:rPr>
          <w:rFonts w:ascii="Franklin Gothic Book" w:eastAsia="Calibri" w:hAnsi="Franklin Gothic Book"/>
          <w:sz w:val="21"/>
          <w:szCs w:val="21"/>
          <w:lang w:eastAsia="en-US"/>
        </w:rPr>
        <w:t xml:space="preserve"> recommended that the program continue until June 2016.</w:t>
      </w:r>
      <w:r w:rsidR="00641229">
        <w:rPr>
          <w:rFonts w:ascii="Franklin Gothic Book" w:eastAsia="Calibri" w:hAnsi="Franklin Gothic Book"/>
          <w:sz w:val="21"/>
          <w:szCs w:val="21"/>
          <w:lang w:eastAsia="en-US"/>
        </w:rPr>
        <w:t xml:space="preserve">  </w:t>
      </w:r>
    </w:p>
    <w:p w:rsidR="00AA6010" w:rsidRDefault="00641229" w:rsidP="00561B20">
      <w:pPr>
        <w:spacing w:after="200" w:line="276" w:lineRule="auto"/>
        <w:rPr>
          <w:rFonts w:ascii="Franklin Gothic Book" w:eastAsia="Calibri" w:hAnsi="Franklin Gothic Book"/>
          <w:sz w:val="21"/>
          <w:szCs w:val="21"/>
          <w:lang w:eastAsia="en-US"/>
        </w:rPr>
      </w:pPr>
      <w:r>
        <w:rPr>
          <w:rFonts w:ascii="Franklin Gothic Book" w:eastAsia="Calibri" w:hAnsi="Franklin Gothic Book"/>
          <w:sz w:val="21"/>
          <w:szCs w:val="21"/>
          <w:lang w:eastAsia="en-US"/>
        </w:rPr>
        <w:t>Australia’s assistance i</w:t>
      </w:r>
      <w:r w:rsidR="00872234">
        <w:rPr>
          <w:rFonts w:ascii="Franklin Gothic Book" w:eastAsia="Calibri" w:hAnsi="Franklin Gothic Book"/>
          <w:sz w:val="21"/>
          <w:szCs w:val="21"/>
          <w:lang w:eastAsia="en-US"/>
        </w:rPr>
        <w:t>n</w:t>
      </w:r>
      <w:r>
        <w:rPr>
          <w:rFonts w:ascii="Franklin Gothic Book" w:eastAsia="Calibri" w:hAnsi="Franklin Gothic Book"/>
          <w:sz w:val="21"/>
          <w:szCs w:val="21"/>
          <w:lang w:eastAsia="en-US"/>
        </w:rPr>
        <w:t xml:space="preserve"> the </w:t>
      </w:r>
      <w:r w:rsidR="00872234">
        <w:rPr>
          <w:rFonts w:ascii="Franklin Gothic Book" w:eastAsia="Calibri" w:hAnsi="Franklin Gothic Book"/>
          <w:sz w:val="21"/>
          <w:szCs w:val="21"/>
          <w:lang w:eastAsia="en-US"/>
        </w:rPr>
        <w:t xml:space="preserve">implementation </w:t>
      </w:r>
      <w:r w:rsidR="00561B20">
        <w:rPr>
          <w:rFonts w:ascii="Franklin Gothic Book" w:eastAsia="Calibri" w:hAnsi="Franklin Gothic Book"/>
          <w:sz w:val="21"/>
          <w:szCs w:val="21"/>
          <w:lang w:eastAsia="en-US"/>
        </w:rPr>
        <w:t xml:space="preserve">of the treasury single account </w:t>
      </w:r>
      <w:r>
        <w:rPr>
          <w:rFonts w:ascii="Franklin Gothic Book" w:eastAsia="Calibri" w:hAnsi="Franklin Gothic Book"/>
          <w:sz w:val="21"/>
          <w:szCs w:val="21"/>
          <w:lang w:eastAsia="en-US"/>
        </w:rPr>
        <w:t xml:space="preserve">by the Government in preparing the 2014 budget </w:t>
      </w:r>
      <w:r w:rsidR="00872234">
        <w:rPr>
          <w:rFonts w:ascii="Franklin Gothic Book" w:eastAsia="Calibri" w:hAnsi="Franklin Gothic Book"/>
          <w:sz w:val="21"/>
          <w:szCs w:val="21"/>
          <w:lang w:eastAsia="en-US"/>
        </w:rPr>
        <w:t xml:space="preserve">resulted in </w:t>
      </w:r>
      <w:r w:rsidR="00004DD2">
        <w:rPr>
          <w:rFonts w:ascii="Franklin Gothic Book" w:eastAsia="Calibri" w:hAnsi="Franklin Gothic Book"/>
          <w:sz w:val="21"/>
          <w:szCs w:val="21"/>
          <w:lang w:eastAsia="en-US"/>
        </w:rPr>
        <w:t xml:space="preserve">savings of </w:t>
      </w:r>
      <w:r w:rsidR="00004DD2" w:rsidRPr="00004DD2">
        <w:rPr>
          <w:rFonts w:ascii="Franklin Gothic Book" w:eastAsia="Calibri" w:hAnsi="Franklin Gothic Book"/>
          <w:sz w:val="21"/>
          <w:szCs w:val="21"/>
          <w:lang w:eastAsia="en-US"/>
        </w:rPr>
        <w:t>$</w:t>
      </w:r>
      <w:r w:rsidR="00004DD2">
        <w:rPr>
          <w:rFonts w:ascii="Franklin Gothic Book" w:eastAsia="Calibri" w:hAnsi="Franklin Gothic Book"/>
          <w:sz w:val="21"/>
          <w:szCs w:val="21"/>
          <w:lang w:eastAsia="en-US"/>
        </w:rPr>
        <w:t>10 million through the rationalisation of dormant bank accounts.  Further significant savings are expected through better cash management practices allowing for reduced borrowings</w:t>
      </w:r>
      <w:r w:rsidR="00AA6010" w:rsidRPr="00641229">
        <w:rPr>
          <w:rFonts w:ascii="Franklin Gothic Book" w:eastAsia="Calibri" w:hAnsi="Franklin Gothic Book"/>
          <w:sz w:val="21"/>
          <w:szCs w:val="21"/>
          <w:lang w:eastAsia="en-US"/>
        </w:rPr>
        <w:t>.</w:t>
      </w:r>
      <w:r w:rsidR="00561B20">
        <w:rPr>
          <w:rFonts w:ascii="Franklin Gothic Book" w:eastAsia="Calibri" w:hAnsi="Franklin Gothic Book"/>
          <w:sz w:val="21"/>
          <w:szCs w:val="21"/>
          <w:lang w:eastAsia="en-US"/>
        </w:rPr>
        <w:t xml:space="preserve">  The </w:t>
      </w:r>
      <w:r w:rsidR="00872234">
        <w:rPr>
          <w:rFonts w:ascii="Franklin Gothic Book" w:eastAsia="Calibri" w:hAnsi="Franklin Gothic Book"/>
          <w:sz w:val="21"/>
          <w:szCs w:val="21"/>
          <w:lang w:eastAsia="en-US"/>
        </w:rPr>
        <w:t xml:space="preserve">Australian-supported </w:t>
      </w:r>
      <w:r w:rsidR="00561B20">
        <w:rPr>
          <w:rFonts w:ascii="Franklin Gothic Book" w:eastAsia="Calibri" w:hAnsi="Franklin Gothic Book"/>
          <w:sz w:val="21"/>
          <w:szCs w:val="21"/>
          <w:lang w:eastAsia="en-US"/>
        </w:rPr>
        <w:t xml:space="preserve">procurement of the </w:t>
      </w:r>
      <w:r w:rsidR="00AA6010" w:rsidRPr="00641229">
        <w:rPr>
          <w:rFonts w:ascii="Franklin Gothic Book" w:eastAsia="Calibri" w:hAnsi="Franklin Gothic Book"/>
          <w:sz w:val="21"/>
          <w:szCs w:val="21"/>
          <w:lang w:eastAsia="en-US"/>
        </w:rPr>
        <w:t>Government Integrated Financial Management Information System (GIFMIS)</w:t>
      </w:r>
      <w:r w:rsidR="00AA6010" w:rsidRPr="00C00586">
        <w:rPr>
          <w:rFonts w:ascii="Franklin Gothic Book" w:eastAsia="Calibri" w:hAnsi="Franklin Gothic Book"/>
          <w:sz w:val="21"/>
          <w:szCs w:val="21"/>
          <w:lang w:eastAsia="en-US"/>
        </w:rPr>
        <w:t xml:space="preserve"> is </w:t>
      </w:r>
      <w:r w:rsidR="00C77FE9">
        <w:rPr>
          <w:rFonts w:ascii="Franklin Gothic Book" w:eastAsia="Calibri" w:hAnsi="Franklin Gothic Book"/>
          <w:sz w:val="21"/>
          <w:szCs w:val="21"/>
          <w:lang w:eastAsia="en-US"/>
        </w:rPr>
        <w:t>progressing towards</w:t>
      </w:r>
      <w:r w:rsidR="00AA6010" w:rsidRPr="00C00586">
        <w:rPr>
          <w:rFonts w:ascii="Franklin Gothic Book" w:eastAsia="Calibri" w:hAnsi="Franklin Gothic Book"/>
          <w:sz w:val="21"/>
          <w:szCs w:val="21"/>
          <w:lang w:eastAsia="en-US"/>
        </w:rPr>
        <w:t xml:space="preserve"> implementation and rollout in 2015</w:t>
      </w:r>
      <w:r w:rsidR="00561B20">
        <w:rPr>
          <w:rFonts w:ascii="Franklin Gothic Book" w:eastAsia="Calibri" w:hAnsi="Franklin Gothic Book"/>
          <w:sz w:val="21"/>
          <w:szCs w:val="21"/>
          <w:lang w:eastAsia="en-US"/>
        </w:rPr>
        <w:t>.  Australia’s support to the Commission on Audit (</w:t>
      </w:r>
      <w:r w:rsidR="00AA6010" w:rsidRPr="00641229">
        <w:rPr>
          <w:rFonts w:ascii="Franklin Gothic Book" w:eastAsia="Calibri" w:hAnsi="Franklin Gothic Book"/>
          <w:sz w:val="21"/>
          <w:szCs w:val="21"/>
          <w:lang w:eastAsia="en-US"/>
        </w:rPr>
        <w:t>COA</w:t>
      </w:r>
      <w:r w:rsidR="00561B20">
        <w:rPr>
          <w:rFonts w:ascii="Franklin Gothic Book" w:eastAsia="Calibri" w:hAnsi="Franklin Gothic Book"/>
          <w:sz w:val="21"/>
          <w:szCs w:val="21"/>
          <w:lang w:eastAsia="en-US"/>
        </w:rPr>
        <w:t xml:space="preserve">) for its </w:t>
      </w:r>
      <w:r w:rsidR="00AA6010" w:rsidRPr="00641229">
        <w:rPr>
          <w:rFonts w:ascii="Franklin Gothic Book" w:eastAsia="Calibri" w:hAnsi="Franklin Gothic Book"/>
          <w:sz w:val="21"/>
          <w:szCs w:val="21"/>
          <w:lang w:eastAsia="en-US"/>
        </w:rPr>
        <w:t>citizen</w:t>
      </w:r>
      <w:r w:rsidR="00561B20">
        <w:rPr>
          <w:rFonts w:ascii="Franklin Gothic Book" w:eastAsia="Calibri" w:hAnsi="Franklin Gothic Book"/>
          <w:sz w:val="21"/>
          <w:szCs w:val="21"/>
          <w:lang w:eastAsia="en-US"/>
        </w:rPr>
        <w:t xml:space="preserve"> participation in public audits was</w:t>
      </w:r>
      <w:r w:rsidR="00AA6010" w:rsidRPr="00641229">
        <w:rPr>
          <w:rFonts w:ascii="Franklin Gothic Book" w:eastAsia="Calibri" w:hAnsi="Franklin Gothic Book"/>
          <w:sz w:val="21"/>
          <w:szCs w:val="21"/>
          <w:lang w:eastAsia="en-US"/>
        </w:rPr>
        <w:t xml:space="preserve"> publicly </w:t>
      </w:r>
      <w:r w:rsidR="00561B20">
        <w:rPr>
          <w:rFonts w:ascii="Franklin Gothic Book" w:eastAsia="Calibri" w:hAnsi="Franklin Gothic Book"/>
          <w:sz w:val="21"/>
          <w:szCs w:val="21"/>
          <w:lang w:eastAsia="en-US"/>
        </w:rPr>
        <w:t xml:space="preserve">recognised </w:t>
      </w:r>
      <w:r w:rsidR="00AA6010" w:rsidRPr="00641229">
        <w:rPr>
          <w:rFonts w:ascii="Franklin Gothic Book" w:eastAsia="Calibri" w:hAnsi="Franklin Gothic Book"/>
          <w:sz w:val="21"/>
          <w:szCs w:val="21"/>
          <w:lang w:eastAsia="en-US"/>
        </w:rPr>
        <w:t xml:space="preserve">when </w:t>
      </w:r>
      <w:r w:rsidR="00561B20">
        <w:rPr>
          <w:rFonts w:ascii="Franklin Gothic Book" w:eastAsia="Calibri" w:hAnsi="Franklin Gothic Book"/>
          <w:sz w:val="21"/>
          <w:szCs w:val="21"/>
          <w:lang w:eastAsia="en-US"/>
        </w:rPr>
        <w:t xml:space="preserve">COA </w:t>
      </w:r>
      <w:r w:rsidR="00AA6010" w:rsidRPr="00641229">
        <w:rPr>
          <w:rFonts w:ascii="Franklin Gothic Book" w:eastAsia="Calibri" w:hAnsi="Franklin Gothic Book"/>
          <w:sz w:val="21"/>
          <w:szCs w:val="21"/>
          <w:lang w:eastAsia="en-US"/>
        </w:rPr>
        <w:t>won</w:t>
      </w:r>
      <w:r w:rsidR="00AA6010" w:rsidRPr="00C00586">
        <w:rPr>
          <w:rFonts w:ascii="Franklin Gothic Book" w:eastAsia="Calibri" w:hAnsi="Franklin Gothic Book"/>
          <w:sz w:val="21"/>
          <w:szCs w:val="21"/>
          <w:lang w:eastAsia="en-US"/>
        </w:rPr>
        <w:t xml:space="preserve"> </w:t>
      </w:r>
      <w:r w:rsidR="00872234">
        <w:rPr>
          <w:rFonts w:ascii="Franklin Gothic Book" w:eastAsia="Calibri" w:hAnsi="Franklin Gothic Book"/>
          <w:sz w:val="21"/>
          <w:szCs w:val="21"/>
          <w:lang w:eastAsia="en-US"/>
        </w:rPr>
        <w:t xml:space="preserve">a </w:t>
      </w:r>
      <w:r w:rsidR="00AA6010" w:rsidRPr="00C00586">
        <w:rPr>
          <w:rFonts w:ascii="Franklin Gothic Book" w:eastAsia="Calibri" w:hAnsi="Franklin Gothic Book"/>
          <w:sz w:val="21"/>
          <w:szCs w:val="21"/>
          <w:lang w:eastAsia="en-US"/>
        </w:rPr>
        <w:t xml:space="preserve">Bright Spot award </w:t>
      </w:r>
      <w:r w:rsidR="00872234">
        <w:rPr>
          <w:rFonts w:ascii="Franklin Gothic Book" w:eastAsia="Calibri" w:hAnsi="Franklin Gothic Book"/>
          <w:sz w:val="21"/>
          <w:szCs w:val="21"/>
          <w:lang w:eastAsia="en-US"/>
        </w:rPr>
        <w:t xml:space="preserve">given by </w:t>
      </w:r>
      <w:r w:rsidR="00AA6010" w:rsidRPr="00C00586">
        <w:rPr>
          <w:rFonts w:ascii="Franklin Gothic Book" w:eastAsia="Calibri" w:hAnsi="Franklin Gothic Book"/>
          <w:sz w:val="21"/>
          <w:szCs w:val="21"/>
          <w:lang w:eastAsia="en-US"/>
        </w:rPr>
        <w:t>the Open Government Partnership.</w:t>
      </w:r>
    </w:p>
    <w:p w:rsidR="00AA6010" w:rsidRPr="006B1CE7" w:rsidRDefault="00AA6010" w:rsidP="00584EC4">
      <w:pPr>
        <w:pStyle w:val="ListBullet"/>
        <w:tabs>
          <w:tab w:val="clear" w:pos="284"/>
        </w:tabs>
        <w:rPr>
          <w:rFonts w:eastAsia="Calibri"/>
          <w:i/>
          <w:szCs w:val="21"/>
          <w:lang w:eastAsia="en-US"/>
        </w:rPr>
      </w:pPr>
      <w:r w:rsidRPr="006B1CE7">
        <w:rPr>
          <w:rFonts w:eastAsia="Calibri"/>
          <w:i/>
          <w:szCs w:val="21"/>
          <w:lang w:eastAsia="en-US"/>
        </w:rPr>
        <w:t xml:space="preserve">Gender equitable and inclusive development approaches </w:t>
      </w:r>
    </w:p>
    <w:p w:rsidR="00AA6010" w:rsidRPr="00C00586" w:rsidRDefault="00C14609" w:rsidP="003F6712">
      <w:pPr>
        <w:spacing w:after="200" w:line="276" w:lineRule="auto"/>
        <w:rPr>
          <w:rFonts w:ascii="Franklin Gothic Book" w:eastAsia="Calibri" w:hAnsi="Franklin Gothic Book"/>
          <w:sz w:val="21"/>
          <w:szCs w:val="21"/>
          <w:lang w:eastAsia="en-US"/>
        </w:rPr>
      </w:pPr>
      <w:r>
        <w:rPr>
          <w:rFonts w:ascii="Franklin Gothic Book" w:eastAsia="Calibri" w:hAnsi="Franklin Gothic Book"/>
          <w:sz w:val="21"/>
          <w:szCs w:val="21"/>
          <w:lang w:eastAsia="en-US"/>
        </w:rPr>
        <w:t>Gender is a high priority for Australian aid program in the Philippines.</w:t>
      </w:r>
      <w:r w:rsidR="00872234">
        <w:rPr>
          <w:rFonts w:ascii="Franklin Gothic Book" w:eastAsia="Calibri" w:hAnsi="Franklin Gothic Book"/>
          <w:sz w:val="21"/>
          <w:szCs w:val="21"/>
          <w:lang w:eastAsia="en-US"/>
        </w:rPr>
        <w:t xml:space="preserve">  </w:t>
      </w:r>
      <w:r w:rsidR="00AA6010" w:rsidRPr="00C00586">
        <w:rPr>
          <w:rFonts w:ascii="Franklin Gothic Book" w:eastAsia="Calibri" w:hAnsi="Franklin Gothic Book"/>
          <w:sz w:val="21"/>
          <w:szCs w:val="21"/>
          <w:lang w:eastAsia="en-US"/>
        </w:rPr>
        <w:t>Gender</w:t>
      </w:r>
      <w:r w:rsidR="000D2E67">
        <w:rPr>
          <w:rFonts w:ascii="Franklin Gothic Book" w:eastAsia="Calibri" w:hAnsi="Franklin Gothic Book"/>
          <w:sz w:val="21"/>
          <w:szCs w:val="21"/>
          <w:lang w:eastAsia="en-US"/>
        </w:rPr>
        <w:t xml:space="preserve"> equality outcomes are </w:t>
      </w:r>
      <w:r w:rsidR="00872234">
        <w:rPr>
          <w:rFonts w:ascii="Franklin Gothic Book" w:eastAsia="Calibri" w:hAnsi="Franklin Gothic Book"/>
          <w:sz w:val="21"/>
          <w:szCs w:val="21"/>
          <w:lang w:eastAsia="en-US"/>
        </w:rPr>
        <w:t xml:space="preserve">taken into account </w:t>
      </w:r>
      <w:r w:rsidR="000D2E67">
        <w:rPr>
          <w:rFonts w:ascii="Franklin Gothic Book" w:eastAsia="Calibri" w:hAnsi="Franklin Gothic Book"/>
          <w:sz w:val="21"/>
          <w:szCs w:val="21"/>
          <w:lang w:eastAsia="en-US"/>
        </w:rPr>
        <w:t xml:space="preserve">in almost all initiatives and partnerships.  However, there are initiatives that address gender specific outcomes.  </w:t>
      </w:r>
      <w:r w:rsidR="000D2E67" w:rsidRPr="0024659A">
        <w:rPr>
          <w:rFonts w:ascii="Franklin Gothic Book" w:eastAsia="Calibri" w:hAnsi="Franklin Gothic Book"/>
          <w:sz w:val="21"/>
          <w:szCs w:val="21"/>
          <w:lang w:eastAsia="en-US"/>
        </w:rPr>
        <w:t>The education delivery strategy has key outcomes in basic education, particularly reducing drop-out rates of boys.  The institutional and management systems that are being developed in the DepE</w:t>
      </w:r>
      <w:r w:rsidR="00841782">
        <w:rPr>
          <w:rFonts w:ascii="Franklin Gothic Book" w:eastAsia="Calibri" w:hAnsi="Franklin Gothic Book"/>
          <w:sz w:val="21"/>
          <w:szCs w:val="21"/>
          <w:lang w:eastAsia="en-US"/>
        </w:rPr>
        <w:t>D</w:t>
      </w:r>
      <w:r w:rsidR="000D2E67" w:rsidRPr="0024659A">
        <w:rPr>
          <w:rFonts w:ascii="Franklin Gothic Book" w:eastAsia="Calibri" w:hAnsi="Franklin Gothic Book"/>
          <w:sz w:val="21"/>
          <w:szCs w:val="21"/>
          <w:lang w:eastAsia="en-US"/>
        </w:rPr>
        <w:t xml:space="preserve"> with Australia’s</w:t>
      </w:r>
      <w:r w:rsidR="00CC6435" w:rsidRPr="0024659A">
        <w:rPr>
          <w:rFonts w:ascii="Franklin Gothic Book" w:eastAsia="Calibri" w:hAnsi="Franklin Gothic Book"/>
          <w:sz w:val="21"/>
          <w:szCs w:val="21"/>
          <w:lang w:eastAsia="en-US"/>
        </w:rPr>
        <w:t xml:space="preserve"> support</w:t>
      </w:r>
      <w:r w:rsidR="000D2E67" w:rsidRPr="0024659A">
        <w:rPr>
          <w:rFonts w:ascii="Franklin Gothic Book" w:eastAsia="Calibri" w:hAnsi="Franklin Gothic Book"/>
          <w:sz w:val="21"/>
          <w:szCs w:val="21"/>
          <w:lang w:eastAsia="en-US"/>
        </w:rPr>
        <w:t xml:space="preserve"> will enable the government to come up with targeted support.</w:t>
      </w:r>
      <w:r w:rsidR="006B1CE7" w:rsidRPr="0024659A">
        <w:rPr>
          <w:rFonts w:ascii="Franklin Gothic Book" w:eastAsia="Calibri" w:hAnsi="Franklin Gothic Book"/>
          <w:sz w:val="21"/>
          <w:szCs w:val="21"/>
          <w:lang w:eastAsia="en-US"/>
        </w:rPr>
        <w:t xml:space="preserve">  Our small investment </w:t>
      </w:r>
      <w:r w:rsidR="007549C8" w:rsidRPr="0024659A">
        <w:rPr>
          <w:rFonts w:ascii="Franklin Gothic Book" w:eastAsia="Calibri" w:hAnsi="Franklin Gothic Book"/>
          <w:sz w:val="21"/>
          <w:szCs w:val="21"/>
          <w:lang w:eastAsia="en-US"/>
        </w:rPr>
        <w:t xml:space="preserve">with the UN on Maternal </w:t>
      </w:r>
      <w:r w:rsidR="00CC6435" w:rsidRPr="0024659A">
        <w:rPr>
          <w:rFonts w:ascii="Franklin Gothic Book" w:eastAsia="Calibri" w:hAnsi="Franklin Gothic Book"/>
          <w:sz w:val="21"/>
          <w:szCs w:val="21"/>
          <w:lang w:eastAsia="en-US"/>
        </w:rPr>
        <w:t>Neonatal Mortality Reduction</w:t>
      </w:r>
      <w:r w:rsidR="000D2E67" w:rsidRPr="0024659A">
        <w:rPr>
          <w:rFonts w:ascii="Franklin Gothic Book" w:eastAsia="Calibri" w:hAnsi="Franklin Gothic Book"/>
          <w:sz w:val="21"/>
          <w:szCs w:val="21"/>
          <w:lang w:eastAsia="en-US"/>
        </w:rPr>
        <w:t xml:space="preserve"> </w:t>
      </w:r>
      <w:r w:rsidR="00E84BA6" w:rsidRPr="0024659A">
        <w:rPr>
          <w:rFonts w:ascii="Franklin Gothic Book" w:eastAsia="Calibri" w:hAnsi="Franklin Gothic Book"/>
          <w:sz w:val="21"/>
          <w:szCs w:val="21"/>
          <w:lang w:eastAsia="en-US"/>
        </w:rPr>
        <w:t xml:space="preserve">supports the government’s target to reduce </w:t>
      </w:r>
      <w:r>
        <w:rPr>
          <w:rFonts w:ascii="Franklin Gothic Book" w:eastAsia="Calibri" w:hAnsi="Franklin Gothic Book"/>
          <w:sz w:val="21"/>
          <w:szCs w:val="21"/>
          <w:lang w:eastAsia="en-US"/>
        </w:rPr>
        <w:t xml:space="preserve">the </w:t>
      </w:r>
      <w:r w:rsidR="00E84BA6" w:rsidRPr="0024659A">
        <w:rPr>
          <w:rFonts w:ascii="Franklin Gothic Book" w:eastAsia="Calibri" w:hAnsi="Franklin Gothic Book"/>
          <w:sz w:val="21"/>
          <w:szCs w:val="21"/>
          <w:lang w:eastAsia="en-US"/>
        </w:rPr>
        <w:t>incidence of maternal and newborn mortality.  Our humanitarian assistance includes providing feminine hygiene kits and designating “women and child-friendly spaces” to reduce possible incidence of sexual abuse.</w:t>
      </w:r>
      <w:r w:rsidR="003F6712" w:rsidRPr="0024659A">
        <w:rPr>
          <w:rFonts w:ascii="Franklin Gothic Book" w:eastAsia="Calibri" w:hAnsi="Franklin Gothic Book"/>
          <w:sz w:val="21"/>
          <w:szCs w:val="21"/>
          <w:lang w:eastAsia="en-US"/>
        </w:rPr>
        <w:t xml:space="preserve">  </w:t>
      </w:r>
      <w:r w:rsidR="00E81482" w:rsidRPr="0024659A">
        <w:rPr>
          <w:rFonts w:ascii="Franklin Gothic Book" w:eastAsia="Calibri" w:hAnsi="Franklin Gothic Book"/>
          <w:sz w:val="21"/>
          <w:szCs w:val="21"/>
          <w:lang w:eastAsia="en-US"/>
        </w:rPr>
        <w:t xml:space="preserve"> </w:t>
      </w:r>
      <w:r w:rsidR="003F6712" w:rsidRPr="0024659A">
        <w:rPr>
          <w:rFonts w:ascii="Franklin Gothic Book" w:eastAsia="Calibri" w:hAnsi="Franklin Gothic Book"/>
          <w:sz w:val="21"/>
          <w:szCs w:val="21"/>
          <w:lang w:eastAsia="en-US"/>
        </w:rPr>
        <w:t xml:space="preserve">As part of our support for </w:t>
      </w:r>
      <w:r w:rsidR="00872234" w:rsidRPr="0024659A">
        <w:rPr>
          <w:rFonts w:ascii="Franklin Gothic Book" w:eastAsia="Calibri" w:hAnsi="Franklin Gothic Book"/>
          <w:sz w:val="21"/>
          <w:szCs w:val="21"/>
          <w:lang w:eastAsia="en-US"/>
        </w:rPr>
        <w:t xml:space="preserve">Haiyan </w:t>
      </w:r>
      <w:r w:rsidR="003F6712" w:rsidRPr="0024659A">
        <w:rPr>
          <w:rFonts w:ascii="Franklin Gothic Book" w:eastAsia="Calibri" w:hAnsi="Franklin Gothic Book"/>
          <w:sz w:val="21"/>
          <w:szCs w:val="21"/>
          <w:lang w:eastAsia="en-US"/>
        </w:rPr>
        <w:t>recovery, the Philippines Australia Community</w:t>
      </w:r>
      <w:r w:rsidR="003F6712">
        <w:rPr>
          <w:rFonts w:ascii="Franklin Gothic Book" w:eastAsia="Calibri" w:hAnsi="Franklin Gothic Book"/>
          <w:sz w:val="21"/>
          <w:szCs w:val="21"/>
          <w:lang w:eastAsia="en-US"/>
        </w:rPr>
        <w:t xml:space="preserve"> Assistance Program (PACAP) has targeted women’s g</w:t>
      </w:r>
      <w:r w:rsidR="00346007">
        <w:rPr>
          <w:rFonts w:ascii="Franklin Gothic Book" w:eastAsia="Calibri" w:hAnsi="Franklin Gothic Book"/>
          <w:sz w:val="21"/>
          <w:szCs w:val="21"/>
          <w:lang w:eastAsia="en-US"/>
        </w:rPr>
        <w:t xml:space="preserve">roups for livelihood support. </w:t>
      </w:r>
      <w:r w:rsidR="003F6712">
        <w:rPr>
          <w:rFonts w:ascii="Franklin Gothic Book" w:eastAsia="Calibri" w:hAnsi="Franklin Gothic Book"/>
          <w:sz w:val="21"/>
          <w:szCs w:val="21"/>
          <w:lang w:eastAsia="en-US"/>
        </w:rPr>
        <w:t xml:space="preserve">It is recognised that there is </w:t>
      </w:r>
      <w:r w:rsidR="00955870">
        <w:rPr>
          <w:rFonts w:ascii="Franklin Gothic Book" w:eastAsia="Calibri" w:hAnsi="Franklin Gothic Book"/>
          <w:sz w:val="21"/>
          <w:szCs w:val="21"/>
          <w:lang w:eastAsia="en-US"/>
        </w:rPr>
        <w:t>an opportunity to furt</w:t>
      </w:r>
      <w:r w:rsidR="0021590E">
        <w:rPr>
          <w:rFonts w:ascii="Franklin Gothic Book" w:eastAsia="Calibri" w:hAnsi="Franklin Gothic Book"/>
          <w:sz w:val="21"/>
          <w:szCs w:val="21"/>
          <w:lang w:eastAsia="en-US"/>
        </w:rPr>
        <w:t xml:space="preserve">her improve gender </w:t>
      </w:r>
      <w:r w:rsidR="00F1126D">
        <w:rPr>
          <w:rFonts w:ascii="Franklin Gothic Book" w:eastAsia="Calibri" w:hAnsi="Franklin Gothic Book"/>
          <w:sz w:val="21"/>
          <w:szCs w:val="21"/>
          <w:lang w:eastAsia="en-US"/>
        </w:rPr>
        <w:t xml:space="preserve">results </w:t>
      </w:r>
      <w:r w:rsidR="0021590E">
        <w:rPr>
          <w:rFonts w:ascii="Franklin Gothic Book" w:eastAsia="Calibri" w:hAnsi="Franklin Gothic Book"/>
          <w:sz w:val="21"/>
          <w:szCs w:val="21"/>
          <w:lang w:eastAsia="en-US"/>
        </w:rPr>
        <w:t xml:space="preserve">monitoring </w:t>
      </w:r>
      <w:r w:rsidR="00F1126D">
        <w:rPr>
          <w:rFonts w:ascii="Franklin Gothic Book" w:eastAsia="Calibri" w:hAnsi="Franklin Gothic Book"/>
          <w:sz w:val="21"/>
          <w:szCs w:val="21"/>
          <w:lang w:eastAsia="en-US"/>
        </w:rPr>
        <w:t xml:space="preserve">and reporting, </w:t>
      </w:r>
      <w:r w:rsidR="0021590E">
        <w:rPr>
          <w:rFonts w:ascii="Franklin Gothic Book" w:eastAsia="Calibri" w:hAnsi="Franklin Gothic Book"/>
          <w:sz w:val="21"/>
          <w:szCs w:val="21"/>
          <w:lang w:eastAsia="en-US"/>
        </w:rPr>
        <w:t xml:space="preserve">and </w:t>
      </w:r>
      <w:r w:rsidR="00E81482">
        <w:rPr>
          <w:rFonts w:ascii="Franklin Gothic Book" w:eastAsia="Calibri" w:hAnsi="Franklin Gothic Book"/>
          <w:sz w:val="21"/>
          <w:szCs w:val="21"/>
          <w:lang w:eastAsia="en-US"/>
        </w:rPr>
        <w:t xml:space="preserve">to </w:t>
      </w:r>
      <w:r w:rsidR="00872234">
        <w:rPr>
          <w:rFonts w:ascii="Franklin Gothic Book" w:eastAsia="Calibri" w:hAnsi="Franklin Gothic Book"/>
          <w:sz w:val="21"/>
          <w:szCs w:val="21"/>
          <w:lang w:eastAsia="en-US"/>
        </w:rPr>
        <w:t>better articulate</w:t>
      </w:r>
      <w:r w:rsidR="0021590E">
        <w:rPr>
          <w:rFonts w:ascii="Franklin Gothic Book" w:eastAsia="Calibri" w:hAnsi="Franklin Gothic Book"/>
          <w:sz w:val="21"/>
          <w:szCs w:val="21"/>
          <w:lang w:eastAsia="en-US"/>
        </w:rPr>
        <w:t xml:space="preserve"> gender strategies particularly for peace and </w:t>
      </w:r>
      <w:r w:rsidR="00F1126D">
        <w:rPr>
          <w:rFonts w:ascii="Franklin Gothic Book" w:eastAsia="Calibri" w:hAnsi="Franklin Gothic Book"/>
          <w:sz w:val="21"/>
          <w:szCs w:val="21"/>
          <w:lang w:eastAsia="en-US"/>
        </w:rPr>
        <w:t>stability</w:t>
      </w:r>
      <w:r w:rsidR="0021590E">
        <w:rPr>
          <w:rFonts w:ascii="Franklin Gothic Book" w:eastAsia="Calibri" w:hAnsi="Franklin Gothic Book"/>
          <w:sz w:val="21"/>
          <w:szCs w:val="21"/>
          <w:lang w:eastAsia="en-US"/>
        </w:rPr>
        <w:t xml:space="preserve">, </w:t>
      </w:r>
      <w:r w:rsidR="0024659A">
        <w:rPr>
          <w:rFonts w:ascii="Franklin Gothic Book" w:eastAsia="Calibri" w:hAnsi="Franklin Gothic Book"/>
          <w:sz w:val="21"/>
          <w:szCs w:val="21"/>
          <w:lang w:eastAsia="en-US"/>
        </w:rPr>
        <w:t xml:space="preserve">economic empowerment, </w:t>
      </w:r>
      <w:r w:rsidR="0021590E">
        <w:rPr>
          <w:rFonts w:ascii="Franklin Gothic Book" w:eastAsia="Calibri" w:hAnsi="Franklin Gothic Book"/>
          <w:sz w:val="21"/>
          <w:szCs w:val="21"/>
          <w:lang w:eastAsia="en-US"/>
        </w:rPr>
        <w:t xml:space="preserve">and the foundational governance activities and partnerships.  </w:t>
      </w:r>
    </w:p>
    <w:p w:rsidR="00AA6010" w:rsidRDefault="0021590E" w:rsidP="00027FC0">
      <w:pPr>
        <w:spacing w:line="276" w:lineRule="auto"/>
        <w:rPr>
          <w:rFonts w:ascii="Franklin Gothic Book" w:eastAsia="Calibri" w:hAnsi="Franklin Gothic Book"/>
          <w:sz w:val="21"/>
          <w:szCs w:val="21"/>
          <w:lang w:eastAsia="en-US"/>
        </w:rPr>
      </w:pPr>
      <w:r>
        <w:rPr>
          <w:rFonts w:ascii="Franklin Gothic Book" w:eastAsia="Calibri" w:hAnsi="Franklin Gothic Book"/>
          <w:sz w:val="21"/>
          <w:szCs w:val="21"/>
          <w:lang w:eastAsia="en-US"/>
        </w:rPr>
        <w:t xml:space="preserve">The aid program </w:t>
      </w:r>
      <w:r w:rsidR="00872234">
        <w:rPr>
          <w:rFonts w:ascii="Franklin Gothic Book" w:eastAsia="Calibri" w:hAnsi="Franklin Gothic Book"/>
          <w:sz w:val="21"/>
          <w:szCs w:val="21"/>
          <w:lang w:eastAsia="en-US"/>
        </w:rPr>
        <w:t xml:space="preserve">has </w:t>
      </w:r>
      <w:r>
        <w:rPr>
          <w:rFonts w:ascii="Franklin Gothic Book" w:eastAsia="Calibri" w:hAnsi="Franklin Gothic Book"/>
          <w:sz w:val="21"/>
          <w:szCs w:val="21"/>
          <w:lang w:eastAsia="en-US"/>
        </w:rPr>
        <w:t xml:space="preserve">identified specific support </w:t>
      </w:r>
      <w:r w:rsidR="00521008">
        <w:rPr>
          <w:rFonts w:ascii="Franklin Gothic Book" w:eastAsia="Calibri" w:hAnsi="Franklin Gothic Book"/>
          <w:sz w:val="21"/>
          <w:szCs w:val="21"/>
          <w:lang w:eastAsia="en-US"/>
        </w:rPr>
        <w:t>needed</w:t>
      </w:r>
      <w:r>
        <w:rPr>
          <w:rFonts w:ascii="Franklin Gothic Book" w:eastAsia="Calibri" w:hAnsi="Franklin Gothic Book"/>
          <w:sz w:val="21"/>
          <w:szCs w:val="21"/>
          <w:lang w:eastAsia="en-US"/>
        </w:rPr>
        <w:t xml:space="preserve"> to promote d</w:t>
      </w:r>
      <w:r w:rsidR="00AA6010" w:rsidRPr="00C00586">
        <w:rPr>
          <w:rFonts w:ascii="Franklin Gothic Book" w:eastAsia="Calibri" w:hAnsi="Franklin Gothic Book"/>
          <w:sz w:val="21"/>
          <w:szCs w:val="21"/>
          <w:lang w:eastAsia="en-US"/>
        </w:rPr>
        <w:t>isability-inclusive development</w:t>
      </w:r>
      <w:r>
        <w:rPr>
          <w:rFonts w:ascii="Franklin Gothic Book" w:eastAsia="Calibri" w:hAnsi="Franklin Gothic Book"/>
          <w:sz w:val="21"/>
          <w:szCs w:val="21"/>
          <w:lang w:eastAsia="en-US"/>
        </w:rPr>
        <w:t>.  In our support to classroom construction, accessibility features have been integrated in the design of public school buildings</w:t>
      </w:r>
      <w:r w:rsidR="00FA093F">
        <w:rPr>
          <w:rFonts w:ascii="Franklin Gothic Book" w:eastAsia="Calibri" w:hAnsi="Franklin Gothic Book"/>
          <w:sz w:val="21"/>
          <w:szCs w:val="21"/>
          <w:lang w:eastAsia="en-US"/>
        </w:rPr>
        <w:t xml:space="preserve"> and is being considered by the </w:t>
      </w:r>
      <w:r>
        <w:rPr>
          <w:rFonts w:ascii="Franklin Gothic Book" w:eastAsia="Calibri" w:hAnsi="Franklin Gothic Book"/>
          <w:sz w:val="21"/>
          <w:szCs w:val="21"/>
          <w:lang w:eastAsia="en-US"/>
        </w:rPr>
        <w:t>DepE</w:t>
      </w:r>
      <w:r w:rsidR="00841782">
        <w:rPr>
          <w:rFonts w:ascii="Franklin Gothic Book" w:eastAsia="Calibri" w:hAnsi="Franklin Gothic Book"/>
          <w:sz w:val="21"/>
          <w:szCs w:val="21"/>
          <w:lang w:eastAsia="en-US"/>
        </w:rPr>
        <w:t>D</w:t>
      </w:r>
      <w:r>
        <w:rPr>
          <w:rFonts w:ascii="Franklin Gothic Book" w:eastAsia="Calibri" w:hAnsi="Franklin Gothic Book"/>
          <w:sz w:val="21"/>
          <w:szCs w:val="21"/>
          <w:lang w:eastAsia="en-US"/>
        </w:rPr>
        <w:t xml:space="preserve"> as a suitable model for all public schools.  Through the partnership with The Asia Foundation, Australia supported the Full</w:t>
      </w:r>
      <w:r w:rsidR="00FA093F">
        <w:rPr>
          <w:rFonts w:ascii="Franklin Gothic Book" w:eastAsia="Calibri" w:hAnsi="Franklin Gothic Book"/>
          <w:sz w:val="21"/>
          <w:szCs w:val="21"/>
          <w:lang w:eastAsia="en-US"/>
        </w:rPr>
        <w:t>y Able Nation campaign that</w:t>
      </w:r>
      <w:r>
        <w:rPr>
          <w:rFonts w:ascii="Franklin Gothic Book" w:eastAsia="Calibri" w:hAnsi="Franklin Gothic Book"/>
          <w:sz w:val="21"/>
          <w:szCs w:val="21"/>
          <w:lang w:eastAsia="en-US"/>
        </w:rPr>
        <w:t xml:space="preserve"> enabled 65,000 people with disability </w:t>
      </w:r>
      <w:r>
        <w:rPr>
          <w:rFonts w:ascii="Franklin Gothic Book" w:eastAsia="Calibri" w:hAnsi="Franklin Gothic Book"/>
          <w:sz w:val="21"/>
          <w:szCs w:val="21"/>
          <w:lang w:eastAsia="en-US"/>
        </w:rPr>
        <w:lastRenderedPageBreak/>
        <w:t xml:space="preserve">to register for the 2013 elections.  </w:t>
      </w:r>
      <w:r w:rsidR="004E066A" w:rsidRPr="004E066A">
        <w:rPr>
          <w:rFonts w:ascii="Franklin Gothic Book" w:eastAsia="Calibri" w:hAnsi="Franklin Gothic Book"/>
          <w:sz w:val="21"/>
          <w:szCs w:val="21"/>
          <w:lang w:eastAsia="en-US"/>
        </w:rPr>
        <w:t>The Philippines-Australia Community Assistance Program</w:t>
      </w:r>
      <w:r w:rsidR="00AA6010" w:rsidRPr="00C00586">
        <w:rPr>
          <w:rFonts w:ascii="Franklin Gothic Book" w:eastAsia="Calibri" w:hAnsi="Franklin Gothic Book"/>
          <w:sz w:val="21"/>
          <w:szCs w:val="21"/>
          <w:lang w:eastAsia="en-US"/>
        </w:rPr>
        <w:t xml:space="preserve"> </w:t>
      </w:r>
      <w:r>
        <w:rPr>
          <w:rFonts w:ascii="Franklin Gothic Book" w:eastAsia="Calibri" w:hAnsi="Franklin Gothic Book"/>
          <w:sz w:val="21"/>
          <w:szCs w:val="21"/>
          <w:lang w:eastAsia="en-US"/>
        </w:rPr>
        <w:t xml:space="preserve">will </w:t>
      </w:r>
      <w:r w:rsidR="00FA093F">
        <w:rPr>
          <w:rFonts w:ascii="Franklin Gothic Book" w:eastAsia="Calibri" w:hAnsi="Franklin Gothic Book"/>
          <w:sz w:val="21"/>
          <w:szCs w:val="21"/>
          <w:lang w:eastAsia="en-US"/>
        </w:rPr>
        <w:t xml:space="preserve">also </w:t>
      </w:r>
      <w:r>
        <w:rPr>
          <w:rFonts w:ascii="Franklin Gothic Book" w:eastAsia="Calibri" w:hAnsi="Franklin Gothic Book"/>
          <w:sz w:val="21"/>
          <w:szCs w:val="21"/>
          <w:lang w:eastAsia="en-US"/>
        </w:rPr>
        <w:t xml:space="preserve">continue to fund </w:t>
      </w:r>
      <w:r w:rsidR="00AA6010" w:rsidRPr="00C00586">
        <w:rPr>
          <w:rFonts w:ascii="Franklin Gothic Book" w:eastAsia="Calibri" w:hAnsi="Franklin Gothic Book"/>
          <w:sz w:val="21"/>
          <w:szCs w:val="21"/>
          <w:lang w:eastAsia="en-US"/>
        </w:rPr>
        <w:t xml:space="preserve">livelihood </w:t>
      </w:r>
      <w:r>
        <w:rPr>
          <w:rFonts w:ascii="Franklin Gothic Book" w:eastAsia="Calibri" w:hAnsi="Franklin Gothic Book"/>
          <w:sz w:val="21"/>
          <w:szCs w:val="21"/>
          <w:lang w:eastAsia="en-US"/>
        </w:rPr>
        <w:t xml:space="preserve">programs for </w:t>
      </w:r>
      <w:r w:rsidR="00AA6010" w:rsidRPr="00C00586">
        <w:rPr>
          <w:rFonts w:ascii="Franklin Gothic Book" w:eastAsia="Calibri" w:hAnsi="Franklin Gothic Book"/>
          <w:sz w:val="21"/>
          <w:szCs w:val="21"/>
          <w:lang w:eastAsia="en-US"/>
        </w:rPr>
        <w:t>people with disability and their families</w:t>
      </w:r>
      <w:r>
        <w:rPr>
          <w:rFonts w:ascii="Franklin Gothic Book" w:eastAsia="Calibri" w:hAnsi="Franklin Gothic Book"/>
          <w:sz w:val="21"/>
          <w:szCs w:val="21"/>
          <w:lang w:eastAsia="en-US"/>
        </w:rPr>
        <w:t>.</w:t>
      </w:r>
      <w:r w:rsidR="00C61F23">
        <w:rPr>
          <w:rFonts w:ascii="Franklin Gothic Book" w:eastAsia="Calibri" w:hAnsi="Franklin Gothic Book"/>
          <w:sz w:val="21"/>
          <w:szCs w:val="21"/>
          <w:lang w:eastAsia="en-US"/>
        </w:rPr>
        <w:t xml:space="preserve">  Funding was also provided to civil society organisations that are working to assist </w:t>
      </w:r>
      <w:r w:rsidR="000E515F">
        <w:rPr>
          <w:rFonts w:ascii="Franklin Gothic Book" w:eastAsia="Calibri" w:hAnsi="Franklin Gothic Book"/>
          <w:sz w:val="21"/>
          <w:szCs w:val="21"/>
          <w:lang w:eastAsia="en-US"/>
        </w:rPr>
        <w:t xml:space="preserve">people </w:t>
      </w:r>
      <w:r w:rsidR="00FA093F">
        <w:rPr>
          <w:rFonts w:ascii="Franklin Gothic Book" w:eastAsia="Calibri" w:hAnsi="Franklin Gothic Book"/>
          <w:sz w:val="21"/>
          <w:szCs w:val="21"/>
          <w:lang w:eastAsia="en-US"/>
        </w:rPr>
        <w:t xml:space="preserve">with disability </w:t>
      </w:r>
      <w:r w:rsidR="000E515F">
        <w:rPr>
          <w:rFonts w:ascii="Franklin Gothic Book" w:eastAsia="Calibri" w:hAnsi="Franklin Gothic Book"/>
          <w:sz w:val="21"/>
          <w:szCs w:val="21"/>
          <w:lang w:eastAsia="en-US"/>
        </w:rPr>
        <w:t>adversely affected by natural disaster</w:t>
      </w:r>
      <w:r w:rsidR="00FA093F">
        <w:rPr>
          <w:rFonts w:ascii="Franklin Gothic Book" w:eastAsia="Calibri" w:hAnsi="Franklin Gothic Book"/>
          <w:sz w:val="21"/>
          <w:szCs w:val="21"/>
          <w:lang w:eastAsia="en-US"/>
        </w:rPr>
        <w:t>s</w:t>
      </w:r>
      <w:r w:rsidR="000E515F">
        <w:rPr>
          <w:rFonts w:ascii="Franklin Gothic Book" w:eastAsia="Calibri" w:hAnsi="Franklin Gothic Book"/>
          <w:sz w:val="21"/>
          <w:szCs w:val="21"/>
          <w:lang w:eastAsia="en-US"/>
        </w:rPr>
        <w:t xml:space="preserve">. </w:t>
      </w:r>
    </w:p>
    <w:p w:rsidR="000D733F" w:rsidRPr="00CD50CB" w:rsidRDefault="000D733F" w:rsidP="00C00586">
      <w:pPr>
        <w:pStyle w:val="Heading3"/>
        <w:rPr>
          <w:color w:val="007FAD"/>
          <w:sz w:val="28"/>
          <w:szCs w:val="28"/>
          <w:lang w:eastAsia="en-AU"/>
        </w:rPr>
      </w:pPr>
      <w:r w:rsidRPr="00CD50CB">
        <w:rPr>
          <w:b w:val="0"/>
          <w:color w:val="007FAD"/>
          <w:sz w:val="28"/>
          <w:szCs w:val="28"/>
          <w:lang w:eastAsia="en-AU"/>
        </w:rPr>
        <w:t>Mutual Obligations</w:t>
      </w:r>
      <w:r w:rsidRPr="00CD50CB">
        <w:rPr>
          <w:b w:val="0"/>
          <w:color w:val="007FAD"/>
          <w:sz w:val="28"/>
          <w:szCs w:val="28"/>
          <w:lang w:eastAsia="en-AU"/>
        </w:rPr>
        <w:tab/>
      </w:r>
      <w:r w:rsidRPr="00CD50CB">
        <w:rPr>
          <w:b w:val="0"/>
          <w:color w:val="007FAD"/>
          <w:sz w:val="28"/>
          <w:szCs w:val="28"/>
          <w:lang w:eastAsia="en-AU"/>
        </w:rPr>
        <w:tab/>
      </w:r>
      <w:r w:rsidRPr="00CD50CB">
        <w:rPr>
          <w:b w:val="0"/>
          <w:color w:val="007FAD"/>
          <w:sz w:val="28"/>
          <w:szCs w:val="28"/>
          <w:lang w:eastAsia="en-AU"/>
        </w:rPr>
        <w:tab/>
      </w:r>
      <w:r w:rsidRPr="00CD50CB">
        <w:rPr>
          <w:b w:val="0"/>
          <w:color w:val="007FAD"/>
          <w:sz w:val="28"/>
          <w:szCs w:val="28"/>
          <w:lang w:eastAsia="en-AU"/>
        </w:rPr>
        <w:tab/>
      </w:r>
    </w:p>
    <w:p w:rsidR="00AF27B1" w:rsidRDefault="00F159B0" w:rsidP="006F3E1A">
      <w:pPr>
        <w:pStyle w:val="ListBullet"/>
        <w:numPr>
          <w:ilvl w:val="0"/>
          <w:numId w:val="0"/>
        </w:numPr>
        <w:tabs>
          <w:tab w:val="clear" w:pos="284"/>
        </w:tabs>
      </w:pPr>
      <w:r>
        <w:t>The Development Plan (</w:t>
      </w:r>
      <w:r w:rsidR="0088752C">
        <w:t>2011-2016</w:t>
      </w:r>
      <w:r w:rsidR="001C3EEB">
        <w:t>)</w:t>
      </w:r>
      <w:r w:rsidR="0088752C">
        <w:t xml:space="preserve"> </w:t>
      </w:r>
      <w:r w:rsidR="000E515F">
        <w:t xml:space="preserve">is focussed on </w:t>
      </w:r>
      <w:r w:rsidR="005628CF">
        <w:t>address</w:t>
      </w:r>
      <w:r w:rsidR="000E515F">
        <w:t>ing</w:t>
      </w:r>
      <w:r w:rsidR="005628CF">
        <w:t xml:space="preserve"> the fundamental impediments to inclusive growth–low economic growth, high income inequality, and governance challenges</w:t>
      </w:r>
      <w:r w:rsidR="00983F63">
        <w:t>, by seeking to generate inclusive growth, uplift the poor, and protect the vulnerable</w:t>
      </w:r>
      <w:r w:rsidR="005628CF">
        <w:t xml:space="preserve">.  </w:t>
      </w:r>
      <w:r w:rsidR="007055F7">
        <w:t xml:space="preserve">The PDP was the anchor for the </w:t>
      </w:r>
      <w:r w:rsidR="000E515F">
        <w:t xml:space="preserve">bilateral development </w:t>
      </w:r>
      <w:r w:rsidR="007055F7">
        <w:t>agreement between Philippines and Australia</w:t>
      </w:r>
      <w:r w:rsidR="0019104F">
        <w:t>, through the Statement of Commitment (SOC)</w:t>
      </w:r>
      <w:r w:rsidR="007055F7">
        <w:t xml:space="preserve"> signed in March 2012.  </w:t>
      </w:r>
      <w:r w:rsidR="001F1807">
        <w:t xml:space="preserve">The </w:t>
      </w:r>
      <w:r w:rsidR="004B5B8F">
        <w:t>Philippine Government</w:t>
      </w:r>
      <w:r w:rsidR="001F1807">
        <w:t xml:space="preserve"> is making significant progress in its eight commitments</w:t>
      </w:r>
      <w:r w:rsidR="0019104F">
        <w:t xml:space="preserve"> under the SOC</w:t>
      </w:r>
      <w:r w:rsidR="001F1807">
        <w:t>:</w:t>
      </w:r>
    </w:p>
    <w:p w:rsidR="008E55BE" w:rsidRDefault="008E55BE" w:rsidP="00027FC0">
      <w:pPr>
        <w:pStyle w:val="ListBullet"/>
        <w:numPr>
          <w:ilvl w:val="0"/>
          <w:numId w:val="0"/>
        </w:numPr>
        <w:tabs>
          <w:tab w:val="clear" w:pos="284"/>
        </w:tabs>
        <w:spacing w:after="0" w:line="240" w:lineRule="auto"/>
      </w:pPr>
    </w:p>
    <w:tbl>
      <w:tblPr>
        <w:tblStyle w:val="APPR"/>
        <w:tblW w:w="5165" w:type="pct"/>
        <w:tblLook w:val="0600" w:firstRow="0" w:lastRow="0" w:firstColumn="0" w:lastColumn="0" w:noHBand="1" w:noVBand="1"/>
      </w:tblPr>
      <w:tblGrid>
        <w:gridCol w:w="3113"/>
        <w:gridCol w:w="5954"/>
      </w:tblGrid>
      <w:tr w:rsidR="005B7463" w:rsidRPr="00180B19" w:rsidTr="008E55BE">
        <w:tc>
          <w:tcPr>
            <w:tcW w:w="3071" w:type="dxa"/>
            <w:hideMark/>
          </w:tcPr>
          <w:p w:rsidR="005B7463" w:rsidRPr="0072479B" w:rsidRDefault="004B5B8F" w:rsidP="0010390C">
            <w:pPr>
              <w:pStyle w:val="TableTextColumnHeading"/>
            </w:pPr>
            <w:r>
              <w:t>Philippine Government</w:t>
            </w:r>
            <w:r w:rsidR="005B7463" w:rsidRPr="0072479B">
              <w:t xml:space="preserve"> commitments</w:t>
            </w:r>
          </w:p>
        </w:tc>
        <w:tc>
          <w:tcPr>
            <w:tcW w:w="5912" w:type="dxa"/>
          </w:tcPr>
          <w:p w:rsidR="005B7463" w:rsidRPr="005B7463" w:rsidRDefault="00763B59" w:rsidP="0010390C">
            <w:pPr>
              <w:pStyle w:val="TableTextColumnHeading"/>
            </w:pPr>
            <w:r>
              <w:t xml:space="preserve">Progress </w:t>
            </w:r>
          </w:p>
        </w:tc>
      </w:tr>
      <w:tr w:rsidR="005B7463" w:rsidRPr="00180B19" w:rsidTr="008E55BE">
        <w:tc>
          <w:tcPr>
            <w:tcW w:w="3071" w:type="dxa"/>
            <w:hideMark/>
          </w:tcPr>
          <w:p w:rsidR="005B7463" w:rsidRPr="005B7463" w:rsidRDefault="005B7463" w:rsidP="00C570AB">
            <w:pPr>
              <w:pStyle w:val="ListBullet"/>
              <w:numPr>
                <w:ilvl w:val="0"/>
                <w:numId w:val="0"/>
              </w:numPr>
              <w:tabs>
                <w:tab w:val="clear" w:pos="284"/>
              </w:tabs>
              <w:spacing w:beforeLines="40" w:before="96" w:afterLines="40" w:after="96" w:line="240" w:lineRule="auto"/>
              <w:rPr>
                <w:sz w:val="18"/>
              </w:rPr>
            </w:pPr>
            <w:r w:rsidRPr="005B7463">
              <w:rPr>
                <w:sz w:val="18"/>
              </w:rPr>
              <w:t>Increase public expenditures, through the General Appropriations Act, in basic education and support to local government units through performance-based mechanisms</w:t>
            </w:r>
          </w:p>
        </w:tc>
        <w:tc>
          <w:tcPr>
            <w:tcW w:w="5912" w:type="dxa"/>
          </w:tcPr>
          <w:p w:rsidR="005B7463" w:rsidRPr="005D3B0C" w:rsidRDefault="00AF1880" w:rsidP="00C570AB">
            <w:pPr>
              <w:pStyle w:val="TableTextEntries"/>
              <w:spacing w:beforeLines="40" w:before="96" w:afterLines="40" w:after="96" w:line="240" w:lineRule="auto"/>
              <w:rPr>
                <w:sz w:val="18"/>
              </w:rPr>
            </w:pPr>
            <w:r w:rsidRPr="00FA4A27">
              <w:rPr>
                <w:sz w:val="18"/>
              </w:rPr>
              <w:t xml:space="preserve">Budget allocation to education </w:t>
            </w:r>
            <w:r w:rsidR="0024659A" w:rsidRPr="00FA4A27">
              <w:rPr>
                <w:sz w:val="18"/>
              </w:rPr>
              <w:t xml:space="preserve">has </w:t>
            </w:r>
            <w:r w:rsidR="00D430AB" w:rsidRPr="00FA4A27">
              <w:rPr>
                <w:sz w:val="18"/>
              </w:rPr>
              <w:t xml:space="preserve">increased year on year: 2011 </w:t>
            </w:r>
            <w:r w:rsidR="0019104F" w:rsidRPr="00FA4A27">
              <w:rPr>
                <w:sz w:val="18"/>
              </w:rPr>
              <w:t>–</w:t>
            </w:r>
            <w:r w:rsidR="00D430AB" w:rsidRPr="00FA4A27">
              <w:rPr>
                <w:sz w:val="18"/>
              </w:rPr>
              <w:t xml:space="preserve"> </w:t>
            </w:r>
            <w:r w:rsidR="0019104F" w:rsidRPr="00FA4A27">
              <w:rPr>
                <w:sz w:val="18"/>
              </w:rPr>
              <w:t>Php 207.3 billion</w:t>
            </w:r>
            <w:r w:rsidR="00D430AB" w:rsidRPr="00FA4A27">
              <w:rPr>
                <w:sz w:val="18"/>
              </w:rPr>
              <w:t xml:space="preserve">, 2012 </w:t>
            </w:r>
            <w:r w:rsidR="0019104F" w:rsidRPr="00FA4A27">
              <w:rPr>
                <w:sz w:val="18"/>
              </w:rPr>
              <w:t>–</w:t>
            </w:r>
            <w:r w:rsidR="00D430AB" w:rsidRPr="00FA4A27">
              <w:rPr>
                <w:sz w:val="18"/>
              </w:rPr>
              <w:t xml:space="preserve"> </w:t>
            </w:r>
            <w:r w:rsidR="0019104F" w:rsidRPr="00FA4A27">
              <w:rPr>
                <w:sz w:val="18"/>
              </w:rPr>
              <w:t>Php 238.8 billion</w:t>
            </w:r>
            <w:r w:rsidR="00D430AB" w:rsidRPr="00FA4A27">
              <w:rPr>
                <w:sz w:val="18"/>
              </w:rPr>
              <w:t xml:space="preserve">, 2013 – </w:t>
            </w:r>
            <w:r w:rsidR="0019104F" w:rsidRPr="00FA4A27">
              <w:rPr>
                <w:sz w:val="18"/>
              </w:rPr>
              <w:t>Php 292.7 billion</w:t>
            </w:r>
            <w:r w:rsidR="00E758EB" w:rsidRPr="00FA4A27">
              <w:rPr>
                <w:sz w:val="18"/>
              </w:rPr>
              <w:t xml:space="preserve">, and 2014 – </w:t>
            </w:r>
            <w:r w:rsidR="0024511C" w:rsidRPr="00FA4A27">
              <w:rPr>
                <w:sz w:val="18"/>
              </w:rPr>
              <w:t>Php 336.9 billion</w:t>
            </w:r>
            <w:r w:rsidR="00E758EB" w:rsidRPr="00FA4A27">
              <w:rPr>
                <w:sz w:val="18"/>
              </w:rPr>
              <w:t xml:space="preserve">. </w:t>
            </w:r>
            <w:r w:rsidR="00EA5DA4" w:rsidRPr="00FA4A27">
              <w:rPr>
                <w:sz w:val="18"/>
              </w:rPr>
              <w:t xml:space="preserve"> The DepE</w:t>
            </w:r>
            <w:r w:rsidR="00841782" w:rsidRPr="00FA4A27">
              <w:rPr>
                <w:sz w:val="18"/>
              </w:rPr>
              <w:t>D</w:t>
            </w:r>
            <w:r w:rsidR="00EA5DA4" w:rsidRPr="00FA4A27">
              <w:rPr>
                <w:sz w:val="18"/>
              </w:rPr>
              <w:t xml:space="preserve"> receives the biggest budget </w:t>
            </w:r>
            <w:r w:rsidR="00791A65" w:rsidRPr="00FA4A27">
              <w:rPr>
                <w:sz w:val="18"/>
              </w:rPr>
              <w:t xml:space="preserve">allocation </w:t>
            </w:r>
            <w:r w:rsidR="00EA5DA4" w:rsidRPr="00FA4A27">
              <w:rPr>
                <w:sz w:val="18"/>
              </w:rPr>
              <w:t>among government agencies.</w:t>
            </w:r>
            <w:r w:rsidR="00027FC0">
              <w:rPr>
                <w:sz w:val="18"/>
              </w:rPr>
              <w:t xml:space="preserve"> </w:t>
            </w:r>
          </w:p>
          <w:p w:rsidR="00AF1880" w:rsidRPr="005D3B0C" w:rsidRDefault="00AF1880" w:rsidP="00C570AB">
            <w:pPr>
              <w:pStyle w:val="TableTextEntries"/>
              <w:spacing w:beforeLines="40" w:before="96" w:afterLines="40" w:after="96" w:line="240" w:lineRule="auto"/>
              <w:rPr>
                <w:sz w:val="18"/>
              </w:rPr>
            </w:pPr>
            <w:r w:rsidRPr="005D3B0C">
              <w:rPr>
                <w:sz w:val="18"/>
              </w:rPr>
              <w:t>The incentive package for local governments (the</w:t>
            </w:r>
            <w:r w:rsidRPr="00B82A1B">
              <w:rPr>
                <w:i/>
                <w:sz w:val="18"/>
              </w:rPr>
              <w:t xml:space="preserve"> Performance Challenge Fund</w:t>
            </w:r>
            <w:r w:rsidR="00114A59" w:rsidRPr="005D3B0C">
              <w:rPr>
                <w:sz w:val="18"/>
              </w:rPr>
              <w:t xml:space="preserve"> or PCF</w:t>
            </w:r>
            <w:r w:rsidRPr="005D3B0C">
              <w:rPr>
                <w:sz w:val="18"/>
              </w:rPr>
              <w:t xml:space="preserve">) increased from Php 500 </w:t>
            </w:r>
            <w:r w:rsidR="00114A59" w:rsidRPr="005D3B0C">
              <w:rPr>
                <w:sz w:val="18"/>
              </w:rPr>
              <w:t>million to Php 1 billion in 2012.  This was temporarily put on hold in 2013 as it reviews and expands its transparency and accountability measures (</w:t>
            </w:r>
            <w:r w:rsidR="00114A59" w:rsidRPr="00B82A1B">
              <w:rPr>
                <w:i/>
                <w:sz w:val="18"/>
              </w:rPr>
              <w:t>Seal of Good Local Governance</w:t>
            </w:r>
            <w:r w:rsidR="00114A59" w:rsidRPr="005D3B0C">
              <w:rPr>
                <w:sz w:val="18"/>
              </w:rPr>
              <w:t xml:space="preserve">) </w:t>
            </w:r>
            <w:r w:rsidR="00B82A1B">
              <w:rPr>
                <w:sz w:val="18"/>
              </w:rPr>
              <w:t xml:space="preserve">for local governments </w:t>
            </w:r>
            <w:r w:rsidR="00114A59" w:rsidRPr="005D3B0C">
              <w:rPr>
                <w:sz w:val="18"/>
              </w:rPr>
              <w:t>to qualify for the PCF.</w:t>
            </w:r>
          </w:p>
        </w:tc>
      </w:tr>
      <w:tr w:rsidR="0046595A" w:rsidRPr="00180B19" w:rsidTr="008E55BE">
        <w:tc>
          <w:tcPr>
            <w:tcW w:w="3071" w:type="dxa"/>
          </w:tcPr>
          <w:p w:rsidR="0046595A" w:rsidRPr="005B7463" w:rsidRDefault="0046595A" w:rsidP="0046595A">
            <w:pPr>
              <w:pStyle w:val="ListBullet"/>
              <w:numPr>
                <w:ilvl w:val="0"/>
                <w:numId w:val="0"/>
              </w:numPr>
              <w:tabs>
                <w:tab w:val="clear" w:pos="284"/>
              </w:tabs>
              <w:spacing w:beforeLines="40" w:before="96" w:afterLines="40" w:after="96" w:line="240" w:lineRule="auto"/>
              <w:rPr>
                <w:sz w:val="18"/>
              </w:rPr>
            </w:pPr>
            <w:r w:rsidRPr="005B7463">
              <w:rPr>
                <w:sz w:val="18"/>
              </w:rPr>
              <w:t>Accelerate implementation of the basic education reform agenda</w:t>
            </w:r>
          </w:p>
        </w:tc>
        <w:tc>
          <w:tcPr>
            <w:tcW w:w="5912" w:type="dxa"/>
          </w:tcPr>
          <w:p w:rsidR="0046595A" w:rsidRPr="005D3B0C" w:rsidRDefault="0046595A" w:rsidP="00BF5784">
            <w:pPr>
              <w:pStyle w:val="TableTextEntries"/>
              <w:spacing w:beforeLines="40" w:before="96" w:afterLines="40" w:after="96" w:line="240" w:lineRule="auto"/>
              <w:rPr>
                <w:sz w:val="18"/>
              </w:rPr>
            </w:pPr>
            <w:r w:rsidRPr="005D3B0C">
              <w:rPr>
                <w:sz w:val="18"/>
              </w:rPr>
              <w:t>The Kinder to Grade 12 (K-12) program was approved in 2012 through the Enhanced Basic Education Act.</w:t>
            </w:r>
            <w:r>
              <w:rPr>
                <w:sz w:val="18"/>
              </w:rPr>
              <w:t xml:space="preserve">  </w:t>
            </w:r>
            <w:r w:rsidR="00BF5784">
              <w:rPr>
                <w:sz w:val="18"/>
              </w:rPr>
              <w:t>The n</w:t>
            </w:r>
            <w:r>
              <w:rPr>
                <w:sz w:val="18"/>
              </w:rPr>
              <w:t>ew K-12 curriculum has been completed and already implemented in at least 6 grade levels.</w:t>
            </w:r>
          </w:p>
        </w:tc>
      </w:tr>
      <w:tr w:rsidR="0046595A" w:rsidRPr="00180B19" w:rsidTr="008E55BE">
        <w:tc>
          <w:tcPr>
            <w:tcW w:w="3071" w:type="dxa"/>
          </w:tcPr>
          <w:p w:rsidR="0046595A" w:rsidRPr="005B7463" w:rsidRDefault="0046595A" w:rsidP="0046595A">
            <w:pPr>
              <w:pStyle w:val="ListBullet"/>
              <w:numPr>
                <w:ilvl w:val="0"/>
                <w:numId w:val="0"/>
              </w:numPr>
              <w:tabs>
                <w:tab w:val="clear" w:pos="284"/>
              </w:tabs>
              <w:spacing w:beforeLines="40" w:before="96" w:afterLines="40" w:after="96" w:line="240" w:lineRule="auto"/>
              <w:rPr>
                <w:sz w:val="18"/>
              </w:rPr>
            </w:pPr>
            <w:r w:rsidRPr="005B7463">
              <w:rPr>
                <w:sz w:val="18"/>
              </w:rPr>
              <w:t>Continue investing in human resource management and development for all levels of government bureaucracy to improve service delivery and public sector accountability</w:t>
            </w:r>
          </w:p>
        </w:tc>
        <w:tc>
          <w:tcPr>
            <w:tcW w:w="5912" w:type="dxa"/>
          </w:tcPr>
          <w:p w:rsidR="0046595A" w:rsidRPr="005D3B0C" w:rsidRDefault="0046595A" w:rsidP="00FA093F">
            <w:pPr>
              <w:pStyle w:val="TableTextEntries"/>
              <w:spacing w:beforeLines="40" w:before="96" w:afterLines="40" w:after="96" w:line="240" w:lineRule="auto"/>
              <w:rPr>
                <w:sz w:val="18"/>
              </w:rPr>
            </w:pPr>
            <w:r w:rsidRPr="005D3B0C">
              <w:rPr>
                <w:sz w:val="18"/>
              </w:rPr>
              <w:t xml:space="preserve">The Civil Service Commission is implementing its </w:t>
            </w:r>
            <w:r w:rsidRPr="00B82A1B">
              <w:rPr>
                <w:i/>
                <w:sz w:val="18"/>
              </w:rPr>
              <w:t>Strategic Performance Management System</w:t>
            </w:r>
            <w:r w:rsidRPr="005D3B0C">
              <w:rPr>
                <w:sz w:val="18"/>
              </w:rPr>
              <w:t xml:space="preserve"> and the </w:t>
            </w:r>
            <w:r w:rsidRPr="00B82A1B">
              <w:rPr>
                <w:i/>
                <w:sz w:val="18"/>
              </w:rPr>
              <w:t>Program to Institutionalise Meritocracy and Excellence</w:t>
            </w:r>
            <w:r w:rsidRPr="005D3B0C">
              <w:rPr>
                <w:sz w:val="18"/>
              </w:rPr>
              <w:t xml:space="preserve"> in human resource management.  It is also reviewing the Civil Service Code.</w:t>
            </w:r>
            <w:r w:rsidR="008E55BE">
              <w:rPr>
                <w:sz w:val="18"/>
              </w:rPr>
              <w:t xml:space="preserve"> </w:t>
            </w:r>
            <w:r>
              <w:rPr>
                <w:sz w:val="18"/>
              </w:rPr>
              <w:t>T</w:t>
            </w:r>
            <w:r w:rsidRPr="005D3B0C">
              <w:rPr>
                <w:sz w:val="18"/>
              </w:rPr>
              <w:t xml:space="preserve">he </w:t>
            </w:r>
            <w:r w:rsidRPr="00B82A1B">
              <w:rPr>
                <w:i/>
                <w:sz w:val="18"/>
              </w:rPr>
              <w:t>Seal of Good Housekeeping</w:t>
            </w:r>
            <w:r w:rsidRPr="005D3B0C">
              <w:rPr>
                <w:sz w:val="18"/>
              </w:rPr>
              <w:t xml:space="preserve"> (compliance of local governments to transparency and accountability measures) is being expanded to the </w:t>
            </w:r>
            <w:r w:rsidRPr="00B82A1B">
              <w:rPr>
                <w:i/>
                <w:sz w:val="18"/>
              </w:rPr>
              <w:t>Seal of Good Local Governance</w:t>
            </w:r>
            <w:r w:rsidRPr="005D3B0C">
              <w:rPr>
                <w:sz w:val="18"/>
              </w:rPr>
              <w:t xml:space="preserve"> to include measures on core service delivery.</w:t>
            </w:r>
          </w:p>
        </w:tc>
      </w:tr>
      <w:tr w:rsidR="005B7463" w:rsidRPr="00180B19" w:rsidTr="008E55BE">
        <w:tc>
          <w:tcPr>
            <w:tcW w:w="3071" w:type="dxa"/>
            <w:hideMark/>
          </w:tcPr>
          <w:p w:rsidR="005B7463" w:rsidRPr="005B7463" w:rsidRDefault="005B7463" w:rsidP="00C570AB">
            <w:pPr>
              <w:pStyle w:val="ListBullet"/>
              <w:numPr>
                <w:ilvl w:val="0"/>
                <w:numId w:val="0"/>
              </w:numPr>
              <w:tabs>
                <w:tab w:val="clear" w:pos="284"/>
              </w:tabs>
              <w:spacing w:beforeLines="40" w:before="96" w:afterLines="40" w:after="96" w:line="240" w:lineRule="auto"/>
              <w:rPr>
                <w:sz w:val="18"/>
              </w:rPr>
            </w:pPr>
            <w:r w:rsidRPr="005B7463">
              <w:rPr>
                <w:sz w:val="18"/>
              </w:rPr>
              <w:t>Ensure sufficient resources for the implementation of the national slum upgrading strategy, and the PFM reform roadmap</w:t>
            </w:r>
          </w:p>
        </w:tc>
        <w:tc>
          <w:tcPr>
            <w:tcW w:w="5912" w:type="dxa"/>
          </w:tcPr>
          <w:p w:rsidR="005B7463" w:rsidRPr="005D3B0C" w:rsidRDefault="003725AD" w:rsidP="00C570AB">
            <w:pPr>
              <w:pStyle w:val="TableTextEntries"/>
              <w:spacing w:beforeLines="40" w:before="96" w:afterLines="40" w:after="96" w:line="240" w:lineRule="auto"/>
              <w:rPr>
                <w:sz w:val="18"/>
              </w:rPr>
            </w:pPr>
            <w:r w:rsidRPr="005D3B0C">
              <w:rPr>
                <w:sz w:val="18"/>
              </w:rPr>
              <w:t>As a priority, the government allocated a Php 50 billion housing finance facility for informal settlers living in danger zones</w:t>
            </w:r>
            <w:r w:rsidR="0072479B">
              <w:rPr>
                <w:sz w:val="18"/>
              </w:rPr>
              <w:t xml:space="preserve"> (Oplan LIKAS)</w:t>
            </w:r>
            <w:r w:rsidRPr="005D3B0C">
              <w:rPr>
                <w:sz w:val="18"/>
              </w:rPr>
              <w:t xml:space="preserve">.  It also continues to implement the Community Mortgage Program as a regular facility for informal settlers to acquire </w:t>
            </w:r>
            <w:r w:rsidR="00FA093F">
              <w:rPr>
                <w:sz w:val="18"/>
              </w:rPr>
              <w:t xml:space="preserve">properties </w:t>
            </w:r>
            <w:r w:rsidRPr="005D3B0C">
              <w:rPr>
                <w:sz w:val="18"/>
              </w:rPr>
              <w:t xml:space="preserve">they </w:t>
            </w:r>
            <w:r w:rsidR="00FA093F">
              <w:rPr>
                <w:sz w:val="18"/>
              </w:rPr>
              <w:t xml:space="preserve">have been </w:t>
            </w:r>
            <w:r w:rsidRPr="005D3B0C">
              <w:rPr>
                <w:sz w:val="18"/>
              </w:rPr>
              <w:t>occupying.</w:t>
            </w:r>
          </w:p>
          <w:p w:rsidR="003725AD" w:rsidRPr="005D3B0C" w:rsidRDefault="003725AD" w:rsidP="000B3CF6">
            <w:pPr>
              <w:pStyle w:val="TableTextEntries"/>
              <w:spacing w:beforeLines="40" w:before="96" w:afterLines="40" w:after="96" w:line="240" w:lineRule="auto"/>
              <w:rPr>
                <w:sz w:val="18"/>
              </w:rPr>
            </w:pPr>
            <w:r w:rsidRPr="005D3B0C">
              <w:rPr>
                <w:sz w:val="18"/>
              </w:rPr>
              <w:t xml:space="preserve">The PFM reform road map is in train </w:t>
            </w:r>
            <w:r w:rsidR="000E515F">
              <w:rPr>
                <w:sz w:val="18"/>
              </w:rPr>
              <w:t xml:space="preserve">after a </w:t>
            </w:r>
            <w:r w:rsidRPr="005D3B0C">
              <w:rPr>
                <w:sz w:val="18"/>
              </w:rPr>
              <w:t xml:space="preserve">slight delay in the procurement of the </w:t>
            </w:r>
            <w:r w:rsidR="000B3CF6">
              <w:rPr>
                <w:sz w:val="18"/>
              </w:rPr>
              <w:t>GIFMIS</w:t>
            </w:r>
            <w:r w:rsidRPr="005D3B0C">
              <w:rPr>
                <w:sz w:val="18"/>
              </w:rPr>
              <w:t>.  However, the single treasury account was already used in the preparation of the 2014 budget.</w:t>
            </w:r>
          </w:p>
        </w:tc>
      </w:tr>
      <w:tr w:rsidR="0046595A" w:rsidRPr="00180B19" w:rsidTr="008E55BE">
        <w:tc>
          <w:tcPr>
            <w:tcW w:w="3071" w:type="dxa"/>
          </w:tcPr>
          <w:p w:rsidR="0046595A" w:rsidRPr="005B7463" w:rsidRDefault="0046595A" w:rsidP="0046595A">
            <w:pPr>
              <w:pStyle w:val="ListBullet"/>
              <w:numPr>
                <w:ilvl w:val="0"/>
                <w:numId w:val="0"/>
              </w:numPr>
              <w:tabs>
                <w:tab w:val="clear" w:pos="284"/>
              </w:tabs>
              <w:spacing w:beforeLines="40" w:before="96" w:afterLines="40" w:after="96" w:line="240" w:lineRule="auto"/>
              <w:rPr>
                <w:sz w:val="18"/>
              </w:rPr>
            </w:pPr>
            <w:r w:rsidRPr="005B7463">
              <w:rPr>
                <w:sz w:val="18"/>
              </w:rPr>
              <w:lastRenderedPageBreak/>
              <w:t>Curb corruption to ensure that resources are effectively and efficiently used for the delivery of public goods and services</w:t>
            </w:r>
          </w:p>
        </w:tc>
        <w:tc>
          <w:tcPr>
            <w:tcW w:w="5912" w:type="dxa"/>
          </w:tcPr>
          <w:p w:rsidR="002E7BAE" w:rsidRDefault="00791A65" w:rsidP="002E7BAE">
            <w:pPr>
              <w:pStyle w:val="TableTextEntries"/>
              <w:spacing w:beforeLines="40" w:before="96" w:afterLines="40" w:after="96" w:line="240" w:lineRule="auto"/>
              <w:rPr>
                <w:sz w:val="18"/>
              </w:rPr>
            </w:pPr>
            <w:r w:rsidRPr="00FA4A27">
              <w:rPr>
                <w:sz w:val="18"/>
              </w:rPr>
              <w:t xml:space="preserve">The Freedom of Information Bill is yet to be </w:t>
            </w:r>
            <w:r w:rsidR="00FA093F" w:rsidRPr="00FA4A27">
              <w:rPr>
                <w:sz w:val="18"/>
              </w:rPr>
              <w:t>enacted into law</w:t>
            </w:r>
            <w:r w:rsidRPr="00FA4A27">
              <w:rPr>
                <w:sz w:val="18"/>
              </w:rPr>
              <w:t>. However, already in place are t</w:t>
            </w:r>
            <w:r w:rsidR="0046595A" w:rsidRPr="00FA4A27">
              <w:rPr>
                <w:sz w:val="18"/>
              </w:rPr>
              <w:t xml:space="preserve">he Open Governance program </w:t>
            </w:r>
            <w:r w:rsidR="002E7BAE" w:rsidRPr="00FA4A27">
              <w:rPr>
                <w:sz w:val="18"/>
              </w:rPr>
              <w:t xml:space="preserve">of the national government agencies </w:t>
            </w:r>
            <w:r w:rsidR="0046595A" w:rsidRPr="00FA4A27">
              <w:rPr>
                <w:sz w:val="18"/>
              </w:rPr>
              <w:t xml:space="preserve">and Full Disclosure Policy </w:t>
            </w:r>
            <w:r w:rsidR="0036495E" w:rsidRPr="00FA4A27">
              <w:rPr>
                <w:sz w:val="18"/>
              </w:rPr>
              <w:t xml:space="preserve">(FDP) </w:t>
            </w:r>
            <w:r w:rsidR="002E7BAE" w:rsidRPr="00FA4A27">
              <w:rPr>
                <w:sz w:val="18"/>
              </w:rPr>
              <w:t xml:space="preserve">for local governments, </w:t>
            </w:r>
            <w:r w:rsidR="00FA093F" w:rsidRPr="00FA4A27">
              <w:rPr>
                <w:sz w:val="18"/>
              </w:rPr>
              <w:t xml:space="preserve">which </w:t>
            </w:r>
            <w:r w:rsidR="0046595A" w:rsidRPr="00FA4A27">
              <w:rPr>
                <w:sz w:val="18"/>
              </w:rPr>
              <w:t xml:space="preserve">require </w:t>
            </w:r>
            <w:r w:rsidR="002E7BAE" w:rsidRPr="00FA4A27">
              <w:rPr>
                <w:sz w:val="18"/>
              </w:rPr>
              <w:t xml:space="preserve">posting of </w:t>
            </w:r>
            <w:r w:rsidR="0046595A" w:rsidRPr="00FA4A27">
              <w:rPr>
                <w:sz w:val="18"/>
              </w:rPr>
              <w:t>budgets and procurement activities</w:t>
            </w:r>
            <w:r w:rsidR="002E7BAE" w:rsidRPr="00FA4A27">
              <w:rPr>
                <w:sz w:val="18"/>
              </w:rPr>
              <w:t xml:space="preserve"> in government websites and information portals (e.g. Full Disclosure Policy Portal http://fdpp.blgs.gov.ph/)</w:t>
            </w:r>
            <w:r w:rsidR="0046595A" w:rsidRPr="00FA4A27">
              <w:rPr>
                <w:sz w:val="18"/>
              </w:rPr>
              <w:t>.</w:t>
            </w:r>
            <w:r w:rsidR="0024511C" w:rsidRPr="00FA4A27">
              <w:rPr>
                <w:sz w:val="18"/>
              </w:rPr>
              <w:t xml:space="preserve"> </w:t>
            </w:r>
            <w:r w:rsidR="0036495E" w:rsidRPr="00FA4A27">
              <w:rPr>
                <w:sz w:val="18"/>
              </w:rPr>
              <w:t xml:space="preserve">At least </w:t>
            </w:r>
            <w:r w:rsidR="007F24D1" w:rsidRPr="00FA4A27">
              <w:rPr>
                <w:sz w:val="18"/>
              </w:rPr>
              <w:t>8</w:t>
            </w:r>
            <w:r w:rsidRPr="00FA4A27">
              <w:rPr>
                <w:sz w:val="18"/>
              </w:rPr>
              <w:t>1</w:t>
            </w:r>
            <w:r w:rsidR="007F24D1" w:rsidRPr="00FA4A27">
              <w:rPr>
                <w:sz w:val="18"/>
              </w:rPr>
              <w:t xml:space="preserve">% </w:t>
            </w:r>
            <w:r w:rsidR="0036495E" w:rsidRPr="00FA4A27">
              <w:rPr>
                <w:sz w:val="18"/>
              </w:rPr>
              <w:t>of local government</w:t>
            </w:r>
            <w:r w:rsidR="00265E3C" w:rsidRPr="00FA4A27">
              <w:rPr>
                <w:sz w:val="18"/>
              </w:rPr>
              <w:t xml:space="preserve"> units</w:t>
            </w:r>
            <w:r w:rsidR="0036495E" w:rsidRPr="00FA4A27">
              <w:rPr>
                <w:sz w:val="18"/>
              </w:rPr>
              <w:t xml:space="preserve"> are compliant to the FDP</w:t>
            </w:r>
            <w:r w:rsidRPr="00FA4A27">
              <w:rPr>
                <w:sz w:val="18"/>
              </w:rPr>
              <w:t xml:space="preserve"> in 2012</w:t>
            </w:r>
            <w:r w:rsidR="0036495E" w:rsidRPr="00FA4A27">
              <w:rPr>
                <w:sz w:val="18"/>
              </w:rPr>
              <w:t>.</w:t>
            </w:r>
          </w:p>
          <w:p w:rsidR="0046595A" w:rsidRPr="005D3B0C" w:rsidRDefault="0046595A" w:rsidP="002E7BAE">
            <w:pPr>
              <w:pStyle w:val="TableTextEntries"/>
              <w:spacing w:beforeLines="40" w:before="96" w:afterLines="40" w:after="96" w:line="240" w:lineRule="auto"/>
              <w:rPr>
                <w:sz w:val="18"/>
              </w:rPr>
            </w:pPr>
            <w:r>
              <w:rPr>
                <w:sz w:val="18"/>
              </w:rPr>
              <w:t>The Commission on Audit is also more proactive in conducting audit and publishing their findings.  These audit findings have been used by the anti-graft court to file cases against public officials.</w:t>
            </w:r>
          </w:p>
        </w:tc>
      </w:tr>
      <w:tr w:rsidR="005B7463" w:rsidRPr="00180B19" w:rsidTr="008E55BE">
        <w:tc>
          <w:tcPr>
            <w:tcW w:w="3071" w:type="dxa"/>
          </w:tcPr>
          <w:p w:rsidR="005B7463" w:rsidRPr="005B7463" w:rsidRDefault="005B7463" w:rsidP="00C570AB">
            <w:pPr>
              <w:pStyle w:val="ListBullet"/>
              <w:numPr>
                <w:ilvl w:val="0"/>
                <w:numId w:val="0"/>
              </w:numPr>
              <w:tabs>
                <w:tab w:val="clear" w:pos="284"/>
              </w:tabs>
              <w:spacing w:beforeLines="40" w:before="96" w:afterLines="40" w:after="96" w:line="240" w:lineRule="auto"/>
              <w:rPr>
                <w:sz w:val="18"/>
              </w:rPr>
            </w:pPr>
            <w:r w:rsidRPr="005B7463">
              <w:rPr>
                <w:sz w:val="18"/>
              </w:rPr>
              <w:t>Strengthen mechanisms to further boost citizen’s access to information and booster the quality of their participation in local governance</w:t>
            </w:r>
          </w:p>
        </w:tc>
        <w:tc>
          <w:tcPr>
            <w:tcW w:w="5912" w:type="dxa"/>
          </w:tcPr>
          <w:p w:rsidR="005B7463" w:rsidRPr="005D3B0C" w:rsidRDefault="00F35440" w:rsidP="00F35440">
            <w:pPr>
              <w:pStyle w:val="TableTextEntries"/>
              <w:spacing w:beforeLines="40" w:before="96" w:afterLines="40" w:after="96" w:line="240" w:lineRule="auto"/>
              <w:rPr>
                <w:sz w:val="18"/>
              </w:rPr>
            </w:pPr>
            <w:r>
              <w:rPr>
                <w:sz w:val="18"/>
              </w:rPr>
              <w:t xml:space="preserve">The Bottom-up Budgeting process (recently renamed Grassroots Participatory Budgeting Process) and the National Community Driven Development Program both institutionalise community participation in identifying priority development projects of national agencies and local governments </w:t>
            </w:r>
            <w:r w:rsidR="00F461C7">
              <w:rPr>
                <w:sz w:val="18"/>
              </w:rPr>
              <w:t xml:space="preserve">in areas </w:t>
            </w:r>
            <w:r>
              <w:rPr>
                <w:sz w:val="18"/>
              </w:rPr>
              <w:t>with the highest concentration of poor people.</w:t>
            </w:r>
          </w:p>
        </w:tc>
      </w:tr>
      <w:tr w:rsidR="005B7463" w:rsidRPr="00180B19" w:rsidTr="008E55BE">
        <w:tc>
          <w:tcPr>
            <w:tcW w:w="3071" w:type="dxa"/>
          </w:tcPr>
          <w:p w:rsidR="005B7463" w:rsidRPr="005B7463" w:rsidRDefault="005B7463" w:rsidP="00C570AB">
            <w:pPr>
              <w:pStyle w:val="ListBullet"/>
              <w:numPr>
                <w:ilvl w:val="0"/>
                <w:numId w:val="0"/>
              </w:numPr>
              <w:tabs>
                <w:tab w:val="clear" w:pos="284"/>
              </w:tabs>
              <w:spacing w:beforeLines="40" w:before="96" w:afterLines="40" w:after="96" w:line="240" w:lineRule="auto"/>
              <w:rPr>
                <w:sz w:val="18"/>
              </w:rPr>
            </w:pPr>
            <w:r w:rsidRPr="005B7463">
              <w:rPr>
                <w:sz w:val="18"/>
              </w:rPr>
              <w:t>Work towards building safer and disaster-resilient communities</w:t>
            </w:r>
          </w:p>
        </w:tc>
        <w:tc>
          <w:tcPr>
            <w:tcW w:w="5912" w:type="dxa"/>
          </w:tcPr>
          <w:p w:rsidR="005B7463" w:rsidRPr="005D3B0C" w:rsidRDefault="00337044" w:rsidP="00337044">
            <w:pPr>
              <w:pStyle w:val="TableTextEntries"/>
              <w:spacing w:beforeLines="40" w:before="96" w:afterLines="40" w:after="96" w:line="240" w:lineRule="auto"/>
              <w:rPr>
                <w:sz w:val="18"/>
              </w:rPr>
            </w:pPr>
            <w:r>
              <w:rPr>
                <w:sz w:val="18"/>
              </w:rPr>
              <w:t>Preparatory activities towards achieving its long-term action plan for climate change and disaster risk reduction and management (DRRM) include:  the passage of the People’s Survival Fund in 2012 for local governments, completion of climate change projection at the provincial level, implementation of Nationwide Operational Assessment of Hazards (NOAH), and mainstreaming of climate change and DRRM in land use plans.</w:t>
            </w:r>
          </w:p>
        </w:tc>
      </w:tr>
      <w:tr w:rsidR="005B7463" w:rsidRPr="00180B19" w:rsidTr="008E55BE">
        <w:tc>
          <w:tcPr>
            <w:tcW w:w="3071" w:type="dxa"/>
          </w:tcPr>
          <w:p w:rsidR="005B7463" w:rsidRPr="005B7463" w:rsidRDefault="005B7463" w:rsidP="00C570AB">
            <w:pPr>
              <w:pStyle w:val="ListBullet"/>
              <w:numPr>
                <w:ilvl w:val="0"/>
                <w:numId w:val="0"/>
              </w:numPr>
              <w:tabs>
                <w:tab w:val="clear" w:pos="284"/>
              </w:tabs>
              <w:spacing w:beforeLines="40" w:before="96" w:afterLines="40" w:after="96" w:line="240" w:lineRule="auto"/>
              <w:rPr>
                <w:sz w:val="18"/>
              </w:rPr>
            </w:pPr>
            <w:r w:rsidRPr="005B7463">
              <w:rPr>
                <w:sz w:val="18"/>
              </w:rPr>
              <w:t>Exert all efforts to win peace and ensure national security through negotiated political settlements of all armed conflict and implementation of complementary development tracks to address the causes of conflict</w:t>
            </w:r>
          </w:p>
        </w:tc>
        <w:tc>
          <w:tcPr>
            <w:tcW w:w="5912" w:type="dxa"/>
          </w:tcPr>
          <w:p w:rsidR="005B7463" w:rsidRPr="005D3B0C" w:rsidRDefault="002E70CF" w:rsidP="00FA093F">
            <w:pPr>
              <w:pStyle w:val="TableTextEntries"/>
              <w:spacing w:beforeLines="40" w:before="96" w:afterLines="40" w:after="96" w:line="240" w:lineRule="auto"/>
              <w:rPr>
                <w:sz w:val="18"/>
              </w:rPr>
            </w:pPr>
            <w:r>
              <w:rPr>
                <w:sz w:val="18"/>
              </w:rPr>
              <w:t>Peace negotiations with the Moro Islamic Liberation Front culminated with the signing of the Comprehensive Agreement on the Bangsamoro in March 2014</w:t>
            </w:r>
            <w:r w:rsidR="008F5C07">
              <w:rPr>
                <w:sz w:val="18"/>
              </w:rPr>
              <w:t xml:space="preserve">. </w:t>
            </w:r>
            <w:r w:rsidR="0082675E">
              <w:rPr>
                <w:sz w:val="18"/>
              </w:rPr>
              <w:t>T</w:t>
            </w:r>
            <w:r>
              <w:rPr>
                <w:sz w:val="18"/>
              </w:rPr>
              <w:t xml:space="preserve">he Bangsamoro Basic Law </w:t>
            </w:r>
            <w:r w:rsidR="0082675E">
              <w:rPr>
                <w:sz w:val="18"/>
              </w:rPr>
              <w:t xml:space="preserve">is already being drafted </w:t>
            </w:r>
            <w:r>
              <w:rPr>
                <w:sz w:val="18"/>
              </w:rPr>
              <w:t>for submission to Congress</w:t>
            </w:r>
            <w:r w:rsidR="0082675E">
              <w:rPr>
                <w:sz w:val="18"/>
              </w:rPr>
              <w:t xml:space="preserve"> (certified as priority and urgent by President Aquino)</w:t>
            </w:r>
            <w:r>
              <w:rPr>
                <w:sz w:val="18"/>
              </w:rPr>
              <w:t xml:space="preserve">.  The </w:t>
            </w:r>
            <w:r w:rsidR="008F5C07">
              <w:rPr>
                <w:sz w:val="18"/>
              </w:rPr>
              <w:t>government</w:t>
            </w:r>
            <w:r w:rsidR="00FA093F">
              <w:rPr>
                <w:sz w:val="18"/>
              </w:rPr>
              <w:t>’s</w:t>
            </w:r>
            <w:r w:rsidR="008F5C07">
              <w:rPr>
                <w:sz w:val="18"/>
              </w:rPr>
              <w:t xml:space="preserve"> </w:t>
            </w:r>
            <w:r>
              <w:rPr>
                <w:sz w:val="18"/>
              </w:rPr>
              <w:t>PAMANA program (</w:t>
            </w:r>
            <w:r w:rsidR="0082675E">
              <w:rPr>
                <w:sz w:val="18"/>
              </w:rPr>
              <w:t xml:space="preserve">trans. </w:t>
            </w:r>
            <w:r w:rsidRPr="0082675E">
              <w:rPr>
                <w:i/>
                <w:sz w:val="18"/>
              </w:rPr>
              <w:t>Peaceful and Prosperous Communities</w:t>
            </w:r>
            <w:r>
              <w:rPr>
                <w:sz w:val="18"/>
              </w:rPr>
              <w:t xml:space="preserve">) </w:t>
            </w:r>
            <w:r w:rsidR="00FA093F">
              <w:rPr>
                <w:sz w:val="18"/>
              </w:rPr>
              <w:t xml:space="preserve">is being implemented </w:t>
            </w:r>
            <w:r w:rsidR="0082675E">
              <w:rPr>
                <w:sz w:val="18"/>
              </w:rPr>
              <w:t xml:space="preserve">in </w:t>
            </w:r>
            <w:r>
              <w:rPr>
                <w:sz w:val="18"/>
              </w:rPr>
              <w:t xml:space="preserve">seven conflict areas </w:t>
            </w:r>
            <w:r w:rsidR="008F5C07">
              <w:rPr>
                <w:sz w:val="18"/>
              </w:rPr>
              <w:t xml:space="preserve">to provide </w:t>
            </w:r>
            <w:r>
              <w:rPr>
                <w:sz w:val="18"/>
              </w:rPr>
              <w:t xml:space="preserve">livelihood and job opportunities, and </w:t>
            </w:r>
            <w:r w:rsidR="008F5C07">
              <w:rPr>
                <w:sz w:val="18"/>
              </w:rPr>
              <w:t xml:space="preserve">to increase community </w:t>
            </w:r>
            <w:r>
              <w:rPr>
                <w:sz w:val="18"/>
              </w:rPr>
              <w:t>participation in</w:t>
            </w:r>
            <w:r w:rsidR="00595B14">
              <w:rPr>
                <w:sz w:val="18"/>
              </w:rPr>
              <w:t xml:space="preserve"> local</w:t>
            </w:r>
            <w:r>
              <w:rPr>
                <w:sz w:val="18"/>
              </w:rPr>
              <w:t xml:space="preserve"> peace and development</w:t>
            </w:r>
            <w:r w:rsidR="008F5C07">
              <w:rPr>
                <w:sz w:val="18"/>
              </w:rPr>
              <w:t xml:space="preserve"> initiatives</w:t>
            </w:r>
            <w:r w:rsidR="0072479B">
              <w:rPr>
                <w:sz w:val="18"/>
              </w:rPr>
              <w:t>.</w:t>
            </w:r>
          </w:p>
        </w:tc>
      </w:tr>
    </w:tbl>
    <w:p w:rsidR="0036495E" w:rsidRPr="00AA2314" w:rsidRDefault="0036495E" w:rsidP="0036495E">
      <w:pPr>
        <w:pStyle w:val="Heading3"/>
        <w:spacing w:before="0" w:after="0"/>
        <w:rPr>
          <w:b w:val="0"/>
          <w:color w:val="007FAD"/>
          <w:sz w:val="20"/>
          <w:szCs w:val="20"/>
          <w:lang w:eastAsia="en-AU"/>
        </w:rPr>
      </w:pPr>
    </w:p>
    <w:p w:rsidR="000D733F" w:rsidRPr="00CD50CB" w:rsidRDefault="000D733F" w:rsidP="00C00586">
      <w:pPr>
        <w:pStyle w:val="Heading3"/>
        <w:rPr>
          <w:b w:val="0"/>
          <w:color w:val="007FAD"/>
          <w:sz w:val="28"/>
          <w:szCs w:val="28"/>
          <w:lang w:eastAsia="en-AU"/>
        </w:rPr>
      </w:pPr>
      <w:r w:rsidRPr="00CD50CB">
        <w:rPr>
          <w:b w:val="0"/>
          <w:color w:val="007FAD"/>
          <w:sz w:val="28"/>
          <w:szCs w:val="28"/>
          <w:lang w:eastAsia="en-AU"/>
        </w:rPr>
        <w:t xml:space="preserve">Program Quality and Management </w:t>
      </w:r>
      <w:r w:rsidRPr="00CD50CB">
        <w:rPr>
          <w:b w:val="0"/>
          <w:color w:val="007FAD"/>
          <w:sz w:val="28"/>
          <w:szCs w:val="28"/>
          <w:lang w:eastAsia="en-AU"/>
        </w:rPr>
        <w:tab/>
      </w:r>
      <w:r w:rsidRPr="00CD50CB">
        <w:rPr>
          <w:b w:val="0"/>
          <w:color w:val="007FAD"/>
          <w:sz w:val="28"/>
          <w:szCs w:val="28"/>
          <w:lang w:eastAsia="en-AU"/>
        </w:rPr>
        <w:tab/>
      </w:r>
    </w:p>
    <w:p w:rsidR="00B933DE" w:rsidRPr="0018251E" w:rsidRDefault="00B933DE" w:rsidP="00B933DE">
      <w:pPr>
        <w:spacing w:after="200" w:line="276" w:lineRule="auto"/>
        <w:rPr>
          <w:rFonts w:ascii="Franklin Gothic Book" w:eastAsia="Calibri" w:hAnsi="Franklin Gothic Book"/>
          <w:sz w:val="21"/>
          <w:szCs w:val="21"/>
          <w:lang w:eastAsia="en-US"/>
        </w:rPr>
      </w:pPr>
      <w:r>
        <w:rPr>
          <w:rFonts w:ascii="Franklin Gothic Book" w:eastAsia="Calibri" w:hAnsi="Franklin Gothic Book"/>
          <w:sz w:val="21"/>
          <w:szCs w:val="21"/>
          <w:lang w:eastAsia="en-US"/>
        </w:rPr>
        <w:t xml:space="preserve">The Philippine program continues to consolidate </w:t>
      </w:r>
      <w:r w:rsidR="00D75417">
        <w:rPr>
          <w:rFonts w:ascii="Franklin Gothic Book" w:eastAsia="Calibri" w:hAnsi="Franklin Gothic Book"/>
          <w:sz w:val="21"/>
          <w:szCs w:val="21"/>
          <w:lang w:eastAsia="en-US"/>
        </w:rPr>
        <w:t>initiatives and agreements</w:t>
      </w:r>
      <w:r w:rsidR="00BE6E6D">
        <w:rPr>
          <w:rFonts w:ascii="Franklin Gothic Book" w:eastAsia="Calibri" w:hAnsi="Franklin Gothic Book"/>
          <w:sz w:val="21"/>
          <w:szCs w:val="21"/>
          <w:lang w:eastAsia="en-US"/>
        </w:rPr>
        <w:t xml:space="preserve"> for improved efficiency</w:t>
      </w:r>
      <w:r>
        <w:rPr>
          <w:rFonts w:ascii="Franklin Gothic Book" w:eastAsia="Calibri" w:hAnsi="Franklin Gothic Book"/>
          <w:sz w:val="21"/>
          <w:szCs w:val="21"/>
          <w:lang w:eastAsia="en-US"/>
        </w:rPr>
        <w:t xml:space="preserve">.  </w:t>
      </w:r>
      <w:r w:rsidR="00BE6E6D">
        <w:rPr>
          <w:rFonts w:ascii="Franklin Gothic Book" w:eastAsia="Calibri" w:hAnsi="Franklin Gothic Book"/>
          <w:sz w:val="21"/>
          <w:szCs w:val="21"/>
          <w:lang w:eastAsia="en-US"/>
        </w:rPr>
        <w:t>I</w:t>
      </w:r>
      <w:r>
        <w:rPr>
          <w:rFonts w:ascii="Franklin Gothic Book" w:eastAsia="Calibri" w:hAnsi="Franklin Gothic Book"/>
          <w:sz w:val="21"/>
          <w:szCs w:val="21"/>
          <w:lang w:eastAsia="en-US"/>
        </w:rPr>
        <w:t xml:space="preserve">nitiatives </w:t>
      </w:r>
      <w:r w:rsidR="00BE6E6D">
        <w:rPr>
          <w:rFonts w:ascii="Franklin Gothic Book" w:eastAsia="Calibri" w:hAnsi="Franklin Gothic Book"/>
          <w:sz w:val="21"/>
          <w:szCs w:val="21"/>
          <w:lang w:eastAsia="en-US"/>
        </w:rPr>
        <w:t xml:space="preserve">were </w:t>
      </w:r>
      <w:r w:rsidR="000E515F">
        <w:rPr>
          <w:rFonts w:ascii="Franklin Gothic Book" w:eastAsia="Calibri" w:hAnsi="Franklin Gothic Book"/>
          <w:sz w:val="21"/>
          <w:szCs w:val="21"/>
          <w:lang w:eastAsia="en-US"/>
        </w:rPr>
        <w:t xml:space="preserve">reduced to </w:t>
      </w:r>
      <w:r>
        <w:rPr>
          <w:rFonts w:ascii="Franklin Gothic Book" w:eastAsia="Calibri" w:hAnsi="Franklin Gothic Book"/>
          <w:sz w:val="21"/>
          <w:szCs w:val="21"/>
          <w:lang w:eastAsia="en-US"/>
        </w:rPr>
        <w:t xml:space="preserve">25 </w:t>
      </w:r>
      <w:r w:rsidR="00E15006">
        <w:rPr>
          <w:rFonts w:ascii="Franklin Gothic Book" w:eastAsia="Calibri" w:hAnsi="Franklin Gothic Book"/>
          <w:sz w:val="21"/>
          <w:szCs w:val="21"/>
          <w:lang w:eastAsia="en-US"/>
        </w:rPr>
        <w:t xml:space="preserve">from </w:t>
      </w:r>
      <w:r>
        <w:rPr>
          <w:rFonts w:ascii="Franklin Gothic Book" w:eastAsia="Calibri" w:hAnsi="Franklin Gothic Book"/>
          <w:sz w:val="21"/>
          <w:szCs w:val="21"/>
          <w:lang w:eastAsia="en-US"/>
        </w:rPr>
        <w:t>46 in 2010, a reduction of 45</w:t>
      </w:r>
      <w:r w:rsidR="00514B03">
        <w:rPr>
          <w:rFonts w:ascii="Franklin Gothic Book" w:eastAsia="Calibri" w:hAnsi="Franklin Gothic Book"/>
          <w:sz w:val="21"/>
          <w:szCs w:val="21"/>
          <w:lang w:eastAsia="en-US"/>
        </w:rPr>
        <w:t xml:space="preserve"> per</w:t>
      </w:r>
      <w:r w:rsidR="00BE6E6D">
        <w:rPr>
          <w:rFonts w:ascii="Franklin Gothic Book" w:eastAsia="Calibri" w:hAnsi="Franklin Gothic Book"/>
          <w:sz w:val="21"/>
          <w:szCs w:val="21"/>
          <w:lang w:eastAsia="en-US"/>
        </w:rPr>
        <w:t xml:space="preserve"> </w:t>
      </w:r>
      <w:r w:rsidR="00514B03">
        <w:rPr>
          <w:rFonts w:ascii="Franklin Gothic Book" w:eastAsia="Calibri" w:hAnsi="Franklin Gothic Book"/>
          <w:sz w:val="21"/>
          <w:szCs w:val="21"/>
          <w:lang w:eastAsia="en-US"/>
        </w:rPr>
        <w:t>cent</w:t>
      </w:r>
      <w:r w:rsidR="00BE6E6D">
        <w:rPr>
          <w:rFonts w:ascii="Franklin Gothic Book" w:eastAsia="Calibri" w:hAnsi="Franklin Gothic Book"/>
          <w:sz w:val="21"/>
          <w:szCs w:val="21"/>
          <w:lang w:eastAsia="en-US"/>
        </w:rPr>
        <w:t>,</w:t>
      </w:r>
      <w:r w:rsidR="00514B03">
        <w:rPr>
          <w:rFonts w:ascii="Franklin Gothic Book" w:eastAsia="Calibri" w:hAnsi="Franklin Gothic Book"/>
          <w:sz w:val="21"/>
          <w:szCs w:val="21"/>
          <w:lang w:eastAsia="en-US"/>
        </w:rPr>
        <w:t xml:space="preserve"> </w:t>
      </w:r>
      <w:r w:rsidR="00BE6E6D">
        <w:rPr>
          <w:rFonts w:ascii="Franklin Gothic Book" w:eastAsia="Calibri" w:hAnsi="Franklin Gothic Book"/>
          <w:sz w:val="21"/>
          <w:szCs w:val="21"/>
          <w:lang w:eastAsia="en-US"/>
        </w:rPr>
        <w:t>which exceeded</w:t>
      </w:r>
      <w:r>
        <w:rPr>
          <w:rFonts w:ascii="Franklin Gothic Book" w:eastAsia="Calibri" w:hAnsi="Franklin Gothic Book"/>
          <w:sz w:val="21"/>
          <w:szCs w:val="21"/>
          <w:lang w:eastAsia="en-US"/>
        </w:rPr>
        <w:t xml:space="preserve"> the agency consolidation target.  </w:t>
      </w:r>
      <w:r w:rsidR="00531BC4">
        <w:rPr>
          <w:rFonts w:ascii="Franklin Gothic Book" w:eastAsia="Calibri" w:hAnsi="Franklin Gothic Book"/>
          <w:sz w:val="21"/>
          <w:szCs w:val="21"/>
          <w:lang w:eastAsia="en-US"/>
        </w:rPr>
        <w:t xml:space="preserve">The Human Rights Initiative and the Supporting Peace in Mindanao (SPIM), </w:t>
      </w:r>
      <w:r>
        <w:rPr>
          <w:rFonts w:ascii="Franklin Gothic Book" w:eastAsia="Calibri" w:hAnsi="Franklin Gothic Book"/>
          <w:sz w:val="21"/>
          <w:szCs w:val="21"/>
          <w:lang w:eastAsia="en-US"/>
        </w:rPr>
        <w:t xml:space="preserve">both small grant facilities </w:t>
      </w:r>
      <w:r w:rsidR="00531BC4">
        <w:rPr>
          <w:rFonts w:ascii="Franklin Gothic Book" w:eastAsia="Calibri" w:hAnsi="Franklin Gothic Book"/>
          <w:sz w:val="21"/>
          <w:szCs w:val="21"/>
          <w:lang w:eastAsia="en-US"/>
        </w:rPr>
        <w:t xml:space="preserve">involved the administration of numerous low-value contracts, requiring significant management overheads, ended in June 2014. </w:t>
      </w:r>
      <w:r w:rsidR="00D75417">
        <w:rPr>
          <w:rFonts w:ascii="Franklin Gothic Book" w:eastAsia="Calibri" w:hAnsi="Franklin Gothic Book"/>
          <w:sz w:val="21"/>
          <w:szCs w:val="21"/>
          <w:lang w:eastAsia="en-US"/>
        </w:rPr>
        <w:t xml:space="preserve">The Program </w:t>
      </w:r>
      <w:r w:rsidR="0082675E" w:rsidRPr="0082675E">
        <w:rPr>
          <w:rFonts w:ascii="Franklin Gothic Book" w:eastAsia="Calibri" w:hAnsi="Franklin Gothic Book"/>
          <w:sz w:val="21"/>
          <w:szCs w:val="21"/>
          <w:lang w:eastAsia="en-US"/>
        </w:rPr>
        <w:t xml:space="preserve">also reduced the </w:t>
      </w:r>
      <w:r w:rsidRPr="0082675E">
        <w:rPr>
          <w:rFonts w:ascii="Franklin Gothic Book" w:eastAsia="Calibri" w:hAnsi="Franklin Gothic Book"/>
          <w:sz w:val="21"/>
          <w:szCs w:val="21"/>
          <w:lang w:eastAsia="en-US"/>
        </w:rPr>
        <w:t>number of agreements</w:t>
      </w:r>
      <w:r w:rsidR="0082675E" w:rsidRPr="0082675E">
        <w:rPr>
          <w:rFonts w:ascii="Franklin Gothic Book" w:eastAsia="Calibri" w:hAnsi="Franklin Gothic Book"/>
          <w:sz w:val="21"/>
          <w:szCs w:val="21"/>
          <w:lang w:eastAsia="en-US"/>
        </w:rPr>
        <w:t xml:space="preserve"> </w:t>
      </w:r>
      <w:r w:rsidR="00C17351">
        <w:rPr>
          <w:rFonts w:ascii="Franklin Gothic Book" w:eastAsia="Calibri" w:hAnsi="Franklin Gothic Book"/>
          <w:sz w:val="21"/>
          <w:szCs w:val="21"/>
          <w:lang w:eastAsia="en-US"/>
        </w:rPr>
        <w:t>to 107 from 230 in 2012</w:t>
      </w:r>
      <w:r w:rsidRPr="0082675E">
        <w:rPr>
          <w:rFonts w:ascii="Franklin Gothic Book" w:eastAsia="Calibri" w:hAnsi="Franklin Gothic Book"/>
          <w:sz w:val="21"/>
          <w:szCs w:val="21"/>
          <w:lang w:eastAsia="en-US"/>
        </w:rPr>
        <w:t xml:space="preserve">, </w:t>
      </w:r>
      <w:r w:rsidR="0082675E" w:rsidRPr="0082675E">
        <w:rPr>
          <w:rFonts w:ascii="Franklin Gothic Book" w:eastAsia="Calibri" w:hAnsi="Franklin Gothic Book"/>
          <w:sz w:val="21"/>
          <w:szCs w:val="21"/>
          <w:lang w:eastAsia="en-US"/>
        </w:rPr>
        <w:t xml:space="preserve">but 22 </w:t>
      </w:r>
      <w:r w:rsidR="00FE295D">
        <w:rPr>
          <w:rFonts w:ascii="Franklin Gothic Book" w:eastAsia="Calibri" w:hAnsi="Franklin Gothic Book"/>
          <w:sz w:val="21"/>
          <w:szCs w:val="21"/>
          <w:lang w:eastAsia="en-US"/>
        </w:rPr>
        <w:t xml:space="preserve">new </w:t>
      </w:r>
      <w:r w:rsidR="0082675E" w:rsidRPr="0082675E">
        <w:rPr>
          <w:rFonts w:ascii="Franklin Gothic Book" w:eastAsia="Calibri" w:hAnsi="Franklin Gothic Book"/>
          <w:sz w:val="21"/>
          <w:szCs w:val="21"/>
          <w:lang w:eastAsia="en-US"/>
        </w:rPr>
        <w:t xml:space="preserve">agreements </w:t>
      </w:r>
      <w:r w:rsidR="00FE295D">
        <w:rPr>
          <w:rFonts w:ascii="Franklin Gothic Book" w:eastAsia="Calibri" w:hAnsi="Franklin Gothic Book"/>
          <w:sz w:val="21"/>
          <w:szCs w:val="21"/>
          <w:lang w:eastAsia="en-US"/>
        </w:rPr>
        <w:t>are</w:t>
      </w:r>
      <w:r w:rsidR="00C14609">
        <w:rPr>
          <w:rFonts w:ascii="Franklin Gothic Book" w:eastAsia="Calibri" w:hAnsi="Franklin Gothic Book"/>
          <w:sz w:val="21"/>
          <w:szCs w:val="21"/>
          <w:lang w:eastAsia="en-US"/>
        </w:rPr>
        <w:t xml:space="preserve"> </w:t>
      </w:r>
      <w:r w:rsidRPr="0082675E">
        <w:rPr>
          <w:rFonts w:ascii="Franklin Gothic Book" w:eastAsia="Calibri" w:hAnsi="Franklin Gothic Book"/>
          <w:sz w:val="21"/>
          <w:szCs w:val="21"/>
          <w:lang w:eastAsia="en-US"/>
        </w:rPr>
        <w:t>a consequence of the scaled-up humanitarian response</w:t>
      </w:r>
      <w:r w:rsidR="00DB46D0">
        <w:rPr>
          <w:rFonts w:ascii="Franklin Gothic Book" w:eastAsia="Calibri" w:hAnsi="Franklin Gothic Book"/>
          <w:sz w:val="21"/>
          <w:szCs w:val="21"/>
          <w:lang w:eastAsia="en-US"/>
        </w:rPr>
        <w:t xml:space="preserve"> to Super-</w:t>
      </w:r>
      <w:r w:rsidR="00FE295D">
        <w:rPr>
          <w:rFonts w:ascii="Franklin Gothic Book" w:eastAsia="Calibri" w:hAnsi="Franklin Gothic Book"/>
          <w:sz w:val="21"/>
          <w:szCs w:val="21"/>
          <w:lang w:eastAsia="en-US"/>
        </w:rPr>
        <w:t>T</w:t>
      </w:r>
      <w:r w:rsidR="0082675E" w:rsidRPr="0082675E">
        <w:rPr>
          <w:rFonts w:ascii="Franklin Gothic Book" w:eastAsia="Calibri" w:hAnsi="Franklin Gothic Book"/>
          <w:sz w:val="21"/>
          <w:szCs w:val="21"/>
          <w:lang w:eastAsia="en-US"/>
        </w:rPr>
        <w:t>yphoon Haiyan</w:t>
      </w:r>
      <w:r w:rsidRPr="0082675E">
        <w:rPr>
          <w:rFonts w:ascii="Franklin Gothic Book" w:eastAsia="Calibri" w:hAnsi="Franklin Gothic Book"/>
          <w:sz w:val="21"/>
          <w:szCs w:val="21"/>
          <w:lang w:eastAsia="en-US"/>
        </w:rPr>
        <w:t>.</w:t>
      </w:r>
      <w:r>
        <w:rPr>
          <w:rFonts w:ascii="Franklin Gothic Book" w:eastAsia="Calibri" w:hAnsi="Franklin Gothic Book"/>
          <w:sz w:val="21"/>
          <w:szCs w:val="21"/>
          <w:lang w:eastAsia="en-US"/>
        </w:rPr>
        <w:t xml:space="preserve">   </w:t>
      </w:r>
    </w:p>
    <w:p w:rsidR="003003CC" w:rsidRDefault="00531BC4" w:rsidP="0018251E">
      <w:pPr>
        <w:spacing w:after="200" w:line="276" w:lineRule="auto"/>
        <w:rPr>
          <w:rFonts w:ascii="Franklin Gothic Book" w:eastAsia="Calibri" w:hAnsi="Franklin Gothic Book"/>
          <w:sz w:val="21"/>
          <w:szCs w:val="21"/>
          <w:lang w:eastAsia="en-US"/>
        </w:rPr>
      </w:pPr>
      <w:r>
        <w:rPr>
          <w:rFonts w:ascii="Franklin Gothic Book" w:eastAsia="Calibri" w:hAnsi="Franklin Gothic Book"/>
          <w:sz w:val="21"/>
          <w:szCs w:val="21"/>
          <w:lang w:eastAsia="en-US"/>
        </w:rPr>
        <w:t>T</w:t>
      </w:r>
      <w:r w:rsidR="000D20D9" w:rsidRPr="0018251E">
        <w:rPr>
          <w:rFonts w:ascii="Franklin Gothic Book" w:eastAsia="Calibri" w:hAnsi="Franklin Gothic Book"/>
          <w:sz w:val="21"/>
          <w:szCs w:val="21"/>
          <w:lang w:eastAsia="en-US"/>
        </w:rPr>
        <w:t xml:space="preserve">he Performance Assessment Framework </w:t>
      </w:r>
      <w:r>
        <w:rPr>
          <w:rFonts w:ascii="Franklin Gothic Book" w:eastAsia="Calibri" w:hAnsi="Franklin Gothic Book"/>
          <w:sz w:val="21"/>
          <w:szCs w:val="21"/>
          <w:lang w:eastAsia="en-US"/>
        </w:rPr>
        <w:t xml:space="preserve">(PAF) </w:t>
      </w:r>
      <w:r w:rsidR="000D20D9" w:rsidRPr="0018251E">
        <w:rPr>
          <w:rFonts w:ascii="Franklin Gothic Book" w:eastAsia="Calibri" w:hAnsi="Franklin Gothic Book"/>
          <w:sz w:val="21"/>
          <w:szCs w:val="21"/>
          <w:lang w:eastAsia="en-US"/>
        </w:rPr>
        <w:t xml:space="preserve">was finalised and approved in </w:t>
      </w:r>
      <w:r w:rsidR="00D75417">
        <w:rPr>
          <w:rFonts w:ascii="Franklin Gothic Book" w:eastAsia="Calibri" w:hAnsi="Franklin Gothic Book"/>
          <w:sz w:val="21"/>
          <w:szCs w:val="21"/>
          <w:lang w:eastAsia="en-US"/>
        </w:rPr>
        <w:t xml:space="preserve">early </w:t>
      </w:r>
      <w:r w:rsidR="000D20D9" w:rsidRPr="0018251E">
        <w:rPr>
          <w:rFonts w:ascii="Franklin Gothic Book" w:eastAsia="Calibri" w:hAnsi="Franklin Gothic Book"/>
          <w:sz w:val="21"/>
          <w:szCs w:val="21"/>
          <w:lang w:eastAsia="en-US"/>
        </w:rPr>
        <w:t xml:space="preserve">2014.  </w:t>
      </w:r>
      <w:r w:rsidR="00D75417">
        <w:rPr>
          <w:rFonts w:ascii="Franklin Gothic Book" w:eastAsia="Calibri" w:hAnsi="Franklin Gothic Book"/>
          <w:sz w:val="21"/>
          <w:szCs w:val="21"/>
          <w:lang w:eastAsia="en-US"/>
        </w:rPr>
        <w:t>T</w:t>
      </w:r>
      <w:r w:rsidR="000D20D9" w:rsidRPr="0018251E">
        <w:rPr>
          <w:rFonts w:ascii="Franklin Gothic Book" w:eastAsia="Calibri" w:hAnsi="Franklin Gothic Book"/>
          <w:sz w:val="21"/>
          <w:szCs w:val="21"/>
          <w:lang w:eastAsia="en-US"/>
        </w:rPr>
        <w:t xml:space="preserve">his enabled Post to fully consider the new priorities of the Australian Government </w:t>
      </w:r>
      <w:r w:rsidR="0072479B">
        <w:rPr>
          <w:rFonts w:ascii="Franklin Gothic Book" w:eastAsia="Calibri" w:hAnsi="Franklin Gothic Book"/>
          <w:sz w:val="21"/>
          <w:szCs w:val="21"/>
          <w:lang w:eastAsia="en-US"/>
        </w:rPr>
        <w:t xml:space="preserve">and </w:t>
      </w:r>
      <w:r w:rsidR="000D20D9" w:rsidRPr="0018251E">
        <w:rPr>
          <w:rFonts w:ascii="Franklin Gothic Book" w:eastAsia="Calibri" w:hAnsi="Franklin Gothic Book"/>
          <w:sz w:val="21"/>
          <w:szCs w:val="21"/>
          <w:lang w:eastAsia="en-US"/>
        </w:rPr>
        <w:t>the revised framework of the aid program approved by the Foreign Minister in February 2014.</w:t>
      </w:r>
      <w:r w:rsidR="003003CC">
        <w:rPr>
          <w:rFonts w:ascii="Franklin Gothic Book" w:eastAsia="Calibri" w:hAnsi="Franklin Gothic Book"/>
          <w:sz w:val="21"/>
          <w:szCs w:val="21"/>
          <w:lang w:eastAsia="en-US"/>
        </w:rPr>
        <w:t xml:space="preserve">  This greatly aided in initiative reporting and </w:t>
      </w:r>
      <w:r>
        <w:rPr>
          <w:rFonts w:ascii="Franklin Gothic Book" w:eastAsia="Calibri" w:hAnsi="Franklin Gothic Book"/>
          <w:sz w:val="21"/>
          <w:szCs w:val="21"/>
          <w:lang w:eastAsia="en-US"/>
        </w:rPr>
        <w:t xml:space="preserve">in generating </w:t>
      </w:r>
      <w:r w:rsidR="00B82A1B">
        <w:rPr>
          <w:rFonts w:ascii="Franklin Gothic Book" w:eastAsia="Calibri" w:hAnsi="Franklin Gothic Book"/>
          <w:sz w:val="21"/>
          <w:szCs w:val="21"/>
          <w:lang w:eastAsia="en-US"/>
        </w:rPr>
        <w:t xml:space="preserve">the </w:t>
      </w:r>
      <w:r w:rsidR="003003CC">
        <w:rPr>
          <w:rFonts w:ascii="Franklin Gothic Book" w:eastAsia="Calibri" w:hAnsi="Franklin Gothic Book"/>
          <w:sz w:val="21"/>
          <w:szCs w:val="21"/>
          <w:lang w:eastAsia="en-US"/>
        </w:rPr>
        <w:t xml:space="preserve">aggregate development results.  </w:t>
      </w:r>
    </w:p>
    <w:p w:rsidR="004471EC" w:rsidRDefault="00275DB6" w:rsidP="0018251E">
      <w:pPr>
        <w:spacing w:after="200" w:line="276" w:lineRule="auto"/>
        <w:rPr>
          <w:rFonts w:ascii="Franklin Gothic Book" w:eastAsia="Calibri" w:hAnsi="Franklin Gothic Book"/>
          <w:sz w:val="21"/>
          <w:szCs w:val="21"/>
          <w:lang w:eastAsia="en-US"/>
        </w:rPr>
      </w:pPr>
      <w:r>
        <w:rPr>
          <w:rFonts w:ascii="Franklin Gothic Book" w:eastAsia="Calibri" w:hAnsi="Franklin Gothic Book"/>
          <w:sz w:val="21"/>
          <w:szCs w:val="21"/>
          <w:lang w:eastAsia="en-US"/>
        </w:rPr>
        <w:t xml:space="preserve">Independent reviews were conducted for </w:t>
      </w:r>
      <w:r w:rsidR="003C3493">
        <w:rPr>
          <w:rFonts w:ascii="Franklin Gothic Book" w:eastAsia="Calibri" w:hAnsi="Franklin Gothic Book"/>
          <w:sz w:val="21"/>
          <w:szCs w:val="21"/>
          <w:lang w:eastAsia="en-US"/>
        </w:rPr>
        <w:t xml:space="preserve">six </w:t>
      </w:r>
      <w:r w:rsidR="00BE6E6D">
        <w:rPr>
          <w:rFonts w:ascii="Franklin Gothic Book" w:eastAsia="Calibri" w:hAnsi="Franklin Gothic Book"/>
          <w:sz w:val="21"/>
          <w:szCs w:val="21"/>
          <w:lang w:eastAsia="en-US"/>
        </w:rPr>
        <w:t>initiatives</w:t>
      </w:r>
      <w:r>
        <w:rPr>
          <w:rFonts w:ascii="Franklin Gothic Book" w:eastAsia="Calibri" w:hAnsi="Franklin Gothic Book"/>
          <w:sz w:val="21"/>
          <w:szCs w:val="21"/>
          <w:lang w:eastAsia="en-US"/>
        </w:rPr>
        <w:t>–</w:t>
      </w:r>
      <w:r w:rsidR="003C3493">
        <w:rPr>
          <w:rFonts w:ascii="Franklin Gothic Book" w:eastAsia="Calibri" w:hAnsi="Franklin Gothic Book"/>
          <w:sz w:val="21"/>
          <w:szCs w:val="21"/>
          <w:lang w:eastAsia="en-US"/>
        </w:rPr>
        <w:t xml:space="preserve">three </w:t>
      </w:r>
      <w:r>
        <w:rPr>
          <w:rFonts w:ascii="Franklin Gothic Book" w:eastAsia="Calibri" w:hAnsi="Franklin Gothic Book"/>
          <w:sz w:val="21"/>
          <w:szCs w:val="21"/>
          <w:lang w:eastAsia="en-US"/>
        </w:rPr>
        <w:t>of which ar</w:t>
      </w:r>
      <w:r w:rsidR="00531BC4">
        <w:rPr>
          <w:rFonts w:ascii="Franklin Gothic Book" w:eastAsia="Calibri" w:hAnsi="Franklin Gothic Book"/>
          <w:sz w:val="21"/>
          <w:szCs w:val="21"/>
          <w:lang w:eastAsia="en-US"/>
        </w:rPr>
        <w:t>e mid-term progress reviews (CfC</w:t>
      </w:r>
      <w:r w:rsidR="003C3493">
        <w:rPr>
          <w:rFonts w:ascii="Franklin Gothic Book" w:eastAsia="Calibri" w:hAnsi="Franklin Gothic Book"/>
          <w:sz w:val="21"/>
          <w:szCs w:val="21"/>
          <w:lang w:eastAsia="en-US"/>
        </w:rPr>
        <w:t>,</w:t>
      </w:r>
      <w:r>
        <w:rPr>
          <w:rFonts w:ascii="Franklin Gothic Book" w:eastAsia="Calibri" w:hAnsi="Franklin Gothic Book"/>
          <w:sz w:val="21"/>
          <w:szCs w:val="21"/>
          <w:lang w:eastAsia="en-US"/>
        </w:rPr>
        <w:t xml:space="preserve"> </w:t>
      </w:r>
      <w:r w:rsidR="00531BC4">
        <w:rPr>
          <w:rFonts w:ascii="Franklin Gothic Book" w:eastAsia="Calibri" w:hAnsi="Franklin Gothic Book"/>
          <w:sz w:val="21"/>
          <w:szCs w:val="21"/>
          <w:lang w:eastAsia="en-US"/>
        </w:rPr>
        <w:t>PFMP</w:t>
      </w:r>
      <w:r w:rsidR="003C3493">
        <w:rPr>
          <w:rFonts w:ascii="Franklin Gothic Book" w:eastAsia="Calibri" w:hAnsi="Franklin Gothic Book"/>
          <w:sz w:val="21"/>
          <w:szCs w:val="21"/>
          <w:lang w:eastAsia="en-US"/>
        </w:rPr>
        <w:t>, Social Protection Initiative</w:t>
      </w:r>
      <w:r>
        <w:rPr>
          <w:rFonts w:ascii="Franklin Gothic Book" w:eastAsia="Calibri" w:hAnsi="Franklin Gothic Book"/>
          <w:sz w:val="21"/>
          <w:szCs w:val="21"/>
          <w:lang w:eastAsia="en-US"/>
        </w:rPr>
        <w:t xml:space="preserve">), and </w:t>
      </w:r>
      <w:r w:rsidR="003C3493">
        <w:rPr>
          <w:rFonts w:ascii="Franklin Gothic Book" w:eastAsia="Calibri" w:hAnsi="Franklin Gothic Book"/>
          <w:sz w:val="21"/>
          <w:szCs w:val="21"/>
          <w:lang w:eastAsia="en-US"/>
        </w:rPr>
        <w:t xml:space="preserve">three </w:t>
      </w:r>
      <w:r>
        <w:rPr>
          <w:rFonts w:ascii="Franklin Gothic Book" w:eastAsia="Calibri" w:hAnsi="Franklin Gothic Book"/>
          <w:sz w:val="21"/>
          <w:szCs w:val="21"/>
          <w:lang w:eastAsia="en-US"/>
        </w:rPr>
        <w:t>are completion reviews (</w:t>
      </w:r>
      <w:r w:rsidRPr="0062318A">
        <w:rPr>
          <w:rFonts w:ascii="Franklin Gothic Book" w:eastAsia="Calibri" w:hAnsi="Franklin Gothic Book"/>
          <w:sz w:val="21"/>
          <w:szCs w:val="21"/>
          <w:lang w:eastAsia="en-US"/>
        </w:rPr>
        <w:t>SPHERE</w:t>
      </w:r>
      <w:r w:rsidR="003C3493" w:rsidRPr="00D75417">
        <w:rPr>
          <w:rFonts w:ascii="Franklin Gothic Book" w:eastAsia="Calibri" w:hAnsi="Franklin Gothic Book"/>
          <w:sz w:val="21"/>
          <w:szCs w:val="21"/>
          <w:lang w:eastAsia="en-US"/>
        </w:rPr>
        <w:t xml:space="preserve">, </w:t>
      </w:r>
      <w:r w:rsidR="003C3493" w:rsidRPr="0062318A">
        <w:rPr>
          <w:rFonts w:ascii="Franklin Gothic Book" w:eastAsia="Calibri" w:hAnsi="Franklin Gothic Book"/>
          <w:sz w:val="21"/>
          <w:szCs w:val="21"/>
          <w:lang w:eastAsia="en-US"/>
        </w:rPr>
        <w:t>PRIME</w:t>
      </w:r>
      <w:r w:rsidR="003C3493">
        <w:rPr>
          <w:rFonts w:ascii="Franklin Gothic Book" w:eastAsia="Calibri" w:hAnsi="Franklin Gothic Book"/>
          <w:sz w:val="21"/>
          <w:szCs w:val="21"/>
          <w:lang w:eastAsia="en-US"/>
        </w:rPr>
        <w:t>,</w:t>
      </w:r>
      <w:r>
        <w:rPr>
          <w:rFonts w:ascii="Franklin Gothic Book" w:eastAsia="Calibri" w:hAnsi="Franklin Gothic Book"/>
          <w:sz w:val="21"/>
          <w:szCs w:val="21"/>
          <w:lang w:eastAsia="en-US"/>
        </w:rPr>
        <w:t xml:space="preserve"> and </w:t>
      </w:r>
      <w:r w:rsidR="003C3493">
        <w:rPr>
          <w:rFonts w:ascii="Franklin Gothic Book" w:eastAsia="Calibri" w:hAnsi="Franklin Gothic Book"/>
          <w:sz w:val="21"/>
          <w:szCs w:val="21"/>
          <w:lang w:eastAsia="en-US"/>
        </w:rPr>
        <w:t>Classroom Construction Initiative</w:t>
      </w:r>
      <w:r>
        <w:rPr>
          <w:rFonts w:ascii="Franklin Gothic Book" w:eastAsia="Calibri" w:hAnsi="Franklin Gothic Book"/>
          <w:sz w:val="21"/>
          <w:szCs w:val="21"/>
          <w:lang w:eastAsia="en-US"/>
        </w:rPr>
        <w:t>).  Across these initiatives, the indep</w:t>
      </w:r>
      <w:r w:rsidR="00DB46D0">
        <w:rPr>
          <w:rFonts w:ascii="Franklin Gothic Book" w:eastAsia="Calibri" w:hAnsi="Franklin Gothic Book"/>
          <w:sz w:val="21"/>
          <w:szCs w:val="21"/>
          <w:lang w:eastAsia="en-US"/>
        </w:rPr>
        <w:t xml:space="preserve">endent reviewers </w:t>
      </w:r>
      <w:r>
        <w:rPr>
          <w:rFonts w:ascii="Franklin Gothic Book" w:eastAsia="Calibri" w:hAnsi="Franklin Gothic Book"/>
          <w:sz w:val="21"/>
          <w:szCs w:val="21"/>
          <w:lang w:eastAsia="en-US"/>
        </w:rPr>
        <w:t>found</w:t>
      </w:r>
      <w:r w:rsidR="00DB46D0">
        <w:rPr>
          <w:rFonts w:ascii="Franklin Gothic Book" w:eastAsia="Calibri" w:hAnsi="Franklin Gothic Book"/>
          <w:sz w:val="21"/>
          <w:szCs w:val="21"/>
          <w:lang w:eastAsia="en-US"/>
        </w:rPr>
        <w:t xml:space="preserve"> </w:t>
      </w:r>
      <w:r w:rsidR="001C3EEB">
        <w:rPr>
          <w:rFonts w:ascii="Franklin Gothic Book" w:eastAsia="Calibri" w:hAnsi="Franklin Gothic Book"/>
          <w:sz w:val="21"/>
          <w:szCs w:val="21"/>
          <w:lang w:eastAsia="en-US"/>
        </w:rPr>
        <w:t xml:space="preserve">DFATs </w:t>
      </w:r>
      <w:r w:rsidR="00531BC4">
        <w:rPr>
          <w:rFonts w:ascii="Franklin Gothic Book" w:eastAsia="Calibri" w:hAnsi="Franklin Gothic Book"/>
          <w:sz w:val="21"/>
          <w:szCs w:val="21"/>
          <w:lang w:eastAsia="en-US"/>
        </w:rPr>
        <w:t xml:space="preserve">aid investments </w:t>
      </w:r>
      <w:r>
        <w:rPr>
          <w:rFonts w:ascii="Franklin Gothic Book" w:eastAsia="Calibri" w:hAnsi="Franklin Gothic Book"/>
          <w:sz w:val="21"/>
          <w:szCs w:val="21"/>
          <w:lang w:eastAsia="en-US"/>
        </w:rPr>
        <w:t>to have ach</w:t>
      </w:r>
      <w:r w:rsidR="00531BC4">
        <w:rPr>
          <w:rFonts w:ascii="Franklin Gothic Book" w:eastAsia="Calibri" w:hAnsi="Franklin Gothic Book"/>
          <w:sz w:val="21"/>
          <w:szCs w:val="21"/>
          <w:lang w:eastAsia="en-US"/>
        </w:rPr>
        <w:t>ieved outcomes and contributed</w:t>
      </w:r>
      <w:r>
        <w:rPr>
          <w:rFonts w:ascii="Franklin Gothic Book" w:eastAsia="Calibri" w:hAnsi="Franklin Gothic Book"/>
          <w:sz w:val="21"/>
          <w:szCs w:val="21"/>
          <w:lang w:eastAsia="en-US"/>
        </w:rPr>
        <w:t xml:space="preserve"> to the </w:t>
      </w:r>
      <w:r>
        <w:rPr>
          <w:rFonts w:ascii="Franklin Gothic Book" w:eastAsia="Calibri" w:hAnsi="Franklin Gothic Book"/>
          <w:sz w:val="21"/>
          <w:szCs w:val="21"/>
          <w:lang w:eastAsia="en-US"/>
        </w:rPr>
        <w:lastRenderedPageBreak/>
        <w:t>shared development goals with the partner government</w:t>
      </w:r>
      <w:r w:rsidR="00531BC4">
        <w:rPr>
          <w:rFonts w:ascii="Franklin Gothic Book" w:eastAsia="Calibri" w:hAnsi="Franklin Gothic Book"/>
          <w:sz w:val="21"/>
          <w:szCs w:val="21"/>
          <w:lang w:eastAsia="en-US"/>
        </w:rPr>
        <w:t>,</w:t>
      </w:r>
      <w:r>
        <w:rPr>
          <w:rFonts w:ascii="Franklin Gothic Book" w:eastAsia="Calibri" w:hAnsi="Franklin Gothic Book"/>
          <w:sz w:val="21"/>
          <w:szCs w:val="21"/>
          <w:lang w:eastAsia="en-US"/>
        </w:rPr>
        <w:t xml:space="preserve"> and that the quality of </w:t>
      </w:r>
      <w:r w:rsidR="00531BC4">
        <w:rPr>
          <w:rFonts w:ascii="Franklin Gothic Book" w:eastAsia="Calibri" w:hAnsi="Franklin Gothic Book"/>
          <w:sz w:val="21"/>
          <w:szCs w:val="21"/>
          <w:lang w:eastAsia="en-US"/>
        </w:rPr>
        <w:t xml:space="preserve">the </w:t>
      </w:r>
      <w:r>
        <w:rPr>
          <w:rFonts w:ascii="Franklin Gothic Book" w:eastAsia="Calibri" w:hAnsi="Franklin Gothic Book"/>
          <w:sz w:val="21"/>
          <w:szCs w:val="21"/>
          <w:lang w:eastAsia="en-US"/>
        </w:rPr>
        <w:t xml:space="preserve">assistance provided value for money.  </w:t>
      </w:r>
      <w:r w:rsidR="00BE66AA">
        <w:rPr>
          <w:rFonts w:ascii="Franklin Gothic Book" w:eastAsia="Calibri" w:hAnsi="Franklin Gothic Book"/>
          <w:sz w:val="21"/>
          <w:szCs w:val="21"/>
          <w:lang w:eastAsia="en-US"/>
        </w:rPr>
        <w:t>The CfC in particular was found to be highly innovative and successful – demonstrating the transformative role of par</w:t>
      </w:r>
      <w:r w:rsidR="004471EC">
        <w:rPr>
          <w:rFonts w:ascii="Franklin Gothic Book" w:eastAsia="Calibri" w:hAnsi="Franklin Gothic Book"/>
          <w:sz w:val="21"/>
          <w:szCs w:val="21"/>
          <w:lang w:eastAsia="en-US"/>
        </w:rPr>
        <w:t>tnership between</w:t>
      </w:r>
      <w:r w:rsidR="006D3DC0">
        <w:rPr>
          <w:rFonts w:ascii="Franklin Gothic Book" w:eastAsia="Calibri" w:hAnsi="Franklin Gothic Book"/>
          <w:sz w:val="21"/>
          <w:szCs w:val="21"/>
          <w:lang w:eastAsia="en-US"/>
        </w:rPr>
        <w:t xml:space="preserve"> civil society organisations</w:t>
      </w:r>
      <w:r w:rsidR="004471EC">
        <w:rPr>
          <w:rFonts w:ascii="Franklin Gothic Book" w:eastAsia="Calibri" w:hAnsi="Franklin Gothic Book"/>
          <w:sz w:val="21"/>
          <w:szCs w:val="21"/>
          <w:lang w:eastAsia="en-US"/>
        </w:rPr>
        <w:t xml:space="preserve"> </w:t>
      </w:r>
      <w:r w:rsidR="006D3DC0">
        <w:rPr>
          <w:rFonts w:ascii="Franklin Gothic Book" w:eastAsia="Calibri" w:hAnsi="Franklin Gothic Book"/>
          <w:sz w:val="21"/>
          <w:szCs w:val="21"/>
          <w:lang w:eastAsia="en-US"/>
        </w:rPr>
        <w:t>(</w:t>
      </w:r>
      <w:r w:rsidR="004471EC">
        <w:rPr>
          <w:rFonts w:ascii="Franklin Gothic Book" w:eastAsia="Calibri" w:hAnsi="Franklin Gothic Book"/>
          <w:sz w:val="21"/>
          <w:szCs w:val="21"/>
          <w:lang w:eastAsia="en-US"/>
        </w:rPr>
        <w:t>CSOs</w:t>
      </w:r>
      <w:r w:rsidR="006D3DC0">
        <w:rPr>
          <w:rFonts w:ascii="Franklin Gothic Book" w:eastAsia="Calibri" w:hAnsi="Franklin Gothic Book"/>
          <w:sz w:val="21"/>
          <w:szCs w:val="21"/>
          <w:lang w:eastAsia="en-US"/>
        </w:rPr>
        <w:t>)</w:t>
      </w:r>
      <w:r w:rsidR="004471EC">
        <w:rPr>
          <w:rFonts w:ascii="Franklin Gothic Book" w:eastAsia="Calibri" w:hAnsi="Franklin Gothic Book"/>
          <w:sz w:val="21"/>
          <w:szCs w:val="21"/>
          <w:lang w:eastAsia="en-US"/>
        </w:rPr>
        <w:t xml:space="preserve"> and government in improvin</w:t>
      </w:r>
      <w:r w:rsidR="00FA5DA7">
        <w:rPr>
          <w:rFonts w:ascii="Franklin Gothic Book" w:eastAsia="Calibri" w:hAnsi="Franklin Gothic Book"/>
          <w:sz w:val="21"/>
          <w:szCs w:val="21"/>
          <w:lang w:eastAsia="en-US"/>
        </w:rPr>
        <w:t>g policy in 7 out of 13 areas of activity.</w:t>
      </w:r>
    </w:p>
    <w:p w:rsidR="00275DB6" w:rsidRDefault="00BE66AA" w:rsidP="0018251E">
      <w:pPr>
        <w:spacing w:after="200" w:line="276" w:lineRule="auto"/>
        <w:rPr>
          <w:rFonts w:ascii="Franklin Gothic Book" w:eastAsia="Calibri" w:hAnsi="Franklin Gothic Book"/>
          <w:sz w:val="21"/>
          <w:szCs w:val="21"/>
          <w:lang w:eastAsia="en-US"/>
        </w:rPr>
      </w:pPr>
      <w:r>
        <w:rPr>
          <w:rFonts w:ascii="Franklin Gothic Book" w:eastAsia="Calibri" w:hAnsi="Franklin Gothic Book"/>
          <w:sz w:val="21"/>
          <w:szCs w:val="21"/>
          <w:lang w:eastAsia="en-US"/>
        </w:rPr>
        <w:t xml:space="preserve">A common area for improvement is the </w:t>
      </w:r>
      <w:r w:rsidR="00FA5DA7">
        <w:rPr>
          <w:rFonts w:ascii="Franklin Gothic Book" w:eastAsia="Calibri" w:hAnsi="Franklin Gothic Book"/>
          <w:sz w:val="21"/>
          <w:szCs w:val="21"/>
          <w:lang w:eastAsia="en-US"/>
        </w:rPr>
        <w:t xml:space="preserve">effectiveness and efficiency of </w:t>
      </w:r>
      <w:r>
        <w:rPr>
          <w:rFonts w:ascii="Franklin Gothic Book" w:eastAsia="Calibri" w:hAnsi="Franklin Gothic Book"/>
          <w:sz w:val="21"/>
          <w:szCs w:val="21"/>
          <w:lang w:eastAsia="en-US"/>
        </w:rPr>
        <w:t xml:space="preserve">governance arrangements, particularly if support </w:t>
      </w:r>
      <w:r w:rsidR="000A30BB">
        <w:rPr>
          <w:rFonts w:ascii="Franklin Gothic Book" w:eastAsia="Calibri" w:hAnsi="Franklin Gothic Book"/>
          <w:sz w:val="21"/>
          <w:szCs w:val="21"/>
          <w:lang w:eastAsia="en-US"/>
        </w:rPr>
        <w:t xml:space="preserve">to a partner government agency </w:t>
      </w:r>
      <w:r>
        <w:rPr>
          <w:rFonts w:ascii="Franklin Gothic Book" w:eastAsia="Calibri" w:hAnsi="Franklin Gothic Book"/>
          <w:sz w:val="21"/>
          <w:szCs w:val="21"/>
          <w:lang w:eastAsia="en-US"/>
        </w:rPr>
        <w:t xml:space="preserve">is </w:t>
      </w:r>
      <w:r w:rsidR="00FA5DA7">
        <w:rPr>
          <w:rFonts w:ascii="Franklin Gothic Book" w:eastAsia="Calibri" w:hAnsi="Franklin Gothic Book"/>
          <w:sz w:val="21"/>
          <w:szCs w:val="21"/>
          <w:lang w:eastAsia="en-US"/>
        </w:rPr>
        <w:t xml:space="preserve">delivered </w:t>
      </w:r>
      <w:r>
        <w:rPr>
          <w:rFonts w:ascii="Franklin Gothic Book" w:eastAsia="Calibri" w:hAnsi="Franklin Gothic Book"/>
          <w:sz w:val="21"/>
          <w:szCs w:val="21"/>
          <w:lang w:eastAsia="en-US"/>
        </w:rPr>
        <w:t xml:space="preserve">through </w:t>
      </w:r>
      <w:r w:rsidR="00AA2314">
        <w:rPr>
          <w:rFonts w:ascii="Franklin Gothic Book" w:eastAsia="Calibri" w:hAnsi="Franklin Gothic Book"/>
          <w:sz w:val="21"/>
          <w:szCs w:val="21"/>
          <w:lang w:eastAsia="en-US"/>
        </w:rPr>
        <w:t xml:space="preserve">multiple </w:t>
      </w:r>
      <w:r w:rsidR="00FA5DA7">
        <w:rPr>
          <w:rFonts w:ascii="Franklin Gothic Book" w:eastAsia="Calibri" w:hAnsi="Franklin Gothic Book"/>
          <w:sz w:val="21"/>
          <w:szCs w:val="21"/>
          <w:lang w:eastAsia="en-US"/>
        </w:rPr>
        <w:t>modalities</w:t>
      </w:r>
      <w:r>
        <w:rPr>
          <w:rFonts w:ascii="Franklin Gothic Book" w:eastAsia="Calibri" w:hAnsi="Franklin Gothic Book"/>
          <w:sz w:val="21"/>
          <w:szCs w:val="21"/>
          <w:lang w:eastAsia="en-US"/>
        </w:rPr>
        <w:t xml:space="preserve"> </w:t>
      </w:r>
      <w:r w:rsidR="00FA5DA7">
        <w:rPr>
          <w:rFonts w:ascii="Franklin Gothic Book" w:eastAsia="Calibri" w:hAnsi="Franklin Gothic Book"/>
          <w:sz w:val="21"/>
          <w:szCs w:val="21"/>
          <w:lang w:eastAsia="en-US"/>
        </w:rPr>
        <w:t>(</w:t>
      </w:r>
      <w:r>
        <w:rPr>
          <w:rFonts w:ascii="Franklin Gothic Book" w:eastAsia="Calibri" w:hAnsi="Franklin Gothic Book"/>
          <w:sz w:val="21"/>
          <w:szCs w:val="21"/>
          <w:lang w:eastAsia="en-US"/>
        </w:rPr>
        <w:t xml:space="preserve">i.e. managing contractor as direct </w:t>
      </w:r>
      <w:r w:rsidR="00FA5DA7">
        <w:rPr>
          <w:rFonts w:ascii="Franklin Gothic Book" w:eastAsia="Calibri" w:hAnsi="Franklin Gothic Book"/>
          <w:sz w:val="21"/>
          <w:szCs w:val="21"/>
          <w:lang w:eastAsia="en-US"/>
        </w:rPr>
        <w:t xml:space="preserve">program </w:t>
      </w:r>
      <w:r>
        <w:rPr>
          <w:rFonts w:ascii="Franklin Gothic Book" w:eastAsia="Calibri" w:hAnsi="Franklin Gothic Book"/>
          <w:sz w:val="21"/>
          <w:szCs w:val="21"/>
          <w:lang w:eastAsia="en-US"/>
        </w:rPr>
        <w:t>implementers</w:t>
      </w:r>
      <w:r w:rsidR="00AA2314">
        <w:rPr>
          <w:rFonts w:ascii="Franklin Gothic Book" w:eastAsia="Calibri" w:hAnsi="Franklin Gothic Book"/>
          <w:sz w:val="21"/>
          <w:szCs w:val="21"/>
          <w:lang w:eastAsia="en-US"/>
        </w:rPr>
        <w:t>,</w:t>
      </w:r>
      <w:r>
        <w:rPr>
          <w:rFonts w:ascii="Franklin Gothic Book" w:eastAsia="Calibri" w:hAnsi="Franklin Gothic Book"/>
          <w:sz w:val="21"/>
          <w:szCs w:val="21"/>
          <w:lang w:eastAsia="en-US"/>
        </w:rPr>
        <w:t xml:space="preserve"> </w:t>
      </w:r>
      <w:r w:rsidR="000A30BB">
        <w:rPr>
          <w:rFonts w:ascii="Franklin Gothic Book" w:eastAsia="Calibri" w:hAnsi="Franklin Gothic Book"/>
          <w:sz w:val="21"/>
          <w:szCs w:val="21"/>
          <w:lang w:eastAsia="en-US"/>
        </w:rPr>
        <w:t xml:space="preserve">with </w:t>
      </w:r>
      <w:r>
        <w:rPr>
          <w:rFonts w:ascii="Franklin Gothic Book" w:eastAsia="Calibri" w:hAnsi="Franklin Gothic Book"/>
          <w:sz w:val="21"/>
          <w:szCs w:val="21"/>
          <w:lang w:eastAsia="en-US"/>
        </w:rPr>
        <w:t xml:space="preserve">technical and policy support </w:t>
      </w:r>
      <w:r w:rsidR="000A30BB">
        <w:rPr>
          <w:rFonts w:ascii="Franklin Gothic Book" w:eastAsia="Calibri" w:hAnsi="Franklin Gothic Book"/>
          <w:sz w:val="21"/>
          <w:szCs w:val="21"/>
          <w:lang w:eastAsia="en-US"/>
        </w:rPr>
        <w:t>provided by multilateral agencies and/or C</w:t>
      </w:r>
      <w:r w:rsidR="00FE295D">
        <w:rPr>
          <w:rFonts w:ascii="Franklin Gothic Book" w:eastAsia="Calibri" w:hAnsi="Franklin Gothic Book"/>
          <w:sz w:val="21"/>
          <w:szCs w:val="21"/>
          <w:lang w:eastAsia="en-US"/>
        </w:rPr>
        <w:t xml:space="preserve">ivil </w:t>
      </w:r>
      <w:r w:rsidR="000A30BB">
        <w:rPr>
          <w:rFonts w:ascii="Franklin Gothic Book" w:eastAsia="Calibri" w:hAnsi="Franklin Gothic Book"/>
          <w:sz w:val="21"/>
          <w:szCs w:val="21"/>
          <w:lang w:eastAsia="en-US"/>
        </w:rPr>
        <w:t>S</w:t>
      </w:r>
      <w:r w:rsidR="00FE295D">
        <w:rPr>
          <w:rFonts w:ascii="Franklin Gothic Book" w:eastAsia="Calibri" w:hAnsi="Franklin Gothic Book"/>
          <w:sz w:val="21"/>
          <w:szCs w:val="21"/>
          <w:lang w:eastAsia="en-US"/>
        </w:rPr>
        <w:t xml:space="preserve">ociety </w:t>
      </w:r>
      <w:r w:rsidR="000A30BB">
        <w:rPr>
          <w:rFonts w:ascii="Franklin Gothic Book" w:eastAsia="Calibri" w:hAnsi="Franklin Gothic Book"/>
          <w:sz w:val="21"/>
          <w:szCs w:val="21"/>
          <w:lang w:eastAsia="en-US"/>
        </w:rPr>
        <w:t>O</w:t>
      </w:r>
      <w:r w:rsidR="00FE295D">
        <w:rPr>
          <w:rFonts w:ascii="Franklin Gothic Book" w:eastAsia="Calibri" w:hAnsi="Franklin Gothic Book"/>
          <w:sz w:val="21"/>
          <w:szCs w:val="21"/>
          <w:lang w:eastAsia="en-US"/>
        </w:rPr>
        <w:t>rganisation</w:t>
      </w:r>
      <w:r w:rsidR="000A30BB">
        <w:rPr>
          <w:rFonts w:ascii="Franklin Gothic Book" w:eastAsia="Calibri" w:hAnsi="Franklin Gothic Book"/>
          <w:sz w:val="21"/>
          <w:szCs w:val="21"/>
          <w:lang w:eastAsia="en-US"/>
        </w:rPr>
        <w:t>s</w:t>
      </w:r>
      <w:r w:rsidR="00FA5DA7">
        <w:rPr>
          <w:rFonts w:ascii="Franklin Gothic Book" w:eastAsia="Calibri" w:hAnsi="Franklin Gothic Book"/>
          <w:sz w:val="21"/>
          <w:szCs w:val="21"/>
          <w:lang w:eastAsia="en-US"/>
        </w:rPr>
        <w:t>)</w:t>
      </w:r>
      <w:r>
        <w:rPr>
          <w:rFonts w:ascii="Franklin Gothic Book" w:eastAsia="Calibri" w:hAnsi="Franklin Gothic Book"/>
          <w:sz w:val="21"/>
          <w:szCs w:val="21"/>
          <w:lang w:eastAsia="en-US"/>
        </w:rPr>
        <w:t xml:space="preserve">.  The </w:t>
      </w:r>
      <w:r w:rsidR="000A30BB">
        <w:rPr>
          <w:rFonts w:ascii="Franklin Gothic Book" w:eastAsia="Calibri" w:hAnsi="Franklin Gothic Book"/>
          <w:sz w:val="21"/>
          <w:szCs w:val="21"/>
          <w:lang w:eastAsia="en-US"/>
        </w:rPr>
        <w:t>evaluation</w:t>
      </w:r>
      <w:r w:rsidR="00D75417">
        <w:rPr>
          <w:rFonts w:ascii="Franklin Gothic Book" w:eastAsia="Calibri" w:hAnsi="Franklin Gothic Book"/>
          <w:sz w:val="21"/>
          <w:szCs w:val="21"/>
          <w:lang w:eastAsia="en-US"/>
        </w:rPr>
        <w:t>s</w:t>
      </w:r>
      <w:r w:rsidR="000A30BB">
        <w:rPr>
          <w:rFonts w:ascii="Franklin Gothic Book" w:eastAsia="Calibri" w:hAnsi="Franklin Gothic Book"/>
          <w:sz w:val="21"/>
          <w:szCs w:val="21"/>
          <w:lang w:eastAsia="en-US"/>
        </w:rPr>
        <w:t xml:space="preserve"> </w:t>
      </w:r>
      <w:r w:rsidR="00FA5DA7">
        <w:rPr>
          <w:rFonts w:ascii="Franklin Gothic Book" w:eastAsia="Calibri" w:hAnsi="Franklin Gothic Book"/>
          <w:sz w:val="21"/>
          <w:szCs w:val="21"/>
          <w:lang w:eastAsia="en-US"/>
        </w:rPr>
        <w:t xml:space="preserve">recommended </w:t>
      </w:r>
      <w:r w:rsidR="000A30BB">
        <w:rPr>
          <w:rFonts w:ascii="Franklin Gothic Book" w:eastAsia="Calibri" w:hAnsi="Franklin Gothic Book"/>
          <w:sz w:val="21"/>
          <w:szCs w:val="21"/>
          <w:lang w:eastAsia="en-US"/>
        </w:rPr>
        <w:t xml:space="preserve">reviewing and </w:t>
      </w:r>
      <w:r w:rsidR="00FA5DA7">
        <w:rPr>
          <w:rFonts w:ascii="Franklin Gothic Book" w:eastAsia="Calibri" w:hAnsi="Franklin Gothic Book"/>
          <w:sz w:val="21"/>
          <w:szCs w:val="21"/>
          <w:lang w:eastAsia="en-US"/>
        </w:rPr>
        <w:t xml:space="preserve">clarifying roles and responsibilities among the different </w:t>
      </w:r>
      <w:r w:rsidR="000A30BB">
        <w:rPr>
          <w:rFonts w:ascii="Franklin Gothic Book" w:eastAsia="Calibri" w:hAnsi="Franklin Gothic Book"/>
          <w:sz w:val="21"/>
          <w:szCs w:val="21"/>
          <w:lang w:eastAsia="en-US"/>
        </w:rPr>
        <w:t xml:space="preserve">program </w:t>
      </w:r>
      <w:r w:rsidR="00FA5DA7">
        <w:rPr>
          <w:rFonts w:ascii="Franklin Gothic Book" w:eastAsia="Calibri" w:hAnsi="Franklin Gothic Book"/>
          <w:sz w:val="21"/>
          <w:szCs w:val="21"/>
          <w:lang w:eastAsia="en-US"/>
        </w:rPr>
        <w:t>implementers</w:t>
      </w:r>
      <w:r w:rsidR="000A30BB">
        <w:rPr>
          <w:rFonts w:ascii="Franklin Gothic Book" w:eastAsia="Calibri" w:hAnsi="Franklin Gothic Book"/>
          <w:sz w:val="21"/>
          <w:szCs w:val="21"/>
          <w:lang w:eastAsia="en-US"/>
        </w:rPr>
        <w:t xml:space="preserve">, and to ensure quality </w:t>
      </w:r>
      <w:r w:rsidR="00FA5DA7">
        <w:rPr>
          <w:rFonts w:ascii="Franklin Gothic Book" w:eastAsia="Calibri" w:hAnsi="Franklin Gothic Book"/>
          <w:sz w:val="21"/>
          <w:szCs w:val="21"/>
          <w:lang w:eastAsia="en-US"/>
        </w:rPr>
        <w:t xml:space="preserve">engagement </w:t>
      </w:r>
      <w:r>
        <w:rPr>
          <w:rFonts w:ascii="Franklin Gothic Book" w:eastAsia="Calibri" w:hAnsi="Franklin Gothic Book"/>
          <w:sz w:val="21"/>
          <w:szCs w:val="21"/>
          <w:lang w:eastAsia="en-US"/>
        </w:rPr>
        <w:t xml:space="preserve">with the partner government.  </w:t>
      </w:r>
      <w:r w:rsidR="003C3493">
        <w:rPr>
          <w:rFonts w:ascii="Franklin Gothic Book" w:eastAsia="Calibri" w:hAnsi="Franklin Gothic Book"/>
          <w:sz w:val="21"/>
          <w:szCs w:val="21"/>
          <w:lang w:eastAsia="en-US"/>
        </w:rPr>
        <w:t xml:space="preserve">At least two initiatives need to improve their Monitoring and Evaluation (M&amp;E) system.  </w:t>
      </w:r>
      <w:r w:rsidR="000A30BB">
        <w:rPr>
          <w:rFonts w:ascii="Franklin Gothic Book" w:eastAsia="Calibri" w:hAnsi="Franklin Gothic Book"/>
          <w:sz w:val="21"/>
          <w:szCs w:val="21"/>
          <w:lang w:eastAsia="en-US"/>
        </w:rPr>
        <w:t>Specifically</w:t>
      </w:r>
      <w:r w:rsidR="00F250FA">
        <w:rPr>
          <w:rFonts w:ascii="Franklin Gothic Book" w:eastAsia="Calibri" w:hAnsi="Franklin Gothic Book"/>
          <w:sz w:val="21"/>
          <w:szCs w:val="21"/>
          <w:lang w:eastAsia="en-US"/>
        </w:rPr>
        <w:t xml:space="preserve"> for CfC</w:t>
      </w:r>
      <w:r w:rsidR="000A30BB">
        <w:rPr>
          <w:rFonts w:ascii="Franklin Gothic Book" w:eastAsia="Calibri" w:hAnsi="Franklin Gothic Book"/>
          <w:sz w:val="21"/>
          <w:szCs w:val="21"/>
          <w:lang w:eastAsia="en-US"/>
        </w:rPr>
        <w:t xml:space="preserve">, </w:t>
      </w:r>
      <w:r w:rsidR="004471EC">
        <w:rPr>
          <w:rFonts w:ascii="Franklin Gothic Book" w:eastAsia="Calibri" w:hAnsi="Franklin Gothic Book"/>
          <w:sz w:val="21"/>
          <w:szCs w:val="21"/>
          <w:lang w:eastAsia="en-US"/>
        </w:rPr>
        <w:t xml:space="preserve">the review recommended the development of an effective and more ‘elegant’ </w:t>
      </w:r>
      <w:r w:rsidR="003C3493">
        <w:rPr>
          <w:rFonts w:ascii="Franklin Gothic Book" w:eastAsia="Calibri" w:hAnsi="Franklin Gothic Book"/>
          <w:sz w:val="21"/>
          <w:szCs w:val="21"/>
          <w:lang w:eastAsia="en-US"/>
        </w:rPr>
        <w:t xml:space="preserve">M&amp;E </w:t>
      </w:r>
      <w:r w:rsidR="004471EC">
        <w:rPr>
          <w:rFonts w:ascii="Franklin Gothic Book" w:eastAsia="Calibri" w:hAnsi="Franklin Gothic Book"/>
          <w:sz w:val="21"/>
          <w:szCs w:val="21"/>
          <w:lang w:eastAsia="en-US"/>
        </w:rPr>
        <w:t xml:space="preserve">system, to better capture its </w:t>
      </w:r>
      <w:r w:rsidR="00AA2314">
        <w:rPr>
          <w:rFonts w:ascii="Franklin Gothic Book" w:eastAsia="Calibri" w:hAnsi="Franklin Gothic Book"/>
          <w:sz w:val="21"/>
          <w:szCs w:val="21"/>
          <w:lang w:eastAsia="en-US"/>
        </w:rPr>
        <w:t>innovative approach</w:t>
      </w:r>
      <w:r w:rsidR="004471EC">
        <w:rPr>
          <w:rFonts w:ascii="Franklin Gothic Book" w:eastAsia="Calibri" w:hAnsi="Franklin Gothic Book"/>
          <w:sz w:val="21"/>
          <w:szCs w:val="21"/>
          <w:lang w:eastAsia="en-US"/>
        </w:rPr>
        <w:t>.</w:t>
      </w:r>
    </w:p>
    <w:p w:rsidR="00E326C9" w:rsidRDefault="00E326C9" w:rsidP="0018251E">
      <w:pPr>
        <w:spacing w:after="200" w:line="276" w:lineRule="auto"/>
        <w:rPr>
          <w:rFonts w:ascii="Franklin Gothic Book" w:eastAsia="Calibri" w:hAnsi="Franklin Gothic Book"/>
          <w:sz w:val="21"/>
          <w:szCs w:val="21"/>
          <w:lang w:eastAsia="en-US"/>
        </w:rPr>
      </w:pPr>
      <w:r>
        <w:rPr>
          <w:rFonts w:ascii="Franklin Gothic Book" w:eastAsia="Calibri" w:hAnsi="Franklin Gothic Book"/>
          <w:sz w:val="21"/>
          <w:szCs w:val="21"/>
          <w:lang w:eastAsia="en-US"/>
        </w:rPr>
        <w:t xml:space="preserve">The aid program </w:t>
      </w:r>
      <w:r w:rsidRPr="00194840">
        <w:rPr>
          <w:rFonts w:ascii="Franklin Gothic Book" w:eastAsia="Calibri" w:hAnsi="Franklin Gothic Book"/>
          <w:sz w:val="21"/>
          <w:szCs w:val="21"/>
          <w:lang w:eastAsia="en-US"/>
        </w:rPr>
        <w:t xml:space="preserve">was also audited </w:t>
      </w:r>
      <w:r w:rsidR="00295A4A" w:rsidRPr="00194840">
        <w:rPr>
          <w:rFonts w:ascii="Franklin Gothic Book" w:eastAsia="Calibri" w:hAnsi="Franklin Gothic Book"/>
          <w:sz w:val="21"/>
          <w:szCs w:val="21"/>
          <w:lang w:eastAsia="en-US"/>
        </w:rPr>
        <w:t xml:space="preserve">by </w:t>
      </w:r>
      <w:r w:rsidR="00194840">
        <w:rPr>
          <w:rFonts w:ascii="Franklin Gothic Book" w:eastAsia="Calibri" w:hAnsi="Franklin Gothic Book"/>
          <w:sz w:val="21"/>
          <w:szCs w:val="21"/>
          <w:lang w:eastAsia="en-US"/>
        </w:rPr>
        <w:t xml:space="preserve">the Performance and Practice Management Audit Section </w:t>
      </w:r>
      <w:r>
        <w:rPr>
          <w:rFonts w:ascii="Franklin Gothic Book" w:eastAsia="Calibri" w:hAnsi="Franklin Gothic Book"/>
          <w:sz w:val="21"/>
          <w:szCs w:val="21"/>
          <w:lang w:eastAsia="en-US"/>
        </w:rPr>
        <w:t xml:space="preserve">in </w:t>
      </w:r>
      <w:r w:rsidR="000A30BB">
        <w:rPr>
          <w:rFonts w:ascii="Franklin Gothic Book" w:eastAsia="Calibri" w:hAnsi="Franklin Gothic Book"/>
          <w:sz w:val="21"/>
          <w:szCs w:val="21"/>
          <w:lang w:eastAsia="en-US"/>
        </w:rPr>
        <w:t xml:space="preserve">May </w:t>
      </w:r>
      <w:r>
        <w:rPr>
          <w:rFonts w:ascii="Franklin Gothic Book" w:eastAsia="Calibri" w:hAnsi="Franklin Gothic Book"/>
          <w:sz w:val="21"/>
          <w:szCs w:val="21"/>
          <w:lang w:eastAsia="en-US"/>
        </w:rPr>
        <w:t>2014 and results will be reported in the next APPR.</w:t>
      </w:r>
    </w:p>
    <w:p w:rsidR="004E5C8D" w:rsidRDefault="004E5C8D" w:rsidP="0018251E">
      <w:pPr>
        <w:spacing w:after="200" w:line="276" w:lineRule="auto"/>
        <w:rPr>
          <w:rFonts w:ascii="Franklin Gothic Book" w:eastAsia="Calibri" w:hAnsi="Franklin Gothic Book"/>
          <w:sz w:val="21"/>
          <w:szCs w:val="21"/>
          <w:lang w:eastAsia="en-US"/>
        </w:rPr>
      </w:pPr>
    </w:p>
    <w:p w:rsidR="000D733F" w:rsidRPr="00180B19" w:rsidRDefault="000D733F" w:rsidP="00C00586">
      <w:pPr>
        <w:pStyle w:val="Heading3"/>
      </w:pPr>
      <w:r>
        <w:t xml:space="preserve">Analysis of </w:t>
      </w:r>
      <w:r w:rsidRPr="00180B19">
        <w:t xml:space="preserve">Quality at Implementation </w:t>
      </w:r>
      <w:r>
        <w:t>Reports</w:t>
      </w:r>
      <w:r w:rsidR="007D2494">
        <w:rPr>
          <w:rStyle w:val="FootnoteReference"/>
          <w:rFonts w:eastAsia="Calibri"/>
          <w:lang w:eastAsia="en-US"/>
        </w:rPr>
        <w:footnoteReference w:id="11"/>
      </w:r>
      <w:r>
        <w:t xml:space="preserve"> </w:t>
      </w:r>
    </w:p>
    <w:p w:rsidR="00BD2BCD" w:rsidRPr="0018251E" w:rsidRDefault="005E7873" w:rsidP="0018251E">
      <w:pPr>
        <w:spacing w:after="200" w:line="276" w:lineRule="auto"/>
        <w:rPr>
          <w:rFonts w:ascii="Franklin Gothic Book" w:eastAsia="Calibri" w:hAnsi="Franklin Gothic Book"/>
          <w:sz w:val="21"/>
          <w:szCs w:val="21"/>
          <w:lang w:eastAsia="en-US"/>
        </w:rPr>
      </w:pPr>
      <w:r w:rsidRPr="0018251E">
        <w:rPr>
          <w:rFonts w:ascii="Franklin Gothic Book" w:eastAsia="Calibri" w:hAnsi="Franklin Gothic Book"/>
          <w:sz w:val="21"/>
          <w:szCs w:val="21"/>
          <w:lang w:eastAsia="en-US"/>
        </w:rPr>
        <w:t xml:space="preserve">A total of </w:t>
      </w:r>
      <w:r w:rsidRPr="007E5A35">
        <w:rPr>
          <w:rFonts w:ascii="Franklin Gothic Book" w:eastAsia="Calibri" w:hAnsi="Franklin Gothic Book"/>
          <w:sz w:val="21"/>
          <w:szCs w:val="21"/>
          <w:lang w:eastAsia="en-US"/>
        </w:rPr>
        <w:t>16</w:t>
      </w:r>
      <w:r w:rsidRPr="0018251E">
        <w:rPr>
          <w:rFonts w:ascii="Franklin Gothic Book" w:eastAsia="Calibri" w:hAnsi="Franklin Gothic Book"/>
          <w:sz w:val="21"/>
          <w:szCs w:val="21"/>
          <w:lang w:eastAsia="en-US"/>
        </w:rPr>
        <w:t xml:space="preserve"> </w:t>
      </w:r>
      <w:r w:rsidR="000D042D">
        <w:rPr>
          <w:rFonts w:ascii="Franklin Gothic Book" w:eastAsia="Calibri" w:hAnsi="Franklin Gothic Book"/>
          <w:sz w:val="21"/>
          <w:szCs w:val="21"/>
          <w:lang w:eastAsia="en-US"/>
        </w:rPr>
        <w:t>QAI</w:t>
      </w:r>
      <w:r w:rsidRPr="0018251E">
        <w:rPr>
          <w:rFonts w:ascii="Franklin Gothic Book" w:eastAsia="Calibri" w:hAnsi="Franklin Gothic Book"/>
          <w:sz w:val="21"/>
          <w:szCs w:val="21"/>
          <w:lang w:eastAsia="en-US"/>
        </w:rPr>
        <w:t xml:space="preserve"> reports were prepared and submitted for FY 2013-2014</w:t>
      </w:r>
      <w:r w:rsidR="00EF1A28" w:rsidRPr="0018251E">
        <w:rPr>
          <w:rFonts w:ascii="Franklin Gothic Book" w:eastAsia="Calibri" w:hAnsi="Franklin Gothic Book"/>
          <w:sz w:val="21"/>
          <w:szCs w:val="21"/>
          <w:lang w:eastAsia="en-US"/>
        </w:rPr>
        <w:t xml:space="preserve"> with two initiatives securing</w:t>
      </w:r>
      <w:r w:rsidRPr="0018251E">
        <w:rPr>
          <w:rFonts w:ascii="Franklin Gothic Book" w:eastAsia="Calibri" w:hAnsi="Franklin Gothic Book"/>
          <w:sz w:val="21"/>
          <w:szCs w:val="21"/>
          <w:lang w:eastAsia="en-US"/>
        </w:rPr>
        <w:t xml:space="preserve"> exemptions.  </w:t>
      </w:r>
      <w:r w:rsidR="000D042D">
        <w:rPr>
          <w:rFonts w:ascii="Franklin Gothic Book" w:eastAsia="Calibri" w:hAnsi="Franklin Gothic Book"/>
          <w:sz w:val="21"/>
          <w:szCs w:val="21"/>
          <w:lang w:eastAsia="en-US"/>
        </w:rPr>
        <w:t>QAI</w:t>
      </w:r>
      <w:r w:rsidR="00BF243B" w:rsidRPr="0018251E">
        <w:rPr>
          <w:rFonts w:ascii="Franklin Gothic Book" w:eastAsia="Calibri" w:hAnsi="Franklin Gothic Book"/>
          <w:sz w:val="21"/>
          <w:szCs w:val="21"/>
          <w:lang w:eastAsia="en-US"/>
        </w:rPr>
        <w:t xml:space="preserve"> moderation was conducted by the Director and the Performance and Quality Manager from the Philippines Desk in Canberra. </w:t>
      </w:r>
      <w:r w:rsidR="00DD6598" w:rsidRPr="0018251E">
        <w:rPr>
          <w:rFonts w:ascii="Franklin Gothic Book" w:eastAsia="Calibri" w:hAnsi="Franklin Gothic Book"/>
          <w:sz w:val="21"/>
          <w:szCs w:val="21"/>
          <w:lang w:eastAsia="en-US"/>
        </w:rPr>
        <w:t>Thematic groups, including the gender team provided feedback and attended the moderation meetings.</w:t>
      </w:r>
      <w:r w:rsidR="00BD2BCD" w:rsidRPr="0018251E">
        <w:rPr>
          <w:rFonts w:ascii="Franklin Gothic Book" w:eastAsia="Calibri" w:hAnsi="Franklin Gothic Book"/>
          <w:sz w:val="21"/>
          <w:szCs w:val="21"/>
          <w:lang w:eastAsia="en-US"/>
        </w:rPr>
        <w:t xml:space="preserve"> The moderators found that performance narratives were more coherent and </w:t>
      </w:r>
      <w:r w:rsidR="00886064">
        <w:rPr>
          <w:rFonts w:ascii="Franklin Gothic Book" w:eastAsia="Calibri" w:hAnsi="Franklin Gothic Book"/>
          <w:sz w:val="21"/>
          <w:szCs w:val="21"/>
          <w:lang w:eastAsia="en-US"/>
        </w:rPr>
        <w:t>accessible than the previous year.</w:t>
      </w:r>
      <w:r w:rsidR="00BD2BCD" w:rsidRPr="0018251E">
        <w:rPr>
          <w:rFonts w:ascii="Franklin Gothic Book" w:eastAsia="Calibri" w:hAnsi="Franklin Gothic Book"/>
          <w:sz w:val="21"/>
          <w:szCs w:val="21"/>
          <w:lang w:eastAsia="en-US"/>
        </w:rPr>
        <w:t xml:space="preserve"> </w:t>
      </w:r>
      <w:r w:rsidR="00886064">
        <w:rPr>
          <w:rFonts w:ascii="Franklin Gothic Book" w:eastAsia="Calibri" w:hAnsi="Franklin Gothic Book"/>
          <w:sz w:val="21"/>
          <w:szCs w:val="21"/>
          <w:lang w:eastAsia="en-US"/>
        </w:rPr>
        <w:t xml:space="preserve"> T</w:t>
      </w:r>
      <w:r w:rsidR="00BD2BCD" w:rsidRPr="0018251E">
        <w:rPr>
          <w:rFonts w:ascii="Franklin Gothic Book" w:eastAsia="Calibri" w:hAnsi="Franklin Gothic Book"/>
          <w:sz w:val="21"/>
          <w:szCs w:val="21"/>
          <w:lang w:eastAsia="en-US"/>
        </w:rPr>
        <w:t xml:space="preserve">he moderators used a standardised approach to check for reliability and ensure consistency across the Program. This approach resulted </w:t>
      </w:r>
      <w:r w:rsidR="00886064">
        <w:rPr>
          <w:rFonts w:ascii="Franklin Gothic Book" w:eastAsia="Calibri" w:hAnsi="Franklin Gothic Book"/>
          <w:sz w:val="21"/>
          <w:szCs w:val="21"/>
          <w:lang w:eastAsia="en-US"/>
        </w:rPr>
        <w:t xml:space="preserve">in </w:t>
      </w:r>
      <w:r w:rsidR="00BD2BCD" w:rsidRPr="0018251E">
        <w:rPr>
          <w:rFonts w:ascii="Franklin Gothic Book" w:eastAsia="Calibri" w:hAnsi="Franklin Gothic Book"/>
          <w:sz w:val="21"/>
          <w:szCs w:val="21"/>
          <w:lang w:eastAsia="en-US"/>
        </w:rPr>
        <w:t xml:space="preserve">improvements in performance reporting including greater substantiation of quality ratings through the appropriate presentation of evidence. </w:t>
      </w:r>
    </w:p>
    <w:p w:rsidR="00DD6598" w:rsidRPr="0018251E" w:rsidRDefault="005E7873" w:rsidP="0018251E">
      <w:pPr>
        <w:spacing w:after="200" w:line="276" w:lineRule="auto"/>
        <w:rPr>
          <w:rFonts w:ascii="Franklin Gothic Book" w:eastAsia="Calibri" w:hAnsi="Franklin Gothic Book"/>
          <w:sz w:val="21"/>
          <w:szCs w:val="21"/>
          <w:lang w:eastAsia="en-US"/>
        </w:rPr>
      </w:pPr>
      <w:r w:rsidRPr="0018251E">
        <w:rPr>
          <w:rFonts w:ascii="Franklin Gothic Book" w:eastAsia="Calibri" w:hAnsi="Franklin Gothic Book"/>
          <w:sz w:val="21"/>
          <w:szCs w:val="21"/>
          <w:lang w:eastAsia="en-US"/>
        </w:rPr>
        <w:t xml:space="preserve">PRMF </w:t>
      </w:r>
      <w:r w:rsidR="00DD6598" w:rsidRPr="0018251E">
        <w:rPr>
          <w:rFonts w:ascii="Franklin Gothic Book" w:eastAsia="Calibri" w:hAnsi="Franklin Gothic Book"/>
          <w:sz w:val="21"/>
          <w:szCs w:val="21"/>
          <w:lang w:eastAsia="en-US"/>
        </w:rPr>
        <w:t xml:space="preserve">was </w:t>
      </w:r>
      <w:r w:rsidRPr="0018251E">
        <w:rPr>
          <w:rFonts w:ascii="Franklin Gothic Book" w:eastAsia="Calibri" w:hAnsi="Franklin Gothic Book"/>
          <w:sz w:val="21"/>
          <w:szCs w:val="21"/>
          <w:lang w:eastAsia="en-US"/>
        </w:rPr>
        <w:t xml:space="preserve">an “Initiative Requiring Improvement” for the past two </w:t>
      </w:r>
      <w:r w:rsidR="00DD6598" w:rsidRPr="0018251E">
        <w:rPr>
          <w:rFonts w:ascii="Franklin Gothic Book" w:eastAsia="Calibri" w:hAnsi="Franklin Gothic Book"/>
          <w:sz w:val="21"/>
          <w:szCs w:val="21"/>
          <w:lang w:eastAsia="en-US"/>
        </w:rPr>
        <w:t>years</w:t>
      </w:r>
      <w:r w:rsidR="00C56270">
        <w:rPr>
          <w:rFonts w:ascii="Franklin Gothic Book" w:eastAsia="Calibri" w:hAnsi="Franklin Gothic Book"/>
          <w:sz w:val="21"/>
          <w:szCs w:val="21"/>
          <w:lang w:eastAsia="en-US"/>
        </w:rPr>
        <w:t xml:space="preserve">.  </w:t>
      </w:r>
      <w:r w:rsidR="00D75417">
        <w:rPr>
          <w:rFonts w:ascii="Franklin Gothic Book" w:eastAsia="Calibri" w:hAnsi="Franklin Gothic Book"/>
          <w:sz w:val="21"/>
          <w:szCs w:val="21"/>
          <w:lang w:eastAsia="en-US"/>
        </w:rPr>
        <w:t>The focus last year was to keep the program going as it manages the relationship with partner government and hand</w:t>
      </w:r>
      <w:r w:rsidR="006D3DC0">
        <w:rPr>
          <w:rFonts w:ascii="Franklin Gothic Book" w:eastAsia="Calibri" w:hAnsi="Franklin Gothic Book"/>
          <w:sz w:val="21"/>
          <w:szCs w:val="21"/>
          <w:lang w:eastAsia="en-US"/>
        </w:rPr>
        <w:t xml:space="preserve"> </w:t>
      </w:r>
      <w:r w:rsidR="00D75417">
        <w:rPr>
          <w:rFonts w:ascii="Franklin Gothic Book" w:eastAsia="Calibri" w:hAnsi="Franklin Gothic Book"/>
          <w:sz w:val="21"/>
          <w:szCs w:val="21"/>
          <w:lang w:eastAsia="en-US"/>
        </w:rPr>
        <w:t>over operations to a supporting contractor.  T</w:t>
      </w:r>
      <w:r w:rsidR="00DD6598" w:rsidRPr="0018251E">
        <w:rPr>
          <w:rFonts w:ascii="Franklin Gothic Book" w:eastAsia="Calibri" w:hAnsi="Franklin Gothic Book"/>
          <w:sz w:val="21"/>
          <w:szCs w:val="21"/>
          <w:lang w:eastAsia="en-US"/>
        </w:rPr>
        <w:t>he 2013-</w:t>
      </w:r>
      <w:r w:rsidR="000A30BB">
        <w:rPr>
          <w:rFonts w:ascii="Franklin Gothic Book" w:eastAsia="Calibri" w:hAnsi="Franklin Gothic Book"/>
          <w:sz w:val="21"/>
          <w:szCs w:val="21"/>
          <w:lang w:eastAsia="en-US"/>
        </w:rPr>
        <w:t>20</w:t>
      </w:r>
      <w:r w:rsidR="00DD6598" w:rsidRPr="0018251E">
        <w:rPr>
          <w:rFonts w:ascii="Franklin Gothic Book" w:eastAsia="Calibri" w:hAnsi="Franklin Gothic Book"/>
          <w:sz w:val="21"/>
          <w:szCs w:val="21"/>
          <w:lang w:eastAsia="en-US"/>
        </w:rPr>
        <w:t xml:space="preserve">14 performance assessment reported that </w:t>
      </w:r>
      <w:r w:rsidR="00D75417">
        <w:rPr>
          <w:rFonts w:ascii="Franklin Gothic Book" w:eastAsia="Calibri" w:hAnsi="Franklin Gothic Book"/>
          <w:sz w:val="21"/>
          <w:szCs w:val="21"/>
          <w:lang w:eastAsia="en-US"/>
        </w:rPr>
        <w:t xml:space="preserve">it has achieved its operational and management targets </w:t>
      </w:r>
      <w:r w:rsidR="00DD6598" w:rsidRPr="0018251E">
        <w:rPr>
          <w:rFonts w:ascii="Franklin Gothic Book" w:eastAsia="Calibri" w:hAnsi="Franklin Gothic Book"/>
          <w:sz w:val="21"/>
          <w:szCs w:val="21"/>
          <w:lang w:eastAsia="en-US"/>
        </w:rPr>
        <w:t>and achieved a satisfactory level of effectiveness over this period.</w:t>
      </w:r>
      <w:r w:rsidR="000D042D">
        <w:rPr>
          <w:rFonts w:ascii="Franklin Gothic Book" w:eastAsia="Calibri" w:hAnsi="Franklin Gothic Book"/>
          <w:sz w:val="21"/>
          <w:szCs w:val="21"/>
          <w:lang w:eastAsia="en-US"/>
        </w:rPr>
        <w:t xml:space="preserve">  </w:t>
      </w:r>
    </w:p>
    <w:p w:rsidR="00DD6598" w:rsidRPr="0018251E" w:rsidRDefault="00DD6598" w:rsidP="0018251E">
      <w:pPr>
        <w:spacing w:after="200" w:line="276" w:lineRule="auto"/>
        <w:rPr>
          <w:rFonts w:ascii="Franklin Gothic Book" w:eastAsia="Calibri" w:hAnsi="Franklin Gothic Book"/>
          <w:sz w:val="21"/>
          <w:szCs w:val="21"/>
          <w:lang w:eastAsia="en-US"/>
        </w:rPr>
      </w:pPr>
      <w:r w:rsidRPr="000D042D">
        <w:rPr>
          <w:rFonts w:ascii="Franklin Gothic Book" w:eastAsia="Calibri" w:hAnsi="Franklin Gothic Book"/>
          <w:i/>
          <w:sz w:val="21"/>
          <w:szCs w:val="21"/>
          <w:lang w:eastAsia="en-US"/>
        </w:rPr>
        <w:t>Relevance</w:t>
      </w:r>
      <w:r w:rsidRPr="0018251E">
        <w:rPr>
          <w:rFonts w:ascii="Franklin Gothic Book" w:eastAsia="Calibri" w:hAnsi="Franklin Gothic Book"/>
          <w:sz w:val="21"/>
          <w:szCs w:val="21"/>
          <w:lang w:eastAsia="en-US"/>
        </w:rPr>
        <w:t xml:space="preserve">.  All initiatives remain relevant to the development context in the Philippines. This reflects the appropriateness of the development approaches </w:t>
      </w:r>
      <w:r w:rsidR="000D042D">
        <w:rPr>
          <w:rFonts w:ascii="Franklin Gothic Book" w:eastAsia="Calibri" w:hAnsi="Franklin Gothic Book"/>
          <w:sz w:val="21"/>
          <w:szCs w:val="21"/>
          <w:lang w:eastAsia="en-US"/>
        </w:rPr>
        <w:t xml:space="preserve">and </w:t>
      </w:r>
      <w:r w:rsidRPr="0018251E">
        <w:rPr>
          <w:rFonts w:ascii="Franklin Gothic Book" w:eastAsia="Calibri" w:hAnsi="Franklin Gothic Book"/>
          <w:sz w:val="21"/>
          <w:szCs w:val="21"/>
          <w:lang w:eastAsia="en-US"/>
        </w:rPr>
        <w:t xml:space="preserve">program delivery </w:t>
      </w:r>
      <w:r w:rsidR="000D042D">
        <w:rPr>
          <w:rFonts w:ascii="Franklin Gothic Book" w:eastAsia="Calibri" w:hAnsi="Franklin Gothic Book"/>
          <w:sz w:val="21"/>
          <w:szCs w:val="21"/>
          <w:lang w:eastAsia="en-US"/>
        </w:rPr>
        <w:t xml:space="preserve">to </w:t>
      </w:r>
      <w:r w:rsidRPr="0018251E">
        <w:rPr>
          <w:rFonts w:ascii="Franklin Gothic Book" w:eastAsia="Calibri" w:hAnsi="Franklin Gothic Book"/>
          <w:sz w:val="21"/>
          <w:szCs w:val="21"/>
          <w:lang w:eastAsia="en-US"/>
        </w:rPr>
        <w:t>the</w:t>
      </w:r>
      <w:r w:rsidR="000D042D">
        <w:rPr>
          <w:rFonts w:ascii="Franklin Gothic Book" w:eastAsia="Calibri" w:hAnsi="Franklin Gothic Book"/>
          <w:sz w:val="21"/>
          <w:szCs w:val="21"/>
          <w:lang w:eastAsia="en-US"/>
        </w:rPr>
        <w:t>ir particular</w:t>
      </w:r>
      <w:r w:rsidRPr="0018251E">
        <w:rPr>
          <w:rFonts w:ascii="Franklin Gothic Book" w:eastAsia="Calibri" w:hAnsi="Franklin Gothic Book"/>
          <w:sz w:val="21"/>
          <w:szCs w:val="21"/>
          <w:lang w:eastAsia="en-US"/>
        </w:rPr>
        <w:t xml:space="preserve"> context. </w:t>
      </w:r>
      <w:r w:rsidR="000D042D">
        <w:rPr>
          <w:rFonts w:ascii="Franklin Gothic Book" w:eastAsia="Calibri" w:hAnsi="Franklin Gothic Book"/>
          <w:sz w:val="21"/>
          <w:szCs w:val="21"/>
          <w:lang w:eastAsia="en-US"/>
        </w:rPr>
        <w:t xml:space="preserve">Initiatives also </w:t>
      </w:r>
      <w:r w:rsidR="00C56270">
        <w:rPr>
          <w:rFonts w:ascii="Franklin Gothic Book" w:eastAsia="Calibri" w:hAnsi="Franklin Gothic Book"/>
          <w:sz w:val="21"/>
          <w:szCs w:val="21"/>
          <w:lang w:eastAsia="en-US"/>
        </w:rPr>
        <w:t xml:space="preserve">demonstrated </w:t>
      </w:r>
      <w:r w:rsidR="000D042D">
        <w:rPr>
          <w:rFonts w:ascii="Franklin Gothic Book" w:eastAsia="Calibri" w:hAnsi="Franklin Gothic Book"/>
          <w:sz w:val="21"/>
          <w:szCs w:val="21"/>
          <w:lang w:eastAsia="en-US"/>
        </w:rPr>
        <w:t>relevance to Australia</w:t>
      </w:r>
      <w:r w:rsidR="000A30BB">
        <w:rPr>
          <w:rFonts w:ascii="Franklin Gothic Book" w:eastAsia="Calibri" w:hAnsi="Franklin Gothic Book"/>
          <w:sz w:val="21"/>
          <w:szCs w:val="21"/>
          <w:lang w:eastAsia="en-US"/>
        </w:rPr>
        <w:t>n</w:t>
      </w:r>
      <w:r w:rsidR="000D042D">
        <w:rPr>
          <w:rFonts w:ascii="Franklin Gothic Book" w:eastAsia="Calibri" w:hAnsi="Franklin Gothic Book"/>
          <w:sz w:val="21"/>
          <w:szCs w:val="21"/>
          <w:lang w:eastAsia="en-US"/>
        </w:rPr>
        <w:t xml:space="preserve"> </w:t>
      </w:r>
      <w:r w:rsidR="000A30BB">
        <w:rPr>
          <w:rFonts w:ascii="Franklin Gothic Book" w:eastAsia="Calibri" w:hAnsi="Franklin Gothic Book"/>
          <w:sz w:val="21"/>
          <w:szCs w:val="21"/>
          <w:lang w:eastAsia="en-US"/>
        </w:rPr>
        <w:t>G</w:t>
      </w:r>
      <w:r w:rsidR="000D042D">
        <w:rPr>
          <w:rFonts w:ascii="Franklin Gothic Book" w:eastAsia="Calibri" w:hAnsi="Franklin Gothic Book"/>
          <w:sz w:val="21"/>
          <w:szCs w:val="21"/>
          <w:lang w:eastAsia="en-US"/>
        </w:rPr>
        <w:t xml:space="preserve">overnment priorities.  </w:t>
      </w:r>
    </w:p>
    <w:p w:rsidR="00DD6598" w:rsidRPr="0018251E" w:rsidRDefault="00DD6598" w:rsidP="0018251E">
      <w:pPr>
        <w:spacing w:after="200" w:line="276" w:lineRule="auto"/>
        <w:rPr>
          <w:rFonts w:ascii="Franklin Gothic Book" w:eastAsia="Calibri" w:hAnsi="Franklin Gothic Book"/>
          <w:sz w:val="21"/>
          <w:szCs w:val="21"/>
          <w:lang w:eastAsia="en-US"/>
        </w:rPr>
      </w:pPr>
      <w:r w:rsidRPr="000D042D">
        <w:rPr>
          <w:rFonts w:ascii="Franklin Gothic Book" w:eastAsia="Calibri" w:hAnsi="Franklin Gothic Book"/>
          <w:i/>
          <w:sz w:val="21"/>
          <w:szCs w:val="21"/>
          <w:lang w:eastAsia="en-US"/>
        </w:rPr>
        <w:lastRenderedPageBreak/>
        <w:t>Effectiveness</w:t>
      </w:r>
      <w:r w:rsidRPr="0018251E">
        <w:rPr>
          <w:rFonts w:ascii="Franklin Gothic Book" w:eastAsia="Calibri" w:hAnsi="Franklin Gothic Book"/>
          <w:sz w:val="21"/>
          <w:szCs w:val="21"/>
          <w:lang w:eastAsia="en-US"/>
        </w:rPr>
        <w:t>.  All initiatives are on track to meet their expected outcomes</w:t>
      </w:r>
      <w:r w:rsidR="00C56270">
        <w:rPr>
          <w:rFonts w:ascii="Franklin Gothic Book" w:eastAsia="Calibri" w:hAnsi="Franklin Gothic Book"/>
          <w:sz w:val="21"/>
          <w:szCs w:val="21"/>
          <w:lang w:eastAsia="en-US"/>
        </w:rPr>
        <w:t xml:space="preserve"> for the reporting period</w:t>
      </w:r>
      <w:r w:rsidRPr="0018251E">
        <w:rPr>
          <w:rFonts w:ascii="Franklin Gothic Book" w:eastAsia="Calibri" w:hAnsi="Franklin Gothic Book"/>
          <w:sz w:val="21"/>
          <w:szCs w:val="21"/>
          <w:lang w:eastAsia="en-US"/>
        </w:rPr>
        <w:t xml:space="preserve">: 11 made strong progress and </w:t>
      </w:r>
      <w:r w:rsidR="00C56270">
        <w:rPr>
          <w:rFonts w:ascii="Franklin Gothic Book" w:eastAsia="Calibri" w:hAnsi="Franklin Gothic Book"/>
          <w:sz w:val="21"/>
          <w:szCs w:val="21"/>
          <w:lang w:eastAsia="en-US"/>
        </w:rPr>
        <w:t xml:space="preserve">5 </w:t>
      </w:r>
      <w:r w:rsidR="000D042D">
        <w:rPr>
          <w:rFonts w:ascii="Franklin Gothic Book" w:eastAsia="Calibri" w:hAnsi="Franklin Gothic Book"/>
          <w:sz w:val="21"/>
          <w:szCs w:val="21"/>
          <w:lang w:eastAsia="en-US"/>
        </w:rPr>
        <w:t xml:space="preserve">made </w:t>
      </w:r>
      <w:r w:rsidRPr="0018251E">
        <w:rPr>
          <w:rFonts w:ascii="Franklin Gothic Book" w:eastAsia="Calibri" w:hAnsi="Franklin Gothic Book"/>
          <w:sz w:val="21"/>
          <w:szCs w:val="21"/>
          <w:lang w:eastAsia="en-US"/>
        </w:rPr>
        <w:t xml:space="preserve">satisfactory progress. </w:t>
      </w:r>
      <w:r w:rsidR="000D042D">
        <w:rPr>
          <w:rFonts w:ascii="Franklin Gothic Book" w:eastAsia="Calibri" w:hAnsi="Franklin Gothic Book"/>
          <w:sz w:val="21"/>
          <w:szCs w:val="21"/>
          <w:lang w:eastAsia="en-US"/>
        </w:rPr>
        <w:t xml:space="preserve"> </w:t>
      </w:r>
    </w:p>
    <w:p w:rsidR="00DD6598" w:rsidRPr="0018251E" w:rsidRDefault="00DD6598" w:rsidP="0018251E">
      <w:pPr>
        <w:spacing w:after="200" w:line="276" w:lineRule="auto"/>
        <w:rPr>
          <w:rFonts w:ascii="Franklin Gothic Book" w:eastAsia="Calibri" w:hAnsi="Franklin Gothic Book"/>
          <w:sz w:val="21"/>
          <w:szCs w:val="21"/>
          <w:lang w:eastAsia="en-US"/>
        </w:rPr>
      </w:pPr>
      <w:r w:rsidRPr="000D042D">
        <w:rPr>
          <w:rFonts w:ascii="Franklin Gothic Book" w:eastAsia="Calibri" w:hAnsi="Franklin Gothic Book"/>
          <w:i/>
          <w:sz w:val="21"/>
          <w:szCs w:val="21"/>
          <w:lang w:eastAsia="en-US"/>
        </w:rPr>
        <w:t>Efficiency</w:t>
      </w:r>
      <w:r w:rsidRPr="0018251E">
        <w:rPr>
          <w:rFonts w:ascii="Franklin Gothic Book" w:eastAsia="Calibri" w:hAnsi="Franklin Gothic Book"/>
          <w:sz w:val="21"/>
          <w:szCs w:val="21"/>
          <w:lang w:eastAsia="en-US"/>
        </w:rPr>
        <w:t xml:space="preserve">.  </w:t>
      </w:r>
      <w:r w:rsidR="00C56270">
        <w:rPr>
          <w:rFonts w:ascii="Franklin Gothic Book" w:eastAsia="Calibri" w:hAnsi="Franklin Gothic Book"/>
          <w:sz w:val="21"/>
          <w:szCs w:val="21"/>
          <w:lang w:eastAsia="en-US"/>
        </w:rPr>
        <w:t>S</w:t>
      </w:r>
      <w:r w:rsidRPr="0018251E">
        <w:rPr>
          <w:rFonts w:ascii="Franklin Gothic Book" w:eastAsia="Calibri" w:hAnsi="Franklin Gothic Book"/>
          <w:sz w:val="21"/>
          <w:szCs w:val="21"/>
          <w:lang w:eastAsia="en-US"/>
        </w:rPr>
        <w:t xml:space="preserve">ix initiatives </w:t>
      </w:r>
      <w:r w:rsidR="00C56270">
        <w:rPr>
          <w:rFonts w:ascii="Franklin Gothic Book" w:eastAsia="Calibri" w:hAnsi="Franklin Gothic Book"/>
          <w:sz w:val="21"/>
          <w:szCs w:val="21"/>
          <w:lang w:eastAsia="en-US"/>
        </w:rPr>
        <w:t xml:space="preserve">were </w:t>
      </w:r>
      <w:r w:rsidRPr="0018251E">
        <w:rPr>
          <w:rFonts w:ascii="Franklin Gothic Book" w:eastAsia="Calibri" w:hAnsi="Franklin Gothic Book"/>
          <w:sz w:val="21"/>
          <w:szCs w:val="21"/>
          <w:lang w:eastAsia="en-US"/>
        </w:rPr>
        <w:t xml:space="preserve">rated as highly efficient and </w:t>
      </w:r>
      <w:r w:rsidR="00DB46D0">
        <w:rPr>
          <w:rFonts w:ascii="Franklin Gothic Book" w:eastAsia="Calibri" w:hAnsi="Franklin Gothic Book"/>
          <w:sz w:val="21"/>
          <w:szCs w:val="21"/>
          <w:lang w:eastAsia="en-US"/>
        </w:rPr>
        <w:t>eight</w:t>
      </w:r>
      <w:r w:rsidR="00C56270">
        <w:rPr>
          <w:rFonts w:ascii="Franklin Gothic Book" w:eastAsia="Calibri" w:hAnsi="Franklin Gothic Book"/>
          <w:sz w:val="21"/>
          <w:szCs w:val="21"/>
          <w:lang w:eastAsia="en-US"/>
        </w:rPr>
        <w:t xml:space="preserve"> achieved </w:t>
      </w:r>
      <w:r w:rsidRPr="0018251E">
        <w:rPr>
          <w:rFonts w:ascii="Franklin Gothic Book" w:eastAsia="Calibri" w:hAnsi="Franklin Gothic Book"/>
          <w:sz w:val="21"/>
          <w:szCs w:val="21"/>
          <w:lang w:eastAsia="en-US"/>
        </w:rPr>
        <w:t xml:space="preserve">a satisfactory rating.  </w:t>
      </w:r>
      <w:r w:rsidR="000A30BB">
        <w:rPr>
          <w:rFonts w:ascii="Franklin Gothic Book" w:eastAsia="Calibri" w:hAnsi="Franklin Gothic Book"/>
          <w:sz w:val="21"/>
          <w:szCs w:val="21"/>
          <w:lang w:eastAsia="en-US"/>
        </w:rPr>
        <w:t>Two initiatives (</w:t>
      </w:r>
      <w:r w:rsidR="000A30BB" w:rsidRPr="0018251E">
        <w:rPr>
          <w:rFonts w:ascii="Franklin Gothic Book" w:eastAsia="Calibri" w:hAnsi="Franklin Gothic Book"/>
          <w:sz w:val="21"/>
          <w:szCs w:val="21"/>
          <w:lang w:eastAsia="en-US"/>
        </w:rPr>
        <w:t>Social Protection</w:t>
      </w:r>
      <w:r w:rsidR="000A30BB">
        <w:rPr>
          <w:rFonts w:ascii="Franklin Gothic Book" w:eastAsia="Calibri" w:hAnsi="Franklin Gothic Book"/>
          <w:sz w:val="21"/>
          <w:szCs w:val="21"/>
          <w:lang w:eastAsia="en-US"/>
        </w:rPr>
        <w:t xml:space="preserve"> Initiative</w:t>
      </w:r>
      <w:r w:rsidR="000A30BB" w:rsidRPr="0018251E">
        <w:rPr>
          <w:rFonts w:ascii="Franklin Gothic Book" w:eastAsia="Calibri" w:hAnsi="Franklin Gothic Book"/>
          <w:sz w:val="21"/>
          <w:szCs w:val="21"/>
          <w:lang w:eastAsia="en-US"/>
        </w:rPr>
        <w:t xml:space="preserve"> and UN Maternal and Neonatal Mortality Reduction</w:t>
      </w:r>
      <w:r w:rsidR="000A30BB">
        <w:rPr>
          <w:rFonts w:ascii="Franklin Gothic Book" w:eastAsia="Calibri" w:hAnsi="Franklin Gothic Book"/>
          <w:sz w:val="21"/>
          <w:szCs w:val="21"/>
          <w:lang w:eastAsia="en-US"/>
        </w:rPr>
        <w:t>)</w:t>
      </w:r>
      <w:r w:rsidR="000A30BB" w:rsidRPr="0018251E">
        <w:rPr>
          <w:rFonts w:ascii="Franklin Gothic Book" w:eastAsia="Calibri" w:hAnsi="Franklin Gothic Book"/>
          <w:sz w:val="21"/>
          <w:szCs w:val="21"/>
          <w:lang w:eastAsia="en-US"/>
        </w:rPr>
        <w:t xml:space="preserve"> were rated as unsatisfactory</w:t>
      </w:r>
      <w:r w:rsidRPr="0018251E">
        <w:rPr>
          <w:rFonts w:ascii="Franklin Gothic Book" w:eastAsia="Calibri" w:hAnsi="Franklin Gothic Book"/>
          <w:sz w:val="21"/>
          <w:szCs w:val="21"/>
          <w:lang w:eastAsia="en-US"/>
        </w:rPr>
        <w:t xml:space="preserve">. </w:t>
      </w:r>
      <w:r w:rsidR="000D042D">
        <w:rPr>
          <w:rFonts w:ascii="Franklin Gothic Book" w:eastAsia="Calibri" w:hAnsi="Franklin Gothic Book"/>
          <w:sz w:val="21"/>
          <w:szCs w:val="21"/>
          <w:lang w:eastAsia="en-US"/>
        </w:rPr>
        <w:t xml:space="preserve"> </w:t>
      </w:r>
      <w:r w:rsidR="00C56270">
        <w:rPr>
          <w:rFonts w:ascii="Franklin Gothic Book" w:eastAsia="Calibri" w:hAnsi="Franklin Gothic Book"/>
          <w:sz w:val="21"/>
          <w:szCs w:val="21"/>
          <w:lang w:eastAsia="en-US"/>
        </w:rPr>
        <w:t xml:space="preserve">The Social Protection initiative, in particular, </w:t>
      </w:r>
      <w:r w:rsidRPr="0018251E">
        <w:rPr>
          <w:rFonts w:ascii="Franklin Gothic Book" w:eastAsia="Calibri" w:hAnsi="Franklin Gothic Book"/>
          <w:sz w:val="21"/>
          <w:szCs w:val="21"/>
          <w:lang w:eastAsia="en-US"/>
        </w:rPr>
        <w:t xml:space="preserve">was </w:t>
      </w:r>
      <w:r w:rsidR="000D042D">
        <w:rPr>
          <w:rFonts w:ascii="Franklin Gothic Book" w:eastAsia="Calibri" w:hAnsi="Franklin Gothic Book"/>
          <w:sz w:val="21"/>
          <w:szCs w:val="21"/>
          <w:lang w:eastAsia="en-US"/>
        </w:rPr>
        <w:t xml:space="preserve">originally </w:t>
      </w:r>
      <w:r w:rsidRPr="0018251E">
        <w:rPr>
          <w:rFonts w:ascii="Franklin Gothic Book" w:eastAsia="Calibri" w:hAnsi="Franklin Gothic Book"/>
          <w:sz w:val="21"/>
          <w:szCs w:val="21"/>
          <w:lang w:eastAsia="en-US"/>
        </w:rPr>
        <w:t xml:space="preserve">set up as a cluster of </w:t>
      </w:r>
      <w:r w:rsidR="000D042D">
        <w:rPr>
          <w:rFonts w:ascii="Franklin Gothic Book" w:eastAsia="Calibri" w:hAnsi="Franklin Gothic Book"/>
          <w:sz w:val="21"/>
          <w:szCs w:val="21"/>
          <w:lang w:eastAsia="en-US"/>
        </w:rPr>
        <w:t xml:space="preserve">separate </w:t>
      </w:r>
      <w:r w:rsidRPr="0018251E">
        <w:rPr>
          <w:rFonts w:ascii="Franklin Gothic Book" w:eastAsia="Calibri" w:hAnsi="Franklin Gothic Book"/>
          <w:sz w:val="21"/>
          <w:szCs w:val="21"/>
          <w:lang w:eastAsia="en-US"/>
        </w:rPr>
        <w:t>activities,</w:t>
      </w:r>
      <w:r w:rsidR="000D042D">
        <w:rPr>
          <w:rFonts w:ascii="Franklin Gothic Book" w:eastAsia="Calibri" w:hAnsi="Franklin Gothic Book"/>
          <w:sz w:val="21"/>
          <w:szCs w:val="21"/>
          <w:lang w:eastAsia="en-US"/>
        </w:rPr>
        <w:t xml:space="preserve"> </w:t>
      </w:r>
      <w:r w:rsidR="00C56270">
        <w:rPr>
          <w:rFonts w:ascii="Franklin Gothic Book" w:eastAsia="Calibri" w:hAnsi="Franklin Gothic Book"/>
          <w:sz w:val="21"/>
          <w:szCs w:val="21"/>
          <w:lang w:eastAsia="en-US"/>
        </w:rPr>
        <w:t>with high administrative overheads</w:t>
      </w:r>
      <w:r w:rsidR="000D042D">
        <w:rPr>
          <w:rFonts w:ascii="Franklin Gothic Book" w:eastAsia="Calibri" w:hAnsi="Franklin Gothic Book"/>
          <w:sz w:val="21"/>
          <w:szCs w:val="21"/>
          <w:lang w:eastAsia="en-US"/>
        </w:rPr>
        <w:t xml:space="preserve">. </w:t>
      </w:r>
      <w:r w:rsidR="00FE295D">
        <w:rPr>
          <w:rFonts w:ascii="Franklin Gothic Book" w:eastAsia="Calibri" w:hAnsi="Franklin Gothic Book"/>
          <w:sz w:val="21"/>
          <w:szCs w:val="21"/>
          <w:lang w:eastAsia="en-US"/>
        </w:rPr>
        <w:t>T</w:t>
      </w:r>
      <w:r w:rsidRPr="0018251E">
        <w:rPr>
          <w:rFonts w:ascii="Franklin Gothic Book" w:eastAsia="Calibri" w:hAnsi="Franklin Gothic Book"/>
          <w:sz w:val="21"/>
          <w:szCs w:val="21"/>
          <w:lang w:eastAsia="en-US"/>
        </w:rPr>
        <w:t xml:space="preserve">he UNDP implemented </w:t>
      </w:r>
      <w:r w:rsidR="00C56270">
        <w:rPr>
          <w:rFonts w:ascii="Franklin Gothic Book" w:eastAsia="Calibri" w:hAnsi="Franklin Gothic Book"/>
          <w:sz w:val="21"/>
          <w:szCs w:val="21"/>
          <w:lang w:eastAsia="en-US"/>
        </w:rPr>
        <w:t xml:space="preserve">Maternal and Neonatal Mortality Reduction had </w:t>
      </w:r>
      <w:r w:rsidRPr="0018251E">
        <w:rPr>
          <w:rFonts w:ascii="Franklin Gothic Book" w:eastAsia="Calibri" w:hAnsi="Franklin Gothic Book"/>
          <w:sz w:val="21"/>
          <w:szCs w:val="21"/>
          <w:lang w:eastAsia="en-US"/>
        </w:rPr>
        <w:t xml:space="preserve">significant </w:t>
      </w:r>
      <w:r w:rsidR="00C56270">
        <w:rPr>
          <w:rFonts w:ascii="Franklin Gothic Book" w:eastAsia="Calibri" w:hAnsi="Franklin Gothic Book"/>
          <w:sz w:val="21"/>
          <w:szCs w:val="21"/>
          <w:lang w:eastAsia="en-US"/>
        </w:rPr>
        <w:t xml:space="preserve">implementation </w:t>
      </w:r>
      <w:r w:rsidRPr="0018251E">
        <w:rPr>
          <w:rFonts w:ascii="Franklin Gothic Book" w:eastAsia="Calibri" w:hAnsi="Franklin Gothic Book"/>
          <w:sz w:val="21"/>
          <w:szCs w:val="21"/>
          <w:lang w:eastAsia="en-US"/>
        </w:rPr>
        <w:t xml:space="preserve">delays </w:t>
      </w:r>
      <w:r w:rsidR="000C5D34">
        <w:rPr>
          <w:rFonts w:ascii="Franklin Gothic Book" w:eastAsia="Calibri" w:hAnsi="Franklin Gothic Book"/>
          <w:sz w:val="21"/>
          <w:szCs w:val="21"/>
          <w:lang w:eastAsia="en-US"/>
        </w:rPr>
        <w:t xml:space="preserve">over </w:t>
      </w:r>
      <w:r w:rsidR="000D042D">
        <w:rPr>
          <w:rFonts w:ascii="Franklin Gothic Book" w:eastAsia="Calibri" w:hAnsi="Franklin Gothic Book"/>
          <w:sz w:val="21"/>
          <w:szCs w:val="21"/>
          <w:lang w:eastAsia="en-US"/>
        </w:rPr>
        <w:t xml:space="preserve">the reporting </w:t>
      </w:r>
      <w:r w:rsidRPr="0018251E">
        <w:rPr>
          <w:rFonts w:ascii="Franklin Gothic Book" w:eastAsia="Calibri" w:hAnsi="Franklin Gothic Book"/>
          <w:sz w:val="21"/>
          <w:szCs w:val="21"/>
          <w:lang w:eastAsia="en-US"/>
        </w:rPr>
        <w:t>period.</w:t>
      </w:r>
      <w:r w:rsidR="00C56270">
        <w:rPr>
          <w:rFonts w:ascii="Franklin Gothic Book" w:eastAsia="Calibri" w:hAnsi="Franklin Gothic Book"/>
          <w:sz w:val="21"/>
          <w:szCs w:val="21"/>
          <w:lang w:eastAsia="en-US"/>
        </w:rPr>
        <w:t xml:space="preserve">  Addressing these issues will be a </w:t>
      </w:r>
      <w:r w:rsidR="00DB46D0">
        <w:rPr>
          <w:rFonts w:ascii="Franklin Gothic Book" w:eastAsia="Calibri" w:hAnsi="Franklin Gothic Book"/>
          <w:sz w:val="21"/>
          <w:szCs w:val="21"/>
          <w:lang w:eastAsia="en-US"/>
        </w:rPr>
        <w:t>priority</w:t>
      </w:r>
      <w:r w:rsidR="00C56270">
        <w:rPr>
          <w:rFonts w:ascii="Franklin Gothic Book" w:eastAsia="Calibri" w:hAnsi="Franklin Gothic Book"/>
          <w:sz w:val="21"/>
          <w:szCs w:val="21"/>
          <w:lang w:eastAsia="en-US"/>
        </w:rPr>
        <w:t xml:space="preserve"> for the year ahead.</w:t>
      </w:r>
    </w:p>
    <w:p w:rsidR="00C51076" w:rsidRPr="0018251E" w:rsidRDefault="00C51076" w:rsidP="00C51076">
      <w:pPr>
        <w:spacing w:after="200" w:line="276" w:lineRule="auto"/>
        <w:rPr>
          <w:rFonts w:ascii="Franklin Gothic Book" w:eastAsia="Calibri" w:hAnsi="Franklin Gothic Book"/>
          <w:sz w:val="21"/>
          <w:szCs w:val="21"/>
          <w:lang w:eastAsia="en-US"/>
        </w:rPr>
      </w:pPr>
      <w:r w:rsidRPr="00C51076">
        <w:rPr>
          <w:rFonts w:ascii="Franklin Gothic Book" w:eastAsia="Calibri" w:hAnsi="Franklin Gothic Book"/>
          <w:i/>
          <w:sz w:val="21"/>
          <w:szCs w:val="21"/>
          <w:lang w:eastAsia="en-US"/>
        </w:rPr>
        <w:t>Monitoring and evaluation systems</w:t>
      </w:r>
      <w:r w:rsidRPr="0018251E">
        <w:rPr>
          <w:rFonts w:ascii="Franklin Gothic Book" w:eastAsia="Calibri" w:hAnsi="Franklin Gothic Book"/>
          <w:sz w:val="21"/>
          <w:szCs w:val="21"/>
          <w:lang w:eastAsia="en-US"/>
        </w:rPr>
        <w:t xml:space="preserve">.  </w:t>
      </w:r>
      <w:r w:rsidR="006D46CA">
        <w:rPr>
          <w:rFonts w:ascii="Franklin Gothic Book" w:eastAsia="Calibri" w:hAnsi="Franklin Gothic Book"/>
          <w:sz w:val="21"/>
          <w:szCs w:val="21"/>
          <w:lang w:eastAsia="en-US"/>
        </w:rPr>
        <w:t>S</w:t>
      </w:r>
      <w:r w:rsidRPr="0018251E">
        <w:rPr>
          <w:rFonts w:ascii="Franklin Gothic Book" w:eastAsia="Calibri" w:hAnsi="Franklin Gothic Book"/>
          <w:sz w:val="21"/>
          <w:szCs w:val="21"/>
          <w:lang w:eastAsia="en-US"/>
        </w:rPr>
        <w:t xml:space="preserve">ix initiatives </w:t>
      </w:r>
      <w:r w:rsidR="006D46CA">
        <w:rPr>
          <w:rFonts w:ascii="Franklin Gothic Book" w:eastAsia="Calibri" w:hAnsi="Franklin Gothic Book"/>
          <w:sz w:val="21"/>
          <w:szCs w:val="21"/>
          <w:lang w:eastAsia="en-US"/>
        </w:rPr>
        <w:t xml:space="preserve">were found </w:t>
      </w:r>
      <w:r w:rsidR="007B62BE">
        <w:rPr>
          <w:rFonts w:ascii="Franklin Gothic Book" w:eastAsia="Calibri" w:hAnsi="Franklin Gothic Book"/>
          <w:sz w:val="21"/>
          <w:szCs w:val="21"/>
          <w:lang w:eastAsia="en-US"/>
        </w:rPr>
        <w:t xml:space="preserve">to have </w:t>
      </w:r>
      <w:r w:rsidRPr="0018251E">
        <w:rPr>
          <w:rFonts w:ascii="Franklin Gothic Book" w:eastAsia="Calibri" w:hAnsi="Franklin Gothic Book"/>
          <w:sz w:val="21"/>
          <w:szCs w:val="21"/>
          <w:lang w:eastAsia="en-US"/>
        </w:rPr>
        <w:t xml:space="preserve">highly appropriate </w:t>
      </w:r>
      <w:r w:rsidR="006D46CA">
        <w:rPr>
          <w:rFonts w:ascii="Franklin Gothic Book" w:eastAsia="Calibri" w:hAnsi="Franklin Gothic Book"/>
          <w:sz w:val="21"/>
          <w:szCs w:val="21"/>
          <w:lang w:eastAsia="en-US"/>
        </w:rPr>
        <w:t xml:space="preserve">M&amp;E </w:t>
      </w:r>
      <w:r w:rsidRPr="0018251E">
        <w:rPr>
          <w:rFonts w:ascii="Franklin Gothic Book" w:eastAsia="Calibri" w:hAnsi="Franklin Gothic Book"/>
          <w:sz w:val="21"/>
          <w:szCs w:val="21"/>
          <w:lang w:eastAsia="en-US"/>
        </w:rPr>
        <w:t xml:space="preserve">systems, and </w:t>
      </w:r>
      <w:r w:rsidR="00DB46D0">
        <w:rPr>
          <w:rFonts w:ascii="Franklin Gothic Book" w:eastAsia="Calibri" w:hAnsi="Franklin Gothic Book"/>
          <w:sz w:val="21"/>
          <w:szCs w:val="21"/>
          <w:lang w:eastAsia="en-US"/>
        </w:rPr>
        <w:t xml:space="preserve">eight </w:t>
      </w:r>
      <w:r w:rsidR="006D46CA">
        <w:rPr>
          <w:rFonts w:ascii="Franklin Gothic Book" w:eastAsia="Calibri" w:hAnsi="Franklin Gothic Book"/>
          <w:sz w:val="21"/>
          <w:szCs w:val="21"/>
          <w:lang w:eastAsia="en-US"/>
        </w:rPr>
        <w:t xml:space="preserve">were found to have </w:t>
      </w:r>
      <w:r w:rsidRPr="0018251E">
        <w:rPr>
          <w:rFonts w:ascii="Franklin Gothic Book" w:eastAsia="Calibri" w:hAnsi="Franklin Gothic Book"/>
          <w:sz w:val="21"/>
          <w:szCs w:val="21"/>
          <w:lang w:eastAsia="en-US"/>
        </w:rPr>
        <w:t xml:space="preserve">satisfactory rating. </w:t>
      </w:r>
      <w:r w:rsidR="007B62BE">
        <w:rPr>
          <w:rFonts w:ascii="Franklin Gothic Book" w:eastAsia="Calibri" w:hAnsi="Franklin Gothic Book"/>
          <w:sz w:val="21"/>
          <w:szCs w:val="21"/>
          <w:lang w:eastAsia="en-US"/>
        </w:rPr>
        <w:t>T</w:t>
      </w:r>
      <w:r w:rsidRPr="0018251E">
        <w:rPr>
          <w:rFonts w:ascii="Franklin Gothic Book" w:eastAsia="Calibri" w:hAnsi="Franklin Gothic Book"/>
          <w:sz w:val="21"/>
          <w:szCs w:val="21"/>
          <w:lang w:eastAsia="en-US"/>
        </w:rPr>
        <w:t>wo initiatives</w:t>
      </w:r>
      <w:r w:rsidR="007B62BE">
        <w:rPr>
          <w:rFonts w:ascii="Franklin Gothic Book" w:eastAsia="Calibri" w:hAnsi="Franklin Gothic Book"/>
          <w:sz w:val="21"/>
          <w:szCs w:val="21"/>
          <w:lang w:eastAsia="en-US"/>
        </w:rPr>
        <w:t xml:space="preserve"> reported </w:t>
      </w:r>
      <w:r w:rsidRPr="0018251E">
        <w:rPr>
          <w:rFonts w:ascii="Franklin Gothic Book" w:eastAsia="Calibri" w:hAnsi="Franklin Gothic Book"/>
          <w:sz w:val="21"/>
          <w:szCs w:val="21"/>
          <w:lang w:eastAsia="en-US"/>
        </w:rPr>
        <w:t xml:space="preserve">M&amp;E systems are unsatisfactory </w:t>
      </w:r>
      <w:r w:rsidR="007B62BE">
        <w:rPr>
          <w:rFonts w:ascii="Franklin Gothic Book" w:eastAsia="Calibri" w:hAnsi="Franklin Gothic Book"/>
          <w:sz w:val="21"/>
          <w:szCs w:val="21"/>
          <w:lang w:eastAsia="en-US"/>
        </w:rPr>
        <w:t xml:space="preserve">due to unreliability </w:t>
      </w:r>
      <w:r w:rsidRPr="0018251E">
        <w:rPr>
          <w:rFonts w:ascii="Franklin Gothic Book" w:eastAsia="Calibri" w:hAnsi="Franklin Gothic Book"/>
          <w:sz w:val="21"/>
          <w:szCs w:val="21"/>
          <w:lang w:eastAsia="en-US"/>
        </w:rPr>
        <w:t xml:space="preserve">and </w:t>
      </w:r>
      <w:r w:rsidR="007B62BE">
        <w:rPr>
          <w:rFonts w:ascii="Franklin Gothic Book" w:eastAsia="Calibri" w:hAnsi="Franklin Gothic Book"/>
          <w:sz w:val="21"/>
          <w:szCs w:val="21"/>
          <w:lang w:eastAsia="en-US"/>
        </w:rPr>
        <w:t>poor timeliness of data</w:t>
      </w:r>
      <w:r w:rsidRPr="0018251E">
        <w:rPr>
          <w:rFonts w:ascii="Franklin Gothic Book" w:eastAsia="Calibri" w:hAnsi="Franklin Gothic Book"/>
          <w:sz w:val="21"/>
          <w:szCs w:val="21"/>
          <w:lang w:eastAsia="en-US"/>
        </w:rPr>
        <w:t>.</w:t>
      </w:r>
    </w:p>
    <w:p w:rsidR="00DD6598" w:rsidRPr="0018251E" w:rsidRDefault="00DD6598" w:rsidP="0018251E">
      <w:pPr>
        <w:spacing w:after="200" w:line="276" w:lineRule="auto"/>
        <w:rPr>
          <w:rFonts w:ascii="Franklin Gothic Book" w:eastAsia="Calibri" w:hAnsi="Franklin Gothic Book"/>
          <w:sz w:val="21"/>
          <w:szCs w:val="21"/>
          <w:lang w:eastAsia="en-US"/>
        </w:rPr>
      </w:pPr>
      <w:r w:rsidRPr="00C51076">
        <w:rPr>
          <w:rFonts w:ascii="Franklin Gothic Book" w:eastAsia="Calibri" w:hAnsi="Franklin Gothic Book"/>
          <w:i/>
          <w:sz w:val="21"/>
          <w:szCs w:val="21"/>
          <w:lang w:eastAsia="en-US"/>
        </w:rPr>
        <w:t>Gender equality</w:t>
      </w:r>
      <w:r w:rsidRPr="0018251E">
        <w:rPr>
          <w:rFonts w:ascii="Franklin Gothic Book" w:eastAsia="Calibri" w:hAnsi="Franklin Gothic Book"/>
          <w:sz w:val="21"/>
          <w:szCs w:val="21"/>
          <w:lang w:eastAsia="en-US"/>
        </w:rPr>
        <w:t>.  The integration of appropriate strategies to advance gender equality and promote women’s empowerment was rated highly for 12 initiatives and satisfactory for one initiative. However</w:t>
      </w:r>
      <w:r w:rsidR="008E55BE">
        <w:rPr>
          <w:rFonts w:ascii="Franklin Gothic Book" w:eastAsia="Calibri" w:hAnsi="Franklin Gothic Book"/>
          <w:sz w:val="21"/>
          <w:szCs w:val="21"/>
          <w:lang w:eastAsia="en-US"/>
        </w:rPr>
        <w:t>,</w:t>
      </w:r>
      <w:r w:rsidRPr="0018251E">
        <w:rPr>
          <w:rFonts w:ascii="Franklin Gothic Book" w:eastAsia="Calibri" w:hAnsi="Franklin Gothic Book"/>
          <w:sz w:val="21"/>
          <w:szCs w:val="21"/>
          <w:lang w:eastAsia="en-US"/>
        </w:rPr>
        <w:t xml:space="preserve"> </w:t>
      </w:r>
      <w:r w:rsidR="00DB46D0">
        <w:rPr>
          <w:rFonts w:ascii="Franklin Gothic Book" w:eastAsia="Calibri" w:hAnsi="Franklin Gothic Book"/>
          <w:sz w:val="21"/>
          <w:szCs w:val="21"/>
          <w:lang w:eastAsia="en-US"/>
        </w:rPr>
        <w:t>three</w:t>
      </w:r>
      <w:r w:rsidR="000A30BB">
        <w:rPr>
          <w:rFonts w:ascii="Franklin Gothic Book" w:eastAsia="Calibri" w:hAnsi="Franklin Gothic Book"/>
          <w:sz w:val="21"/>
          <w:szCs w:val="21"/>
          <w:lang w:eastAsia="en-US"/>
        </w:rPr>
        <w:t xml:space="preserve"> </w:t>
      </w:r>
      <w:r w:rsidRPr="0018251E">
        <w:rPr>
          <w:rFonts w:ascii="Franklin Gothic Book" w:eastAsia="Calibri" w:hAnsi="Franklin Gothic Book"/>
          <w:sz w:val="21"/>
          <w:szCs w:val="21"/>
          <w:lang w:eastAsia="en-US"/>
        </w:rPr>
        <w:t>initiatives do not have appropriate strate</w:t>
      </w:r>
      <w:r w:rsidR="006D46CA">
        <w:rPr>
          <w:rFonts w:ascii="Franklin Gothic Book" w:eastAsia="Calibri" w:hAnsi="Franklin Gothic Book"/>
          <w:sz w:val="21"/>
          <w:szCs w:val="21"/>
          <w:lang w:eastAsia="en-US"/>
        </w:rPr>
        <w:t>gies to advance gender equality and this will need to be addressed</w:t>
      </w:r>
      <w:r w:rsidR="00FE295D">
        <w:rPr>
          <w:rFonts w:ascii="Franklin Gothic Book" w:eastAsia="Calibri" w:hAnsi="Franklin Gothic Book"/>
          <w:sz w:val="21"/>
          <w:szCs w:val="21"/>
          <w:lang w:eastAsia="en-US"/>
        </w:rPr>
        <w:t xml:space="preserve"> in the upcoming year</w:t>
      </w:r>
      <w:r w:rsidR="006D46CA">
        <w:rPr>
          <w:rFonts w:ascii="Franklin Gothic Book" w:eastAsia="Calibri" w:hAnsi="Franklin Gothic Book"/>
          <w:sz w:val="21"/>
          <w:szCs w:val="21"/>
          <w:lang w:eastAsia="en-US"/>
        </w:rPr>
        <w:t>.</w:t>
      </w:r>
    </w:p>
    <w:p w:rsidR="00BF243B" w:rsidRDefault="00DD6598" w:rsidP="0018251E">
      <w:pPr>
        <w:spacing w:after="200" w:line="276" w:lineRule="auto"/>
        <w:rPr>
          <w:rFonts w:ascii="Franklin Gothic Book" w:eastAsia="Calibri" w:hAnsi="Franklin Gothic Book"/>
          <w:sz w:val="21"/>
          <w:szCs w:val="21"/>
          <w:lang w:eastAsia="en-US"/>
        </w:rPr>
      </w:pPr>
      <w:r w:rsidRPr="00A730D6">
        <w:rPr>
          <w:rFonts w:ascii="Franklin Gothic Book" w:eastAsia="Calibri" w:hAnsi="Franklin Gothic Book"/>
          <w:i/>
          <w:sz w:val="21"/>
          <w:szCs w:val="21"/>
          <w:lang w:eastAsia="en-US"/>
        </w:rPr>
        <w:t>Sustainability</w:t>
      </w:r>
      <w:r w:rsidR="00EF1A28" w:rsidRPr="0018251E">
        <w:rPr>
          <w:rFonts w:ascii="Franklin Gothic Book" w:eastAsia="Calibri" w:hAnsi="Franklin Gothic Book"/>
          <w:sz w:val="21"/>
          <w:szCs w:val="21"/>
          <w:lang w:eastAsia="en-US"/>
        </w:rPr>
        <w:t xml:space="preserve">.  </w:t>
      </w:r>
      <w:r w:rsidRPr="0018251E">
        <w:rPr>
          <w:rFonts w:ascii="Franklin Gothic Book" w:eastAsia="Calibri" w:hAnsi="Franklin Gothic Book"/>
          <w:sz w:val="21"/>
          <w:szCs w:val="21"/>
          <w:lang w:eastAsia="en-US"/>
        </w:rPr>
        <w:t>All initiatives are well positioned to ensure that benefits will endure: 14 initiatives have demonstrated high levels of ownership and use of local</w:t>
      </w:r>
      <w:r w:rsidR="00A730D6">
        <w:rPr>
          <w:rFonts w:ascii="Franklin Gothic Book" w:eastAsia="Calibri" w:hAnsi="Franklin Gothic Book"/>
          <w:sz w:val="21"/>
          <w:szCs w:val="21"/>
          <w:lang w:eastAsia="en-US"/>
        </w:rPr>
        <w:t xml:space="preserve"> sy</w:t>
      </w:r>
      <w:r w:rsidR="00F32CF6">
        <w:rPr>
          <w:rFonts w:ascii="Franklin Gothic Book" w:eastAsia="Calibri" w:hAnsi="Franklin Gothic Book"/>
          <w:sz w:val="21"/>
          <w:szCs w:val="21"/>
          <w:lang w:eastAsia="en-US"/>
        </w:rPr>
        <w:t>s</w:t>
      </w:r>
      <w:r w:rsidR="00A730D6">
        <w:rPr>
          <w:rFonts w:ascii="Franklin Gothic Book" w:eastAsia="Calibri" w:hAnsi="Franklin Gothic Book"/>
          <w:sz w:val="21"/>
          <w:szCs w:val="21"/>
          <w:lang w:eastAsia="en-US"/>
        </w:rPr>
        <w:t>tems</w:t>
      </w:r>
      <w:r w:rsidRPr="0018251E">
        <w:rPr>
          <w:rFonts w:ascii="Franklin Gothic Book" w:eastAsia="Calibri" w:hAnsi="Franklin Gothic Book"/>
          <w:sz w:val="21"/>
          <w:szCs w:val="21"/>
          <w:lang w:eastAsia="en-US"/>
        </w:rPr>
        <w:t xml:space="preserve">; and two initiatives are mostly sustainable but require more </w:t>
      </w:r>
      <w:r w:rsidR="006D46CA">
        <w:rPr>
          <w:rFonts w:ascii="Franklin Gothic Book" w:eastAsia="Calibri" w:hAnsi="Franklin Gothic Book"/>
          <w:sz w:val="21"/>
          <w:szCs w:val="21"/>
          <w:lang w:eastAsia="en-US"/>
        </w:rPr>
        <w:t xml:space="preserve">focus on </w:t>
      </w:r>
      <w:r w:rsidRPr="0018251E">
        <w:rPr>
          <w:rFonts w:ascii="Franklin Gothic Book" w:eastAsia="Calibri" w:hAnsi="Franklin Gothic Book"/>
          <w:sz w:val="21"/>
          <w:szCs w:val="21"/>
          <w:lang w:eastAsia="en-US"/>
        </w:rPr>
        <w:t>behavioural change.</w:t>
      </w:r>
    </w:p>
    <w:p w:rsidR="000D733F" w:rsidRDefault="000D733F" w:rsidP="00C00586">
      <w:pPr>
        <w:pStyle w:val="Heading3"/>
      </w:pPr>
      <w:r w:rsidRPr="009467D2">
        <w:t xml:space="preserve">Performance </w:t>
      </w:r>
      <w:r w:rsidR="004F4630" w:rsidRPr="009467D2">
        <w:t>of key delivery partners</w:t>
      </w:r>
    </w:p>
    <w:p w:rsidR="009467D2" w:rsidRPr="009467D2" w:rsidRDefault="009467D2" w:rsidP="009467D2">
      <w:pPr>
        <w:spacing w:after="200" w:line="276" w:lineRule="auto"/>
        <w:rPr>
          <w:rFonts w:ascii="Franklin Gothic Book" w:eastAsia="Calibri" w:hAnsi="Franklin Gothic Book"/>
          <w:sz w:val="21"/>
          <w:szCs w:val="21"/>
          <w:lang w:eastAsia="en-US"/>
        </w:rPr>
      </w:pPr>
      <w:r w:rsidRPr="009467D2">
        <w:rPr>
          <w:rFonts w:ascii="Franklin Gothic Book" w:eastAsia="Calibri" w:hAnsi="Franklin Gothic Book"/>
          <w:sz w:val="21"/>
          <w:szCs w:val="21"/>
          <w:lang w:eastAsia="en-US"/>
        </w:rPr>
        <w:t xml:space="preserve">The </w:t>
      </w:r>
      <w:r w:rsidR="004B5B8F">
        <w:rPr>
          <w:rFonts w:ascii="Franklin Gothic Book" w:eastAsia="Calibri" w:hAnsi="Franklin Gothic Book"/>
          <w:sz w:val="21"/>
          <w:szCs w:val="21"/>
          <w:lang w:eastAsia="en-US"/>
        </w:rPr>
        <w:t>Philippine Government</w:t>
      </w:r>
      <w:r w:rsidRPr="009467D2">
        <w:rPr>
          <w:rFonts w:ascii="Franklin Gothic Book" w:eastAsia="Calibri" w:hAnsi="Franklin Gothic Book"/>
          <w:sz w:val="21"/>
          <w:szCs w:val="21"/>
          <w:lang w:eastAsia="en-US"/>
        </w:rPr>
        <w:t xml:space="preserve"> is the principal partner of Australia in implementing the aid program in agreed areas of strategic priority.  We regularly engage with the National Economic Development Authorit</w:t>
      </w:r>
      <w:r w:rsidR="00D66D8C">
        <w:rPr>
          <w:rFonts w:ascii="Franklin Gothic Book" w:eastAsia="Calibri" w:hAnsi="Franklin Gothic Book"/>
          <w:sz w:val="21"/>
          <w:szCs w:val="21"/>
          <w:lang w:eastAsia="en-US"/>
        </w:rPr>
        <w:t>y (NEDA) at the strategic level</w:t>
      </w:r>
      <w:r w:rsidRPr="009467D2">
        <w:rPr>
          <w:rFonts w:ascii="Franklin Gothic Book" w:eastAsia="Calibri" w:hAnsi="Franklin Gothic Book"/>
          <w:sz w:val="21"/>
          <w:szCs w:val="21"/>
          <w:lang w:eastAsia="en-US"/>
        </w:rPr>
        <w:t xml:space="preserve"> to confirm that Australia’s priorities remain aligned with and contribute to the development agenda of the Philippines.  The performance of Australia’s counterpart government agencies in delivering on the Statement of Commitment are presented in the Mutual Obligations section.</w:t>
      </w:r>
      <w:r w:rsidR="00AA2314">
        <w:rPr>
          <w:rFonts w:ascii="Franklin Gothic Book" w:eastAsia="Calibri" w:hAnsi="Franklin Gothic Book"/>
          <w:sz w:val="21"/>
          <w:szCs w:val="21"/>
          <w:lang w:eastAsia="en-US"/>
        </w:rPr>
        <w:t xml:space="preserve">  </w:t>
      </w:r>
      <w:r w:rsidRPr="009467D2">
        <w:rPr>
          <w:rFonts w:ascii="Franklin Gothic Book" w:eastAsia="Calibri" w:hAnsi="Franklin Gothic Book"/>
          <w:sz w:val="21"/>
          <w:szCs w:val="21"/>
          <w:lang w:eastAsia="en-US"/>
        </w:rPr>
        <w:t xml:space="preserve">Complementing our core partnership with </w:t>
      </w:r>
      <w:r w:rsidR="004B5B8F">
        <w:rPr>
          <w:rFonts w:ascii="Franklin Gothic Book" w:eastAsia="Calibri" w:hAnsi="Franklin Gothic Book"/>
          <w:sz w:val="21"/>
          <w:szCs w:val="21"/>
          <w:lang w:eastAsia="en-US"/>
        </w:rPr>
        <w:t>Philippine Government</w:t>
      </w:r>
      <w:r w:rsidRPr="009467D2">
        <w:rPr>
          <w:rFonts w:ascii="Franklin Gothic Book" w:eastAsia="Calibri" w:hAnsi="Franklin Gothic Book"/>
          <w:sz w:val="21"/>
          <w:szCs w:val="21"/>
          <w:lang w:eastAsia="en-US"/>
        </w:rPr>
        <w:t xml:space="preserve"> agencies, are the partnerships with multilateral organisations and international NGOs that provide complementary technical and analytical support to Australia’s aid program.  </w:t>
      </w:r>
    </w:p>
    <w:p w:rsidR="009467D2" w:rsidRPr="009467D2" w:rsidRDefault="009467D2" w:rsidP="009467D2">
      <w:pPr>
        <w:spacing w:after="200" w:line="276" w:lineRule="auto"/>
        <w:rPr>
          <w:rFonts w:ascii="Franklin Gothic Book" w:eastAsia="Calibri" w:hAnsi="Franklin Gothic Book"/>
          <w:sz w:val="21"/>
          <w:szCs w:val="21"/>
          <w:lang w:eastAsia="en-US"/>
        </w:rPr>
      </w:pPr>
      <w:r w:rsidRPr="009467D2">
        <w:rPr>
          <w:rFonts w:ascii="Franklin Gothic Book" w:eastAsia="Calibri" w:hAnsi="Franklin Gothic Book"/>
          <w:sz w:val="21"/>
          <w:szCs w:val="21"/>
          <w:lang w:eastAsia="en-US"/>
        </w:rPr>
        <w:t xml:space="preserve">The UN agencies (ILO, UNFPA, WFP, UNDP, UNICEF, WHO, OCHA) provided critical humanitarian support in the disasters that beset the Philippines in 2013.  Though delivery of assistance was generally effective, it was noted that donor coordination could be improved particularly with regards to: effective engagement with affected communities, robust operational capacity, </w:t>
      </w:r>
      <w:r w:rsidR="00D66D8C" w:rsidRPr="009467D2">
        <w:rPr>
          <w:rFonts w:ascii="Franklin Gothic Book" w:eastAsia="Calibri" w:hAnsi="Franklin Gothic Book"/>
          <w:sz w:val="21"/>
          <w:szCs w:val="21"/>
          <w:lang w:eastAsia="en-US"/>
        </w:rPr>
        <w:t>and efficient</w:t>
      </w:r>
      <w:r w:rsidRPr="009467D2">
        <w:rPr>
          <w:rFonts w:ascii="Franklin Gothic Book" w:eastAsia="Calibri" w:hAnsi="Franklin Gothic Book"/>
          <w:sz w:val="21"/>
          <w:szCs w:val="21"/>
          <w:lang w:eastAsia="en-US"/>
        </w:rPr>
        <w:t xml:space="preserve"> coordination to enable rapid deployment of assistance and </w:t>
      </w:r>
      <w:r w:rsidR="00D66D8C">
        <w:rPr>
          <w:rFonts w:ascii="Franklin Gothic Book" w:eastAsia="Calibri" w:hAnsi="Franklin Gothic Book"/>
          <w:sz w:val="21"/>
          <w:szCs w:val="21"/>
          <w:lang w:eastAsia="en-US"/>
        </w:rPr>
        <w:t xml:space="preserve">to </w:t>
      </w:r>
      <w:r w:rsidRPr="009467D2">
        <w:rPr>
          <w:rFonts w:ascii="Franklin Gothic Book" w:eastAsia="Calibri" w:hAnsi="Franklin Gothic Book"/>
          <w:sz w:val="21"/>
          <w:szCs w:val="21"/>
          <w:lang w:eastAsia="en-US"/>
        </w:rPr>
        <w:t xml:space="preserve">manage the surge of </w:t>
      </w:r>
      <w:r w:rsidRPr="009467D2">
        <w:rPr>
          <w:rFonts w:ascii="Franklin Gothic Book" w:eastAsia="Calibri" w:hAnsi="Franklin Gothic Book"/>
          <w:sz w:val="21"/>
          <w:szCs w:val="21"/>
          <w:lang w:eastAsia="en-US"/>
        </w:rPr>
        <w:lastRenderedPageBreak/>
        <w:t>international humanitarian workers, noting its potential to undermine or overwhelm local response efforts.</w:t>
      </w:r>
      <w:r w:rsidR="00EB51BE">
        <w:rPr>
          <w:rStyle w:val="FootnoteReference"/>
          <w:rFonts w:eastAsia="Calibri"/>
          <w:lang w:eastAsia="en-US"/>
        </w:rPr>
        <w:footnoteReference w:id="12"/>
      </w:r>
    </w:p>
    <w:p w:rsidR="009467D2" w:rsidRPr="009467D2" w:rsidRDefault="009467D2" w:rsidP="009467D2">
      <w:pPr>
        <w:spacing w:after="200" w:line="276" w:lineRule="auto"/>
        <w:rPr>
          <w:rFonts w:ascii="Franklin Gothic Book" w:eastAsia="Calibri" w:hAnsi="Franklin Gothic Book"/>
          <w:sz w:val="21"/>
          <w:szCs w:val="21"/>
          <w:lang w:eastAsia="en-US"/>
        </w:rPr>
      </w:pPr>
      <w:r w:rsidRPr="009467D2">
        <w:rPr>
          <w:rFonts w:ascii="Franklin Gothic Book" w:eastAsia="Calibri" w:hAnsi="Franklin Gothic Book"/>
          <w:sz w:val="21"/>
          <w:szCs w:val="21"/>
          <w:lang w:eastAsia="en-US"/>
        </w:rPr>
        <w:t>Australia’s partnership with the World Bank is strong. The relationship with the W</w:t>
      </w:r>
      <w:r w:rsidR="00FE295D">
        <w:rPr>
          <w:rFonts w:ascii="Franklin Gothic Book" w:eastAsia="Calibri" w:hAnsi="Franklin Gothic Book"/>
          <w:sz w:val="21"/>
          <w:szCs w:val="21"/>
          <w:lang w:eastAsia="en-US"/>
        </w:rPr>
        <w:t xml:space="preserve">orld </w:t>
      </w:r>
      <w:r w:rsidRPr="009467D2">
        <w:rPr>
          <w:rFonts w:ascii="Franklin Gothic Book" w:eastAsia="Calibri" w:hAnsi="Franklin Gothic Book"/>
          <w:sz w:val="21"/>
          <w:szCs w:val="21"/>
          <w:lang w:eastAsia="en-US"/>
        </w:rPr>
        <w:t>B</w:t>
      </w:r>
      <w:r w:rsidR="00FE295D">
        <w:rPr>
          <w:rFonts w:ascii="Franklin Gothic Book" w:eastAsia="Calibri" w:hAnsi="Franklin Gothic Book"/>
          <w:sz w:val="21"/>
          <w:szCs w:val="21"/>
          <w:lang w:eastAsia="en-US"/>
        </w:rPr>
        <w:t>ank</w:t>
      </w:r>
      <w:r w:rsidRPr="009467D2">
        <w:rPr>
          <w:rFonts w:ascii="Franklin Gothic Book" w:eastAsia="Calibri" w:hAnsi="Franklin Gothic Book"/>
          <w:sz w:val="21"/>
          <w:szCs w:val="21"/>
          <w:lang w:eastAsia="en-US"/>
        </w:rPr>
        <w:t xml:space="preserve"> through the DFAT-World Bank Philippines Development Trust Fund (also known as the Umbrella Trust Fund or UTF), and the Mindanao Multi-Donor Trust Fund (MTF) has improved</w:t>
      </w:r>
      <w:r w:rsidR="00D66D8C">
        <w:rPr>
          <w:rFonts w:ascii="Franklin Gothic Book" w:eastAsia="Calibri" w:hAnsi="Franklin Gothic Book"/>
          <w:sz w:val="21"/>
          <w:szCs w:val="21"/>
          <w:lang w:eastAsia="en-US"/>
        </w:rPr>
        <w:t>,</w:t>
      </w:r>
      <w:r w:rsidRPr="009467D2">
        <w:rPr>
          <w:rFonts w:ascii="Franklin Gothic Book" w:eastAsia="Calibri" w:hAnsi="Franklin Gothic Book"/>
          <w:sz w:val="21"/>
          <w:szCs w:val="21"/>
          <w:lang w:eastAsia="en-US"/>
        </w:rPr>
        <w:t xml:space="preserve"> resulting in closer alignment of W</w:t>
      </w:r>
      <w:r w:rsidR="00FE295D">
        <w:rPr>
          <w:rFonts w:ascii="Franklin Gothic Book" w:eastAsia="Calibri" w:hAnsi="Franklin Gothic Book"/>
          <w:sz w:val="21"/>
          <w:szCs w:val="21"/>
          <w:lang w:eastAsia="en-US"/>
        </w:rPr>
        <w:t xml:space="preserve">orld </w:t>
      </w:r>
      <w:r w:rsidRPr="009467D2">
        <w:rPr>
          <w:rFonts w:ascii="Franklin Gothic Book" w:eastAsia="Calibri" w:hAnsi="Franklin Gothic Book"/>
          <w:sz w:val="21"/>
          <w:szCs w:val="21"/>
          <w:lang w:eastAsia="en-US"/>
        </w:rPr>
        <w:t>B</w:t>
      </w:r>
      <w:r w:rsidR="00FE295D">
        <w:rPr>
          <w:rFonts w:ascii="Franklin Gothic Book" w:eastAsia="Calibri" w:hAnsi="Franklin Gothic Book"/>
          <w:sz w:val="21"/>
          <w:szCs w:val="21"/>
          <w:lang w:eastAsia="en-US"/>
        </w:rPr>
        <w:t>ank</w:t>
      </w:r>
      <w:r w:rsidRPr="009467D2">
        <w:rPr>
          <w:rFonts w:ascii="Franklin Gothic Book" w:eastAsia="Calibri" w:hAnsi="Franklin Gothic Book"/>
          <w:sz w:val="21"/>
          <w:szCs w:val="21"/>
          <w:lang w:eastAsia="en-US"/>
        </w:rPr>
        <w:t xml:space="preserve"> and Australian Government strategic directions and priorities.  The World Bank has also taken on board the recommendations of the UTF 2012 midterm review including </w:t>
      </w:r>
      <w:r w:rsidR="00D66D8C">
        <w:rPr>
          <w:rFonts w:ascii="Franklin Gothic Book" w:eastAsia="Calibri" w:hAnsi="Franklin Gothic Book"/>
          <w:sz w:val="21"/>
          <w:szCs w:val="21"/>
          <w:lang w:eastAsia="en-US"/>
        </w:rPr>
        <w:t>increasing</w:t>
      </w:r>
      <w:r w:rsidRPr="009467D2">
        <w:rPr>
          <w:rFonts w:ascii="Franklin Gothic Book" w:eastAsia="Calibri" w:hAnsi="Franklin Gothic Book"/>
          <w:sz w:val="21"/>
          <w:szCs w:val="21"/>
          <w:lang w:eastAsia="en-US"/>
        </w:rPr>
        <w:t xml:space="preserve"> visibility of Australia’s contributions and </w:t>
      </w:r>
      <w:r w:rsidR="00D66D8C">
        <w:rPr>
          <w:rFonts w:ascii="Franklin Gothic Book" w:eastAsia="Calibri" w:hAnsi="Franklin Gothic Book"/>
          <w:sz w:val="21"/>
          <w:szCs w:val="21"/>
          <w:lang w:eastAsia="en-US"/>
        </w:rPr>
        <w:t xml:space="preserve">developing </w:t>
      </w:r>
      <w:r w:rsidRPr="009467D2">
        <w:rPr>
          <w:rFonts w:ascii="Franklin Gothic Book" w:eastAsia="Calibri" w:hAnsi="Franklin Gothic Book"/>
          <w:sz w:val="21"/>
          <w:szCs w:val="21"/>
          <w:lang w:eastAsia="en-US"/>
        </w:rPr>
        <w:t>a more appropriate evaluation system to capture results and development outcomes of funded activities.</w:t>
      </w:r>
      <w:r w:rsidR="00027FC0">
        <w:rPr>
          <w:rFonts w:ascii="Franklin Gothic Book" w:eastAsia="Calibri" w:hAnsi="Franklin Gothic Book"/>
          <w:sz w:val="21"/>
          <w:szCs w:val="21"/>
          <w:lang w:eastAsia="en-US"/>
        </w:rPr>
        <w:t xml:space="preserve">  </w:t>
      </w:r>
      <w:r w:rsidRPr="009467D2">
        <w:rPr>
          <w:rFonts w:ascii="Franklin Gothic Book" w:eastAsia="Calibri" w:hAnsi="Franklin Gothic Book"/>
          <w:sz w:val="21"/>
          <w:szCs w:val="21"/>
          <w:lang w:eastAsia="en-US"/>
        </w:rPr>
        <w:t xml:space="preserve">Australia’s partnership with the ADB is limited to the highly successful joint funded PPP program (Canada also provides funding).  </w:t>
      </w:r>
      <w:r w:rsidR="00FE295D">
        <w:rPr>
          <w:rFonts w:ascii="Franklin Gothic Book" w:eastAsia="Calibri" w:hAnsi="Franklin Gothic Book"/>
          <w:sz w:val="21"/>
          <w:szCs w:val="21"/>
          <w:lang w:eastAsia="en-US"/>
        </w:rPr>
        <w:t>We are highly satisfied with the A</w:t>
      </w:r>
      <w:r w:rsidRPr="009467D2">
        <w:rPr>
          <w:rFonts w:ascii="Franklin Gothic Book" w:eastAsia="Calibri" w:hAnsi="Franklin Gothic Book"/>
          <w:sz w:val="21"/>
          <w:szCs w:val="21"/>
          <w:lang w:eastAsia="en-US"/>
        </w:rPr>
        <w:t>DB</w:t>
      </w:r>
      <w:r w:rsidR="00FE295D">
        <w:rPr>
          <w:rFonts w:ascii="Franklin Gothic Book" w:eastAsia="Calibri" w:hAnsi="Franklin Gothic Book"/>
          <w:sz w:val="21"/>
          <w:szCs w:val="21"/>
          <w:lang w:eastAsia="en-US"/>
        </w:rPr>
        <w:t>’s</w:t>
      </w:r>
      <w:r w:rsidRPr="009467D2">
        <w:rPr>
          <w:rFonts w:ascii="Franklin Gothic Book" w:eastAsia="Calibri" w:hAnsi="Franklin Gothic Book"/>
          <w:sz w:val="21"/>
          <w:szCs w:val="21"/>
          <w:lang w:eastAsia="en-US"/>
        </w:rPr>
        <w:t xml:space="preserve"> </w:t>
      </w:r>
      <w:r w:rsidR="00FE295D">
        <w:rPr>
          <w:rFonts w:ascii="Franklin Gothic Book" w:eastAsia="Calibri" w:hAnsi="Franklin Gothic Book"/>
          <w:sz w:val="21"/>
          <w:szCs w:val="21"/>
          <w:lang w:eastAsia="en-US"/>
        </w:rPr>
        <w:t>role in</w:t>
      </w:r>
      <w:r w:rsidRPr="009467D2">
        <w:rPr>
          <w:rFonts w:ascii="Franklin Gothic Book" w:eastAsia="Calibri" w:hAnsi="Franklin Gothic Book"/>
          <w:sz w:val="21"/>
          <w:szCs w:val="21"/>
          <w:lang w:eastAsia="en-US"/>
        </w:rPr>
        <w:t xml:space="preserve"> managing this program with Australian input limited to the strategic inputs.   </w:t>
      </w:r>
    </w:p>
    <w:p w:rsidR="009467D2" w:rsidRPr="001B23C8" w:rsidRDefault="009467D2" w:rsidP="009467D2">
      <w:pPr>
        <w:spacing w:after="200" w:line="276" w:lineRule="auto"/>
        <w:rPr>
          <w:rFonts w:ascii="Franklin Gothic Book" w:eastAsia="Calibri" w:hAnsi="Franklin Gothic Book"/>
          <w:spacing w:val="-2"/>
          <w:sz w:val="21"/>
          <w:szCs w:val="21"/>
          <w:lang w:eastAsia="en-US"/>
        </w:rPr>
      </w:pPr>
      <w:r w:rsidRPr="001B23C8">
        <w:rPr>
          <w:rFonts w:ascii="Franklin Gothic Book" w:eastAsia="Calibri" w:hAnsi="Franklin Gothic Book"/>
          <w:spacing w:val="-2"/>
          <w:sz w:val="21"/>
          <w:szCs w:val="21"/>
          <w:lang w:eastAsia="en-US"/>
        </w:rPr>
        <w:t xml:space="preserve">DFAT’s partnership with The Asia Foundation </w:t>
      </w:r>
      <w:r w:rsidR="00FE295D">
        <w:rPr>
          <w:rFonts w:ascii="Franklin Gothic Book" w:eastAsia="Calibri" w:hAnsi="Franklin Gothic Book"/>
          <w:spacing w:val="-2"/>
          <w:sz w:val="21"/>
          <w:szCs w:val="21"/>
          <w:lang w:eastAsia="en-US"/>
        </w:rPr>
        <w:t>(TAF)</w:t>
      </w:r>
      <w:r w:rsidRPr="001B23C8">
        <w:rPr>
          <w:rFonts w:ascii="Franklin Gothic Book" w:eastAsia="Calibri" w:hAnsi="Franklin Gothic Book"/>
          <w:spacing w:val="-2"/>
          <w:sz w:val="21"/>
          <w:szCs w:val="21"/>
          <w:lang w:eastAsia="en-US"/>
        </w:rPr>
        <w:t xml:space="preserve"> has allowed access to TAF’s networks of NGOs, national agencies, business people, </w:t>
      </w:r>
      <w:r w:rsidR="00AA2314">
        <w:rPr>
          <w:rFonts w:ascii="Franklin Gothic Book" w:eastAsia="Calibri" w:hAnsi="Franklin Gothic Book"/>
          <w:spacing w:val="-2"/>
          <w:sz w:val="21"/>
          <w:szCs w:val="21"/>
          <w:lang w:eastAsia="en-US"/>
        </w:rPr>
        <w:t>local officials</w:t>
      </w:r>
      <w:r w:rsidRPr="001B23C8">
        <w:rPr>
          <w:rFonts w:ascii="Franklin Gothic Book" w:eastAsia="Calibri" w:hAnsi="Franklin Gothic Book"/>
          <w:spacing w:val="-2"/>
          <w:sz w:val="21"/>
          <w:szCs w:val="21"/>
          <w:lang w:eastAsia="en-US"/>
        </w:rPr>
        <w:t>, legislators, academe, and media.  TAF has been very responsive to Australia’s new economic diplomacy agenda as evidenced by the generation of new reform priorities and engagement with th</w:t>
      </w:r>
      <w:r w:rsidR="001B23C8" w:rsidRPr="001B23C8">
        <w:rPr>
          <w:rFonts w:ascii="Franklin Gothic Book" w:eastAsia="Calibri" w:hAnsi="Franklin Gothic Book"/>
          <w:spacing w:val="-2"/>
          <w:sz w:val="21"/>
          <w:szCs w:val="21"/>
          <w:lang w:eastAsia="en-US"/>
        </w:rPr>
        <w:t xml:space="preserve">e private sector.  </w:t>
      </w:r>
      <w:r w:rsidRPr="001B23C8">
        <w:rPr>
          <w:rFonts w:ascii="Franklin Gothic Book" w:eastAsia="Calibri" w:hAnsi="Franklin Gothic Book"/>
          <w:spacing w:val="-2"/>
          <w:sz w:val="21"/>
          <w:szCs w:val="21"/>
          <w:lang w:eastAsia="en-US"/>
        </w:rPr>
        <w:t xml:space="preserve">TAF’s management of </w:t>
      </w:r>
      <w:r w:rsidR="002D2BAB">
        <w:rPr>
          <w:rFonts w:ascii="Franklin Gothic Book" w:eastAsia="Calibri" w:hAnsi="Franklin Gothic Book"/>
          <w:spacing w:val="-2"/>
          <w:sz w:val="21"/>
          <w:szCs w:val="21"/>
          <w:lang w:eastAsia="en-US"/>
        </w:rPr>
        <w:t xml:space="preserve">the </w:t>
      </w:r>
      <w:r w:rsidR="002D2BAB" w:rsidRPr="002D2BAB">
        <w:rPr>
          <w:rFonts w:ascii="Franklin Gothic Book" w:eastAsia="Calibri" w:hAnsi="Franklin Gothic Book"/>
          <w:spacing w:val="-2"/>
          <w:sz w:val="21"/>
          <w:szCs w:val="21"/>
          <w:lang w:eastAsia="en-US"/>
        </w:rPr>
        <w:t>Philippines-Australia Community Assistance Program</w:t>
      </w:r>
      <w:r w:rsidR="00AA2314">
        <w:rPr>
          <w:rFonts w:ascii="Franklin Gothic Book" w:eastAsia="Calibri" w:hAnsi="Franklin Gothic Book"/>
          <w:spacing w:val="-2"/>
          <w:sz w:val="21"/>
          <w:szCs w:val="21"/>
          <w:lang w:eastAsia="en-US"/>
        </w:rPr>
        <w:t xml:space="preserve">, </w:t>
      </w:r>
      <w:r w:rsidR="001B23C8" w:rsidRPr="001B23C8">
        <w:rPr>
          <w:rFonts w:ascii="Franklin Gothic Book" w:eastAsia="Calibri" w:hAnsi="Franklin Gothic Book"/>
          <w:spacing w:val="-2"/>
          <w:sz w:val="21"/>
          <w:szCs w:val="21"/>
          <w:lang w:eastAsia="en-US"/>
        </w:rPr>
        <w:t>with</w:t>
      </w:r>
      <w:r w:rsidRPr="001B23C8">
        <w:rPr>
          <w:rFonts w:ascii="Franklin Gothic Book" w:eastAsia="Calibri" w:hAnsi="Franklin Gothic Book"/>
          <w:spacing w:val="-2"/>
          <w:sz w:val="21"/>
          <w:szCs w:val="21"/>
          <w:lang w:eastAsia="en-US"/>
        </w:rPr>
        <w:t xml:space="preserve"> close supervision of </w:t>
      </w:r>
      <w:r w:rsidR="00AA2314">
        <w:rPr>
          <w:rFonts w:ascii="Franklin Gothic Book" w:eastAsia="Calibri" w:hAnsi="Franklin Gothic Book"/>
          <w:spacing w:val="-2"/>
          <w:sz w:val="21"/>
          <w:szCs w:val="21"/>
          <w:lang w:eastAsia="en-US"/>
        </w:rPr>
        <w:t>DFAT,</w:t>
      </w:r>
      <w:r w:rsidRPr="001B23C8">
        <w:rPr>
          <w:rFonts w:ascii="Franklin Gothic Book" w:eastAsia="Calibri" w:hAnsi="Franklin Gothic Book"/>
          <w:spacing w:val="-2"/>
          <w:sz w:val="21"/>
          <w:szCs w:val="21"/>
          <w:lang w:eastAsia="en-US"/>
        </w:rPr>
        <w:t xml:space="preserve"> has reaped positive public diplomacy gains for the Australian Government.   </w:t>
      </w:r>
    </w:p>
    <w:p w:rsidR="009467D2" w:rsidRPr="009467D2" w:rsidRDefault="009467D2" w:rsidP="009467D2">
      <w:pPr>
        <w:spacing w:after="200" w:line="276" w:lineRule="auto"/>
        <w:rPr>
          <w:rFonts w:ascii="Franklin Gothic Book" w:eastAsia="Calibri" w:hAnsi="Franklin Gothic Book"/>
          <w:sz w:val="21"/>
          <w:szCs w:val="21"/>
          <w:lang w:eastAsia="en-US"/>
        </w:rPr>
      </w:pPr>
      <w:r w:rsidRPr="009467D2">
        <w:rPr>
          <w:rFonts w:ascii="Franklin Gothic Book" w:eastAsia="Calibri" w:hAnsi="Franklin Gothic Book"/>
          <w:sz w:val="21"/>
          <w:szCs w:val="21"/>
          <w:lang w:eastAsia="en-US"/>
        </w:rPr>
        <w:t xml:space="preserve">Through our education program, </w:t>
      </w:r>
      <w:r w:rsidR="00AA2314">
        <w:rPr>
          <w:rFonts w:ascii="Franklin Gothic Book" w:eastAsia="Calibri" w:hAnsi="Franklin Gothic Book"/>
          <w:sz w:val="21"/>
          <w:szCs w:val="21"/>
          <w:lang w:eastAsia="en-US"/>
        </w:rPr>
        <w:t>DFAT’</w:t>
      </w:r>
      <w:r w:rsidR="002D2BAB">
        <w:rPr>
          <w:rFonts w:ascii="Franklin Gothic Book" w:eastAsia="Calibri" w:hAnsi="Franklin Gothic Book"/>
          <w:sz w:val="21"/>
          <w:szCs w:val="21"/>
          <w:lang w:eastAsia="en-US"/>
        </w:rPr>
        <w:t>s</w:t>
      </w:r>
      <w:r w:rsidRPr="009467D2">
        <w:rPr>
          <w:rFonts w:ascii="Franklin Gothic Book" w:eastAsia="Calibri" w:hAnsi="Franklin Gothic Book"/>
          <w:sz w:val="21"/>
          <w:szCs w:val="21"/>
          <w:lang w:eastAsia="en-US"/>
        </w:rPr>
        <w:t xml:space="preserve"> established partnerships with two private sector organisations, </w:t>
      </w:r>
      <w:r w:rsidR="00027FC0">
        <w:rPr>
          <w:rFonts w:ascii="Franklin Gothic Book" w:eastAsia="Calibri" w:hAnsi="Franklin Gothic Book"/>
          <w:sz w:val="21"/>
          <w:szCs w:val="21"/>
          <w:lang w:eastAsia="en-US"/>
        </w:rPr>
        <w:t xml:space="preserve">the </w:t>
      </w:r>
      <w:r w:rsidR="00EF0222" w:rsidRPr="00EF0222">
        <w:rPr>
          <w:rFonts w:ascii="Franklin Gothic Book" w:eastAsia="Calibri" w:hAnsi="Franklin Gothic Book"/>
          <w:sz w:val="21"/>
          <w:szCs w:val="21"/>
          <w:lang w:eastAsia="en-US"/>
        </w:rPr>
        <w:t xml:space="preserve">Philippine Business for Social Progress </w:t>
      </w:r>
      <w:r w:rsidRPr="009467D2">
        <w:rPr>
          <w:rFonts w:ascii="Franklin Gothic Book" w:eastAsia="Calibri" w:hAnsi="Franklin Gothic Book"/>
          <w:sz w:val="21"/>
          <w:szCs w:val="21"/>
          <w:lang w:eastAsia="en-US"/>
        </w:rPr>
        <w:t xml:space="preserve">and </w:t>
      </w:r>
      <w:r w:rsidR="00027FC0">
        <w:rPr>
          <w:rFonts w:ascii="Franklin Gothic Book" w:eastAsia="Calibri" w:hAnsi="Franklin Gothic Book"/>
          <w:sz w:val="21"/>
          <w:szCs w:val="21"/>
          <w:lang w:eastAsia="en-US"/>
        </w:rPr>
        <w:t xml:space="preserve">the </w:t>
      </w:r>
      <w:r w:rsidR="00EF0222" w:rsidRPr="00EF0222">
        <w:rPr>
          <w:rFonts w:ascii="Franklin Gothic Book" w:eastAsia="Calibri" w:hAnsi="Franklin Gothic Book"/>
          <w:sz w:val="21"/>
          <w:szCs w:val="21"/>
          <w:lang w:eastAsia="en-US"/>
        </w:rPr>
        <w:t xml:space="preserve">Philippine Business for </w:t>
      </w:r>
      <w:r w:rsidR="001B23C8" w:rsidRPr="00EF0222">
        <w:rPr>
          <w:rFonts w:ascii="Franklin Gothic Book" w:eastAsia="Calibri" w:hAnsi="Franklin Gothic Book"/>
          <w:sz w:val="21"/>
          <w:szCs w:val="21"/>
          <w:lang w:eastAsia="en-US"/>
        </w:rPr>
        <w:t>Education,</w:t>
      </w:r>
      <w:r w:rsidRPr="009467D2">
        <w:rPr>
          <w:rFonts w:ascii="Franklin Gothic Book" w:eastAsia="Calibri" w:hAnsi="Franklin Gothic Book"/>
          <w:sz w:val="21"/>
          <w:szCs w:val="21"/>
          <w:lang w:eastAsia="en-US"/>
        </w:rPr>
        <w:t xml:space="preserve"> </w:t>
      </w:r>
      <w:r w:rsidR="00AA2314">
        <w:rPr>
          <w:rFonts w:ascii="Franklin Gothic Book" w:eastAsia="Calibri" w:hAnsi="Franklin Gothic Book"/>
          <w:sz w:val="21"/>
          <w:szCs w:val="21"/>
          <w:lang w:eastAsia="en-US"/>
        </w:rPr>
        <w:t xml:space="preserve">effectively </w:t>
      </w:r>
      <w:r w:rsidRPr="009467D2">
        <w:rPr>
          <w:rFonts w:ascii="Franklin Gothic Book" w:eastAsia="Calibri" w:hAnsi="Franklin Gothic Book"/>
          <w:sz w:val="21"/>
          <w:szCs w:val="21"/>
          <w:lang w:eastAsia="en-US"/>
        </w:rPr>
        <w:t xml:space="preserve">complement our support to classroom shortage and teacher training. </w:t>
      </w:r>
    </w:p>
    <w:p w:rsidR="000D733F" w:rsidRDefault="000D733F" w:rsidP="009467D2">
      <w:pPr>
        <w:pStyle w:val="Heading3"/>
      </w:pPr>
      <w:r w:rsidRPr="007D6C3F">
        <w:t>Risks</w:t>
      </w:r>
    </w:p>
    <w:p w:rsidR="000D733F" w:rsidRDefault="000D733F" w:rsidP="000D733F">
      <w:pPr>
        <w:pStyle w:val="Caption"/>
      </w:pPr>
      <w:r>
        <w:t>Table 3 Management of key risks to achieving objectives</w:t>
      </w:r>
    </w:p>
    <w:tbl>
      <w:tblPr>
        <w:tblStyle w:val="APPR"/>
        <w:tblW w:w="5165" w:type="pct"/>
        <w:tblLook w:val="0600" w:firstRow="0" w:lastRow="0" w:firstColumn="0" w:lastColumn="0" w:noHBand="1" w:noVBand="1"/>
      </w:tblPr>
      <w:tblGrid>
        <w:gridCol w:w="2262"/>
        <w:gridCol w:w="3685"/>
        <w:gridCol w:w="3120"/>
      </w:tblGrid>
      <w:tr w:rsidR="000D733F" w:rsidRPr="00180B19" w:rsidTr="00E74E3E">
        <w:trPr>
          <w:tblHeader w:val="0"/>
        </w:trPr>
        <w:tc>
          <w:tcPr>
            <w:tcW w:w="2220" w:type="dxa"/>
            <w:hideMark/>
          </w:tcPr>
          <w:p w:rsidR="000D733F" w:rsidRPr="005023D9" w:rsidRDefault="000D733F" w:rsidP="0010390C">
            <w:pPr>
              <w:pStyle w:val="TableTextColumnHeading"/>
            </w:pPr>
            <w:r w:rsidRPr="005023D9">
              <w:t>Key risks</w:t>
            </w:r>
          </w:p>
        </w:tc>
        <w:tc>
          <w:tcPr>
            <w:tcW w:w="3657" w:type="dxa"/>
          </w:tcPr>
          <w:p w:rsidR="000D733F" w:rsidRPr="005023D9" w:rsidRDefault="000D733F" w:rsidP="0010390C">
            <w:pPr>
              <w:pStyle w:val="TableTextColumnHeading"/>
            </w:pPr>
            <w:r w:rsidRPr="005023D9">
              <w:t>What actions were taken to manage the risks over the past year</w:t>
            </w:r>
            <w:r w:rsidR="001D7E98">
              <w:t>?</w:t>
            </w:r>
          </w:p>
        </w:tc>
        <w:tc>
          <w:tcPr>
            <w:tcW w:w="3078" w:type="dxa"/>
          </w:tcPr>
          <w:p w:rsidR="000D733F" w:rsidRPr="005023D9" w:rsidRDefault="000D733F" w:rsidP="0010390C">
            <w:pPr>
              <w:pStyle w:val="TableTextColumnHeading"/>
            </w:pPr>
            <w:r w:rsidRPr="005023D9">
              <w:t>What further actions will be taken to manage the risks in the coming year</w:t>
            </w:r>
            <w:r w:rsidR="001D7E98">
              <w:t>?</w:t>
            </w:r>
          </w:p>
        </w:tc>
      </w:tr>
      <w:tr w:rsidR="00BF5784" w:rsidRPr="00180B19" w:rsidTr="00E74E3E">
        <w:trPr>
          <w:tblHeader w:val="0"/>
        </w:trPr>
        <w:tc>
          <w:tcPr>
            <w:tcW w:w="2220" w:type="dxa"/>
          </w:tcPr>
          <w:p w:rsidR="00BF5784" w:rsidRPr="00FA4A27" w:rsidRDefault="00A6073D" w:rsidP="00A6073D">
            <w:pPr>
              <w:pStyle w:val="TableTextEntries"/>
            </w:pPr>
            <w:r w:rsidRPr="00FA4A27">
              <w:t xml:space="preserve">Delays in program implementation particularly on disaster risk reduction and management due to occurrence of </w:t>
            </w:r>
            <w:r w:rsidR="00BF5784" w:rsidRPr="00FA4A27">
              <w:t>major di</w:t>
            </w:r>
            <w:r w:rsidRPr="00FA4A27">
              <w:t>sasters and humanitarian crises.</w:t>
            </w:r>
          </w:p>
        </w:tc>
        <w:tc>
          <w:tcPr>
            <w:tcW w:w="3657" w:type="dxa"/>
          </w:tcPr>
          <w:p w:rsidR="00BF5784" w:rsidRPr="00FA4A27" w:rsidRDefault="000975D7" w:rsidP="000975D7">
            <w:pPr>
              <w:pStyle w:val="TableTextEntries"/>
            </w:pPr>
            <w:r w:rsidRPr="00FA4A27">
              <w:t xml:space="preserve">Management decision to delay </w:t>
            </w:r>
            <w:r w:rsidR="00010B76" w:rsidRPr="00FA4A27">
              <w:t>the design of DRRM</w:t>
            </w:r>
            <w:r w:rsidRPr="00FA4A27">
              <w:t xml:space="preserve"> initiative</w:t>
            </w:r>
            <w:r w:rsidR="000F68A1" w:rsidRPr="00FA4A27">
              <w:t xml:space="preserve"> and to create a Humanitarian and Emergency Response team, separate from DRRM.</w:t>
            </w:r>
          </w:p>
          <w:p w:rsidR="00010B76" w:rsidRPr="00FA4A27" w:rsidRDefault="000975D7" w:rsidP="000975D7">
            <w:pPr>
              <w:pStyle w:val="TableTextEntries"/>
            </w:pPr>
            <w:r w:rsidRPr="00FA4A27">
              <w:t xml:space="preserve">Temporary </w:t>
            </w:r>
            <w:r w:rsidR="00010B76" w:rsidRPr="00FA4A27">
              <w:t xml:space="preserve">staff </w:t>
            </w:r>
            <w:r w:rsidRPr="00FA4A27">
              <w:t>put in place including short-term emergency response team and deployment of two Australian Civilian Corps</w:t>
            </w:r>
          </w:p>
          <w:p w:rsidR="000F68A1" w:rsidRPr="00FA4A27" w:rsidRDefault="000975D7" w:rsidP="000975D7">
            <w:pPr>
              <w:pStyle w:val="TableTextEntries"/>
            </w:pPr>
            <w:r w:rsidRPr="00FA4A27">
              <w:t>Creation and t</w:t>
            </w:r>
            <w:r w:rsidR="00010B76" w:rsidRPr="00FA4A27">
              <w:t xml:space="preserve">raining of expanded </w:t>
            </w:r>
            <w:r w:rsidRPr="00FA4A27">
              <w:t>emergency response team in DFAT Manila</w:t>
            </w:r>
            <w:r w:rsidR="00B33516" w:rsidRPr="00FA4A27">
              <w:t>.</w:t>
            </w:r>
          </w:p>
        </w:tc>
        <w:tc>
          <w:tcPr>
            <w:tcW w:w="3078" w:type="dxa"/>
          </w:tcPr>
          <w:p w:rsidR="00BF5784" w:rsidRPr="00FA4A27" w:rsidRDefault="00010B76" w:rsidP="00C17351">
            <w:pPr>
              <w:pStyle w:val="TableTextEntries"/>
            </w:pPr>
            <w:r w:rsidRPr="00FA4A27">
              <w:t>Recruit</w:t>
            </w:r>
            <w:r w:rsidR="000F68A1" w:rsidRPr="00FA4A27">
              <w:t>ment and posting of a</w:t>
            </w:r>
            <w:r w:rsidRPr="00FA4A27">
              <w:t xml:space="preserve"> First Sec</w:t>
            </w:r>
            <w:r w:rsidR="000F68A1" w:rsidRPr="00FA4A27">
              <w:t>retary</w:t>
            </w:r>
            <w:r w:rsidRPr="00FA4A27">
              <w:t xml:space="preserve"> to manage Humanitarian and Emergency Response Team </w:t>
            </w:r>
            <w:r w:rsidR="000F68A1" w:rsidRPr="00FA4A27">
              <w:t xml:space="preserve">with </w:t>
            </w:r>
            <w:r w:rsidRPr="00FA4A27">
              <w:t>additional staff complement</w:t>
            </w:r>
          </w:p>
          <w:p w:rsidR="00010B76" w:rsidRPr="00301D17" w:rsidRDefault="000F68A1" w:rsidP="00C17351">
            <w:pPr>
              <w:pStyle w:val="TableTextEntries"/>
            </w:pPr>
            <w:r w:rsidRPr="00FA4A27">
              <w:t xml:space="preserve">Design of new </w:t>
            </w:r>
            <w:r w:rsidR="00010B76" w:rsidRPr="00FA4A27">
              <w:t xml:space="preserve">DRRM </w:t>
            </w:r>
            <w:r w:rsidRPr="00FA4A27">
              <w:t xml:space="preserve">initiative </w:t>
            </w:r>
            <w:r w:rsidR="00010B76" w:rsidRPr="00FA4A27">
              <w:t>by end of the year</w:t>
            </w:r>
            <w:r w:rsidR="00B33516" w:rsidRPr="00FA4A27">
              <w:t>.</w:t>
            </w:r>
          </w:p>
          <w:p w:rsidR="00010B76" w:rsidRPr="00301D17" w:rsidRDefault="00010B76" w:rsidP="00C17351">
            <w:pPr>
              <w:pStyle w:val="TableTextEntries"/>
            </w:pPr>
          </w:p>
        </w:tc>
      </w:tr>
      <w:tr w:rsidR="00C17351" w:rsidRPr="00180B19" w:rsidTr="00E74E3E">
        <w:trPr>
          <w:tblHeader w:val="0"/>
        </w:trPr>
        <w:tc>
          <w:tcPr>
            <w:tcW w:w="2220" w:type="dxa"/>
          </w:tcPr>
          <w:p w:rsidR="00C17351" w:rsidRPr="004C4A3E" w:rsidRDefault="007D0B22" w:rsidP="00EF0222">
            <w:pPr>
              <w:pStyle w:val="TableTextEntries"/>
            </w:pPr>
            <w:r>
              <w:t>D</w:t>
            </w:r>
            <w:r w:rsidR="00F65772">
              <w:t xml:space="preserve">esign of new aid investments for economic growth </w:t>
            </w:r>
            <w:r>
              <w:t xml:space="preserve">is delayed </w:t>
            </w:r>
            <w:r w:rsidR="00F65772">
              <w:t>result</w:t>
            </w:r>
            <w:r>
              <w:t>ing</w:t>
            </w:r>
            <w:r w:rsidR="00F65772">
              <w:t xml:space="preserve"> </w:t>
            </w:r>
            <w:r w:rsidR="00EF0222">
              <w:lastRenderedPageBreak/>
              <w:t xml:space="preserve">in </w:t>
            </w:r>
            <w:r w:rsidR="00F65772">
              <w:t xml:space="preserve">delays in meeting commitments and </w:t>
            </w:r>
            <w:r>
              <w:t xml:space="preserve">achieve </w:t>
            </w:r>
            <w:r w:rsidR="00631694">
              <w:t>economic growth objective.</w:t>
            </w:r>
          </w:p>
        </w:tc>
        <w:tc>
          <w:tcPr>
            <w:tcW w:w="3657" w:type="dxa"/>
          </w:tcPr>
          <w:p w:rsidR="00C17351" w:rsidRDefault="009C194B" w:rsidP="00C17351">
            <w:pPr>
              <w:pStyle w:val="TableTextEntries"/>
            </w:pPr>
            <w:r>
              <w:lastRenderedPageBreak/>
              <w:t>A separate Economics Section was set up during the DFAT integration process to provide greater focus to economic development.</w:t>
            </w:r>
          </w:p>
          <w:p w:rsidR="00F65772" w:rsidRDefault="00C36669" w:rsidP="00C17351">
            <w:pPr>
              <w:pStyle w:val="TableTextEntries"/>
            </w:pPr>
            <w:r>
              <w:lastRenderedPageBreak/>
              <w:t xml:space="preserve">Design process </w:t>
            </w:r>
            <w:r w:rsidR="00F65772">
              <w:t>Initiate</w:t>
            </w:r>
            <w:r>
              <w:t>d</w:t>
            </w:r>
            <w:r w:rsidR="00F65772">
              <w:t xml:space="preserve"> </w:t>
            </w:r>
            <w:r>
              <w:t xml:space="preserve">by consulting with </w:t>
            </w:r>
            <w:r w:rsidR="00F65772">
              <w:t xml:space="preserve">government </w:t>
            </w:r>
            <w:r>
              <w:t xml:space="preserve">partners </w:t>
            </w:r>
            <w:r w:rsidR="00F65772">
              <w:t>and rele</w:t>
            </w:r>
            <w:r>
              <w:t>vant thematic areas in Canberra</w:t>
            </w:r>
          </w:p>
          <w:p w:rsidR="00C36669" w:rsidRDefault="00C36669" w:rsidP="007D0B22">
            <w:pPr>
              <w:pStyle w:val="TableTextEntries"/>
            </w:pPr>
            <w:r>
              <w:t xml:space="preserve">Development of technical assistance to government regulatory agencies as agreed by the Trade Minister and </w:t>
            </w:r>
            <w:r w:rsidR="004B5B8F">
              <w:t>Philippine Government</w:t>
            </w:r>
            <w:r>
              <w:t xml:space="preserve"> counterparts</w:t>
            </w:r>
          </w:p>
          <w:p w:rsidR="009C194B" w:rsidRDefault="009C194B" w:rsidP="00C17351">
            <w:pPr>
              <w:pStyle w:val="TableTextEntries"/>
            </w:pPr>
            <w:r>
              <w:t xml:space="preserve">Ongoing </w:t>
            </w:r>
            <w:r w:rsidR="00C36669">
              <w:t xml:space="preserve">aid </w:t>
            </w:r>
            <w:r>
              <w:t>initiatives integrated targets for economic growth including:</w:t>
            </w:r>
          </w:p>
          <w:p w:rsidR="009C194B" w:rsidRDefault="009C194B" w:rsidP="009C194B">
            <w:pPr>
              <w:pStyle w:val="TableTextEntries"/>
              <w:numPr>
                <w:ilvl w:val="0"/>
                <w:numId w:val="34"/>
              </w:numPr>
            </w:pPr>
            <w:r>
              <w:t>Agreement with key economic development agencies to participate in the HRODF.</w:t>
            </w:r>
          </w:p>
          <w:p w:rsidR="00631694" w:rsidRPr="004C4A3E" w:rsidRDefault="009C194B" w:rsidP="00C36669">
            <w:pPr>
              <w:pStyle w:val="TableTextEntries"/>
              <w:numPr>
                <w:ilvl w:val="0"/>
                <w:numId w:val="34"/>
              </w:numPr>
            </w:pPr>
            <w:r>
              <w:t>Expansion to include economic policy priorities under the CfC</w:t>
            </w:r>
          </w:p>
        </w:tc>
        <w:tc>
          <w:tcPr>
            <w:tcW w:w="3078" w:type="dxa"/>
          </w:tcPr>
          <w:p w:rsidR="00C17351" w:rsidRDefault="009C194B" w:rsidP="00C17351">
            <w:pPr>
              <w:pStyle w:val="TableTextEntries"/>
            </w:pPr>
            <w:r>
              <w:lastRenderedPageBreak/>
              <w:t>Recruitment to fill in the staffing requirements of the Economics Section</w:t>
            </w:r>
          </w:p>
          <w:p w:rsidR="00631694" w:rsidRDefault="00A3181F" w:rsidP="00C17351">
            <w:pPr>
              <w:pStyle w:val="TableTextEntries"/>
            </w:pPr>
            <w:r>
              <w:t>Continue engagement and develop buy-</w:t>
            </w:r>
            <w:r>
              <w:lastRenderedPageBreak/>
              <w:t xml:space="preserve">in of new aid investment with </w:t>
            </w:r>
            <w:r w:rsidR="004B5B8F">
              <w:t>Philippine Government</w:t>
            </w:r>
            <w:r>
              <w:t xml:space="preserve"> partners, DFAT senior executives (Post and Canberra), and other donor agencies in country.</w:t>
            </w:r>
          </w:p>
          <w:p w:rsidR="009C194B" w:rsidRDefault="009C194B" w:rsidP="009C194B">
            <w:pPr>
              <w:pStyle w:val="TableTextEntries"/>
            </w:pPr>
            <w:r>
              <w:t xml:space="preserve">Development of options to continue support to PPP program </w:t>
            </w:r>
          </w:p>
          <w:p w:rsidR="009C194B" w:rsidRPr="004C4A3E" w:rsidRDefault="009C194B" w:rsidP="009C194B">
            <w:pPr>
              <w:pStyle w:val="TableTextEntries"/>
            </w:pPr>
            <w:r>
              <w:t>Implementation of technical assistance on mining.</w:t>
            </w:r>
          </w:p>
        </w:tc>
      </w:tr>
      <w:tr w:rsidR="00595B14" w:rsidRPr="00180B19" w:rsidTr="00E74E3E">
        <w:trPr>
          <w:tblHeader w:val="0"/>
        </w:trPr>
        <w:tc>
          <w:tcPr>
            <w:tcW w:w="2220" w:type="dxa"/>
          </w:tcPr>
          <w:p w:rsidR="00595B14" w:rsidRDefault="00595B14" w:rsidP="00595B14">
            <w:pPr>
              <w:pStyle w:val="TableTextEntries"/>
            </w:pPr>
            <w:r>
              <w:lastRenderedPageBreak/>
              <w:t xml:space="preserve">Australia’s support to the peace process </w:t>
            </w:r>
            <w:r w:rsidR="002D2BAB">
              <w:t>remains effective</w:t>
            </w:r>
            <w:r>
              <w:t xml:space="preserve"> and </w:t>
            </w:r>
            <w:r w:rsidR="002D2BAB">
              <w:t>flexible</w:t>
            </w:r>
          </w:p>
        </w:tc>
        <w:tc>
          <w:tcPr>
            <w:tcW w:w="3657" w:type="dxa"/>
          </w:tcPr>
          <w:p w:rsidR="00595B14" w:rsidRDefault="00595B14" w:rsidP="00595B14">
            <w:pPr>
              <w:pStyle w:val="TableTextEntries"/>
            </w:pPr>
            <w:r>
              <w:t>Post redesigned our bilateral support to be more focused on the peace process through the targeted BASIC Bangsamoro program, to replace the broader small grant facility, SPIM.</w:t>
            </w:r>
          </w:p>
          <w:p w:rsidR="00595B14" w:rsidRPr="004C4A3E" w:rsidRDefault="00595B14" w:rsidP="00595B14">
            <w:pPr>
              <w:pStyle w:val="TableTextEntries"/>
            </w:pPr>
            <w:r>
              <w:t xml:space="preserve">Australian support provided us with access to key stakeholders including the </w:t>
            </w:r>
            <w:r w:rsidRPr="00524C7D">
              <w:t>Peace Negotiating Panel</w:t>
            </w:r>
            <w:r>
              <w:t>s</w:t>
            </w:r>
            <w:r w:rsidRPr="00524C7D">
              <w:t xml:space="preserve"> and the Bangsamoro Transition Commission</w:t>
            </w:r>
            <w:r>
              <w:t>, keeping us informed of developments when programming.</w:t>
            </w:r>
          </w:p>
        </w:tc>
        <w:tc>
          <w:tcPr>
            <w:tcW w:w="3078" w:type="dxa"/>
          </w:tcPr>
          <w:p w:rsidR="00595B14" w:rsidRDefault="00595B14" w:rsidP="00595B14">
            <w:pPr>
              <w:pStyle w:val="TableTextEntries"/>
            </w:pPr>
            <w:r>
              <w:t xml:space="preserve">Mobilisation of partnerships and implementation of activities under the new BASIC Bangsamoro program. BASIC retains the flexibility to respond to changes in the peace process. </w:t>
            </w:r>
          </w:p>
          <w:p w:rsidR="00595B14" w:rsidRPr="004C4A3E" w:rsidRDefault="00595B14" w:rsidP="00595B14">
            <w:pPr>
              <w:pStyle w:val="TableTextEntries"/>
            </w:pPr>
            <w:r>
              <w:t xml:space="preserve">Complementary support through multi-lateral mechanisms, allowing for donor coordination for the peace process. </w:t>
            </w:r>
          </w:p>
        </w:tc>
      </w:tr>
      <w:tr w:rsidR="000D733F" w:rsidRPr="00180B19" w:rsidTr="00E74E3E">
        <w:trPr>
          <w:tblHeader w:val="0"/>
        </w:trPr>
        <w:tc>
          <w:tcPr>
            <w:tcW w:w="2220" w:type="dxa"/>
            <w:hideMark/>
          </w:tcPr>
          <w:p w:rsidR="000D733F" w:rsidRPr="004C4A3E" w:rsidRDefault="00A91918" w:rsidP="00283E99">
            <w:pPr>
              <w:pStyle w:val="TableTextEntries"/>
            </w:pPr>
            <w:r>
              <w:t>Prospects for realizing targets and promoting sustainability are constrained by slippages in procurement and difficulties within DILG as an agency to mobilise a program for local road management.</w:t>
            </w:r>
          </w:p>
        </w:tc>
        <w:tc>
          <w:tcPr>
            <w:tcW w:w="3657" w:type="dxa"/>
          </w:tcPr>
          <w:p w:rsidR="00A91918" w:rsidRDefault="00A91918" w:rsidP="001A1A76">
            <w:pPr>
              <w:pStyle w:val="TableTextEntries"/>
            </w:pPr>
            <w:r w:rsidRPr="00A91918">
              <w:t>Development and implementation of delayed project recovery plans.</w:t>
            </w:r>
          </w:p>
          <w:p w:rsidR="00374DD4" w:rsidRPr="004C4A3E" w:rsidRDefault="001A1A76" w:rsidP="001A1A76">
            <w:pPr>
              <w:pStyle w:val="TableTextEntries"/>
            </w:pPr>
            <w:r>
              <w:t xml:space="preserve">Ongoing work and support to the Department of Interior and Local Government on developing a possible national program on local road management that integrates analysis, processes, </w:t>
            </w:r>
            <w:r w:rsidR="00283E99">
              <w:t xml:space="preserve">policy options, </w:t>
            </w:r>
            <w:r>
              <w:t>and services developed through PRMF.</w:t>
            </w:r>
          </w:p>
        </w:tc>
        <w:tc>
          <w:tcPr>
            <w:tcW w:w="3078" w:type="dxa"/>
          </w:tcPr>
          <w:p w:rsidR="00A91918" w:rsidRDefault="00A91918" w:rsidP="00A91918">
            <w:pPr>
              <w:pStyle w:val="TableTextEntries"/>
            </w:pPr>
            <w:r>
              <w:t>Seek approval for an extension to give time to fully implement the physical works recovery plan and embed sustainability mechanisms.</w:t>
            </w:r>
          </w:p>
          <w:p w:rsidR="00283E99" w:rsidRPr="004C4A3E" w:rsidRDefault="00A91918" w:rsidP="00A91918">
            <w:pPr>
              <w:pStyle w:val="TableTextEntries"/>
            </w:pPr>
            <w:r>
              <w:t>Develop options to sustain PRMF reforms at the subnational level even without a national funded program.</w:t>
            </w:r>
          </w:p>
        </w:tc>
      </w:tr>
    </w:tbl>
    <w:p w:rsidR="001E7053" w:rsidRDefault="001E7053" w:rsidP="001E7053">
      <w:pPr>
        <w:pStyle w:val="Heading3"/>
        <w:spacing w:before="0" w:after="0"/>
        <w:rPr>
          <w:b w:val="0"/>
          <w:color w:val="007FAD"/>
          <w:sz w:val="28"/>
          <w:szCs w:val="28"/>
          <w:lang w:eastAsia="en-AU"/>
        </w:rPr>
      </w:pPr>
    </w:p>
    <w:p w:rsidR="000D733F" w:rsidRPr="00CD50CB" w:rsidRDefault="000D733F" w:rsidP="00C00586">
      <w:pPr>
        <w:pStyle w:val="Heading3"/>
        <w:rPr>
          <w:color w:val="007FAD"/>
          <w:sz w:val="28"/>
          <w:szCs w:val="28"/>
          <w:lang w:eastAsia="en-AU"/>
        </w:rPr>
      </w:pPr>
      <w:r w:rsidRPr="00FA4A27">
        <w:rPr>
          <w:b w:val="0"/>
          <w:color w:val="007FAD"/>
          <w:sz w:val="28"/>
          <w:szCs w:val="28"/>
          <w:lang w:eastAsia="en-AU"/>
        </w:rPr>
        <w:t xml:space="preserve">Management </w:t>
      </w:r>
      <w:r w:rsidR="00805ADD" w:rsidRPr="00FA4A27">
        <w:rPr>
          <w:b w:val="0"/>
          <w:color w:val="007FAD"/>
          <w:sz w:val="28"/>
          <w:szCs w:val="28"/>
          <w:lang w:eastAsia="en-AU"/>
        </w:rPr>
        <w:t>Responses</w:t>
      </w:r>
      <w:r w:rsidRPr="00CD50CB">
        <w:rPr>
          <w:b w:val="0"/>
          <w:color w:val="007FAD"/>
          <w:sz w:val="28"/>
          <w:szCs w:val="28"/>
          <w:lang w:eastAsia="en-AU"/>
        </w:rPr>
        <w:tab/>
      </w:r>
      <w:r w:rsidRPr="00CD50CB">
        <w:rPr>
          <w:b w:val="0"/>
          <w:color w:val="007FAD"/>
          <w:sz w:val="28"/>
          <w:szCs w:val="28"/>
          <w:lang w:eastAsia="en-AU"/>
        </w:rPr>
        <w:tab/>
      </w:r>
    </w:p>
    <w:p w:rsidR="00265E3C" w:rsidRDefault="003C0EB4" w:rsidP="00265E3C">
      <w:pPr>
        <w:pStyle w:val="ListBullet"/>
        <w:numPr>
          <w:ilvl w:val="0"/>
          <w:numId w:val="0"/>
        </w:numPr>
        <w:tabs>
          <w:tab w:val="clear" w:pos="284"/>
        </w:tabs>
      </w:pPr>
      <w:r>
        <w:t xml:space="preserve">The Philippines country program will continue to re-orient existing programming and design new investments to support the Australian Government’s </w:t>
      </w:r>
      <w:r w:rsidR="00DD1506">
        <w:t xml:space="preserve">new aid policy and </w:t>
      </w:r>
      <w:r>
        <w:t>economic diplomacy agenda.</w:t>
      </w:r>
      <w:r w:rsidR="00DD1506">
        <w:t xml:space="preserve">  In particular, </w:t>
      </w:r>
      <w:r>
        <w:t xml:space="preserve">DFAT </w:t>
      </w:r>
      <w:r w:rsidR="00C72D52">
        <w:t xml:space="preserve">will </w:t>
      </w:r>
      <w:r>
        <w:t xml:space="preserve">respond with a more direct focus on gender and aid for trade. </w:t>
      </w:r>
      <w:r w:rsidR="00265E3C">
        <w:t xml:space="preserve">The Philippines Country Program Gender Note will be updated to reflect Australian Government priorities </w:t>
      </w:r>
      <w:r w:rsidR="00EE5C0F">
        <w:t xml:space="preserve">and </w:t>
      </w:r>
      <w:r w:rsidR="00265E3C">
        <w:t>identify entry points for women’s economic empowerment and leadership in peace-building, as well as develop</w:t>
      </w:r>
      <w:r w:rsidR="00C72D52">
        <w:t>ing</w:t>
      </w:r>
      <w:r w:rsidR="00265E3C">
        <w:t xml:space="preserve"> a more appropriate M&amp;E indicators for capturing outcomes from gender mainstreaming activities.</w:t>
      </w:r>
      <w:r w:rsidR="00637C32">
        <w:t xml:space="preserve">  Investments </w:t>
      </w:r>
      <w:r w:rsidR="00C72D52">
        <w:t xml:space="preserve">in </w:t>
      </w:r>
      <w:r w:rsidR="00637C32">
        <w:t xml:space="preserve">aid for trade will </w:t>
      </w:r>
      <w:r w:rsidR="00C72D52">
        <w:t>be developed during the next year</w:t>
      </w:r>
      <w:r w:rsidR="00637C32">
        <w:t>.</w:t>
      </w:r>
    </w:p>
    <w:p w:rsidR="007F24D1" w:rsidRDefault="007F24D1" w:rsidP="007F24D1">
      <w:pPr>
        <w:pStyle w:val="ListBullet"/>
        <w:numPr>
          <w:ilvl w:val="0"/>
          <w:numId w:val="0"/>
        </w:numPr>
        <w:tabs>
          <w:tab w:val="clear" w:pos="284"/>
        </w:tabs>
      </w:pPr>
      <w:r>
        <w:t xml:space="preserve">Negotiations with the </w:t>
      </w:r>
      <w:r w:rsidR="004B5B8F">
        <w:t>Philippine Government</w:t>
      </w:r>
      <w:r>
        <w:t xml:space="preserve"> on the new </w:t>
      </w:r>
      <w:r w:rsidR="002D2BAB">
        <w:t>four-year</w:t>
      </w:r>
      <w:r>
        <w:t xml:space="preserve"> </w:t>
      </w:r>
      <w:r w:rsidR="00C57E2E">
        <w:t>Aid Investment Plan (</w:t>
      </w:r>
      <w:r>
        <w:t>AIP</w:t>
      </w:r>
      <w:r w:rsidR="001C3EEB">
        <w:t>)</w:t>
      </w:r>
      <w:r>
        <w:t xml:space="preserve"> will be carefully managed with consideration </w:t>
      </w:r>
      <w:r w:rsidR="00DB46D0">
        <w:t xml:space="preserve">given </w:t>
      </w:r>
      <w:r>
        <w:t xml:space="preserve">to the existing Statement of Commitment agreed in 2012, and the revised aid objectives agreed in February 2014.  </w:t>
      </w:r>
      <w:r w:rsidR="00265E3C">
        <w:t xml:space="preserve">The AIP will also consider the </w:t>
      </w:r>
      <w:r>
        <w:t>sustainability of reforms</w:t>
      </w:r>
      <w:r w:rsidR="00265E3C">
        <w:t>,</w:t>
      </w:r>
      <w:r>
        <w:t xml:space="preserve"> </w:t>
      </w:r>
      <w:r w:rsidR="00265E3C">
        <w:t xml:space="preserve">which </w:t>
      </w:r>
      <w:r>
        <w:t xml:space="preserve">will be critical in the lead up to the next presidential election in May 2016.  This will entail continuing engagement with champions in key </w:t>
      </w:r>
      <w:r w:rsidR="00873A36">
        <w:t xml:space="preserve">partner </w:t>
      </w:r>
      <w:r>
        <w:t>agencies to embed critical reforms and deepen</w:t>
      </w:r>
      <w:r w:rsidR="00C57E2E">
        <w:t>ing</w:t>
      </w:r>
      <w:r>
        <w:t xml:space="preserve"> the partnerships with other stakeholders </w:t>
      </w:r>
      <w:r w:rsidR="00B33516">
        <w:t xml:space="preserve">particularly </w:t>
      </w:r>
      <w:r>
        <w:t xml:space="preserve">the private sector.  </w:t>
      </w:r>
    </w:p>
    <w:p w:rsidR="003C0EB4" w:rsidRDefault="002D2BAB" w:rsidP="00265E3C">
      <w:pPr>
        <w:pStyle w:val="ListBullet"/>
        <w:numPr>
          <w:ilvl w:val="0"/>
          <w:numId w:val="0"/>
        </w:numPr>
        <w:tabs>
          <w:tab w:val="clear" w:pos="284"/>
        </w:tabs>
      </w:pPr>
      <w:r>
        <w:lastRenderedPageBreak/>
        <w:t>DFAT</w:t>
      </w:r>
      <w:r w:rsidR="003C0EB4">
        <w:t xml:space="preserve"> will also monitor developments in the drafting and passage of the Bangsamoro Basic Law.  If the law is passed in Congress this year, this may entail reconfiguring our program to align with the new Bangsamoro political entity.</w:t>
      </w:r>
    </w:p>
    <w:p w:rsidR="00265E3C" w:rsidRDefault="007F24D1" w:rsidP="003C0EB4">
      <w:pPr>
        <w:pStyle w:val="ListBullet"/>
        <w:numPr>
          <w:ilvl w:val="0"/>
          <w:numId w:val="0"/>
        </w:numPr>
        <w:tabs>
          <w:tab w:val="clear" w:pos="284"/>
        </w:tabs>
      </w:pPr>
      <w:r>
        <w:t xml:space="preserve">DFAT will continue to support the </w:t>
      </w:r>
      <w:r w:rsidR="004B5B8F">
        <w:t>Philippine Government</w:t>
      </w:r>
      <w:r>
        <w:t xml:space="preserve"> with the long-term recovery efforts </w:t>
      </w:r>
      <w:r w:rsidR="00C72D52">
        <w:t xml:space="preserve">from </w:t>
      </w:r>
      <w:r>
        <w:t>Super-Typhoon Haiyan.  The challenge is to ensure that our support will help unlock blockages and facilitate the rehabilitation of devastated areas in Eastern Visayas.</w:t>
      </w:r>
    </w:p>
    <w:p w:rsidR="003C0EB4" w:rsidRDefault="00265E3C" w:rsidP="003C0EB4">
      <w:pPr>
        <w:pStyle w:val="ListBullet"/>
        <w:numPr>
          <w:ilvl w:val="0"/>
          <w:numId w:val="0"/>
        </w:numPr>
        <w:tabs>
          <w:tab w:val="clear" w:pos="284"/>
        </w:tabs>
      </w:pPr>
      <w:r>
        <w:t>More broadly, all investments will address management response in QAI</w:t>
      </w:r>
      <w:r w:rsidR="00C72D52">
        <w:t>s</w:t>
      </w:r>
      <w:r>
        <w:t xml:space="preserve"> particularly </w:t>
      </w:r>
      <w:r w:rsidR="00C57E2E">
        <w:t xml:space="preserve">in areas that have been </w:t>
      </w:r>
      <w:r>
        <w:t>rated unsatisfactory</w:t>
      </w:r>
      <w:r w:rsidR="00C57E2E">
        <w:t>.</w:t>
      </w:r>
      <w:r>
        <w:t xml:space="preserve"> </w:t>
      </w:r>
      <w:r w:rsidR="00C57E2E">
        <w:t>M</w:t>
      </w:r>
      <w:r>
        <w:t>anagement response to recommendations from independent reviews</w:t>
      </w:r>
      <w:r w:rsidR="00C57E2E">
        <w:t xml:space="preserve"> will also be </w:t>
      </w:r>
      <w:r w:rsidR="00EE5C0F">
        <w:t>addressed</w:t>
      </w:r>
      <w:r w:rsidR="00B33516">
        <w:t xml:space="preserve"> through the specific aid investments</w:t>
      </w:r>
      <w:r w:rsidR="00C57E2E">
        <w:t>.</w:t>
      </w:r>
      <w:r w:rsidR="00B33516">
        <w:t xml:space="preserve"> </w:t>
      </w:r>
    </w:p>
    <w:p w:rsidR="006C51AB" w:rsidRDefault="00DD1506" w:rsidP="006C51AB">
      <w:pPr>
        <w:pStyle w:val="ListBullet"/>
        <w:numPr>
          <w:ilvl w:val="0"/>
          <w:numId w:val="0"/>
        </w:numPr>
        <w:tabs>
          <w:tab w:val="clear" w:pos="284"/>
        </w:tabs>
      </w:pPr>
      <w:r w:rsidRPr="00CC2989">
        <w:t xml:space="preserve">Operationally, </w:t>
      </w:r>
      <w:r w:rsidR="006C51AB" w:rsidRPr="00CC2989">
        <w:t xml:space="preserve">DFAT </w:t>
      </w:r>
      <w:r w:rsidRPr="00CC2989">
        <w:t xml:space="preserve">will continue to ensure that the organisational changes brought about by the </w:t>
      </w:r>
      <w:r w:rsidR="006C51AB" w:rsidRPr="00CC2989">
        <w:t>integration</w:t>
      </w:r>
      <w:r w:rsidRPr="00CC2989">
        <w:t xml:space="preserve">, i.e., new Post structure </w:t>
      </w:r>
      <w:r w:rsidR="00283E99" w:rsidRPr="00CC2989">
        <w:t xml:space="preserve">and </w:t>
      </w:r>
      <w:r w:rsidRPr="00CC2989">
        <w:t xml:space="preserve">new responsibilities, will </w:t>
      </w:r>
      <w:r w:rsidR="00C258ED">
        <w:t>contribute positively to</w:t>
      </w:r>
      <w:r w:rsidRPr="00CC2989">
        <w:t xml:space="preserve"> the </w:t>
      </w:r>
      <w:r w:rsidR="00EE2ECA" w:rsidRPr="00CC2989">
        <w:t xml:space="preserve">effective delivery </w:t>
      </w:r>
      <w:r w:rsidRPr="00CC2989">
        <w:t xml:space="preserve">of the aid program.  </w:t>
      </w:r>
      <w:r w:rsidR="00CC2989">
        <w:t xml:space="preserve">Post </w:t>
      </w:r>
      <w:r w:rsidRPr="00CC2989">
        <w:t xml:space="preserve">will </w:t>
      </w:r>
      <w:r w:rsidR="00C258ED">
        <w:t>work</w:t>
      </w:r>
      <w:r w:rsidR="00C258ED" w:rsidRPr="00CC2989">
        <w:t xml:space="preserve"> </w:t>
      </w:r>
      <w:r w:rsidRPr="00CC2989">
        <w:t xml:space="preserve">to retain </w:t>
      </w:r>
      <w:r w:rsidR="00CC2989">
        <w:t xml:space="preserve">its </w:t>
      </w:r>
      <w:r w:rsidRPr="00CC2989">
        <w:t xml:space="preserve">development expertise by maintaining </w:t>
      </w:r>
      <w:r w:rsidR="00EE2ECA" w:rsidRPr="00CC2989">
        <w:t xml:space="preserve">the </w:t>
      </w:r>
      <w:r w:rsidRPr="00CC2989">
        <w:t xml:space="preserve">high quality of </w:t>
      </w:r>
      <w:r w:rsidR="00283E99" w:rsidRPr="00CC2989">
        <w:t xml:space="preserve">its </w:t>
      </w:r>
      <w:r w:rsidRPr="00CC2989">
        <w:t xml:space="preserve">local staff. </w:t>
      </w:r>
    </w:p>
    <w:p w:rsidR="00DC2451" w:rsidRPr="003445D8" w:rsidRDefault="00DC2451" w:rsidP="00DC2451">
      <w:pPr>
        <w:pStyle w:val="ListBullet"/>
        <w:numPr>
          <w:ilvl w:val="0"/>
          <w:numId w:val="0"/>
        </w:numPr>
        <w:tabs>
          <w:tab w:val="clear" w:pos="284"/>
        </w:tabs>
        <w:sectPr w:rsidR="00DC2451" w:rsidRPr="003445D8" w:rsidSect="00B14700">
          <w:headerReference w:type="default" r:id="rId17"/>
          <w:type w:val="continuous"/>
          <w:pgSz w:w="11907" w:h="16840" w:code="9"/>
          <w:pgMar w:top="2381" w:right="1701" w:bottom="907" w:left="1701" w:header="851" w:footer="851" w:gutter="0"/>
          <w:pgNumType w:start="1"/>
          <w:cols w:space="720"/>
          <w:docGrid w:linePitch="326"/>
        </w:sectPr>
      </w:pPr>
    </w:p>
    <w:p w:rsidR="000D733F" w:rsidRPr="009E38C1" w:rsidRDefault="000D733F" w:rsidP="000D733F">
      <w:pPr>
        <w:pStyle w:val="Heading2"/>
        <w:rPr>
          <w:sz w:val="28"/>
        </w:rPr>
      </w:pPr>
      <w:r w:rsidRPr="009E38C1">
        <w:rPr>
          <w:sz w:val="28"/>
        </w:rPr>
        <w:lastRenderedPageBreak/>
        <w:t xml:space="preserve">Annex A </w:t>
      </w:r>
    </w:p>
    <w:p w:rsidR="000D733F" w:rsidRPr="009E38C1" w:rsidRDefault="000D733F" w:rsidP="000D733F">
      <w:pPr>
        <w:pStyle w:val="Heading2"/>
        <w:rPr>
          <w:sz w:val="28"/>
        </w:rPr>
      </w:pPr>
      <w:r w:rsidRPr="009E38C1">
        <w:rPr>
          <w:sz w:val="28"/>
        </w:rPr>
        <w:t xml:space="preserve">Progress in addressing 2012-13 management </w:t>
      </w:r>
      <w:r w:rsidR="00805ADD" w:rsidRPr="009E38C1">
        <w:rPr>
          <w:sz w:val="28"/>
        </w:rPr>
        <w:t>responses</w:t>
      </w:r>
    </w:p>
    <w:tbl>
      <w:tblPr>
        <w:tblStyle w:val="APPR"/>
        <w:tblpPr w:leftFromText="180" w:rightFromText="180" w:vertAnchor="text" w:tblpY="1"/>
        <w:tblW w:w="5000" w:type="pct"/>
        <w:tblLayout w:type="fixed"/>
        <w:tblLook w:val="0000" w:firstRow="0" w:lastRow="0" w:firstColumn="0" w:lastColumn="0" w:noHBand="0" w:noVBand="0"/>
      </w:tblPr>
      <w:tblGrid>
        <w:gridCol w:w="6515"/>
        <w:gridCol w:w="992"/>
        <w:gridCol w:w="6938"/>
      </w:tblGrid>
      <w:tr w:rsidR="000D733F" w:rsidRPr="00180B19" w:rsidTr="0010390C">
        <w:trPr>
          <w:cnfStyle w:val="000000010000" w:firstRow="0" w:lastRow="0" w:firstColumn="0" w:lastColumn="0" w:oddVBand="0" w:evenVBand="0" w:oddHBand="0" w:evenHBand="1" w:firstRowFirstColumn="0" w:firstRowLastColumn="0" w:lastRowFirstColumn="0" w:lastRowLastColumn="0"/>
        </w:trPr>
        <w:tc>
          <w:tcPr>
            <w:tcW w:w="6473" w:type="dxa"/>
          </w:tcPr>
          <w:p w:rsidR="000D733F" w:rsidRPr="00180B19" w:rsidRDefault="000D733F" w:rsidP="0010390C">
            <w:pPr>
              <w:pStyle w:val="TableTextColumnHeading"/>
            </w:pPr>
            <w:r w:rsidRPr="00FE4491">
              <w:t>Management consequences identified in 201</w:t>
            </w:r>
            <w:r>
              <w:t>2-13</w:t>
            </w:r>
            <w:r w:rsidRPr="00FE4491">
              <w:t xml:space="preserve"> </w:t>
            </w:r>
            <w:r>
              <w:t>APPR</w:t>
            </w:r>
            <w:r>
              <w:tab/>
            </w:r>
          </w:p>
        </w:tc>
        <w:tc>
          <w:tcPr>
            <w:tcW w:w="964" w:type="dxa"/>
          </w:tcPr>
          <w:p w:rsidR="000D733F" w:rsidRPr="00180B19" w:rsidRDefault="000D733F" w:rsidP="0010390C">
            <w:pPr>
              <w:pStyle w:val="TableTextColumnHeading"/>
            </w:pPr>
            <w:r w:rsidRPr="00FE4491">
              <w:t>Rating</w:t>
            </w:r>
          </w:p>
        </w:tc>
        <w:tc>
          <w:tcPr>
            <w:tcW w:w="6896" w:type="dxa"/>
          </w:tcPr>
          <w:p w:rsidR="000D733F" w:rsidRPr="00180B19" w:rsidRDefault="000D733F" w:rsidP="0010390C">
            <w:pPr>
              <w:pStyle w:val="TableTextColumnHeading"/>
            </w:pPr>
            <w:r w:rsidRPr="00FE4491">
              <w:t xml:space="preserve">Progress made in </w:t>
            </w:r>
            <w:r>
              <w:t>2013-14</w:t>
            </w:r>
          </w:p>
        </w:tc>
      </w:tr>
      <w:tr w:rsidR="000D733F" w:rsidRPr="00180B19" w:rsidTr="0010390C">
        <w:trPr>
          <w:tblHeader w:val="0"/>
        </w:trPr>
        <w:tc>
          <w:tcPr>
            <w:tcW w:w="6473" w:type="dxa"/>
          </w:tcPr>
          <w:p w:rsidR="000D733F" w:rsidRPr="00466790" w:rsidRDefault="00EC035A" w:rsidP="000D733F">
            <w:pPr>
              <w:pStyle w:val="TableTextEntries"/>
            </w:pPr>
            <w:r w:rsidRPr="00466790">
              <w:t xml:space="preserve">Country strategy jointly agreed with </w:t>
            </w:r>
            <w:r w:rsidR="004B5B8F">
              <w:t>Philippine Government</w:t>
            </w:r>
          </w:p>
        </w:tc>
        <w:tc>
          <w:tcPr>
            <w:tcW w:w="964" w:type="dxa"/>
            <w:shd w:val="clear" w:color="auto" w:fill="72AF2F"/>
          </w:tcPr>
          <w:p w:rsidR="000D733F" w:rsidRPr="00443639" w:rsidRDefault="000D733F" w:rsidP="000D733F">
            <w:pPr>
              <w:pStyle w:val="TableTextEntries"/>
              <w:jc w:val="center"/>
              <w:rPr>
                <w:color w:val="FFFFFF" w:themeColor="background1"/>
              </w:rPr>
            </w:pPr>
            <w:r>
              <w:rPr>
                <w:color w:val="FFFFFF" w:themeColor="background1"/>
              </w:rPr>
              <w:t>Achieved</w:t>
            </w:r>
          </w:p>
        </w:tc>
        <w:tc>
          <w:tcPr>
            <w:tcW w:w="6896" w:type="dxa"/>
          </w:tcPr>
          <w:p w:rsidR="000D733F" w:rsidRPr="00EC035A" w:rsidRDefault="00EC035A" w:rsidP="000D733F">
            <w:pPr>
              <w:pStyle w:val="TableTextEntries"/>
            </w:pPr>
            <w:r w:rsidRPr="00EC035A">
              <w:t xml:space="preserve">Done.  Further updates made and agreed with </w:t>
            </w:r>
            <w:r w:rsidR="004B5B8F">
              <w:t>Philippine Government</w:t>
            </w:r>
            <w:r w:rsidR="00D32FF2">
              <w:t xml:space="preserve"> after the Philippines-Australia Ministerial Meeting</w:t>
            </w:r>
            <w:r w:rsidRPr="00EC035A">
              <w:t>.</w:t>
            </w:r>
          </w:p>
        </w:tc>
      </w:tr>
      <w:tr w:rsidR="000D733F" w:rsidRPr="00180B19" w:rsidTr="0010390C">
        <w:trPr>
          <w:cnfStyle w:val="000000010000" w:firstRow="0" w:lastRow="0" w:firstColumn="0" w:lastColumn="0" w:oddVBand="0" w:evenVBand="0" w:oddHBand="0" w:evenHBand="1" w:firstRowFirstColumn="0" w:firstRowLastColumn="0" w:lastRowFirstColumn="0" w:lastRowLastColumn="0"/>
          <w:tblHeader w:val="0"/>
        </w:trPr>
        <w:tc>
          <w:tcPr>
            <w:tcW w:w="6473" w:type="dxa"/>
          </w:tcPr>
          <w:p w:rsidR="00EC035A" w:rsidRPr="00466790" w:rsidRDefault="00EC035A" w:rsidP="00EC035A">
            <w:pPr>
              <w:pStyle w:val="TableTextEntries"/>
            </w:pPr>
            <w:r w:rsidRPr="00466790">
              <w:t>Improving mutual accountability and results reporting</w:t>
            </w:r>
          </w:p>
          <w:p w:rsidR="00EC035A" w:rsidRPr="00466790" w:rsidRDefault="00EC035A" w:rsidP="003B2D9B">
            <w:pPr>
              <w:pStyle w:val="BodyText"/>
              <w:numPr>
                <w:ilvl w:val="0"/>
                <w:numId w:val="22"/>
              </w:numPr>
              <w:spacing w:after="120" w:line="240" w:lineRule="auto"/>
              <w:rPr>
                <w:sz w:val="17"/>
                <w:szCs w:val="17"/>
              </w:rPr>
            </w:pPr>
            <w:r w:rsidRPr="00466790">
              <w:rPr>
                <w:sz w:val="17"/>
                <w:szCs w:val="17"/>
              </w:rPr>
              <w:t xml:space="preserve">finalise a robust country strategy monitoring and evaluation framework </w:t>
            </w:r>
          </w:p>
          <w:p w:rsidR="000D733F" w:rsidRPr="00466790" w:rsidRDefault="00EC035A" w:rsidP="003B2D9B">
            <w:pPr>
              <w:pStyle w:val="BodyText"/>
              <w:numPr>
                <w:ilvl w:val="0"/>
                <w:numId w:val="22"/>
              </w:numPr>
              <w:spacing w:after="120" w:line="240" w:lineRule="auto"/>
              <w:rPr>
                <w:sz w:val="17"/>
                <w:szCs w:val="17"/>
              </w:rPr>
            </w:pPr>
            <w:r w:rsidRPr="00466790">
              <w:rPr>
                <w:sz w:val="17"/>
                <w:szCs w:val="17"/>
              </w:rPr>
              <w:t>develop the delivery strategy performance assessment frameworks for education and sub-national governance</w:t>
            </w:r>
            <w:r w:rsidR="001C3EEB">
              <w:rPr>
                <w:sz w:val="17"/>
                <w:szCs w:val="17"/>
              </w:rPr>
              <w:t>.</w:t>
            </w:r>
          </w:p>
        </w:tc>
        <w:tc>
          <w:tcPr>
            <w:tcW w:w="964" w:type="dxa"/>
            <w:shd w:val="clear" w:color="auto" w:fill="72AF2F"/>
          </w:tcPr>
          <w:p w:rsidR="000D733F" w:rsidRPr="00443639" w:rsidRDefault="000D733F" w:rsidP="000D733F">
            <w:pPr>
              <w:pStyle w:val="TableTextEntries"/>
              <w:jc w:val="center"/>
              <w:rPr>
                <w:color w:val="FFFFFF" w:themeColor="background1"/>
              </w:rPr>
            </w:pPr>
            <w:r>
              <w:rPr>
                <w:color w:val="FFFFFF" w:themeColor="background1"/>
              </w:rPr>
              <w:t>Achieved</w:t>
            </w:r>
            <w:r w:rsidRPr="00443639">
              <w:rPr>
                <w:color w:val="FFFFFF" w:themeColor="background1"/>
              </w:rPr>
              <w:fldChar w:fldCharType="begin"/>
            </w:r>
            <w:r w:rsidRPr="00443639">
              <w:rPr>
                <w:color w:val="FFFFFF" w:themeColor="background1"/>
              </w:rPr>
              <w:instrText xml:space="preserve"> AUTOTEXTLIST  \s "Rating bullet"\t "Right click to choose a rating" \* MERGEFORMAT </w:instrText>
            </w:r>
            <w:r w:rsidRPr="00443639">
              <w:rPr>
                <w:color w:val="FFFFFF" w:themeColor="background1"/>
              </w:rPr>
              <w:fldChar w:fldCharType="end"/>
            </w:r>
          </w:p>
        </w:tc>
        <w:tc>
          <w:tcPr>
            <w:tcW w:w="6896" w:type="dxa"/>
          </w:tcPr>
          <w:p w:rsidR="000D733F" w:rsidRPr="00EC035A" w:rsidRDefault="00EC035A" w:rsidP="000D733F">
            <w:pPr>
              <w:pStyle w:val="TableTextEntries"/>
            </w:pPr>
            <w:r w:rsidRPr="00EC035A">
              <w:t xml:space="preserve">The Performance Assessment Framework (PAF) covering all sectors/initiatives was developed and approved in April 2014.  The PAF already reflects the updated objectives of the aid program agreed in the February 2014 Ministerial Meeting.  </w:t>
            </w:r>
          </w:p>
        </w:tc>
      </w:tr>
      <w:tr w:rsidR="000D733F" w:rsidRPr="00180B19" w:rsidTr="0010390C">
        <w:trPr>
          <w:tblHeader w:val="0"/>
        </w:trPr>
        <w:tc>
          <w:tcPr>
            <w:tcW w:w="6473" w:type="dxa"/>
          </w:tcPr>
          <w:p w:rsidR="00EC035A" w:rsidRPr="00466790" w:rsidRDefault="00EC035A" w:rsidP="00EC035A">
            <w:pPr>
              <w:pStyle w:val="TableTextEntries"/>
            </w:pPr>
            <w:r w:rsidRPr="00466790">
              <w:t>Promote institutional reform and maintaining relationship with key partners</w:t>
            </w:r>
          </w:p>
          <w:p w:rsidR="000D733F" w:rsidRPr="00466790" w:rsidRDefault="00EC035A" w:rsidP="003B2D9B">
            <w:pPr>
              <w:pStyle w:val="BodyText"/>
              <w:numPr>
                <w:ilvl w:val="0"/>
                <w:numId w:val="22"/>
              </w:numPr>
              <w:spacing w:after="120" w:line="240" w:lineRule="auto"/>
              <w:rPr>
                <w:sz w:val="17"/>
                <w:szCs w:val="17"/>
              </w:rPr>
            </w:pPr>
            <w:r w:rsidRPr="00466790">
              <w:rPr>
                <w:iCs/>
                <w:sz w:val="17"/>
                <w:szCs w:val="17"/>
              </w:rPr>
              <w:t xml:space="preserve">helping </w:t>
            </w:r>
            <w:r w:rsidRPr="00466790">
              <w:rPr>
                <w:sz w:val="17"/>
                <w:szCs w:val="17"/>
              </w:rPr>
              <w:t>partners</w:t>
            </w:r>
            <w:r w:rsidRPr="00466790">
              <w:rPr>
                <w:iCs/>
                <w:sz w:val="17"/>
                <w:szCs w:val="17"/>
              </w:rPr>
              <w:t xml:space="preserve"> identify and embed good policy formulation and implementation in core systems, and continuing to engage with reform champions</w:t>
            </w:r>
            <w:r w:rsidR="001C3EEB">
              <w:rPr>
                <w:iCs/>
                <w:sz w:val="17"/>
                <w:szCs w:val="17"/>
              </w:rPr>
              <w:t>.</w:t>
            </w:r>
          </w:p>
        </w:tc>
        <w:tc>
          <w:tcPr>
            <w:tcW w:w="964" w:type="dxa"/>
            <w:shd w:val="clear" w:color="auto" w:fill="72AF2F"/>
          </w:tcPr>
          <w:p w:rsidR="000D733F" w:rsidRPr="00443639" w:rsidRDefault="000D733F" w:rsidP="000D733F">
            <w:pPr>
              <w:pStyle w:val="TableTextEntries"/>
              <w:jc w:val="center"/>
              <w:rPr>
                <w:color w:val="FFFFFF" w:themeColor="background1"/>
              </w:rPr>
            </w:pPr>
            <w:r>
              <w:rPr>
                <w:color w:val="FFFFFF" w:themeColor="background1"/>
              </w:rPr>
              <w:t>Achieved</w:t>
            </w:r>
          </w:p>
        </w:tc>
        <w:tc>
          <w:tcPr>
            <w:tcW w:w="6896" w:type="dxa"/>
          </w:tcPr>
          <w:p w:rsidR="000D733F" w:rsidRPr="00EC035A" w:rsidRDefault="00EC035A" w:rsidP="000D733F">
            <w:pPr>
              <w:pStyle w:val="TableTextEntries"/>
            </w:pPr>
            <w:r w:rsidRPr="00EC035A">
              <w:t>The HRODF provided support to 23 partner agencies in policy formulation and establishing systems.</w:t>
            </w:r>
          </w:p>
        </w:tc>
      </w:tr>
      <w:tr w:rsidR="00EC035A" w:rsidRPr="00180B19" w:rsidTr="0010390C">
        <w:trPr>
          <w:cnfStyle w:val="000000010000" w:firstRow="0" w:lastRow="0" w:firstColumn="0" w:lastColumn="0" w:oddVBand="0" w:evenVBand="0" w:oddHBand="0" w:evenHBand="1" w:firstRowFirstColumn="0" w:firstRowLastColumn="0" w:lastRowFirstColumn="0" w:lastRowLastColumn="0"/>
          <w:tblHeader w:val="0"/>
        </w:trPr>
        <w:tc>
          <w:tcPr>
            <w:tcW w:w="6473" w:type="dxa"/>
          </w:tcPr>
          <w:p w:rsidR="00EC035A" w:rsidRPr="00466790" w:rsidRDefault="00EC035A" w:rsidP="000D733F">
            <w:pPr>
              <w:pStyle w:val="TableTextEntries"/>
            </w:pPr>
            <w:r w:rsidRPr="00466790">
              <w:t>Effective hand-over arrangements of A-based officers</w:t>
            </w:r>
          </w:p>
        </w:tc>
        <w:tc>
          <w:tcPr>
            <w:tcW w:w="964" w:type="dxa"/>
            <w:shd w:val="clear" w:color="auto" w:fill="72AF2F"/>
          </w:tcPr>
          <w:p w:rsidR="00EC035A" w:rsidRDefault="00466790" w:rsidP="000D733F">
            <w:pPr>
              <w:pStyle w:val="TableTextEntries"/>
              <w:jc w:val="center"/>
              <w:rPr>
                <w:color w:val="FFFFFF" w:themeColor="background1"/>
              </w:rPr>
            </w:pPr>
            <w:r>
              <w:rPr>
                <w:color w:val="FFFFFF" w:themeColor="background1"/>
              </w:rPr>
              <w:t>Achieved</w:t>
            </w:r>
          </w:p>
        </w:tc>
        <w:tc>
          <w:tcPr>
            <w:tcW w:w="6896" w:type="dxa"/>
          </w:tcPr>
          <w:p w:rsidR="00EC035A" w:rsidRPr="00EC035A" w:rsidRDefault="00EC035A" w:rsidP="000D733F">
            <w:pPr>
              <w:pStyle w:val="TableTextEntries"/>
            </w:pPr>
            <w:r w:rsidRPr="00EC035A">
              <w:t>Transition to new DFAT integrated structure is ongoing.</w:t>
            </w:r>
          </w:p>
        </w:tc>
      </w:tr>
      <w:tr w:rsidR="00EC035A" w:rsidRPr="00180B19" w:rsidTr="0010390C">
        <w:trPr>
          <w:tblHeader w:val="0"/>
        </w:trPr>
        <w:tc>
          <w:tcPr>
            <w:tcW w:w="6473" w:type="dxa"/>
          </w:tcPr>
          <w:p w:rsidR="00EC035A" w:rsidRPr="00466790" w:rsidRDefault="00EC035A" w:rsidP="00EC035A">
            <w:pPr>
              <w:pStyle w:val="TableTextEntries"/>
            </w:pPr>
            <w:r w:rsidRPr="00466790">
              <w:t>Objective 1: Improved education</w:t>
            </w:r>
          </w:p>
          <w:p w:rsidR="00EC035A" w:rsidRPr="00466790" w:rsidRDefault="00EC035A" w:rsidP="003B2D9B">
            <w:pPr>
              <w:pStyle w:val="BodyText"/>
              <w:numPr>
                <w:ilvl w:val="0"/>
                <w:numId w:val="22"/>
              </w:numPr>
              <w:spacing w:after="120" w:line="240" w:lineRule="auto"/>
              <w:rPr>
                <w:sz w:val="17"/>
                <w:szCs w:val="17"/>
              </w:rPr>
            </w:pPr>
            <w:r w:rsidRPr="00466790">
              <w:rPr>
                <w:sz w:val="17"/>
                <w:szCs w:val="17"/>
              </w:rPr>
              <w:t xml:space="preserve">DFAT support to organisation and systems reforms to enable the Department of Education to implement the Kindergarten to Year 12 program. </w:t>
            </w:r>
          </w:p>
          <w:p w:rsidR="00EC035A" w:rsidRPr="00466790" w:rsidRDefault="00EC035A" w:rsidP="003B2D9B">
            <w:pPr>
              <w:pStyle w:val="BodyText"/>
              <w:numPr>
                <w:ilvl w:val="0"/>
                <w:numId w:val="22"/>
              </w:numPr>
              <w:spacing w:after="120" w:line="240" w:lineRule="auto"/>
              <w:rPr>
                <w:sz w:val="17"/>
                <w:szCs w:val="17"/>
              </w:rPr>
            </w:pPr>
            <w:r w:rsidRPr="00466790">
              <w:rPr>
                <w:sz w:val="17"/>
                <w:szCs w:val="17"/>
              </w:rPr>
              <w:t>The Education Delivery Strategy will be finalised in 2013–14.</w:t>
            </w:r>
          </w:p>
        </w:tc>
        <w:tc>
          <w:tcPr>
            <w:tcW w:w="964" w:type="dxa"/>
            <w:shd w:val="clear" w:color="auto" w:fill="72AF2F"/>
          </w:tcPr>
          <w:p w:rsidR="00EC035A" w:rsidRDefault="00466790" w:rsidP="000D733F">
            <w:pPr>
              <w:pStyle w:val="TableTextEntries"/>
              <w:jc w:val="center"/>
              <w:rPr>
                <w:color w:val="FFFFFF" w:themeColor="background1"/>
              </w:rPr>
            </w:pPr>
            <w:r>
              <w:rPr>
                <w:color w:val="FFFFFF" w:themeColor="background1"/>
              </w:rPr>
              <w:t>Achieved</w:t>
            </w:r>
          </w:p>
        </w:tc>
        <w:tc>
          <w:tcPr>
            <w:tcW w:w="6896" w:type="dxa"/>
          </w:tcPr>
          <w:p w:rsidR="00EC035A" w:rsidRPr="00EC035A" w:rsidRDefault="00EC035A" w:rsidP="00EC035A">
            <w:pPr>
              <w:pStyle w:val="TableTextEntries"/>
            </w:pPr>
            <w:r w:rsidRPr="00EC035A">
              <w:t xml:space="preserve">DFAT supported the organisational reforms in the DepED.  The supported reforms include: quality assurance system for classroom construction, information management systems (to support planning and M&amp;E), developing standards consistent with international benchmarks for teacher quality, curriculum, and learning assessment and school/community grants management scheme.  </w:t>
            </w:r>
          </w:p>
          <w:p w:rsidR="00EC035A" w:rsidRPr="00EC035A" w:rsidRDefault="00EC035A" w:rsidP="00EC035A">
            <w:pPr>
              <w:pStyle w:val="TableTextEntries"/>
            </w:pPr>
            <w:r w:rsidRPr="00EC035A">
              <w:t xml:space="preserve">The Education Delivery Strategy (2013 -2023) was finalised and approved in February 2014.   </w:t>
            </w:r>
          </w:p>
        </w:tc>
      </w:tr>
      <w:tr w:rsidR="00EC035A" w:rsidRPr="00180B19" w:rsidTr="0010390C">
        <w:trPr>
          <w:cnfStyle w:val="000000010000" w:firstRow="0" w:lastRow="0" w:firstColumn="0" w:lastColumn="0" w:oddVBand="0" w:evenVBand="0" w:oddHBand="0" w:evenHBand="1" w:firstRowFirstColumn="0" w:firstRowLastColumn="0" w:lastRowFirstColumn="0" w:lastRowLastColumn="0"/>
          <w:tblHeader w:val="0"/>
        </w:trPr>
        <w:tc>
          <w:tcPr>
            <w:tcW w:w="6473" w:type="dxa"/>
          </w:tcPr>
          <w:p w:rsidR="00EC035A" w:rsidRPr="00466790" w:rsidRDefault="00EC035A" w:rsidP="00EC035A">
            <w:pPr>
              <w:pStyle w:val="TableTextEntries"/>
            </w:pPr>
            <w:r w:rsidRPr="00466790">
              <w:t>Objective 2: Improved local government capacity to deliver basic services</w:t>
            </w:r>
          </w:p>
          <w:p w:rsidR="00EC035A" w:rsidRPr="00466790" w:rsidRDefault="00EC035A" w:rsidP="003B2D9B">
            <w:pPr>
              <w:pStyle w:val="BodyText"/>
              <w:numPr>
                <w:ilvl w:val="0"/>
                <w:numId w:val="22"/>
              </w:numPr>
              <w:spacing w:after="120" w:line="240" w:lineRule="auto"/>
              <w:rPr>
                <w:sz w:val="17"/>
                <w:szCs w:val="17"/>
              </w:rPr>
            </w:pPr>
            <w:r w:rsidRPr="00466790">
              <w:rPr>
                <w:sz w:val="17"/>
                <w:szCs w:val="17"/>
              </w:rPr>
              <w:t xml:space="preserve">Hand over Provincial Road Management Facility operations to a new supporting contractor </w:t>
            </w:r>
          </w:p>
          <w:p w:rsidR="00EC035A" w:rsidRPr="00466790" w:rsidRDefault="00EC035A" w:rsidP="003B2D9B">
            <w:pPr>
              <w:pStyle w:val="BodyText"/>
              <w:numPr>
                <w:ilvl w:val="0"/>
                <w:numId w:val="22"/>
              </w:numPr>
              <w:spacing w:after="120" w:line="240" w:lineRule="auto"/>
              <w:rPr>
                <w:sz w:val="17"/>
                <w:szCs w:val="17"/>
              </w:rPr>
            </w:pPr>
            <w:r w:rsidRPr="00466790">
              <w:rPr>
                <w:sz w:val="17"/>
                <w:szCs w:val="17"/>
              </w:rPr>
              <w:t>Development of a delivery strategy for sub-national governance as an overarching cross-cutting strategy supportive of other sectoral and thematic priorities of the program.</w:t>
            </w:r>
          </w:p>
        </w:tc>
        <w:tc>
          <w:tcPr>
            <w:tcW w:w="964" w:type="dxa"/>
            <w:shd w:val="clear" w:color="auto" w:fill="72AF2F"/>
          </w:tcPr>
          <w:p w:rsidR="00EC035A" w:rsidRDefault="00466790" w:rsidP="000D733F">
            <w:pPr>
              <w:pStyle w:val="TableTextEntries"/>
              <w:jc w:val="center"/>
              <w:rPr>
                <w:color w:val="FFFFFF" w:themeColor="background1"/>
              </w:rPr>
            </w:pPr>
            <w:r>
              <w:rPr>
                <w:color w:val="FFFFFF" w:themeColor="background1"/>
              </w:rPr>
              <w:t>Achieved</w:t>
            </w:r>
          </w:p>
        </w:tc>
        <w:tc>
          <w:tcPr>
            <w:tcW w:w="6896" w:type="dxa"/>
          </w:tcPr>
          <w:p w:rsidR="00EC035A" w:rsidRPr="00EC035A" w:rsidRDefault="00EC035A" w:rsidP="00EC035A">
            <w:pPr>
              <w:pStyle w:val="TableTextEntries"/>
            </w:pPr>
            <w:r w:rsidRPr="00EC035A">
              <w:t>Handed over the operational management of PRMF to LBG as Supporting Contractor and mobilised a DFAT-led Facility Management Group for strategic management of the facility which included representative from partner government (DILG)</w:t>
            </w:r>
          </w:p>
          <w:p w:rsidR="00EC035A" w:rsidRPr="00EC035A" w:rsidRDefault="00EC035A" w:rsidP="00EC035A">
            <w:pPr>
              <w:pStyle w:val="TableTextEntries"/>
            </w:pPr>
            <w:r w:rsidRPr="00EC035A">
              <w:t>A draft delivery strategy was developed but superseded by revised objectives of the aid program.  Sub-national governance is now part of foundational and cross-cutting program.</w:t>
            </w:r>
          </w:p>
        </w:tc>
      </w:tr>
      <w:tr w:rsidR="00EC035A" w:rsidRPr="00180B19" w:rsidTr="0010390C">
        <w:trPr>
          <w:tblHeader w:val="0"/>
        </w:trPr>
        <w:tc>
          <w:tcPr>
            <w:tcW w:w="6473" w:type="dxa"/>
          </w:tcPr>
          <w:p w:rsidR="00EC035A" w:rsidRPr="00D32FF2" w:rsidRDefault="00EC035A" w:rsidP="00EC035A">
            <w:pPr>
              <w:spacing w:before="120"/>
              <w:rPr>
                <w:rFonts w:ascii="Franklin Gothic Book" w:hAnsi="Franklin Gothic Book"/>
                <w:sz w:val="17"/>
                <w:szCs w:val="17"/>
              </w:rPr>
            </w:pPr>
            <w:r w:rsidRPr="00D32FF2">
              <w:rPr>
                <w:rFonts w:ascii="Franklin Gothic Book" w:hAnsi="Franklin Gothic Book"/>
                <w:sz w:val="17"/>
                <w:szCs w:val="17"/>
              </w:rPr>
              <w:t>Objective 3: Strengthened climate change adaptation and disaster risk management</w:t>
            </w:r>
          </w:p>
          <w:p w:rsidR="00EC035A" w:rsidRPr="00466790" w:rsidRDefault="00EC035A" w:rsidP="00EC035A">
            <w:pPr>
              <w:pStyle w:val="TableTextEntries"/>
            </w:pPr>
            <w:r w:rsidRPr="00466790">
              <w:rPr>
                <w:rFonts w:asciiTheme="minorHAnsi" w:hAnsiTheme="minorHAnsi"/>
              </w:rPr>
              <w:t xml:space="preserve">Promoting greater urban resilience to disasters and climate change </w:t>
            </w:r>
            <w:r w:rsidRPr="00466790">
              <w:rPr>
                <w:rFonts w:asciiTheme="minorHAnsi" w:hAnsiTheme="minorHAnsi"/>
                <w:color w:val="000000" w:themeColor="text1"/>
              </w:rPr>
              <w:t>and testing local models for safer settlements</w:t>
            </w:r>
            <w:r w:rsidRPr="00466790">
              <w:rPr>
                <w:rFonts w:asciiTheme="minorHAnsi" w:hAnsiTheme="minorHAnsi"/>
              </w:rPr>
              <w:t xml:space="preserve"> is the aim of the BRACE program</w:t>
            </w:r>
            <w:r w:rsidR="001C3EEB">
              <w:rPr>
                <w:rFonts w:asciiTheme="minorHAnsi" w:hAnsiTheme="minorHAnsi"/>
              </w:rPr>
              <w:t>.</w:t>
            </w:r>
          </w:p>
        </w:tc>
        <w:tc>
          <w:tcPr>
            <w:tcW w:w="964" w:type="dxa"/>
            <w:shd w:val="clear" w:color="auto" w:fill="72AF2F"/>
          </w:tcPr>
          <w:p w:rsidR="00EC035A" w:rsidRDefault="00466790" w:rsidP="000D733F">
            <w:pPr>
              <w:pStyle w:val="TableTextEntries"/>
              <w:jc w:val="center"/>
              <w:rPr>
                <w:color w:val="FFFFFF" w:themeColor="background1"/>
              </w:rPr>
            </w:pPr>
            <w:r>
              <w:rPr>
                <w:color w:val="FFFFFF" w:themeColor="background1"/>
              </w:rPr>
              <w:t>Achieved</w:t>
            </w:r>
          </w:p>
        </w:tc>
        <w:tc>
          <w:tcPr>
            <w:tcW w:w="6896" w:type="dxa"/>
          </w:tcPr>
          <w:p w:rsidR="00EC035A" w:rsidRPr="00D52662" w:rsidRDefault="00EC035A" w:rsidP="00EC035A">
            <w:pPr>
              <w:pStyle w:val="TableTextEntries"/>
            </w:pPr>
            <w:r w:rsidRPr="00EC035A">
              <w:t xml:space="preserve">Although </w:t>
            </w:r>
            <w:r w:rsidR="00014154">
              <w:t>DFAT</w:t>
            </w:r>
            <w:r w:rsidRPr="00EC035A">
              <w:t xml:space="preserve"> decided to withdraw from partnership with Taguig City, the agenda and model for safer settlement has already been taken up by the national government partner (DILG).</w:t>
            </w:r>
          </w:p>
        </w:tc>
      </w:tr>
      <w:tr w:rsidR="00EC035A" w:rsidRPr="00180B19" w:rsidTr="0010390C">
        <w:trPr>
          <w:cnfStyle w:val="000000010000" w:firstRow="0" w:lastRow="0" w:firstColumn="0" w:lastColumn="0" w:oddVBand="0" w:evenVBand="0" w:oddHBand="0" w:evenHBand="1" w:firstRowFirstColumn="0" w:firstRowLastColumn="0" w:lastRowFirstColumn="0" w:lastRowLastColumn="0"/>
          <w:tblHeader w:val="0"/>
        </w:trPr>
        <w:tc>
          <w:tcPr>
            <w:tcW w:w="6473" w:type="dxa"/>
          </w:tcPr>
          <w:p w:rsidR="00EC035A" w:rsidRPr="00466790" w:rsidRDefault="00EC035A" w:rsidP="00EC035A">
            <w:pPr>
              <w:spacing w:before="120"/>
              <w:rPr>
                <w:rFonts w:ascii="Franklin Gothic Book" w:hAnsi="Franklin Gothic Book"/>
                <w:i/>
                <w:sz w:val="17"/>
                <w:szCs w:val="17"/>
              </w:rPr>
            </w:pPr>
            <w:r w:rsidRPr="00466790">
              <w:rPr>
                <w:rFonts w:ascii="Franklin Gothic Book" w:hAnsi="Franklin Gothic Book"/>
                <w:i/>
                <w:sz w:val="17"/>
                <w:szCs w:val="17"/>
              </w:rPr>
              <w:t>Objective 4: Improved conditions for peace and security</w:t>
            </w:r>
          </w:p>
          <w:p w:rsidR="00EC035A" w:rsidRPr="00466790" w:rsidRDefault="00EC035A" w:rsidP="003B2D9B">
            <w:pPr>
              <w:pStyle w:val="BodyText"/>
              <w:numPr>
                <w:ilvl w:val="0"/>
                <w:numId w:val="22"/>
              </w:numPr>
              <w:spacing w:after="120" w:line="240" w:lineRule="auto"/>
              <w:rPr>
                <w:sz w:val="17"/>
                <w:szCs w:val="17"/>
              </w:rPr>
            </w:pPr>
            <w:r w:rsidRPr="00466790">
              <w:rPr>
                <w:sz w:val="17"/>
                <w:szCs w:val="17"/>
              </w:rPr>
              <w:t xml:space="preserve">We should use our early contributions to multilateral facilities to promote donor coordination and support the Framework Agreement on Bangsamoro. </w:t>
            </w:r>
          </w:p>
          <w:p w:rsidR="00EC035A" w:rsidRPr="00466790" w:rsidRDefault="00EC035A" w:rsidP="003B2D9B">
            <w:pPr>
              <w:pStyle w:val="BodyText"/>
              <w:numPr>
                <w:ilvl w:val="0"/>
                <w:numId w:val="22"/>
              </w:numPr>
              <w:spacing w:after="120" w:line="240" w:lineRule="auto"/>
              <w:rPr>
                <w:sz w:val="17"/>
                <w:szCs w:val="17"/>
              </w:rPr>
            </w:pPr>
            <w:r w:rsidRPr="00466790">
              <w:rPr>
                <w:sz w:val="17"/>
                <w:szCs w:val="17"/>
              </w:rPr>
              <w:lastRenderedPageBreak/>
              <w:t>Streamline projects into a more focused program in keeping with the Mindanao Conflict Affected Areas Delivery Strategy.</w:t>
            </w:r>
          </w:p>
          <w:p w:rsidR="00EC035A" w:rsidRPr="00466790" w:rsidRDefault="00EC035A" w:rsidP="003B2D9B">
            <w:pPr>
              <w:pStyle w:val="BodyText"/>
              <w:numPr>
                <w:ilvl w:val="0"/>
                <w:numId w:val="22"/>
              </w:numPr>
              <w:spacing w:after="120" w:line="240" w:lineRule="auto"/>
              <w:rPr>
                <w:sz w:val="17"/>
                <w:szCs w:val="17"/>
              </w:rPr>
            </w:pPr>
            <w:r w:rsidRPr="00466790">
              <w:rPr>
                <w:sz w:val="17"/>
                <w:szCs w:val="17"/>
              </w:rPr>
              <w:t xml:space="preserve">Maintain investment in monitoring and evaluation, research, and strategic communication in Mindanao to ensure that the programs remain on track and that we can respond to rapidly changing environments and high levels of personal and program risk. </w:t>
            </w:r>
          </w:p>
          <w:p w:rsidR="00EC035A" w:rsidRPr="00466790" w:rsidRDefault="00EC035A" w:rsidP="00EC035A">
            <w:pPr>
              <w:spacing w:before="120"/>
              <w:rPr>
                <w:rFonts w:ascii="Franklin Gothic Book" w:hAnsi="Franklin Gothic Book"/>
                <w:i/>
                <w:sz w:val="17"/>
                <w:szCs w:val="17"/>
              </w:rPr>
            </w:pPr>
            <w:r w:rsidRPr="00466790">
              <w:rPr>
                <w:rFonts w:ascii="Franklin Gothic Book" w:hAnsi="Franklin Gothic Book"/>
                <w:sz w:val="17"/>
                <w:szCs w:val="17"/>
              </w:rPr>
              <w:t>Weak capacity in the ARMM Department of Education will need to be supplemented by implementing partners to maintain a momentum for reform.</w:t>
            </w:r>
          </w:p>
        </w:tc>
        <w:tc>
          <w:tcPr>
            <w:tcW w:w="964" w:type="dxa"/>
            <w:shd w:val="clear" w:color="auto" w:fill="72AF2F"/>
          </w:tcPr>
          <w:p w:rsidR="00EC035A" w:rsidRPr="00466790" w:rsidRDefault="00466790" w:rsidP="000D733F">
            <w:pPr>
              <w:pStyle w:val="TableTextEntries"/>
              <w:jc w:val="center"/>
              <w:rPr>
                <w:color w:val="FFFFFF" w:themeColor="background1"/>
              </w:rPr>
            </w:pPr>
            <w:r>
              <w:rPr>
                <w:color w:val="FFFFFF" w:themeColor="background1"/>
              </w:rPr>
              <w:lastRenderedPageBreak/>
              <w:t>Achieved</w:t>
            </w:r>
          </w:p>
        </w:tc>
        <w:tc>
          <w:tcPr>
            <w:tcW w:w="6896" w:type="dxa"/>
          </w:tcPr>
          <w:p w:rsidR="00EC035A" w:rsidRPr="00466790" w:rsidRDefault="00EC035A" w:rsidP="00EC035A">
            <w:pPr>
              <w:pStyle w:val="TableTextEntries"/>
            </w:pPr>
            <w:r w:rsidRPr="00466790">
              <w:t xml:space="preserve">Further contributions to both Mindanao Trust Fund and Fastrac, indicates Australia’s strong commitment to donor coordination and support for the Bangsamoro through multilateral mechanisms. Our support was recognised by the Philippine president at the signing of the CAB (27 March). Australia is an active participant in both facilities, formally at steering </w:t>
            </w:r>
            <w:r w:rsidRPr="00466790">
              <w:lastRenderedPageBreak/>
              <w:t>committee meetings and at the technical level. Australia is recognised as a strong and effective proponent of donor coordination by government (OPAPP) and the WB and UNDP, being called on to participate in informal fora to contribute to strategy and positioning of facilities.  </w:t>
            </w:r>
          </w:p>
          <w:p w:rsidR="00EC035A" w:rsidRPr="00466790" w:rsidRDefault="00EC035A" w:rsidP="00EC035A">
            <w:pPr>
              <w:pStyle w:val="TableTextEntries"/>
            </w:pPr>
            <w:r w:rsidRPr="00466790">
              <w:t>New program (BASIC Bangsamoro) designed with the primary objective to support the transition to the Bangsamoro - from the signing of the CAB (2014) to the establishment of a Bangsamoro government (2016). The new program will have 3-4 partners and support 3 of the objectives under the Mindanao delivery strategy; Peace process more credible and widely supported, Institutional capacity to implement peace agreement improved, Stronger local mechanisms for averting escalation of violence.</w:t>
            </w:r>
          </w:p>
          <w:p w:rsidR="00EC035A" w:rsidRPr="00466790" w:rsidRDefault="00EC035A" w:rsidP="00EC035A">
            <w:pPr>
              <w:pStyle w:val="TableTextEntries"/>
            </w:pPr>
            <w:r w:rsidRPr="00466790">
              <w:t>More regular travel to Mindanao is now possible allowing for M&amp;E and communication, albeit in a restricted manner to accommodate security concerns. BASIC Bangsamoro has increased resources for M&amp;E and a governance structure which requires regular (quarterly) interactions with partners.</w:t>
            </w:r>
          </w:p>
        </w:tc>
      </w:tr>
      <w:tr w:rsidR="00EC035A" w:rsidRPr="00180B19" w:rsidTr="0010390C">
        <w:trPr>
          <w:tblHeader w:val="0"/>
        </w:trPr>
        <w:tc>
          <w:tcPr>
            <w:tcW w:w="6473" w:type="dxa"/>
          </w:tcPr>
          <w:p w:rsidR="00EC035A" w:rsidRPr="00466790" w:rsidRDefault="00EC035A" w:rsidP="00EC035A">
            <w:pPr>
              <w:rPr>
                <w:rFonts w:ascii="Franklin Gothic Book" w:hAnsi="Franklin Gothic Book"/>
                <w:i/>
                <w:sz w:val="17"/>
                <w:szCs w:val="17"/>
              </w:rPr>
            </w:pPr>
            <w:r w:rsidRPr="00466790">
              <w:rPr>
                <w:rFonts w:ascii="Franklin Gothic Book" w:hAnsi="Franklin Gothic Book"/>
                <w:i/>
                <w:sz w:val="17"/>
                <w:szCs w:val="17"/>
              </w:rPr>
              <w:lastRenderedPageBreak/>
              <w:t>Objective 5: Supporting the foundation for accountable, transparent, effective and inclusive governance</w:t>
            </w:r>
          </w:p>
          <w:p w:rsidR="00EC035A" w:rsidRPr="00466790" w:rsidRDefault="00EC035A" w:rsidP="00030A4E">
            <w:pPr>
              <w:pStyle w:val="BodyText"/>
              <w:numPr>
                <w:ilvl w:val="0"/>
                <w:numId w:val="22"/>
              </w:numPr>
              <w:spacing w:after="120" w:line="240" w:lineRule="auto"/>
              <w:rPr>
                <w:sz w:val="17"/>
                <w:szCs w:val="17"/>
              </w:rPr>
            </w:pPr>
            <w:r w:rsidRPr="00466790">
              <w:rPr>
                <w:sz w:val="17"/>
                <w:szCs w:val="17"/>
              </w:rPr>
              <w:t xml:space="preserve">Implementing the recommendations of the Human Resource and Organisational Development Facility mid-term review most notably actioning recommendations for of reforms. </w:t>
            </w:r>
          </w:p>
          <w:p w:rsidR="00EC035A" w:rsidRPr="00466790" w:rsidRDefault="00EC035A" w:rsidP="00030A4E">
            <w:pPr>
              <w:pStyle w:val="BodyText"/>
              <w:numPr>
                <w:ilvl w:val="0"/>
                <w:numId w:val="22"/>
              </w:numPr>
              <w:spacing w:after="120" w:line="240" w:lineRule="auto"/>
              <w:rPr>
                <w:sz w:val="17"/>
                <w:szCs w:val="17"/>
              </w:rPr>
            </w:pPr>
            <w:r w:rsidRPr="00466790">
              <w:rPr>
                <w:sz w:val="17"/>
                <w:szCs w:val="17"/>
              </w:rPr>
              <w:t xml:space="preserve">The development of a sector focused monitoring and evaluation plan for each component of the Coalitions for Change program. </w:t>
            </w:r>
          </w:p>
          <w:p w:rsidR="00EC035A" w:rsidRPr="00466790" w:rsidRDefault="00EC035A" w:rsidP="00030A4E">
            <w:pPr>
              <w:pStyle w:val="BodyText"/>
              <w:numPr>
                <w:ilvl w:val="0"/>
                <w:numId w:val="22"/>
              </w:numPr>
              <w:spacing w:after="120" w:line="240" w:lineRule="auto"/>
              <w:rPr>
                <w:i/>
                <w:sz w:val="17"/>
                <w:szCs w:val="17"/>
              </w:rPr>
            </w:pPr>
            <w:r w:rsidRPr="00466790">
              <w:rPr>
                <w:sz w:val="17"/>
                <w:szCs w:val="17"/>
              </w:rPr>
              <w:t>The challenge for the public financial management program is to carry forward the solid foundation of strategic, analytical and planning work accomplished to date into successful project implementation.</w:t>
            </w:r>
          </w:p>
        </w:tc>
        <w:tc>
          <w:tcPr>
            <w:tcW w:w="964" w:type="dxa"/>
            <w:shd w:val="clear" w:color="auto" w:fill="72AF2F"/>
          </w:tcPr>
          <w:p w:rsidR="00EC035A" w:rsidRPr="00466790" w:rsidRDefault="00466790" w:rsidP="000D733F">
            <w:pPr>
              <w:pStyle w:val="TableTextEntries"/>
              <w:jc w:val="center"/>
              <w:rPr>
                <w:color w:val="FFFFFF" w:themeColor="background1"/>
              </w:rPr>
            </w:pPr>
            <w:r>
              <w:rPr>
                <w:color w:val="FFFFFF" w:themeColor="background1"/>
              </w:rPr>
              <w:t>Achieved</w:t>
            </w:r>
          </w:p>
        </w:tc>
        <w:tc>
          <w:tcPr>
            <w:tcW w:w="6896" w:type="dxa"/>
          </w:tcPr>
          <w:p w:rsidR="00EC035A" w:rsidRPr="00466790" w:rsidRDefault="00EC035A" w:rsidP="00EC035A">
            <w:pPr>
              <w:pStyle w:val="TableTextEntries"/>
            </w:pPr>
          </w:p>
          <w:p w:rsidR="00EC035A" w:rsidRPr="00466790" w:rsidRDefault="00EC035A" w:rsidP="00EC035A">
            <w:pPr>
              <w:pStyle w:val="TableTextEntries"/>
            </w:pPr>
            <w:r w:rsidRPr="00466790">
              <w:t>All recommendations from the HRODF mid-term review have been addressed and are now included as part of the facility’s business processes.</w:t>
            </w:r>
          </w:p>
          <w:p w:rsidR="00EC035A" w:rsidRPr="00466790" w:rsidRDefault="00EC035A" w:rsidP="00EC035A">
            <w:pPr>
              <w:pStyle w:val="TableTextEntries"/>
            </w:pPr>
            <w:r w:rsidRPr="00466790">
              <w:t>The M&amp;E framework and system for CfC have been approved and are now operational.  It is also now linked with knowledge management to disseminate lessons around its innovative practices.</w:t>
            </w:r>
          </w:p>
          <w:p w:rsidR="00EC035A" w:rsidRPr="00466790" w:rsidRDefault="00EC035A" w:rsidP="00EC035A">
            <w:pPr>
              <w:pStyle w:val="TableTextEntries"/>
            </w:pPr>
            <w:r w:rsidRPr="00466790">
              <w:t>The PFMP was subject to an independent midterm review in January to march 2014.  This review recommended that the program continue until June 2016.</w:t>
            </w:r>
          </w:p>
        </w:tc>
      </w:tr>
    </w:tbl>
    <w:p w:rsidR="000D733F" w:rsidRPr="00FE4491" w:rsidRDefault="000D733F" w:rsidP="002141DF">
      <w:pPr>
        <w:pStyle w:val="Note"/>
      </w:pPr>
      <w:r w:rsidRPr="00FE4491">
        <w:t xml:space="preserve">Note: </w:t>
      </w:r>
    </w:p>
    <w:p w:rsidR="000D733F" w:rsidRPr="00671434" w:rsidRDefault="000D733F" w:rsidP="002141DF">
      <w:pPr>
        <w:pStyle w:val="Note"/>
      </w:pPr>
      <w:r w:rsidRPr="0075352D">
        <w:rPr>
          <w:color w:val="72AF2F"/>
        </w:rPr>
        <w:sym w:font="Webdings" w:char="F067"/>
      </w:r>
      <w:r w:rsidRPr="00FE4491">
        <w:t> </w:t>
      </w:r>
      <w:r w:rsidRPr="00FE4491">
        <w:t xml:space="preserve"> </w:t>
      </w:r>
      <w:r w:rsidRPr="00EA3BAD">
        <w:t>Achieved.</w:t>
      </w:r>
      <w:r w:rsidRPr="00706D30">
        <w:t xml:space="preserve">  Significant progress has been made in addressing </w:t>
      </w:r>
      <w:r>
        <w:t xml:space="preserve">the issue </w:t>
      </w:r>
    </w:p>
    <w:p w:rsidR="000D733F" w:rsidRPr="00EA3BAD" w:rsidRDefault="000D733F" w:rsidP="002141DF">
      <w:pPr>
        <w:pStyle w:val="Note"/>
      </w:pPr>
      <w:r w:rsidRPr="00EA3BAD">
        <w:rPr>
          <w:color w:val="E36C0A"/>
        </w:rPr>
        <w:sym w:font="Webdings" w:char="F067"/>
      </w:r>
      <w:r w:rsidRPr="00EA3BAD">
        <w:t> </w:t>
      </w:r>
      <w:r w:rsidRPr="00EA3BAD">
        <w:t xml:space="preserve"> Partly achieved.  </w:t>
      </w:r>
      <w:r>
        <w:t>Some pr</w:t>
      </w:r>
      <w:r w:rsidRPr="00EA3BAD">
        <w:t xml:space="preserve">ogress </w:t>
      </w:r>
      <w:r>
        <w:t xml:space="preserve">has been made in addressing the issue, but the issue has not been resolved </w:t>
      </w:r>
    </w:p>
    <w:p w:rsidR="000D733F" w:rsidRDefault="000D733F" w:rsidP="002141DF">
      <w:pPr>
        <w:pStyle w:val="Note"/>
      </w:pPr>
      <w:r w:rsidRPr="00EA3BAD">
        <w:rPr>
          <w:color w:val="FF0000"/>
        </w:rPr>
        <w:sym w:font="Webdings" w:char="F067"/>
      </w:r>
      <w:r w:rsidRPr="00EA3BAD">
        <w:t> </w:t>
      </w:r>
      <w:r w:rsidRPr="00EA3BAD">
        <w:t xml:space="preserve"> Not achieved. Progress </w:t>
      </w:r>
      <w:r>
        <w:t xml:space="preserve">in addressing the issue </w:t>
      </w:r>
      <w:r w:rsidRPr="00EA3BAD">
        <w:t>has been significantly below expectations</w:t>
      </w:r>
    </w:p>
    <w:p w:rsidR="000D733F" w:rsidRDefault="000D733F" w:rsidP="000D733F">
      <w:pPr>
        <w:pStyle w:val="BodyText"/>
      </w:pPr>
    </w:p>
    <w:p w:rsidR="000D733F" w:rsidRDefault="000D733F" w:rsidP="000D733F">
      <w:pPr>
        <w:spacing w:after="200" w:line="276" w:lineRule="auto"/>
        <w:rPr>
          <w:rFonts w:ascii="Franklin Gothic Book" w:hAnsi="Franklin Gothic Book"/>
          <w:sz w:val="21"/>
        </w:rPr>
      </w:pPr>
      <w:r>
        <w:br w:type="page"/>
      </w:r>
    </w:p>
    <w:p w:rsidR="002141DF" w:rsidRDefault="002141DF" w:rsidP="000D733F">
      <w:pPr>
        <w:pStyle w:val="Heading2"/>
        <w:tabs>
          <w:tab w:val="left" w:pos="1560"/>
        </w:tabs>
        <w:rPr>
          <w:sz w:val="28"/>
        </w:rPr>
        <w:sectPr w:rsidR="002141DF" w:rsidSect="00CD061B">
          <w:headerReference w:type="even" r:id="rId18"/>
          <w:footerReference w:type="first" r:id="rId19"/>
          <w:pgSz w:w="16838" w:h="11906" w:orient="landscape" w:code="9"/>
          <w:pgMar w:top="1814" w:right="1814" w:bottom="851" w:left="851" w:header="709" w:footer="425" w:gutter="0"/>
          <w:cols w:space="708"/>
          <w:docGrid w:linePitch="360"/>
        </w:sectPr>
      </w:pPr>
    </w:p>
    <w:p w:rsidR="000D733F" w:rsidRPr="009E38C1" w:rsidRDefault="000D733F" w:rsidP="000D733F">
      <w:pPr>
        <w:pStyle w:val="Heading2"/>
        <w:tabs>
          <w:tab w:val="left" w:pos="1560"/>
        </w:tabs>
        <w:rPr>
          <w:sz w:val="28"/>
        </w:rPr>
      </w:pPr>
      <w:r w:rsidRPr="009E38C1">
        <w:rPr>
          <w:sz w:val="28"/>
        </w:rPr>
        <w:lastRenderedPageBreak/>
        <w:t xml:space="preserve">Annex B </w:t>
      </w:r>
      <w:r w:rsidRPr="009E38C1">
        <w:rPr>
          <w:sz w:val="28"/>
        </w:rPr>
        <w:tab/>
      </w:r>
    </w:p>
    <w:p w:rsidR="000D733F" w:rsidRDefault="000D733F" w:rsidP="000D733F">
      <w:pPr>
        <w:pStyle w:val="Heading2"/>
        <w:rPr>
          <w:sz w:val="28"/>
        </w:rPr>
      </w:pPr>
      <w:r w:rsidRPr="009E38C1">
        <w:rPr>
          <w:sz w:val="28"/>
        </w:rPr>
        <w:t>Quality at Implementation ratings</w:t>
      </w:r>
    </w:p>
    <w:tbl>
      <w:tblPr>
        <w:tblStyle w:val="APPR"/>
        <w:tblW w:w="9955" w:type="dxa"/>
        <w:jc w:val="center"/>
        <w:tblInd w:w="-1064" w:type="dxa"/>
        <w:tblLayout w:type="fixed"/>
        <w:tblLook w:val="0000" w:firstRow="0" w:lastRow="0" w:firstColumn="0" w:lastColumn="0" w:noHBand="0" w:noVBand="0"/>
      </w:tblPr>
      <w:tblGrid>
        <w:gridCol w:w="2625"/>
        <w:gridCol w:w="2724"/>
        <w:gridCol w:w="1134"/>
        <w:gridCol w:w="581"/>
        <w:gridCol w:w="573"/>
        <w:gridCol w:w="521"/>
        <w:gridCol w:w="553"/>
        <w:gridCol w:w="604"/>
        <w:gridCol w:w="640"/>
      </w:tblGrid>
      <w:tr w:rsidR="002141DF" w:rsidRPr="008F6B31" w:rsidTr="00FA5DA7">
        <w:trPr>
          <w:cnfStyle w:val="000000010000" w:firstRow="0" w:lastRow="0" w:firstColumn="0" w:lastColumn="0" w:oddVBand="0" w:evenVBand="0" w:oddHBand="0" w:evenHBand="1" w:firstRowFirstColumn="0" w:firstRowLastColumn="0" w:lastRowFirstColumn="0" w:lastRowLastColumn="0"/>
          <w:cantSplit/>
          <w:trHeight w:val="1218"/>
          <w:jc w:val="center"/>
        </w:trPr>
        <w:tc>
          <w:tcPr>
            <w:tcW w:w="2583" w:type="dxa"/>
            <w:shd w:val="clear" w:color="auto" w:fill="auto"/>
            <w:vAlign w:val="center"/>
          </w:tcPr>
          <w:p w:rsidR="002141DF" w:rsidRPr="008F6B31" w:rsidRDefault="002141DF" w:rsidP="0010390C">
            <w:pPr>
              <w:pStyle w:val="TableTextColumnHeading"/>
            </w:pPr>
            <w:r w:rsidRPr="008F6B31">
              <w:t xml:space="preserve">Initiative </w:t>
            </w:r>
            <w:r>
              <w:t>n</w:t>
            </w:r>
            <w:r w:rsidRPr="008F6B31">
              <w:t>ame</w:t>
            </w:r>
          </w:p>
        </w:tc>
        <w:tc>
          <w:tcPr>
            <w:tcW w:w="2696" w:type="dxa"/>
            <w:shd w:val="clear" w:color="auto" w:fill="auto"/>
            <w:vAlign w:val="center"/>
          </w:tcPr>
          <w:p w:rsidR="002141DF" w:rsidRPr="008F6B31" w:rsidRDefault="002141DF" w:rsidP="0010390C">
            <w:pPr>
              <w:pStyle w:val="TableTextColumnHeading"/>
            </w:pPr>
            <w:r w:rsidRPr="008F6B31">
              <w:t xml:space="preserve">Approved </w:t>
            </w:r>
            <w:r>
              <w:t>b</w:t>
            </w:r>
            <w:r w:rsidRPr="008F6B31">
              <w:t xml:space="preserve">udget and </w:t>
            </w:r>
            <w:r>
              <w:t>d</w:t>
            </w:r>
            <w:r w:rsidRPr="008F6B31">
              <w:t>uration</w:t>
            </w:r>
            <w:r>
              <w:rPr>
                <w:rStyle w:val="FootnoteReference"/>
              </w:rPr>
              <w:footnoteReference w:id="13"/>
            </w:r>
          </w:p>
        </w:tc>
        <w:tc>
          <w:tcPr>
            <w:tcW w:w="1106" w:type="dxa"/>
            <w:shd w:val="clear" w:color="auto" w:fill="auto"/>
            <w:vAlign w:val="center"/>
          </w:tcPr>
          <w:p w:rsidR="002141DF" w:rsidRPr="008F6B31" w:rsidRDefault="002141DF" w:rsidP="0010390C">
            <w:pPr>
              <w:pStyle w:val="TableTextColumnHeading"/>
            </w:pPr>
            <w:r w:rsidRPr="008F6B31">
              <w:t xml:space="preserve">QAI </w:t>
            </w:r>
            <w:r>
              <w:t>y</w:t>
            </w:r>
            <w:r w:rsidRPr="008F6B31">
              <w:t>ear</w:t>
            </w:r>
          </w:p>
        </w:tc>
        <w:tc>
          <w:tcPr>
            <w:tcW w:w="553" w:type="dxa"/>
            <w:shd w:val="clear" w:color="auto" w:fill="auto"/>
            <w:noWrap/>
            <w:textDirection w:val="btLr"/>
            <w:vAlign w:val="center"/>
          </w:tcPr>
          <w:p w:rsidR="002141DF" w:rsidRPr="008F6B31" w:rsidRDefault="002141DF" w:rsidP="0010390C">
            <w:pPr>
              <w:pStyle w:val="TableTextColumnHeading"/>
            </w:pPr>
            <w:r w:rsidRPr="008F6B31">
              <w:t>Relevance</w:t>
            </w:r>
          </w:p>
        </w:tc>
        <w:tc>
          <w:tcPr>
            <w:tcW w:w="545" w:type="dxa"/>
            <w:shd w:val="clear" w:color="auto" w:fill="auto"/>
            <w:noWrap/>
            <w:textDirection w:val="btLr"/>
            <w:vAlign w:val="center"/>
          </w:tcPr>
          <w:p w:rsidR="002141DF" w:rsidRPr="008F6B31" w:rsidRDefault="002141DF" w:rsidP="0010390C">
            <w:pPr>
              <w:pStyle w:val="TableTextColumnHeading"/>
            </w:pPr>
            <w:r w:rsidRPr="008F6B31">
              <w:t>Effectiveness</w:t>
            </w:r>
          </w:p>
        </w:tc>
        <w:tc>
          <w:tcPr>
            <w:tcW w:w="493" w:type="dxa"/>
            <w:shd w:val="clear" w:color="auto" w:fill="auto"/>
            <w:noWrap/>
            <w:textDirection w:val="btLr"/>
            <w:vAlign w:val="center"/>
          </w:tcPr>
          <w:p w:rsidR="002141DF" w:rsidRPr="008F6B31" w:rsidRDefault="002141DF" w:rsidP="0010390C">
            <w:pPr>
              <w:pStyle w:val="TableTextColumnHeading"/>
            </w:pPr>
            <w:r w:rsidRPr="008F6B31">
              <w:t>Efficiency</w:t>
            </w:r>
          </w:p>
        </w:tc>
        <w:tc>
          <w:tcPr>
            <w:tcW w:w="525" w:type="dxa"/>
            <w:shd w:val="clear" w:color="auto" w:fill="auto"/>
            <w:noWrap/>
            <w:textDirection w:val="btLr"/>
            <w:vAlign w:val="center"/>
          </w:tcPr>
          <w:p w:rsidR="002141DF" w:rsidRPr="008F6B31" w:rsidRDefault="002141DF" w:rsidP="0010390C">
            <w:pPr>
              <w:pStyle w:val="TableTextColumnHeading"/>
            </w:pPr>
            <w:r w:rsidRPr="008F6B31">
              <w:t xml:space="preserve">Monitoring and </w:t>
            </w:r>
            <w:r>
              <w:t>e</w:t>
            </w:r>
            <w:r w:rsidRPr="008F6B31">
              <w:t>valuation</w:t>
            </w:r>
          </w:p>
        </w:tc>
        <w:tc>
          <w:tcPr>
            <w:tcW w:w="576" w:type="dxa"/>
            <w:shd w:val="clear" w:color="auto" w:fill="auto"/>
            <w:noWrap/>
            <w:textDirection w:val="btLr"/>
            <w:vAlign w:val="center"/>
          </w:tcPr>
          <w:p w:rsidR="002141DF" w:rsidRPr="008F6B31" w:rsidRDefault="002141DF" w:rsidP="0010390C">
            <w:pPr>
              <w:pStyle w:val="TableTextColumnHeading"/>
            </w:pPr>
            <w:r w:rsidRPr="008F6B31">
              <w:t>Sustainability</w:t>
            </w:r>
          </w:p>
        </w:tc>
        <w:tc>
          <w:tcPr>
            <w:tcW w:w="598" w:type="dxa"/>
            <w:shd w:val="clear" w:color="auto" w:fill="auto"/>
            <w:noWrap/>
            <w:textDirection w:val="btLr"/>
            <w:vAlign w:val="center"/>
          </w:tcPr>
          <w:p w:rsidR="002141DF" w:rsidRPr="008F6B31" w:rsidRDefault="002141DF" w:rsidP="0010390C">
            <w:pPr>
              <w:pStyle w:val="TableTextColumnHeading"/>
            </w:pPr>
            <w:r w:rsidRPr="008F6B31">
              <w:t xml:space="preserve">Gender </w:t>
            </w:r>
            <w:r>
              <w:t>e</w:t>
            </w:r>
            <w:r w:rsidRPr="008F6B31">
              <w:t>quality</w:t>
            </w:r>
          </w:p>
        </w:tc>
      </w:tr>
      <w:tr w:rsidR="00F04507" w:rsidRPr="008F6B31" w:rsidTr="00F04507">
        <w:trPr>
          <w:trHeight w:val="269"/>
          <w:tblHeader w:val="0"/>
          <w:jc w:val="center"/>
        </w:trPr>
        <w:tc>
          <w:tcPr>
            <w:tcW w:w="2583" w:type="dxa"/>
            <w:vMerge w:val="restart"/>
          </w:tcPr>
          <w:p w:rsidR="00F04507" w:rsidRPr="008F6B31" w:rsidRDefault="00F04507" w:rsidP="00F04507">
            <w:pPr>
              <w:pStyle w:val="TableTextEntries"/>
            </w:pPr>
            <w:r w:rsidRPr="008F6B31">
              <w:t>Basic Education Sector Reform (SPHERE)</w:t>
            </w:r>
          </w:p>
        </w:tc>
        <w:tc>
          <w:tcPr>
            <w:tcW w:w="2696" w:type="dxa"/>
            <w:vAlign w:val="center"/>
          </w:tcPr>
          <w:p w:rsidR="00F04507" w:rsidRPr="008F6B31" w:rsidRDefault="00F04507" w:rsidP="00F04507">
            <w:pPr>
              <w:pStyle w:val="TableTextEntries"/>
            </w:pPr>
            <w:r w:rsidRPr="008F6B31">
              <w:t>$51</w:t>
            </w:r>
            <w:r>
              <w:t xml:space="preserve"> </w:t>
            </w:r>
            <w:r w:rsidRPr="008F6B31">
              <w:t>509</w:t>
            </w:r>
            <w:r>
              <w:t xml:space="preserve"> </w:t>
            </w:r>
            <w:r w:rsidRPr="008F6B31">
              <w:t>578</w:t>
            </w:r>
          </w:p>
        </w:tc>
        <w:tc>
          <w:tcPr>
            <w:tcW w:w="1106" w:type="dxa"/>
            <w:shd w:val="clear" w:color="auto" w:fill="auto"/>
            <w:vAlign w:val="center"/>
          </w:tcPr>
          <w:p w:rsidR="00F04507" w:rsidRPr="008F6B31" w:rsidRDefault="00F04507" w:rsidP="00F04507">
            <w:pPr>
              <w:pStyle w:val="TableTextEntries"/>
              <w:jc w:val="center"/>
            </w:pPr>
            <w:r>
              <w:t>2013</w:t>
            </w:r>
          </w:p>
        </w:tc>
        <w:tc>
          <w:tcPr>
            <w:tcW w:w="553" w:type="dxa"/>
            <w:shd w:val="clear" w:color="auto" w:fill="92D050"/>
            <w:noWrap/>
            <w:vAlign w:val="center"/>
          </w:tcPr>
          <w:p w:rsidR="00F04507" w:rsidRPr="008F6B31" w:rsidRDefault="00F04507" w:rsidP="00F04507">
            <w:pPr>
              <w:pStyle w:val="TableTextEntries"/>
              <w:jc w:val="center"/>
            </w:pPr>
            <w:r>
              <w:t>6</w:t>
            </w:r>
          </w:p>
        </w:tc>
        <w:tc>
          <w:tcPr>
            <w:tcW w:w="545" w:type="dxa"/>
            <w:shd w:val="clear" w:color="auto" w:fill="92D050"/>
            <w:noWrap/>
            <w:vAlign w:val="center"/>
          </w:tcPr>
          <w:p w:rsidR="00F04507" w:rsidRPr="008F6B31" w:rsidRDefault="00F04507" w:rsidP="00F04507">
            <w:pPr>
              <w:pStyle w:val="TableTextEntries"/>
              <w:jc w:val="center"/>
            </w:pPr>
            <w:r>
              <w:t>5</w:t>
            </w:r>
          </w:p>
        </w:tc>
        <w:tc>
          <w:tcPr>
            <w:tcW w:w="493" w:type="dxa"/>
            <w:shd w:val="clear" w:color="auto" w:fill="FFFF00"/>
            <w:noWrap/>
            <w:vAlign w:val="center"/>
          </w:tcPr>
          <w:p w:rsidR="00F04507" w:rsidRPr="008F6B31" w:rsidRDefault="00F04507" w:rsidP="00F04507">
            <w:pPr>
              <w:pStyle w:val="TableTextEntries"/>
              <w:jc w:val="center"/>
            </w:pPr>
            <w:r>
              <w:t>4</w:t>
            </w:r>
          </w:p>
        </w:tc>
        <w:tc>
          <w:tcPr>
            <w:tcW w:w="525" w:type="dxa"/>
            <w:shd w:val="clear" w:color="auto" w:fill="FFFF00"/>
            <w:noWrap/>
            <w:vAlign w:val="center"/>
          </w:tcPr>
          <w:p w:rsidR="00F04507" w:rsidRPr="008F6B31" w:rsidRDefault="00F04507" w:rsidP="00F04507">
            <w:pPr>
              <w:pStyle w:val="TableTextEntries"/>
              <w:jc w:val="center"/>
            </w:pPr>
            <w:r>
              <w:t>4</w:t>
            </w:r>
          </w:p>
        </w:tc>
        <w:tc>
          <w:tcPr>
            <w:tcW w:w="576" w:type="dxa"/>
            <w:shd w:val="clear" w:color="auto" w:fill="FFFF00"/>
            <w:noWrap/>
            <w:vAlign w:val="center"/>
          </w:tcPr>
          <w:p w:rsidR="00F04507" w:rsidRPr="008F6B31" w:rsidRDefault="00F04507" w:rsidP="00F04507">
            <w:pPr>
              <w:pStyle w:val="TableTextEntries"/>
              <w:jc w:val="center"/>
            </w:pPr>
            <w:r>
              <w:t>4</w:t>
            </w:r>
          </w:p>
        </w:tc>
        <w:tc>
          <w:tcPr>
            <w:tcW w:w="598" w:type="dxa"/>
            <w:shd w:val="clear" w:color="auto" w:fill="92D050"/>
            <w:noWrap/>
            <w:vAlign w:val="center"/>
          </w:tcPr>
          <w:p w:rsidR="00F04507" w:rsidRPr="008F6B31" w:rsidRDefault="00F04507" w:rsidP="00F04507">
            <w:pPr>
              <w:pStyle w:val="TableTextEntries"/>
              <w:jc w:val="center"/>
            </w:pPr>
            <w:r>
              <w:t>5</w:t>
            </w:r>
          </w:p>
        </w:tc>
      </w:tr>
      <w:tr w:rsidR="00F04507" w:rsidRPr="008F6B31" w:rsidTr="00F04507">
        <w:trPr>
          <w:cnfStyle w:val="000000010000" w:firstRow="0" w:lastRow="0" w:firstColumn="0" w:lastColumn="0" w:oddVBand="0" w:evenVBand="0" w:oddHBand="0" w:evenHBand="1" w:firstRowFirstColumn="0" w:firstRowLastColumn="0" w:lastRowFirstColumn="0" w:lastRowLastColumn="0"/>
          <w:trHeight w:val="284"/>
          <w:tblHeader w:val="0"/>
          <w:jc w:val="center"/>
        </w:trPr>
        <w:tc>
          <w:tcPr>
            <w:tcW w:w="2583" w:type="dxa"/>
            <w:vMerge/>
          </w:tcPr>
          <w:p w:rsidR="00F04507" w:rsidRPr="008F6B31" w:rsidRDefault="00F04507" w:rsidP="00F04507">
            <w:pPr>
              <w:pStyle w:val="TableTextEntries"/>
            </w:pPr>
          </w:p>
        </w:tc>
        <w:tc>
          <w:tcPr>
            <w:tcW w:w="2696" w:type="dxa"/>
            <w:vAlign w:val="center"/>
          </w:tcPr>
          <w:p w:rsidR="00F04507" w:rsidRPr="008F6B31" w:rsidRDefault="00F04507" w:rsidP="00F04507">
            <w:pPr>
              <w:pStyle w:val="TableTextEntries"/>
            </w:pPr>
            <w:r w:rsidRPr="008F6B31">
              <w:t xml:space="preserve">05/01/2007 </w:t>
            </w:r>
            <w:r>
              <w:t xml:space="preserve">– </w:t>
            </w:r>
            <w:r w:rsidRPr="008F6B31">
              <w:t>30/06/2014</w:t>
            </w:r>
          </w:p>
        </w:tc>
        <w:tc>
          <w:tcPr>
            <w:tcW w:w="1106" w:type="dxa"/>
            <w:vAlign w:val="center"/>
          </w:tcPr>
          <w:p w:rsidR="00F04507" w:rsidRPr="008F6B31" w:rsidRDefault="00F04507" w:rsidP="00F04507">
            <w:pPr>
              <w:pStyle w:val="TableTextEntries"/>
              <w:jc w:val="center"/>
            </w:pPr>
            <w:r w:rsidRPr="008F6B31">
              <w:t>2012</w:t>
            </w:r>
          </w:p>
        </w:tc>
        <w:tc>
          <w:tcPr>
            <w:tcW w:w="553" w:type="dxa"/>
            <w:shd w:val="clear" w:color="auto" w:fill="92D050"/>
            <w:noWrap/>
            <w:vAlign w:val="center"/>
          </w:tcPr>
          <w:p w:rsidR="00F04507" w:rsidRPr="008F6B31" w:rsidRDefault="00F04507" w:rsidP="00F04507">
            <w:pPr>
              <w:pStyle w:val="TableTextEntries"/>
              <w:jc w:val="center"/>
            </w:pPr>
            <w:r w:rsidRPr="008F6B31">
              <w:t>6</w:t>
            </w:r>
          </w:p>
        </w:tc>
        <w:tc>
          <w:tcPr>
            <w:tcW w:w="545" w:type="dxa"/>
            <w:shd w:val="clear" w:color="auto" w:fill="92D050"/>
            <w:noWrap/>
            <w:vAlign w:val="center"/>
          </w:tcPr>
          <w:p w:rsidR="00F04507" w:rsidRPr="008F6B31" w:rsidRDefault="00F04507" w:rsidP="00F04507">
            <w:pPr>
              <w:pStyle w:val="TableTextEntries"/>
              <w:jc w:val="center"/>
            </w:pPr>
            <w:r w:rsidRPr="008F6B31">
              <w:t>5</w:t>
            </w:r>
          </w:p>
        </w:tc>
        <w:tc>
          <w:tcPr>
            <w:tcW w:w="493" w:type="dxa"/>
            <w:shd w:val="clear" w:color="auto" w:fill="FFFF00"/>
            <w:noWrap/>
            <w:vAlign w:val="center"/>
          </w:tcPr>
          <w:p w:rsidR="00F04507" w:rsidRPr="008F6B31" w:rsidRDefault="00F04507" w:rsidP="00F04507">
            <w:pPr>
              <w:pStyle w:val="TableTextEntries"/>
              <w:jc w:val="center"/>
            </w:pPr>
            <w:r w:rsidRPr="008F6B31">
              <w:t>4</w:t>
            </w:r>
          </w:p>
        </w:tc>
        <w:tc>
          <w:tcPr>
            <w:tcW w:w="525" w:type="dxa"/>
            <w:shd w:val="clear" w:color="auto" w:fill="FFFF00"/>
            <w:noWrap/>
            <w:vAlign w:val="center"/>
          </w:tcPr>
          <w:p w:rsidR="00F04507" w:rsidRPr="008F6B31" w:rsidRDefault="00F04507" w:rsidP="00F04507">
            <w:pPr>
              <w:pStyle w:val="TableTextEntries"/>
              <w:jc w:val="center"/>
            </w:pPr>
            <w:r w:rsidRPr="008F6B31">
              <w:t>4</w:t>
            </w:r>
          </w:p>
        </w:tc>
        <w:tc>
          <w:tcPr>
            <w:tcW w:w="576" w:type="dxa"/>
            <w:shd w:val="clear" w:color="auto" w:fill="92D050"/>
            <w:noWrap/>
            <w:vAlign w:val="center"/>
          </w:tcPr>
          <w:p w:rsidR="00F04507" w:rsidRPr="008F6B31" w:rsidRDefault="00F04507" w:rsidP="00F04507">
            <w:pPr>
              <w:pStyle w:val="TableTextEntries"/>
              <w:jc w:val="center"/>
            </w:pPr>
            <w:r w:rsidRPr="008F6B31">
              <w:t>5</w:t>
            </w:r>
          </w:p>
        </w:tc>
        <w:tc>
          <w:tcPr>
            <w:tcW w:w="598" w:type="dxa"/>
            <w:shd w:val="clear" w:color="auto" w:fill="FFFF00"/>
            <w:noWrap/>
            <w:vAlign w:val="center"/>
          </w:tcPr>
          <w:p w:rsidR="00F04507" w:rsidRPr="008F6B31" w:rsidRDefault="00F04507" w:rsidP="00F04507">
            <w:pPr>
              <w:pStyle w:val="TableTextEntries"/>
              <w:jc w:val="center"/>
            </w:pPr>
            <w:r w:rsidRPr="008F6B31">
              <w:t>4</w:t>
            </w:r>
          </w:p>
        </w:tc>
      </w:tr>
      <w:tr w:rsidR="009D59D1" w:rsidRPr="008F6B31" w:rsidTr="00CA4954">
        <w:trPr>
          <w:trHeight w:val="284"/>
          <w:tblHeader w:val="0"/>
          <w:jc w:val="center"/>
        </w:trPr>
        <w:tc>
          <w:tcPr>
            <w:tcW w:w="2583" w:type="dxa"/>
            <w:vMerge w:val="restart"/>
            <w:shd w:val="clear" w:color="auto" w:fill="auto"/>
          </w:tcPr>
          <w:p w:rsidR="009D59D1" w:rsidRPr="008F6B31" w:rsidRDefault="009D59D1" w:rsidP="00CA4954">
            <w:pPr>
              <w:pStyle w:val="TableTextEntries"/>
            </w:pPr>
            <w:r w:rsidRPr="008F6B31">
              <w:t>Classroom Construction Initiative</w:t>
            </w:r>
            <w:r w:rsidR="008E55BE">
              <w:t>*</w:t>
            </w:r>
            <w:r w:rsidR="008E55BE" w:rsidRPr="00F2278E">
              <w:rPr>
                <w:sz w:val="14"/>
                <w:vertAlign w:val="superscript"/>
              </w:rPr>
              <w:sym w:font="Wingdings" w:char="F075"/>
            </w:r>
          </w:p>
        </w:tc>
        <w:tc>
          <w:tcPr>
            <w:tcW w:w="2696" w:type="dxa"/>
            <w:shd w:val="clear" w:color="auto" w:fill="auto"/>
            <w:vAlign w:val="center"/>
          </w:tcPr>
          <w:p w:rsidR="009D59D1" w:rsidRPr="008F6B31" w:rsidRDefault="009D59D1" w:rsidP="008E55BE">
            <w:pPr>
              <w:pStyle w:val="TableTextEntries"/>
            </w:pPr>
            <w:r w:rsidRPr="008F6B31">
              <w:t>$</w:t>
            </w:r>
            <w:r>
              <w:t>25 192 320</w:t>
            </w:r>
          </w:p>
        </w:tc>
        <w:tc>
          <w:tcPr>
            <w:tcW w:w="1106" w:type="dxa"/>
            <w:shd w:val="clear" w:color="auto" w:fill="auto"/>
            <w:vAlign w:val="center"/>
          </w:tcPr>
          <w:p w:rsidR="009D59D1" w:rsidRPr="008F6B31" w:rsidRDefault="009D59D1" w:rsidP="00CA4954">
            <w:pPr>
              <w:pStyle w:val="TableTextEntries"/>
              <w:jc w:val="center"/>
            </w:pPr>
            <w:r>
              <w:t>2013</w:t>
            </w:r>
          </w:p>
        </w:tc>
        <w:tc>
          <w:tcPr>
            <w:tcW w:w="553" w:type="dxa"/>
            <w:shd w:val="clear" w:color="auto" w:fill="92D050"/>
            <w:noWrap/>
            <w:vAlign w:val="center"/>
          </w:tcPr>
          <w:p w:rsidR="009D59D1" w:rsidRPr="008F6B31" w:rsidRDefault="009D59D1" w:rsidP="00CA4954">
            <w:pPr>
              <w:pStyle w:val="TableTextEntries"/>
              <w:jc w:val="center"/>
            </w:pPr>
            <w:r>
              <w:t>6</w:t>
            </w:r>
          </w:p>
        </w:tc>
        <w:tc>
          <w:tcPr>
            <w:tcW w:w="545" w:type="dxa"/>
            <w:shd w:val="clear" w:color="auto" w:fill="92D050"/>
            <w:noWrap/>
            <w:vAlign w:val="center"/>
          </w:tcPr>
          <w:p w:rsidR="009D59D1" w:rsidRPr="008F6B31" w:rsidRDefault="009D59D1" w:rsidP="00CA4954">
            <w:pPr>
              <w:pStyle w:val="TableTextEntries"/>
              <w:jc w:val="center"/>
            </w:pPr>
            <w:r>
              <w:t>5</w:t>
            </w:r>
          </w:p>
        </w:tc>
        <w:tc>
          <w:tcPr>
            <w:tcW w:w="493" w:type="dxa"/>
            <w:shd w:val="clear" w:color="auto" w:fill="92D050"/>
            <w:noWrap/>
            <w:vAlign w:val="center"/>
          </w:tcPr>
          <w:p w:rsidR="009D59D1" w:rsidRPr="008F6B31" w:rsidRDefault="009D59D1" w:rsidP="00CA4954">
            <w:pPr>
              <w:pStyle w:val="TableTextEntries"/>
              <w:jc w:val="center"/>
            </w:pPr>
            <w:r>
              <w:t>5</w:t>
            </w:r>
          </w:p>
        </w:tc>
        <w:tc>
          <w:tcPr>
            <w:tcW w:w="525" w:type="dxa"/>
            <w:shd w:val="clear" w:color="auto" w:fill="92D050"/>
            <w:noWrap/>
            <w:vAlign w:val="center"/>
          </w:tcPr>
          <w:p w:rsidR="009D59D1" w:rsidRPr="008F6B31" w:rsidRDefault="009D59D1" w:rsidP="00CA4954">
            <w:pPr>
              <w:pStyle w:val="TableTextEntries"/>
              <w:jc w:val="center"/>
            </w:pPr>
            <w:r>
              <w:t>5</w:t>
            </w:r>
          </w:p>
        </w:tc>
        <w:tc>
          <w:tcPr>
            <w:tcW w:w="576" w:type="dxa"/>
            <w:shd w:val="clear" w:color="auto" w:fill="92D050"/>
            <w:noWrap/>
            <w:vAlign w:val="center"/>
          </w:tcPr>
          <w:p w:rsidR="009D59D1" w:rsidRPr="008F6B31" w:rsidRDefault="009D59D1" w:rsidP="00CA4954">
            <w:pPr>
              <w:pStyle w:val="TableTextEntries"/>
              <w:jc w:val="center"/>
            </w:pPr>
            <w:r>
              <w:t>5</w:t>
            </w:r>
          </w:p>
        </w:tc>
        <w:tc>
          <w:tcPr>
            <w:tcW w:w="598" w:type="dxa"/>
            <w:shd w:val="clear" w:color="auto" w:fill="92D050"/>
            <w:noWrap/>
            <w:vAlign w:val="center"/>
          </w:tcPr>
          <w:p w:rsidR="009D59D1" w:rsidRPr="008F6B31" w:rsidRDefault="009D59D1" w:rsidP="00CA4954">
            <w:pPr>
              <w:pStyle w:val="TableTextEntries"/>
              <w:jc w:val="center"/>
            </w:pPr>
            <w:r>
              <w:t>5</w:t>
            </w:r>
          </w:p>
        </w:tc>
      </w:tr>
      <w:tr w:rsidR="009D59D1" w:rsidRPr="008F6B31" w:rsidTr="00CA4954">
        <w:trPr>
          <w:cnfStyle w:val="000000010000" w:firstRow="0" w:lastRow="0" w:firstColumn="0" w:lastColumn="0" w:oddVBand="0" w:evenVBand="0" w:oddHBand="0" w:evenHBand="1" w:firstRowFirstColumn="0" w:firstRowLastColumn="0" w:lastRowFirstColumn="0" w:lastRowLastColumn="0"/>
          <w:trHeight w:val="284"/>
          <w:tblHeader w:val="0"/>
          <w:jc w:val="center"/>
        </w:trPr>
        <w:tc>
          <w:tcPr>
            <w:tcW w:w="2583" w:type="dxa"/>
            <w:vMerge/>
          </w:tcPr>
          <w:p w:rsidR="009D59D1" w:rsidRPr="008F6B31" w:rsidRDefault="009D59D1" w:rsidP="00CA4954">
            <w:pPr>
              <w:pStyle w:val="TableTextEntries"/>
            </w:pPr>
          </w:p>
        </w:tc>
        <w:tc>
          <w:tcPr>
            <w:tcW w:w="2696" w:type="dxa"/>
            <w:vAlign w:val="center"/>
          </w:tcPr>
          <w:p w:rsidR="009D59D1" w:rsidRPr="008F6B31" w:rsidRDefault="009D59D1" w:rsidP="008E55BE">
            <w:pPr>
              <w:pStyle w:val="TableTextEntries"/>
            </w:pPr>
            <w:r w:rsidRPr="008F6B31">
              <w:t xml:space="preserve">15/12/2011 </w:t>
            </w:r>
            <w:r>
              <w:t>– 31/12/2014</w:t>
            </w:r>
          </w:p>
        </w:tc>
        <w:tc>
          <w:tcPr>
            <w:tcW w:w="1106" w:type="dxa"/>
            <w:vAlign w:val="center"/>
          </w:tcPr>
          <w:p w:rsidR="009D59D1" w:rsidRPr="008F6B31" w:rsidRDefault="009D59D1" w:rsidP="00CA4954">
            <w:pPr>
              <w:pStyle w:val="TableTextEntries"/>
              <w:jc w:val="center"/>
            </w:pPr>
            <w:r w:rsidRPr="008F6B31">
              <w:t>2012</w:t>
            </w:r>
          </w:p>
        </w:tc>
        <w:tc>
          <w:tcPr>
            <w:tcW w:w="553" w:type="dxa"/>
            <w:shd w:val="clear" w:color="auto" w:fill="92D050"/>
            <w:noWrap/>
            <w:vAlign w:val="center"/>
          </w:tcPr>
          <w:p w:rsidR="009D59D1" w:rsidRPr="008F6B31" w:rsidRDefault="009D59D1" w:rsidP="00CA4954">
            <w:pPr>
              <w:pStyle w:val="TableTextEntries"/>
              <w:jc w:val="center"/>
            </w:pPr>
            <w:r w:rsidRPr="008F6B31">
              <w:t>6</w:t>
            </w:r>
          </w:p>
        </w:tc>
        <w:tc>
          <w:tcPr>
            <w:tcW w:w="545" w:type="dxa"/>
            <w:shd w:val="clear" w:color="auto" w:fill="92D050"/>
            <w:noWrap/>
            <w:vAlign w:val="center"/>
          </w:tcPr>
          <w:p w:rsidR="009D59D1" w:rsidRPr="008F6B31" w:rsidRDefault="009D59D1" w:rsidP="00CA4954">
            <w:pPr>
              <w:pStyle w:val="TableTextEntries"/>
              <w:jc w:val="center"/>
            </w:pPr>
            <w:r w:rsidRPr="008F6B31">
              <w:t>5</w:t>
            </w:r>
          </w:p>
        </w:tc>
        <w:tc>
          <w:tcPr>
            <w:tcW w:w="493" w:type="dxa"/>
            <w:shd w:val="clear" w:color="auto" w:fill="92D050"/>
            <w:noWrap/>
            <w:vAlign w:val="center"/>
          </w:tcPr>
          <w:p w:rsidR="009D59D1" w:rsidRPr="008F6B31" w:rsidRDefault="009D59D1" w:rsidP="00CA4954">
            <w:pPr>
              <w:pStyle w:val="TableTextEntries"/>
              <w:jc w:val="center"/>
            </w:pPr>
            <w:r w:rsidRPr="008F6B31">
              <w:t>5</w:t>
            </w:r>
          </w:p>
        </w:tc>
        <w:tc>
          <w:tcPr>
            <w:tcW w:w="525" w:type="dxa"/>
            <w:shd w:val="clear" w:color="auto" w:fill="FFFF00"/>
            <w:noWrap/>
            <w:vAlign w:val="center"/>
          </w:tcPr>
          <w:p w:rsidR="009D59D1" w:rsidRPr="008F6B31" w:rsidRDefault="009D59D1" w:rsidP="00CA4954">
            <w:pPr>
              <w:pStyle w:val="TableTextEntries"/>
              <w:jc w:val="center"/>
            </w:pPr>
            <w:r w:rsidRPr="008F6B31">
              <w:t>4</w:t>
            </w:r>
          </w:p>
        </w:tc>
        <w:tc>
          <w:tcPr>
            <w:tcW w:w="576" w:type="dxa"/>
            <w:shd w:val="clear" w:color="auto" w:fill="92D050"/>
            <w:noWrap/>
            <w:vAlign w:val="center"/>
          </w:tcPr>
          <w:p w:rsidR="009D59D1" w:rsidRPr="008F6B31" w:rsidRDefault="009D59D1" w:rsidP="00CA4954">
            <w:pPr>
              <w:pStyle w:val="TableTextEntries"/>
              <w:jc w:val="center"/>
            </w:pPr>
            <w:r w:rsidRPr="008F6B31">
              <w:t>5</w:t>
            </w:r>
          </w:p>
        </w:tc>
        <w:tc>
          <w:tcPr>
            <w:tcW w:w="598" w:type="dxa"/>
            <w:shd w:val="clear" w:color="auto" w:fill="92D050"/>
            <w:noWrap/>
            <w:vAlign w:val="center"/>
          </w:tcPr>
          <w:p w:rsidR="009D59D1" w:rsidRPr="008F6B31" w:rsidRDefault="009D59D1" w:rsidP="00CA4954">
            <w:pPr>
              <w:pStyle w:val="TableTextEntries"/>
              <w:jc w:val="center"/>
            </w:pPr>
            <w:r w:rsidRPr="008F6B31">
              <w:t>5</w:t>
            </w:r>
          </w:p>
        </w:tc>
      </w:tr>
      <w:tr w:rsidR="009D59D1" w:rsidRPr="008F6B31" w:rsidTr="00CA4954">
        <w:trPr>
          <w:trHeight w:val="284"/>
          <w:tblHeader w:val="0"/>
          <w:jc w:val="center"/>
        </w:trPr>
        <w:tc>
          <w:tcPr>
            <w:tcW w:w="2583" w:type="dxa"/>
            <w:vMerge w:val="restart"/>
          </w:tcPr>
          <w:p w:rsidR="009D59D1" w:rsidRPr="008F6B31" w:rsidRDefault="009D59D1" w:rsidP="00CA4954">
            <w:pPr>
              <w:pStyle w:val="TableTextEntries"/>
            </w:pPr>
            <w:r w:rsidRPr="008F6B31">
              <w:t>Basic Education Sector Transformation Prog</w:t>
            </w:r>
            <w:r>
              <w:t>ram</w:t>
            </w:r>
            <w:r w:rsidR="008E55BE">
              <w:t>*</w:t>
            </w:r>
          </w:p>
        </w:tc>
        <w:tc>
          <w:tcPr>
            <w:tcW w:w="2696" w:type="dxa"/>
            <w:vAlign w:val="center"/>
          </w:tcPr>
          <w:p w:rsidR="009D59D1" w:rsidRPr="008F6B31" w:rsidRDefault="009D59D1" w:rsidP="008E55BE">
            <w:pPr>
              <w:pStyle w:val="TableTextEntries"/>
            </w:pPr>
            <w:r w:rsidRPr="008F6B31">
              <w:t>$</w:t>
            </w:r>
            <w:r>
              <w:t>157 215 811</w:t>
            </w:r>
          </w:p>
        </w:tc>
        <w:tc>
          <w:tcPr>
            <w:tcW w:w="1106" w:type="dxa"/>
            <w:shd w:val="clear" w:color="auto" w:fill="auto"/>
            <w:vAlign w:val="center"/>
          </w:tcPr>
          <w:p w:rsidR="009D59D1" w:rsidRPr="008F6B31" w:rsidRDefault="009D59D1" w:rsidP="00CA4954">
            <w:pPr>
              <w:pStyle w:val="TableTextEntries"/>
              <w:jc w:val="center"/>
            </w:pPr>
            <w:r>
              <w:t>2013</w:t>
            </w:r>
          </w:p>
        </w:tc>
        <w:tc>
          <w:tcPr>
            <w:tcW w:w="553" w:type="dxa"/>
            <w:shd w:val="clear" w:color="auto" w:fill="92D050"/>
            <w:noWrap/>
            <w:vAlign w:val="center"/>
          </w:tcPr>
          <w:p w:rsidR="009D59D1" w:rsidRPr="008F6B31" w:rsidRDefault="009D59D1" w:rsidP="00CA4954">
            <w:pPr>
              <w:pStyle w:val="TableTextEntries"/>
              <w:jc w:val="center"/>
            </w:pPr>
            <w:r>
              <w:t>6</w:t>
            </w:r>
          </w:p>
        </w:tc>
        <w:tc>
          <w:tcPr>
            <w:tcW w:w="545" w:type="dxa"/>
            <w:shd w:val="clear" w:color="auto" w:fill="92D050"/>
            <w:noWrap/>
            <w:vAlign w:val="center"/>
          </w:tcPr>
          <w:p w:rsidR="009D59D1" w:rsidRPr="008F6B31" w:rsidRDefault="009D59D1" w:rsidP="00CA4954">
            <w:pPr>
              <w:pStyle w:val="TableTextEntries"/>
              <w:jc w:val="center"/>
            </w:pPr>
            <w:r>
              <w:t>5</w:t>
            </w:r>
          </w:p>
        </w:tc>
        <w:tc>
          <w:tcPr>
            <w:tcW w:w="493" w:type="dxa"/>
            <w:shd w:val="clear" w:color="auto" w:fill="92D050"/>
            <w:noWrap/>
            <w:vAlign w:val="center"/>
          </w:tcPr>
          <w:p w:rsidR="009D59D1" w:rsidRPr="008F6B31" w:rsidRDefault="009D59D1" w:rsidP="00CA4954">
            <w:pPr>
              <w:pStyle w:val="TableTextEntries"/>
              <w:jc w:val="center"/>
            </w:pPr>
            <w:r>
              <w:t>5</w:t>
            </w:r>
          </w:p>
        </w:tc>
        <w:tc>
          <w:tcPr>
            <w:tcW w:w="525" w:type="dxa"/>
            <w:shd w:val="clear" w:color="auto" w:fill="92D050"/>
            <w:noWrap/>
            <w:vAlign w:val="center"/>
          </w:tcPr>
          <w:p w:rsidR="009D59D1" w:rsidRPr="008F6B31" w:rsidRDefault="009D59D1" w:rsidP="00CA4954">
            <w:pPr>
              <w:pStyle w:val="TableTextEntries"/>
              <w:jc w:val="center"/>
            </w:pPr>
            <w:r>
              <w:t>5</w:t>
            </w:r>
          </w:p>
        </w:tc>
        <w:tc>
          <w:tcPr>
            <w:tcW w:w="576" w:type="dxa"/>
            <w:shd w:val="clear" w:color="auto" w:fill="92D050"/>
            <w:noWrap/>
            <w:vAlign w:val="center"/>
          </w:tcPr>
          <w:p w:rsidR="009D59D1" w:rsidRPr="008F6B31" w:rsidRDefault="009D59D1" w:rsidP="00CA4954">
            <w:pPr>
              <w:pStyle w:val="TableTextEntries"/>
              <w:jc w:val="center"/>
            </w:pPr>
            <w:r>
              <w:t>6</w:t>
            </w:r>
          </w:p>
        </w:tc>
        <w:tc>
          <w:tcPr>
            <w:tcW w:w="598" w:type="dxa"/>
            <w:shd w:val="clear" w:color="auto" w:fill="92D050"/>
            <w:noWrap/>
            <w:vAlign w:val="center"/>
          </w:tcPr>
          <w:p w:rsidR="009D59D1" w:rsidRPr="008F6B31" w:rsidRDefault="009D59D1" w:rsidP="00CA4954">
            <w:pPr>
              <w:pStyle w:val="TableTextEntries"/>
              <w:jc w:val="center"/>
            </w:pPr>
            <w:r>
              <w:t>5</w:t>
            </w:r>
          </w:p>
        </w:tc>
      </w:tr>
      <w:tr w:rsidR="009D59D1" w:rsidRPr="008F6B31" w:rsidTr="00CA4954">
        <w:trPr>
          <w:cnfStyle w:val="000000010000" w:firstRow="0" w:lastRow="0" w:firstColumn="0" w:lastColumn="0" w:oddVBand="0" w:evenVBand="0" w:oddHBand="0" w:evenHBand="1" w:firstRowFirstColumn="0" w:firstRowLastColumn="0" w:lastRowFirstColumn="0" w:lastRowLastColumn="0"/>
          <w:trHeight w:val="284"/>
          <w:tblHeader w:val="0"/>
          <w:jc w:val="center"/>
        </w:trPr>
        <w:tc>
          <w:tcPr>
            <w:tcW w:w="2583" w:type="dxa"/>
            <w:vMerge/>
          </w:tcPr>
          <w:p w:rsidR="009D59D1" w:rsidRPr="008F6B31" w:rsidRDefault="009D59D1" w:rsidP="00CA4954">
            <w:pPr>
              <w:pStyle w:val="TableTextEntries"/>
            </w:pPr>
          </w:p>
        </w:tc>
        <w:tc>
          <w:tcPr>
            <w:tcW w:w="2696" w:type="dxa"/>
            <w:vAlign w:val="center"/>
          </w:tcPr>
          <w:p w:rsidR="009D59D1" w:rsidRPr="008F6B31" w:rsidRDefault="009D59D1" w:rsidP="00CA4954">
            <w:pPr>
              <w:pStyle w:val="TableTextEntries"/>
            </w:pPr>
            <w:r w:rsidRPr="008F6B31">
              <w:t>01/07/2010</w:t>
            </w:r>
            <w:r>
              <w:t xml:space="preserve"> </w:t>
            </w:r>
            <w:r w:rsidRPr="007D5CE3">
              <w:t>–</w:t>
            </w:r>
            <w:r>
              <w:t xml:space="preserve"> </w:t>
            </w:r>
            <w:r w:rsidRPr="008F6B31">
              <w:t>30/06/2019</w:t>
            </w:r>
          </w:p>
        </w:tc>
        <w:tc>
          <w:tcPr>
            <w:tcW w:w="1106" w:type="dxa"/>
            <w:vAlign w:val="center"/>
          </w:tcPr>
          <w:p w:rsidR="009D59D1" w:rsidRPr="008F6B31" w:rsidRDefault="009D59D1" w:rsidP="00CA4954">
            <w:pPr>
              <w:pStyle w:val="TableTextEntries"/>
              <w:jc w:val="center"/>
            </w:pPr>
            <w:r w:rsidRPr="008F6B31">
              <w:t>2012</w:t>
            </w:r>
          </w:p>
        </w:tc>
        <w:tc>
          <w:tcPr>
            <w:tcW w:w="553" w:type="dxa"/>
            <w:shd w:val="clear" w:color="auto" w:fill="92D050"/>
            <w:noWrap/>
            <w:vAlign w:val="center"/>
          </w:tcPr>
          <w:p w:rsidR="009D59D1" w:rsidRPr="008F6B31" w:rsidRDefault="009D59D1" w:rsidP="00CA4954">
            <w:pPr>
              <w:pStyle w:val="TableTextEntries"/>
              <w:jc w:val="center"/>
            </w:pPr>
            <w:r w:rsidRPr="008F6B31">
              <w:t>6</w:t>
            </w:r>
          </w:p>
        </w:tc>
        <w:tc>
          <w:tcPr>
            <w:tcW w:w="545" w:type="dxa"/>
            <w:shd w:val="clear" w:color="auto" w:fill="92D050"/>
            <w:noWrap/>
            <w:vAlign w:val="center"/>
          </w:tcPr>
          <w:p w:rsidR="009D59D1" w:rsidRPr="008F6B31" w:rsidRDefault="009D59D1" w:rsidP="00CA4954">
            <w:pPr>
              <w:pStyle w:val="TableTextEntries"/>
              <w:jc w:val="center"/>
            </w:pPr>
            <w:r w:rsidRPr="008F6B31">
              <w:t>5</w:t>
            </w:r>
          </w:p>
        </w:tc>
        <w:tc>
          <w:tcPr>
            <w:tcW w:w="493" w:type="dxa"/>
            <w:shd w:val="clear" w:color="auto" w:fill="92D050"/>
            <w:noWrap/>
            <w:vAlign w:val="center"/>
          </w:tcPr>
          <w:p w:rsidR="009D59D1" w:rsidRPr="008F6B31" w:rsidRDefault="009D59D1" w:rsidP="00CA4954">
            <w:pPr>
              <w:pStyle w:val="TableTextEntries"/>
              <w:jc w:val="center"/>
            </w:pPr>
            <w:r w:rsidRPr="008F6B31">
              <w:t>6</w:t>
            </w:r>
          </w:p>
        </w:tc>
        <w:tc>
          <w:tcPr>
            <w:tcW w:w="525" w:type="dxa"/>
            <w:shd w:val="clear" w:color="auto" w:fill="FFFF00"/>
            <w:noWrap/>
            <w:vAlign w:val="center"/>
          </w:tcPr>
          <w:p w:rsidR="009D59D1" w:rsidRPr="008F6B31" w:rsidRDefault="009D59D1" w:rsidP="00CA4954">
            <w:pPr>
              <w:pStyle w:val="TableTextEntries"/>
              <w:jc w:val="center"/>
            </w:pPr>
            <w:r w:rsidRPr="008F6B31">
              <w:t>4</w:t>
            </w:r>
          </w:p>
        </w:tc>
        <w:tc>
          <w:tcPr>
            <w:tcW w:w="576" w:type="dxa"/>
            <w:shd w:val="clear" w:color="auto" w:fill="92D050"/>
            <w:noWrap/>
            <w:vAlign w:val="center"/>
          </w:tcPr>
          <w:p w:rsidR="009D59D1" w:rsidRPr="008F6B31" w:rsidRDefault="009D59D1" w:rsidP="00CA4954">
            <w:pPr>
              <w:pStyle w:val="TableTextEntries"/>
              <w:jc w:val="center"/>
            </w:pPr>
            <w:r w:rsidRPr="008F6B31">
              <w:t>5</w:t>
            </w:r>
          </w:p>
        </w:tc>
        <w:tc>
          <w:tcPr>
            <w:tcW w:w="598" w:type="dxa"/>
            <w:shd w:val="clear" w:color="auto" w:fill="92D050"/>
            <w:noWrap/>
            <w:vAlign w:val="center"/>
          </w:tcPr>
          <w:p w:rsidR="009D59D1" w:rsidRPr="008F6B31" w:rsidRDefault="009D59D1" w:rsidP="00CA4954">
            <w:pPr>
              <w:pStyle w:val="TableTextEntries"/>
              <w:jc w:val="center"/>
            </w:pPr>
            <w:r w:rsidRPr="008F6B31">
              <w:t>6</w:t>
            </w:r>
          </w:p>
        </w:tc>
      </w:tr>
      <w:tr w:rsidR="00F04507" w:rsidRPr="008F6B31" w:rsidTr="00F04507">
        <w:trPr>
          <w:trHeight w:val="237"/>
          <w:tblHeader w:val="0"/>
          <w:jc w:val="center"/>
        </w:trPr>
        <w:tc>
          <w:tcPr>
            <w:tcW w:w="2583" w:type="dxa"/>
            <w:vMerge w:val="restart"/>
          </w:tcPr>
          <w:p w:rsidR="00F04507" w:rsidRPr="008F6B31" w:rsidRDefault="00F04507" w:rsidP="00F04507">
            <w:pPr>
              <w:pStyle w:val="TableTextEntries"/>
            </w:pPr>
            <w:r w:rsidRPr="008F6B31">
              <w:t>Muslim and Indigenous Peoples Education Program</w:t>
            </w:r>
          </w:p>
        </w:tc>
        <w:tc>
          <w:tcPr>
            <w:tcW w:w="2696" w:type="dxa"/>
            <w:vAlign w:val="center"/>
          </w:tcPr>
          <w:p w:rsidR="00F04507" w:rsidRPr="008F6B31" w:rsidRDefault="00F04507" w:rsidP="00F04507">
            <w:pPr>
              <w:pStyle w:val="TableTextEntries"/>
            </w:pPr>
            <w:r w:rsidRPr="008F6B31">
              <w:t>$19</w:t>
            </w:r>
            <w:r>
              <w:t xml:space="preserve"> </w:t>
            </w:r>
            <w:r w:rsidRPr="008F6B31">
              <w:t>989</w:t>
            </w:r>
            <w:r>
              <w:t xml:space="preserve"> </w:t>
            </w:r>
            <w:r w:rsidRPr="008F6B31">
              <w:t>063</w:t>
            </w:r>
          </w:p>
        </w:tc>
        <w:tc>
          <w:tcPr>
            <w:tcW w:w="1106" w:type="dxa"/>
            <w:shd w:val="clear" w:color="auto" w:fill="auto"/>
            <w:vAlign w:val="center"/>
          </w:tcPr>
          <w:p w:rsidR="00F04507" w:rsidRPr="008F6B31" w:rsidRDefault="00F04507" w:rsidP="00F04507">
            <w:pPr>
              <w:pStyle w:val="TableTextEntries"/>
              <w:jc w:val="center"/>
            </w:pPr>
            <w:r>
              <w:t>2013</w:t>
            </w:r>
          </w:p>
        </w:tc>
        <w:tc>
          <w:tcPr>
            <w:tcW w:w="553" w:type="dxa"/>
            <w:shd w:val="clear" w:color="auto" w:fill="92D050"/>
            <w:noWrap/>
            <w:vAlign w:val="center"/>
          </w:tcPr>
          <w:p w:rsidR="00F04507" w:rsidRPr="008F6B31" w:rsidRDefault="00F04507" w:rsidP="00F04507">
            <w:pPr>
              <w:pStyle w:val="TableTextEntries"/>
              <w:jc w:val="center"/>
            </w:pPr>
            <w:r>
              <w:t>6</w:t>
            </w:r>
          </w:p>
        </w:tc>
        <w:tc>
          <w:tcPr>
            <w:tcW w:w="545" w:type="dxa"/>
            <w:shd w:val="clear" w:color="auto" w:fill="92D050"/>
            <w:noWrap/>
            <w:vAlign w:val="center"/>
          </w:tcPr>
          <w:p w:rsidR="00F04507" w:rsidRPr="008F6B31" w:rsidRDefault="00F04507" w:rsidP="00F04507">
            <w:pPr>
              <w:pStyle w:val="TableTextEntries"/>
              <w:jc w:val="center"/>
            </w:pPr>
            <w:r>
              <w:t>5</w:t>
            </w:r>
          </w:p>
        </w:tc>
        <w:tc>
          <w:tcPr>
            <w:tcW w:w="493" w:type="dxa"/>
            <w:shd w:val="clear" w:color="auto" w:fill="92D050"/>
            <w:noWrap/>
            <w:vAlign w:val="center"/>
          </w:tcPr>
          <w:p w:rsidR="00F04507" w:rsidRPr="008F6B31" w:rsidRDefault="00F04507" w:rsidP="00F04507">
            <w:pPr>
              <w:pStyle w:val="TableTextEntries"/>
              <w:jc w:val="center"/>
            </w:pPr>
            <w:r>
              <w:t>5</w:t>
            </w:r>
          </w:p>
        </w:tc>
        <w:tc>
          <w:tcPr>
            <w:tcW w:w="525" w:type="dxa"/>
            <w:shd w:val="clear" w:color="auto" w:fill="92D050"/>
            <w:noWrap/>
            <w:vAlign w:val="center"/>
          </w:tcPr>
          <w:p w:rsidR="00F04507" w:rsidRPr="008F6B31" w:rsidRDefault="00F04507" w:rsidP="00F04507">
            <w:pPr>
              <w:pStyle w:val="TableTextEntries"/>
              <w:jc w:val="center"/>
            </w:pPr>
            <w:r>
              <w:t>5</w:t>
            </w:r>
          </w:p>
        </w:tc>
        <w:tc>
          <w:tcPr>
            <w:tcW w:w="576" w:type="dxa"/>
            <w:shd w:val="clear" w:color="auto" w:fill="92D050"/>
            <w:noWrap/>
            <w:vAlign w:val="center"/>
          </w:tcPr>
          <w:p w:rsidR="00F04507" w:rsidRPr="008F6B31" w:rsidRDefault="00F04507" w:rsidP="00F04507">
            <w:pPr>
              <w:pStyle w:val="TableTextEntries"/>
              <w:jc w:val="center"/>
            </w:pPr>
            <w:r>
              <w:t>5</w:t>
            </w:r>
          </w:p>
        </w:tc>
        <w:tc>
          <w:tcPr>
            <w:tcW w:w="598" w:type="dxa"/>
            <w:shd w:val="clear" w:color="auto" w:fill="92D050"/>
            <w:noWrap/>
            <w:vAlign w:val="center"/>
          </w:tcPr>
          <w:p w:rsidR="00F04507" w:rsidRPr="008F6B31" w:rsidRDefault="00F04507" w:rsidP="00F04507">
            <w:pPr>
              <w:pStyle w:val="TableTextEntries"/>
              <w:jc w:val="center"/>
            </w:pPr>
            <w:r>
              <w:t>5</w:t>
            </w:r>
          </w:p>
        </w:tc>
      </w:tr>
      <w:tr w:rsidR="00F04507" w:rsidRPr="008F6B31" w:rsidTr="00F04507">
        <w:trPr>
          <w:cnfStyle w:val="000000010000" w:firstRow="0" w:lastRow="0" w:firstColumn="0" w:lastColumn="0" w:oddVBand="0" w:evenVBand="0" w:oddHBand="0" w:evenHBand="1" w:firstRowFirstColumn="0" w:firstRowLastColumn="0" w:lastRowFirstColumn="0" w:lastRowLastColumn="0"/>
          <w:trHeight w:val="284"/>
          <w:tblHeader w:val="0"/>
          <w:jc w:val="center"/>
        </w:trPr>
        <w:tc>
          <w:tcPr>
            <w:tcW w:w="2583" w:type="dxa"/>
            <w:vMerge/>
          </w:tcPr>
          <w:p w:rsidR="00F04507" w:rsidRPr="008F6B31" w:rsidRDefault="00F04507" w:rsidP="00F04507">
            <w:pPr>
              <w:pStyle w:val="TableTextEntries"/>
            </w:pPr>
          </w:p>
        </w:tc>
        <w:tc>
          <w:tcPr>
            <w:tcW w:w="2696" w:type="dxa"/>
            <w:vAlign w:val="center"/>
          </w:tcPr>
          <w:p w:rsidR="00F04507" w:rsidRPr="008F6B31" w:rsidRDefault="00F04507" w:rsidP="00F04507">
            <w:pPr>
              <w:pStyle w:val="TableTextEntries"/>
            </w:pPr>
            <w:r w:rsidRPr="008F6B31">
              <w:t xml:space="preserve">01/07/2008 </w:t>
            </w:r>
            <w:r>
              <w:t xml:space="preserve">– </w:t>
            </w:r>
            <w:r w:rsidRPr="008F6B31">
              <w:t>30/06/2014</w:t>
            </w:r>
          </w:p>
        </w:tc>
        <w:tc>
          <w:tcPr>
            <w:tcW w:w="1106" w:type="dxa"/>
            <w:vAlign w:val="center"/>
          </w:tcPr>
          <w:p w:rsidR="00F04507" w:rsidRPr="008F6B31" w:rsidRDefault="00F04507" w:rsidP="00F04507">
            <w:pPr>
              <w:pStyle w:val="TableTextEntries"/>
              <w:jc w:val="center"/>
            </w:pPr>
            <w:r w:rsidRPr="008F6B31">
              <w:t>2012</w:t>
            </w:r>
          </w:p>
        </w:tc>
        <w:tc>
          <w:tcPr>
            <w:tcW w:w="553" w:type="dxa"/>
            <w:shd w:val="clear" w:color="auto" w:fill="92D050"/>
            <w:noWrap/>
            <w:vAlign w:val="center"/>
          </w:tcPr>
          <w:p w:rsidR="00F04507" w:rsidRPr="008F6B31" w:rsidRDefault="00F04507" w:rsidP="00F04507">
            <w:pPr>
              <w:pStyle w:val="TableTextEntries"/>
              <w:jc w:val="center"/>
            </w:pPr>
            <w:r w:rsidRPr="008F6B31">
              <w:t>5</w:t>
            </w:r>
          </w:p>
        </w:tc>
        <w:tc>
          <w:tcPr>
            <w:tcW w:w="545" w:type="dxa"/>
            <w:shd w:val="clear" w:color="auto" w:fill="92D050"/>
            <w:noWrap/>
            <w:vAlign w:val="center"/>
          </w:tcPr>
          <w:p w:rsidR="00F04507" w:rsidRPr="008F6B31" w:rsidRDefault="00F04507" w:rsidP="00F04507">
            <w:pPr>
              <w:pStyle w:val="TableTextEntries"/>
              <w:jc w:val="center"/>
            </w:pPr>
            <w:r w:rsidRPr="008F6B31">
              <w:t>5</w:t>
            </w:r>
          </w:p>
        </w:tc>
        <w:tc>
          <w:tcPr>
            <w:tcW w:w="493" w:type="dxa"/>
            <w:shd w:val="clear" w:color="auto" w:fill="92D050"/>
            <w:noWrap/>
            <w:vAlign w:val="center"/>
          </w:tcPr>
          <w:p w:rsidR="00F04507" w:rsidRPr="008F6B31" w:rsidRDefault="00F04507" w:rsidP="00F04507">
            <w:pPr>
              <w:pStyle w:val="TableTextEntries"/>
              <w:jc w:val="center"/>
            </w:pPr>
            <w:r w:rsidRPr="008F6B31">
              <w:t>5</w:t>
            </w:r>
          </w:p>
        </w:tc>
        <w:tc>
          <w:tcPr>
            <w:tcW w:w="525" w:type="dxa"/>
            <w:shd w:val="clear" w:color="auto" w:fill="92D050"/>
            <w:noWrap/>
            <w:vAlign w:val="center"/>
          </w:tcPr>
          <w:p w:rsidR="00F04507" w:rsidRPr="008F6B31" w:rsidRDefault="00F04507" w:rsidP="00F04507">
            <w:pPr>
              <w:pStyle w:val="TableTextEntries"/>
              <w:jc w:val="center"/>
            </w:pPr>
            <w:r w:rsidRPr="008F6B31">
              <w:t>5</w:t>
            </w:r>
          </w:p>
        </w:tc>
        <w:tc>
          <w:tcPr>
            <w:tcW w:w="576" w:type="dxa"/>
            <w:shd w:val="clear" w:color="auto" w:fill="92D050"/>
            <w:noWrap/>
            <w:vAlign w:val="center"/>
          </w:tcPr>
          <w:p w:rsidR="00F04507" w:rsidRPr="008F6B31" w:rsidRDefault="00F04507" w:rsidP="00F04507">
            <w:pPr>
              <w:pStyle w:val="TableTextEntries"/>
              <w:jc w:val="center"/>
            </w:pPr>
            <w:r w:rsidRPr="008F6B31">
              <w:t>5</w:t>
            </w:r>
          </w:p>
        </w:tc>
        <w:tc>
          <w:tcPr>
            <w:tcW w:w="598" w:type="dxa"/>
            <w:shd w:val="clear" w:color="auto" w:fill="FFFF00"/>
            <w:noWrap/>
            <w:vAlign w:val="center"/>
          </w:tcPr>
          <w:p w:rsidR="00F04507" w:rsidRPr="008F6B31" w:rsidRDefault="00F04507" w:rsidP="00F04507">
            <w:pPr>
              <w:pStyle w:val="TableTextEntries"/>
              <w:jc w:val="center"/>
            </w:pPr>
            <w:r w:rsidRPr="008F6B31">
              <w:t>4</w:t>
            </w:r>
          </w:p>
        </w:tc>
      </w:tr>
      <w:tr w:rsidR="00F04507" w:rsidRPr="008F6B31" w:rsidTr="00F04507">
        <w:trPr>
          <w:trHeight w:val="273"/>
          <w:tblHeader w:val="0"/>
          <w:jc w:val="center"/>
        </w:trPr>
        <w:tc>
          <w:tcPr>
            <w:tcW w:w="2583" w:type="dxa"/>
            <w:vMerge w:val="restart"/>
          </w:tcPr>
          <w:p w:rsidR="00F04507" w:rsidRPr="008F6B31" w:rsidRDefault="00F04507" w:rsidP="00F04507">
            <w:pPr>
              <w:pStyle w:val="TableTextEntries"/>
            </w:pPr>
            <w:r w:rsidRPr="008F6B31">
              <w:t>Basic Education Assistance for ARMM</w:t>
            </w:r>
          </w:p>
        </w:tc>
        <w:tc>
          <w:tcPr>
            <w:tcW w:w="2696" w:type="dxa"/>
            <w:vAlign w:val="center"/>
          </w:tcPr>
          <w:p w:rsidR="00F04507" w:rsidRPr="008F6B31" w:rsidRDefault="00F04507" w:rsidP="00F04507">
            <w:pPr>
              <w:pStyle w:val="TableTextEntries"/>
            </w:pPr>
            <w:r w:rsidRPr="008F6B31">
              <w:t>$89</w:t>
            </w:r>
            <w:r>
              <w:t xml:space="preserve"> </w:t>
            </w:r>
            <w:r w:rsidRPr="008F6B31">
              <w:t>637</w:t>
            </w:r>
            <w:r>
              <w:t xml:space="preserve"> </w:t>
            </w:r>
            <w:r w:rsidRPr="008F6B31">
              <w:t>520</w:t>
            </w:r>
          </w:p>
        </w:tc>
        <w:tc>
          <w:tcPr>
            <w:tcW w:w="1106" w:type="dxa"/>
            <w:shd w:val="clear" w:color="auto" w:fill="auto"/>
            <w:vAlign w:val="center"/>
          </w:tcPr>
          <w:p w:rsidR="00F04507" w:rsidRPr="008F6B31" w:rsidRDefault="00F04507" w:rsidP="00F04507">
            <w:pPr>
              <w:pStyle w:val="TableTextEntries"/>
              <w:jc w:val="center"/>
            </w:pPr>
            <w:r>
              <w:t>2013</w:t>
            </w:r>
          </w:p>
        </w:tc>
        <w:tc>
          <w:tcPr>
            <w:tcW w:w="553" w:type="dxa"/>
            <w:shd w:val="clear" w:color="auto" w:fill="92D050"/>
            <w:noWrap/>
            <w:vAlign w:val="center"/>
          </w:tcPr>
          <w:p w:rsidR="00F04507" w:rsidRPr="008F6B31" w:rsidRDefault="00F04507" w:rsidP="00F04507">
            <w:pPr>
              <w:pStyle w:val="TableTextEntries"/>
              <w:jc w:val="center"/>
            </w:pPr>
            <w:r>
              <w:t>6</w:t>
            </w:r>
          </w:p>
        </w:tc>
        <w:tc>
          <w:tcPr>
            <w:tcW w:w="545" w:type="dxa"/>
            <w:shd w:val="clear" w:color="auto" w:fill="92D050"/>
            <w:noWrap/>
            <w:vAlign w:val="center"/>
          </w:tcPr>
          <w:p w:rsidR="00F04507" w:rsidRPr="008F6B31" w:rsidRDefault="00F04507" w:rsidP="00F04507">
            <w:pPr>
              <w:pStyle w:val="TableTextEntries"/>
              <w:jc w:val="center"/>
            </w:pPr>
            <w:r>
              <w:t>5</w:t>
            </w:r>
          </w:p>
        </w:tc>
        <w:tc>
          <w:tcPr>
            <w:tcW w:w="493" w:type="dxa"/>
            <w:shd w:val="clear" w:color="auto" w:fill="FFFF00"/>
            <w:noWrap/>
            <w:vAlign w:val="center"/>
          </w:tcPr>
          <w:p w:rsidR="00F04507" w:rsidRPr="008F6B31" w:rsidRDefault="00F04507" w:rsidP="00F04507">
            <w:pPr>
              <w:pStyle w:val="TableTextEntries"/>
              <w:jc w:val="center"/>
            </w:pPr>
            <w:r>
              <w:t>4</w:t>
            </w:r>
          </w:p>
        </w:tc>
        <w:tc>
          <w:tcPr>
            <w:tcW w:w="525" w:type="dxa"/>
            <w:shd w:val="clear" w:color="auto" w:fill="FFFF00"/>
            <w:noWrap/>
            <w:vAlign w:val="center"/>
          </w:tcPr>
          <w:p w:rsidR="00F04507" w:rsidRPr="008F6B31" w:rsidRDefault="00F04507" w:rsidP="00F04507">
            <w:pPr>
              <w:pStyle w:val="TableTextEntries"/>
              <w:jc w:val="center"/>
            </w:pPr>
            <w:r>
              <w:t>4</w:t>
            </w:r>
          </w:p>
        </w:tc>
        <w:tc>
          <w:tcPr>
            <w:tcW w:w="576" w:type="dxa"/>
            <w:shd w:val="clear" w:color="auto" w:fill="92D050"/>
            <w:noWrap/>
            <w:vAlign w:val="center"/>
          </w:tcPr>
          <w:p w:rsidR="00F04507" w:rsidRPr="008F6B31" w:rsidRDefault="00F04507" w:rsidP="00F04507">
            <w:pPr>
              <w:pStyle w:val="TableTextEntries"/>
              <w:jc w:val="center"/>
            </w:pPr>
            <w:r>
              <w:t>5</w:t>
            </w:r>
          </w:p>
        </w:tc>
        <w:tc>
          <w:tcPr>
            <w:tcW w:w="598" w:type="dxa"/>
            <w:shd w:val="clear" w:color="auto" w:fill="92D050"/>
            <w:noWrap/>
            <w:vAlign w:val="center"/>
          </w:tcPr>
          <w:p w:rsidR="00F04507" w:rsidRPr="008F6B31" w:rsidRDefault="00F04507" w:rsidP="00F04507">
            <w:pPr>
              <w:pStyle w:val="TableTextEntries"/>
              <w:jc w:val="center"/>
            </w:pPr>
            <w:r>
              <w:t>5</w:t>
            </w:r>
          </w:p>
        </w:tc>
      </w:tr>
      <w:tr w:rsidR="00F04507" w:rsidRPr="008F6B31" w:rsidTr="00F04507">
        <w:trPr>
          <w:cnfStyle w:val="000000010000" w:firstRow="0" w:lastRow="0" w:firstColumn="0" w:lastColumn="0" w:oddVBand="0" w:evenVBand="0" w:oddHBand="0" w:evenHBand="1" w:firstRowFirstColumn="0" w:firstRowLastColumn="0" w:lastRowFirstColumn="0" w:lastRowLastColumn="0"/>
          <w:trHeight w:val="284"/>
          <w:tblHeader w:val="0"/>
          <w:jc w:val="center"/>
        </w:trPr>
        <w:tc>
          <w:tcPr>
            <w:tcW w:w="2583" w:type="dxa"/>
            <w:vMerge/>
          </w:tcPr>
          <w:p w:rsidR="00F04507" w:rsidRPr="008F6B31" w:rsidRDefault="00F04507" w:rsidP="00F04507">
            <w:pPr>
              <w:pStyle w:val="TableTextEntries"/>
            </w:pPr>
          </w:p>
        </w:tc>
        <w:tc>
          <w:tcPr>
            <w:tcW w:w="2696" w:type="dxa"/>
            <w:vAlign w:val="center"/>
          </w:tcPr>
          <w:p w:rsidR="00F04507" w:rsidRPr="008F6B31" w:rsidRDefault="00F04507" w:rsidP="00F04507">
            <w:pPr>
              <w:pStyle w:val="TableTextEntries"/>
            </w:pPr>
            <w:r w:rsidRPr="008F6B31">
              <w:t xml:space="preserve">01/09/2009 </w:t>
            </w:r>
            <w:r>
              <w:t xml:space="preserve">– </w:t>
            </w:r>
            <w:r w:rsidRPr="008F6B31">
              <w:t>30/06/2017</w:t>
            </w:r>
          </w:p>
        </w:tc>
        <w:tc>
          <w:tcPr>
            <w:tcW w:w="1106" w:type="dxa"/>
            <w:vAlign w:val="center"/>
          </w:tcPr>
          <w:p w:rsidR="00F04507" w:rsidRPr="008F6B31" w:rsidRDefault="00F04507" w:rsidP="00F04507">
            <w:pPr>
              <w:pStyle w:val="TableTextEntries"/>
              <w:jc w:val="center"/>
            </w:pPr>
            <w:r w:rsidRPr="008F6B31">
              <w:t>2012</w:t>
            </w:r>
          </w:p>
        </w:tc>
        <w:tc>
          <w:tcPr>
            <w:tcW w:w="553" w:type="dxa"/>
            <w:shd w:val="clear" w:color="auto" w:fill="92D050"/>
            <w:noWrap/>
            <w:vAlign w:val="center"/>
          </w:tcPr>
          <w:p w:rsidR="00F04507" w:rsidRPr="008F6B31" w:rsidRDefault="00F04507" w:rsidP="00F04507">
            <w:pPr>
              <w:pStyle w:val="TableTextEntries"/>
              <w:jc w:val="center"/>
            </w:pPr>
            <w:r w:rsidRPr="008F6B31">
              <w:t>6</w:t>
            </w:r>
          </w:p>
        </w:tc>
        <w:tc>
          <w:tcPr>
            <w:tcW w:w="545" w:type="dxa"/>
            <w:shd w:val="clear" w:color="auto" w:fill="92D050"/>
            <w:noWrap/>
            <w:vAlign w:val="center"/>
          </w:tcPr>
          <w:p w:rsidR="00F04507" w:rsidRPr="008F6B31" w:rsidRDefault="00F04507" w:rsidP="00F04507">
            <w:pPr>
              <w:pStyle w:val="TableTextEntries"/>
              <w:jc w:val="center"/>
            </w:pPr>
            <w:r w:rsidRPr="008F6B31">
              <w:t>5</w:t>
            </w:r>
          </w:p>
        </w:tc>
        <w:tc>
          <w:tcPr>
            <w:tcW w:w="493" w:type="dxa"/>
            <w:shd w:val="clear" w:color="auto" w:fill="92D050"/>
            <w:noWrap/>
            <w:vAlign w:val="center"/>
          </w:tcPr>
          <w:p w:rsidR="00F04507" w:rsidRPr="008F6B31" w:rsidRDefault="00F04507" w:rsidP="00F04507">
            <w:pPr>
              <w:pStyle w:val="TableTextEntries"/>
              <w:jc w:val="center"/>
            </w:pPr>
            <w:r w:rsidRPr="008F6B31">
              <w:t>5</w:t>
            </w:r>
          </w:p>
        </w:tc>
        <w:tc>
          <w:tcPr>
            <w:tcW w:w="525" w:type="dxa"/>
            <w:shd w:val="clear" w:color="auto" w:fill="92D050"/>
            <w:noWrap/>
            <w:vAlign w:val="center"/>
          </w:tcPr>
          <w:p w:rsidR="00F04507" w:rsidRPr="008F6B31" w:rsidRDefault="00F04507" w:rsidP="00F04507">
            <w:pPr>
              <w:pStyle w:val="TableTextEntries"/>
              <w:jc w:val="center"/>
            </w:pPr>
            <w:r w:rsidRPr="008F6B31">
              <w:t>5</w:t>
            </w:r>
          </w:p>
        </w:tc>
        <w:tc>
          <w:tcPr>
            <w:tcW w:w="576" w:type="dxa"/>
            <w:shd w:val="clear" w:color="auto" w:fill="FFFF00"/>
            <w:noWrap/>
            <w:vAlign w:val="center"/>
          </w:tcPr>
          <w:p w:rsidR="00F04507" w:rsidRPr="008F6B31" w:rsidRDefault="00F04507" w:rsidP="00F04507">
            <w:pPr>
              <w:pStyle w:val="TableTextEntries"/>
              <w:jc w:val="center"/>
            </w:pPr>
            <w:r w:rsidRPr="008F6B31">
              <w:t>4</w:t>
            </w:r>
          </w:p>
        </w:tc>
        <w:tc>
          <w:tcPr>
            <w:tcW w:w="598" w:type="dxa"/>
            <w:shd w:val="clear" w:color="auto" w:fill="FFFF00"/>
            <w:noWrap/>
            <w:vAlign w:val="center"/>
          </w:tcPr>
          <w:p w:rsidR="00F04507" w:rsidRPr="008F6B31" w:rsidRDefault="00F04507" w:rsidP="00F04507">
            <w:pPr>
              <w:pStyle w:val="TableTextEntries"/>
              <w:jc w:val="center"/>
            </w:pPr>
            <w:r w:rsidRPr="008F6B31">
              <w:t>4</w:t>
            </w:r>
          </w:p>
        </w:tc>
      </w:tr>
      <w:tr w:rsidR="00F04507" w:rsidRPr="008F6B31" w:rsidTr="00F04507">
        <w:trPr>
          <w:trHeight w:val="348"/>
          <w:tblHeader w:val="0"/>
          <w:jc w:val="center"/>
        </w:trPr>
        <w:tc>
          <w:tcPr>
            <w:tcW w:w="2583" w:type="dxa"/>
            <w:vMerge w:val="restart"/>
          </w:tcPr>
          <w:p w:rsidR="00F04507" w:rsidRPr="008F6B31" w:rsidRDefault="00F04507" w:rsidP="00F04507">
            <w:pPr>
              <w:pStyle w:val="TableTextEntries"/>
            </w:pPr>
            <w:r w:rsidRPr="008F6B31">
              <w:t>Philippines Social Protection</w:t>
            </w:r>
            <w:r w:rsidR="008E55BE">
              <w:t>*</w:t>
            </w:r>
            <w:r w:rsidR="008E55BE" w:rsidRPr="00391D7A">
              <w:rPr>
                <w:sz w:val="14"/>
                <w:vertAlign w:val="superscript"/>
              </w:rPr>
              <w:sym w:font="Wingdings" w:char="F075"/>
            </w:r>
          </w:p>
        </w:tc>
        <w:tc>
          <w:tcPr>
            <w:tcW w:w="2696" w:type="dxa"/>
            <w:vAlign w:val="center"/>
          </w:tcPr>
          <w:p w:rsidR="00F04507" w:rsidRPr="008F6B31" w:rsidRDefault="00F04507" w:rsidP="008E55BE">
            <w:pPr>
              <w:pStyle w:val="TableTextEntries"/>
            </w:pPr>
            <w:r w:rsidRPr="008F6B31">
              <w:t>$</w:t>
            </w:r>
            <w:r>
              <w:t>27 704 491</w:t>
            </w:r>
          </w:p>
        </w:tc>
        <w:tc>
          <w:tcPr>
            <w:tcW w:w="1106" w:type="dxa"/>
            <w:shd w:val="clear" w:color="auto" w:fill="auto"/>
            <w:vAlign w:val="center"/>
          </w:tcPr>
          <w:p w:rsidR="00F04507" w:rsidRPr="008F6B31" w:rsidRDefault="00F04507" w:rsidP="00F04507">
            <w:pPr>
              <w:pStyle w:val="TableTextEntries"/>
              <w:jc w:val="center"/>
            </w:pPr>
            <w:r>
              <w:t>2013</w:t>
            </w:r>
          </w:p>
        </w:tc>
        <w:tc>
          <w:tcPr>
            <w:tcW w:w="553" w:type="dxa"/>
            <w:shd w:val="clear" w:color="auto" w:fill="92D050"/>
            <w:noWrap/>
            <w:vAlign w:val="center"/>
          </w:tcPr>
          <w:p w:rsidR="00F04507" w:rsidRPr="008F6B31" w:rsidRDefault="00F04507" w:rsidP="00F04507">
            <w:pPr>
              <w:pStyle w:val="TableTextEntries"/>
              <w:jc w:val="center"/>
            </w:pPr>
            <w:r>
              <w:t>6</w:t>
            </w:r>
          </w:p>
        </w:tc>
        <w:tc>
          <w:tcPr>
            <w:tcW w:w="545" w:type="dxa"/>
            <w:shd w:val="clear" w:color="auto" w:fill="92D050"/>
            <w:noWrap/>
            <w:vAlign w:val="center"/>
          </w:tcPr>
          <w:p w:rsidR="00F04507" w:rsidRPr="008F6B31" w:rsidRDefault="00F04507" w:rsidP="00F04507">
            <w:pPr>
              <w:pStyle w:val="TableTextEntries"/>
              <w:jc w:val="center"/>
            </w:pPr>
            <w:r>
              <w:t>5</w:t>
            </w:r>
          </w:p>
        </w:tc>
        <w:tc>
          <w:tcPr>
            <w:tcW w:w="493" w:type="dxa"/>
            <w:shd w:val="clear" w:color="auto" w:fill="F2AD48"/>
            <w:noWrap/>
            <w:vAlign w:val="center"/>
          </w:tcPr>
          <w:p w:rsidR="00F04507" w:rsidRPr="008F6B31" w:rsidRDefault="00F04507" w:rsidP="00F04507">
            <w:pPr>
              <w:pStyle w:val="TableTextEntries"/>
              <w:jc w:val="center"/>
            </w:pPr>
            <w:r>
              <w:t>3</w:t>
            </w:r>
          </w:p>
        </w:tc>
        <w:tc>
          <w:tcPr>
            <w:tcW w:w="525" w:type="dxa"/>
            <w:shd w:val="clear" w:color="auto" w:fill="FFFF00"/>
            <w:noWrap/>
            <w:vAlign w:val="center"/>
          </w:tcPr>
          <w:p w:rsidR="00F04507" w:rsidRPr="008F6B31" w:rsidRDefault="00F04507" w:rsidP="00F04507">
            <w:pPr>
              <w:pStyle w:val="TableTextEntries"/>
              <w:jc w:val="center"/>
            </w:pPr>
            <w:r>
              <w:t>4</w:t>
            </w:r>
          </w:p>
        </w:tc>
        <w:tc>
          <w:tcPr>
            <w:tcW w:w="576" w:type="dxa"/>
            <w:shd w:val="clear" w:color="auto" w:fill="92D050"/>
            <w:noWrap/>
            <w:vAlign w:val="center"/>
          </w:tcPr>
          <w:p w:rsidR="00F04507" w:rsidRPr="008F6B31" w:rsidRDefault="00F04507" w:rsidP="00F04507">
            <w:pPr>
              <w:pStyle w:val="TableTextEntries"/>
              <w:jc w:val="center"/>
            </w:pPr>
            <w:r>
              <w:t>6</w:t>
            </w:r>
          </w:p>
        </w:tc>
        <w:tc>
          <w:tcPr>
            <w:tcW w:w="598" w:type="dxa"/>
            <w:shd w:val="clear" w:color="auto" w:fill="92D050"/>
            <w:noWrap/>
            <w:vAlign w:val="center"/>
          </w:tcPr>
          <w:p w:rsidR="00F04507" w:rsidRPr="008F6B31" w:rsidRDefault="00F04507" w:rsidP="00F04507">
            <w:pPr>
              <w:pStyle w:val="TableTextEntries"/>
              <w:jc w:val="center"/>
            </w:pPr>
            <w:r>
              <w:t>5</w:t>
            </w:r>
          </w:p>
        </w:tc>
      </w:tr>
      <w:tr w:rsidR="00F04507" w:rsidRPr="008F6B31" w:rsidTr="00F04507">
        <w:trPr>
          <w:cnfStyle w:val="000000010000" w:firstRow="0" w:lastRow="0" w:firstColumn="0" w:lastColumn="0" w:oddVBand="0" w:evenVBand="0" w:oddHBand="0" w:evenHBand="1" w:firstRowFirstColumn="0" w:firstRowLastColumn="0" w:lastRowFirstColumn="0" w:lastRowLastColumn="0"/>
          <w:trHeight w:val="284"/>
          <w:tblHeader w:val="0"/>
          <w:jc w:val="center"/>
        </w:trPr>
        <w:tc>
          <w:tcPr>
            <w:tcW w:w="2583" w:type="dxa"/>
            <w:vMerge/>
          </w:tcPr>
          <w:p w:rsidR="00F04507" w:rsidRPr="008F6B31" w:rsidRDefault="00F04507" w:rsidP="00F04507">
            <w:pPr>
              <w:pStyle w:val="TableTextEntries"/>
            </w:pPr>
          </w:p>
        </w:tc>
        <w:tc>
          <w:tcPr>
            <w:tcW w:w="2696" w:type="dxa"/>
            <w:vAlign w:val="center"/>
          </w:tcPr>
          <w:p w:rsidR="00F04507" w:rsidRPr="008F6B31" w:rsidRDefault="00F04507" w:rsidP="008E55BE">
            <w:pPr>
              <w:pStyle w:val="TableTextEntries"/>
            </w:pPr>
            <w:r w:rsidRPr="008F6B31">
              <w:t xml:space="preserve">03/02/2009 </w:t>
            </w:r>
            <w:r>
              <w:t>– 30/06/2017</w:t>
            </w:r>
          </w:p>
        </w:tc>
        <w:tc>
          <w:tcPr>
            <w:tcW w:w="1106" w:type="dxa"/>
            <w:vAlign w:val="center"/>
          </w:tcPr>
          <w:p w:rsidR="00F04507" w:rsidRPr="008F6B31" w:rsidRDefault="00F04507" w:rsidP="00F04507">
            <w:pPr>
              <w:pStyle w:val="TableTextEntries"/>
              <w:jc w:val="center"/>
            </w:pPr>
            <w:r w:rsidRPr="008F6B31">
              <w:t>2012</w:t>
            </w:r>
          </w:p>
        </w:tc>
        <w:tc>
          <w:tcPr>
            <w:tcW w:w="553" w:type="dxa"/>
            <w:shd w:val="clear" w:color="auto" w:fill="92D050"/>
            <w:noWrap/>
            <w:vAlign w:val="center"/>
          </w:tcPr>
          <w:p w:rsidR="00F04507" w:rsidRPr="008F6B31" w:rsidRDefault="00F04507" w:rsidP="00F04507">
            <w:pPr>
              <w:pStyle w:val="TableTextEntries"/>
              <w:jc w:val="center"/>
            </w:pPr>
            <w:r w:rsidRPr="008F6B31">
              <w:t>6</w:t>
            </w:r>
          </w:p>
        </w:tc>
        <w:tc>
          <w:tcPr>
            <w:tcW w:w="545" w:type="dxa"/>
            <w:shd w:val="clear" w:color="auto" w:fill="92D050"/>
            <w:noWrap/>
            <w:vAlign w:val="center"/>
          </w:tcPr>
          <w:p w:rsidR="00F04507" w:rsidRPr="008F6B31" w:rsidRDefault="00F04507" w:rsidP="00F04507">
            <w:pPr>
              <w:pStyle w:val="TableTextEntries"/>
              <w:jc w:val="center"/>
            </w:pPr>
            <w:r w:rsidRPr="008F6B31">
              <w:t>5</w:t>
            </w:r>
          </w:p>
        </w:tc>
        <w:tc>
          <w:tcPr>
            <w:tcW w:w="493" w:type="dxa"/>
            <w:shd w:val="clear" w:color="auto" w:fill="FFFF00"/>
            <w:noWrap/>
            <w:vAlign w:val="center"/>
          </w:tcPr>
          <w:p w:rsidR="00F04507" w:rsidRPr="008F6B31" w:rsidRDefault="00F04507" w:rsidP="00F04507">
            <w:pPr>
              <w:pStyle w:val="TableTextEntries"/>
              <w:jc w:val="center"/>
            </w:pPr>
            <w:r w:rsidRPr="008F6B31">
              <w:t>4</w:t>
            </w:r>
          </w:p>
        </w:tc>
        <w:tc>
          <w:tcPr>
            <w:tcW w:w="525" w:type="dxa"/>
            <w:shd w:val="clear" w:color="auto" w:fill="FFFF00"/>
            <w:noWrap/>
            <w:vAlign w:val="center"/>
          </w:tcPr>
          <w:p w:rsidR="00F04507" w:rsidRPr="008F6B31" w:rsidRDefault="00F04507" w:rsidP="00F04507">
            <w:pPr>
              <w:pStyle w:val="TableTextEntries"/>
              <w:jc w:val="center"/>
            </w:pPr>
            <w:r w:rsidRPr="008F6B31">
              <w:t>4</w:t>
            </w:r>
          </w:p>
        </w:tc>
        <w:tc>
          <w:tcPr>
            <w:tcW w:w="576" w:type="dxa"/>
            <w:shd w:val="clear" w:color="auto" w:fill="92D050"/>
            <w:noWrap/>
            <w:vAlign w:val="center"/>
          </w:tcPr>
          <w:p w:rsidR="00F04507" w:rsidRPr="008F6B31" w:rsidRDefault="00F04507" w:rsidP="00F04507">
            <w:pPr>
              <w:pStyle w:val="TableTextEntries"/>
              <w:jc w:val="center"/>
            </w:pPr>
            <w:r w:rsidRPr="008F6B31">
              <w:t>6</w:t>
            </w:r>
          </w:p>
        </w:tc>
        <w:tc>
          <w:tcPr>
            <w:tcW w:w="598" w:type="dxa"/>
            <w:shd w:val="clear" w:color="auto" w:fill="FFFF00"/>
            <w:noWrap/>
            <w:vAlign w:val="center"/>
          </w:tcPr>
          <w:p w:rsidR="00F04507" w:rsidRPr="008F6B31" w:rsidRDefault="00F04507" w:rsidP="00F04507">
            <w:pPr>
              <w:pStyle w:val="TableTextEntries"/>
              <w:jc w:val="center"/>
            </w:pPr>
            <w:r w:rsidRPr="008F6B31">
              <w:t>4</w:t>
            </w:r>
          </w:p>
        </w:tc>
      </w:tr>
      <w:tr w:rsidR="00F04507" w:rsidRPr="008F6B31" w:rsidTr="00F04507">
        <w:trPr>
          <w:trHeight w:val="348"/>
          <w:tblHeader w:val="0"/>
          <w:jc w:val="center"/>
        </w:trPr>
        <w:tc>
          <w:tcPr>
            <w:tcW w:w="2583" w:type="dxa"/>
            <w:vMerge w:val="restart"/>
          </w:tcPr>
          <w:p w:rsidR="00F04507" w:rsidRPr="008F6B31" w:rsidRDefault="00F04507" w:rsidP="00F04507">
            <w:pPr>
              <w:pStyle w:val="TableTextEntries"/>
            </w:pPr>
            <w:r w:rsidRPr="008F6B31">
              <w:t>U</w:t>
            </w:r>
            <w:r>
              <w:t xml:space="preserve">nited </w:t>
            </w:r>
            <w:r w:rsidRPr="008F6B31">
              <w:t>N</w:t>
            </w:r>
            <w:r>
              <w:t>ations</w:t>
            </w:r>
            <w:r w:rsidRPr="008F6B31">
              <w:t xml:space="preserve"> Maternal and Neonatal Mortality Reduction</w:t>
            </w:r>
            <w:r w:rsidR="008E55BE">
              <w:t>*</w:t>
            </w:r>
            <w:r w:rsidR="008E55BE" w:rsidRPr="00391D7A">
              <w:rPr>
                <w:sz w:val="14"/>
                <w:vertAlign w:val="superscript"/>
              </w:rPr>
              <w:sym w:font="Wingdings" w:char="F075"/>
            </w:r>
          </w:p>
        </w:tc>
        <w:tc>
          <w:tcPr>
            <w:tcW w:w="2696" w:type="dxa"/>
            <w:vAlign w:val="center"/>
          </w:tcPr>
          <w:p w:rsidR="00F04507" w:rsidRPr="008F6B31" w:rsidRDefault="00F04507" w:rsidP="008E55BE">
            <w:pPr>
              <w:pStyle w:val="TableTextEntries"/>
            </w:pPr>
            <w:r w:rsidRPr="008F6B31">
              <w:t>$</w:t>
            </w:r>
            <w:r>
              <w:t>20 383 623</w:t>
            </w:r>
          </w:p>
        </w:tc>
        <w:tc>
          <w:tcPr>
            <w:tcW w:w="1106" w:type="dxa"/>
            <w:shd w:val="clear" w:color="auto" w:fill="auto"/>
            <w:vAlign w:val="center"/>
          </w:tcPr>
          <w:p w:rsidR="00F04507" w:rsidRPr="008F6B31" w:rsidRDefault="00F04507" w:rsidP="00F04507">
            <w:pPr>
              <w:pStyle w:val="TableTextEntries"/>
              <w:jc w:val="center"/>
            </w:pPr>
            <w:r>
              <w:t>2013</w:t>
            </w:r>
          </w:p>
        </w:tc>
        <w:tc>
          <w:tcPr>
            <w:tcW w:w="553" w:type="dxa"/>
            <w:shd w:val="clear" w:color="auto" w:fill="FFFF00"/>
            <w:noWrap/>
            <w:vAlign w:val="center"/>
          </w:tcPr>
          <w:p w:rsidR="00F04507" w:rsidRPr="008F6B31" w:rsidRDefault="00F04507" w:rsidP="00F04507">
            <w:pPr>
              <w:pStyle w:val="TableTextEntries"/>
              <w:jc w:val="center"/>
            </w:pPr>
            <w:r>
              <w:t>4</w:t>
            </w:r>
          </w:p>
        </w:tc>
        <w:tc>
          <w:tcPr>
            <w:tcW w:w="545" w:type="dxa"/>
            <w:shd w:val="clear" w:color="auto" w:fill="FFFF00"/>
            <w:noWrap/>
            <w:vAlign w:val="center"/>
          </w:tcPr>
          <w:p w:rsidR="00F04507" w:rsidRPr="008F6B31" w:rsidRDefault="00F04507" w:rsidP="00F04507">
            <w:pPr>
              <w:pStyle w:val="TableTextEntries"/>
              <w:jc w:val="center"/>
            </w:pPr>
            <w:r>
              <w:t>4</w:t>
            </w:r>
          </w:p>
        </w:tc>
        <w:tc>
          <w:tcPr>
            <w:tcW w:w="493" w:type="dxa"/>
            <w:shd w:val="clear" w:color="auto" w:fill="F2AD48"/>
            <w:noWrap/>
            <w:vAlign w:val="center"/>
          </w:tcPr>
          <w:p w:rsidR="00F04507" w:rsidRPr="008F6B31" w:rsidRDefault="00F04507" w:rsidP="00F04507">
            <w:pPr>
              <w:pStyle w:val="TableTextEntries"/>
              <w:jc w:val="center"/>
            </w:pPr>
            <w:r>
              <w:t>3</w:t>
            </w:r>
          </w:p>
        </w:tc>
        <w:tc>
          <w:tcPr>
            <w:tcW w:w="525" w:type="dxa"/>
            <w:shd w:val="clear" w:color="auto" w:fill="FFFF00"/>
            <w:noWrap/>
            <w:vAlign w:val="center"/>
          </w:tcPr>
          <w:p w:rsidR="00F04507" w:rsidRPr="008F6B31" w:rsidRDefault="00F04507" w:rsidP="00F04507">
            <w:pPr>
              <w:pStyle w:val="TableTextEntries"/>
              <w:jc w:val="center"/>
            </w:pPr>
            <w:r>
              <w:t>4</w:t>
            </w:r>
          </w:p>
        </w:tc>
        <w:tc>
          <w:tcPr>
            <w:tcW w:w="576" w:type="dxa"/>
            <w:shd w:val="clear" w:color="auto" w:fill="92D050"/>
            <w:noWrap/>
            <w:vAlign w:val="center"/>
          </w:tcPr>
          <w:p w:rsidR="00F04507" w:rsidRPr="008F6B31" w:rsidRDefault="00F04507" w:rsidP="00F04507">
            <w:pPr>
              <w:pStyle w:val="TableTextEntries"/>
              <w:jc w:val="center"/>
            </w:pPr>
            <w:r>
              <w:t>5</w:t>
            </w:r>
          </w:p>
        </w:tc>
        <w:tc>
          <w:tcPr>
            <w:tcW w:w="598" w:type="dxa"/>
            <w:shd w:val="clear" w:color="auto" w:fill="92D050"/>
            <w:noWrap/>
            <w:vAlign w:val="center"/>
          </w:tcPr>
          <w:p w:rsidR="00F04507" w:rsidRPr="008F6B31" w:rsidRDefault="00F04507" w:rsidP="00F04507">
            <w:pPr>
              <w:pStyle w:val="TableTextEntries"/>
              <w:jc w:val="center"/>
            </w:pPr>
            <w:r>
              <w:t>5</w:t>
            </w:r>
          </w:p>
        </w:tc>
      </w:tr>
      <w:tr w:rsidR="00F04507" w:rsidRPr="008F6B31" w:rsidTr="00F04507">
        <w:trPr>
          <w:cnfStyle w:val="000000010000" w:firstRow="0" w:lastRow="0" w:firstColumn="0" w:lastColumn="0" w:oddVBand="0" w:evenVBand="0" w:oddHBand="0" w:evenHBand="1" w:firstRowFirstColumn="0" w:firstRowLastColumn="0" w:lastRowFirstColumn="0" w:lastRowLastColumn="0"/>
          <w:trHeight w:val="304"/>
          <w:tblHeader w:val="0"/>
          <w:jc w:val="center"/>
        </w:trPr>
        <w:tc>
          <w:tcPr>
            <w:tcW w:w="2583" w:type="dxa"/>
            <w:vMerge/>
          </w:tcPr>
          <w:p w:rsidR="00F04507" w:rsidRPr="008F6B31" w:rsidRDefault="00F04507" w:rsidP="00F04507">
            <w:pPr>
              <w:pStyle w:val="TableTextEntries"/>
            </w:pPr>
          </w:p>
        </w:tc>
        <w:tc>
          <w:tcPr>
            <w:tcW w:w="2696" w:type="dxa"/>
            <w:vAlign w:val="center"/>
          </w:tcPr>
          <w:p w:rsidR="00F04507" w:rsidRPr="008F6B31" w:rsidRDefault="00F04507" w:rsidP="008E55BE">
            <w:pPr>
              <w:pStyle w:val="TableTextEntries"/>
            </w:pPr>
            <w:r w:rsidRPr="008F6B31">
              <w:t xml:space="preserve">30/05/2010 </w:t>
            </w:r>
            <w:r>
              <w:t>– 30/06/2016</w:t>
            </w:r>
          </w:p>
        </w:tc>
        <w:tc>
          <w:tcPr>
            <w:tcW w:w="1106" w:type="dxa"/>
            <w:vAlign w:val="center"/>
          </w:tcPr>
          <w:p w:rsidR="00F04507" w:rsidRPr="008F6B31" w:rsidRDefault="00F04507" w:rsidP="00F04507">
            <w:pPr>
              <w:pStyle w:val="TableTextEntries"/>
              <w:jc w:val="center"/>
            </w:pPr>
            <w:r w:rsidRPr="008F6B31">
              <w:t>2012</w:t>
            </w:r>
          </w:p>
        </w:tc>
        <w:tc>
          <w:tcPr>
            <w:tcW w:w="553" w:type="dxa"/>
            <w:shd w:val="clear" w:color="auto" w:fill="92D050"/>
            <w:noWrap/>
            <w:vAlign w:val="center"/>
          </w:tcPr>
          <w:p w:rsidR="00F04507" w:rsidRPr="008F6B31" w:rsidRDefault="00F04507" w:rsidP="00F04507">
            <w:pPr>
              <w:pStyle w:val="TableTextEntries"/>
              <w:jc w:val="center"/>
            </w:pPr>
            <w:r w:rsidRPr="008F6B31">
              <w:t>5</w:t>
            </w:r>
          </w:p>
        </w:tc>
        <w:tc>
          <w:tcPr>
            <w:tcW w:w="545" w:type="dxa"/>
            <w:shd w:val="clear" w:color="auto" w:fill="92D050"/>
            <w:noWrap/>
            <w:vAlign w:val="center"/>
          </w:tcPr>
          <w:p w:rsidR="00F04507" w:rsidRPr="008F6B31" w:rsidRDefault="00F04507" w:rsidP="00F04507">
            <w:pPr>
              <w:pStyle w:val="TableTextEntries"/>
              <w:jc w:val="center"/>
            </w:pPr>
            <w:r w:rsidRPr="008F6B31">
              <w:t>5</w:t>
            </w:r>
          </w:p>
        </w:tc>
        <w:tc>
          <w:tcPr>
            <w:tcW w:w="493" w:type="dxa"/>
            <w:shd w:val="clear" w:color="auto" w:fill="FFFF00"/>
            <w:noWrap/>
            <w:vAlign w:val="center"/>
          </w:tcPr>
          <w:p w:rsidR="00F04507" w:rsidRPr="008F6B31" w:rsidRDefault="00F04507" w:rsidP="00F04507">
            <w:pPr>
              <w:pStyle w:val="TableTextEntries"/>
              <w:jc w:val="center"/>
            </w:pPr>
            <w:r w:rsidRPr="008F6B31">
              <w:t>4</w:t>
            </w:r>
          </w:p>
        </w:tc>
        <w:tc>
          <w:tcPr>
            <w:tcW w:w="525" w:type="dxa"/>
            <w:shd w:val="clear" w:color="auto" w:fill="FFFF00"/>
            <w:noWrap/>
            <w:vAlign w:val="center"/>
          </w:tcPr>
          <w:p w:rsidR="00F04507" w:rsidRPr="008F6B31" w:rsidRDefault="00F04507" w:rsidP="00F04507">
            <w:pPr>
              <w:pStyle w:val="TableTextEntries"/>
              <w:jc w:val="center"/>
            </w:pPr>
            <w:r w:rsidRPr="008F6B31">
              <w:t>4</w:t>
            </w:r>
          </w:p>
        </w:tc>
        <w:tc>
          <w:tcPr>
            <w:tcW w:w="576" w:type="dxa"/>
            <w:shd w:val="clear" w:color="auto" w:fill="92D050"/>
            <w:noWrap/>
            <w:vAlign w:val="center"/>
          </w:tcPr>
          <w:p w:rsidR="00F04507" w:rsidRPr="008F6B31" w:rsidRDefault="00F04507" w:rsidP="00F04507">
            <w:pPr>
              <w:pStyle w:val="TableTextEntries"/>
              <w:jc w:val="center"/>
            </w:pPr>
            <w:r w:rsidRPr="008F6B31">
              <w:t>5</w:t>
            </w:r>
          </w:p>
        </w:tc>
        <w:tc>
          <w:tcPr>
            <w:tcW w:w="598" w:type="dxa"/>
            <w:shd w:val="clear" w:color="auto" w:fill="92D050"/>
            <w:noWrap/>
            <w:vAlign w:val="center"/>
          </w:tcPr>
          <w:p w:rsidR="00F04507" w:rsidRPr="008F6B31" w:rsidRDefault="00F04507" w:rsidP="00F04507">
            <w:pPr>
              <w:pStyle w:val="TableTextEntries"/>
              <w:jc w:val="center"/>
            </w:pPr>
            <w:r w:rsidRPr="008F6B31">
              <w:t>5</w:t>
            </w:r>
          </w:p>
        </w:tc>
      </w:tr>
      <w:tr w:rsidR="00F04507" w:rsidRPr="008F6B31" w:rsidTr="00F04507">
        <w:trPr>
          <w:trHeight w:val="273"/>
          <w:tblHeader w:val="0"/>
          <w:jc w:val="center"/>
        </w:trPr>
        <w:tc>
          <w:tcPr>
            <w:tcW w:w="2583" w:type="dxa"/>
            <w:vMerge w:val="restart"/>
          </w:tcPr>
          <w:p w:rsidR="00F04507" w:rsidRPr="008F6B31" w:rsidRDefault="00F04507" w:rsidP="00F04507">
            <w:pPr>
              <w:pStyle w:val="TableTextEntries"/>
            </w:pPr>
            <w:r w:rsidRPr="008F6B31">
              <w:t>Supporting Peace in Mindanao</w:t>
            </w:r>
            <w:r w:rsidR="008E55BE">
              <w:t>*</w:t>
            </w:r>
          </w:p>
        </w:tc>
        <w:tc>
          <w:tcPr>
            <w:tcW w:w="2696" w:type="dxa"/>
            <w:vAlign w:val="center"/>
          </w:tcPr>
          <w:p w:rsidR="00F04507" w:rsidRPr="008F6B31" w:rsidRDefault="00F04507" w:rsidP="008E55BE">
            <w:pPr>
              <w:pStyle w:val="TableTextEntries"/>
            </w:pPr>
            <w:r w:rsidRPr="008F6B31">
              <w:t>$</w:t>
            </w:r>
            <w:r>
              <w:t>15 416 042</w:t>
            </w:r>
          </w:p>
        </w:tc>
        <w:tc>
          <w:tcPr>
            <w:tcW w:w="1106" w:type="dxa"/>
            <w:shd w:val="clear" w:color="auto" w:fill="auto"/>
            <w:vAlign w:val="center"/>
          </w:tcPr>
          <w:p w:rsidR="00F04507" w:rsidRPr="008F6B31" w:rsidRDefault="00F04507" w:rsidP="00F04507">
            <w:pPr>
              <w:pStyle w:val="TableTextEntries"/>
              <w:jc w:val="center"/>
            </w:pPr>
            <w:r>
              <w:t>2013</w:t>
            </w:r>
          </w:p>
        </w:tc>
        <w:tc>
          <w:tcPr>
            <w:tcW w:w="553" w:type="dxa"/>
            <w:shd w:val="clear" w:color="auto" w:fill="FFFF00"/>
            <w:noWrap/>
            <w:vAlign w:val="center"/>
          </w:tcPr>
          <w:p w:rsidR="00F04507" w:rsidRPr="008F6B31" w:rsidRDefault="00F04507" w:rsidP="00F04507">
            <w:pPr>
              <w:pStyle w:val="TableTextEntries"/>
              <w:jc w:val="center"/>
            </w:pPr>
            <w:r>
              <w:t>4</w:t>
            </w:r>
          </w:p>
        </w:tc>
        <w:tc>
          <w:tcPr>
            <w:tcW w:w="545" w:type="dxa"/>
            <w:shd w:val="clear" w:color="auto" w:fill="FFFF00"/>
            <w:noWrap/>
            <w:vAlign w:val="center"/>
          </w:tcPr>
          <w:p w:rsidR="00F04507" w:rsidRPr="008F6B31" w:rsidRDefault="00F04507" w:rsidP="00F04507">
            <w:pPr>
              <w:pStyle w:val="TableTextEntries"/>
              <w:jc w:val="center"/>
            </w:pPr>
            <w:r>
              <w:t>4</w:t>
            </w:r>
          </w:p>
        </w:tc>
        <w:tc>
          <w:tcPr>
            <w:tcW w:w="493" w:type="dxa"/>
            <w:shd w:val="clear" w:color="auto" w:fill="FFFF00"/>
            <w:noWrap/>
            <w:vAlign w:val="center"/>
          </w:tcPr>
          <w:p w:rsidR="00F04507" w:rsidRPr="008F6B31" w:rsidRDefault="00F04507" w:rsidP="00F04507">
            <w:pPr>
              <w:pStyle w:val="TableTextEntries"/>
              <w:jc w:val="center"/>
            </w:pPr>
            <w:r>
              <w:t>4</w:t>
            </w:r>
          </w:p>
        </w:tc>
        <w:tc>
          <w:tcPr>
            <w:tcW w:w="525" w:type="dxa"/>
            <w:shd w:val="clear" w:color="auto" w:fill="F2AD48"/>
            <w:noWrap/>
            <w:vAlign w:val="center"/>
          </w:tcPr>
          <w:p w:rsidR="00F04507" w:rsidRPr="008F6B31" w:rsidRDefault="00F04507" w:rsidP="00F04507">
            <w:pPr>
              <w:pStyle w:val="TableTextEntries"/>
              <w:jc w:val="center"/>
            </w:pPr>
            <w:r>
              <w:t>3</w:t>
            </w:r>
          </w:p>
        </w:tc>
        <w:tc>
          <w:tcPr>
            <w:tcW w:w="576" w:type="dxa"/>
            <w:shd w:val="clear" w:color="auto" w:fill="FFFF00"/>
            <w:noWrap/>
            <w:vAlign w:val="center"/>
          </w:tcPr>
          <w:p w:rsidR="00F04507" w:rsidRPr="008F6B31" w:rsidRDefault="00F04507" w:rsidP="00F04507">
            <w:pPr>
              <w:pStyle w:val="TableTextEntries"/>
              <w:jc w:val="center"/>
            </w:pPr>
            <w:r>
              <w:t>4</w:t>
            </w:r>
          </w:p>
        </w:tc>
        <w:tc>
          <w:tcPr>
            <w:tcW w:w="598" w:type="dxa"/>
            <w:shd w:val="clear" w:color="auto" w:fill="F2AD48"/>
            <w:noWrap/>
            <w:vAlign w:val="center"/>
          </w:tcPr>
          <w:p w:rsidR="00F04507" w:rsidRPr="008F6B31" w:rsidRDefault="00F04507" w:rsidP="00F04507">
            <w:pPr>
              <w:pStyle w:val="TableTextEntries"/>
              <w:jc w:val="center"/>
            </w:pPr>
            <w:r>
              <w:t>3</w:t>
            </w:r>
          </w:p>
        </w:tc>
      </w:tr>
      <w:tr w:rsidR="00F04507" w:rsidRPr="008F6B31" w:rsidTr="00F04507">
        <w:trPr>
          <w:cnfStyle w:val="000000010000" w:firstRow="0" w:lastRow="0" w:firstColumn="0" w:lastColumn="0" w:oddVBand="0" w:evenVBand="0" w:oddHBand="0" w:evenHBand="1" w:firstRowFirstColumn="0" w:firstRowLastColumn="0" w:lastRowFirstColumn="0" w:lastRowLastColumn="0"/>
          <w:trHeight w:val="284"/>
          <w:tblHeader w:val="0"/>
          <w:jc w:val="center"/>
        </w:trPr>
        <w:tc>
          <w:tcPr>
            <w:tcW w:w="2583" w:type="dxa"/>
            <w:vMerge/>
          </w:tcPr>
          <w:p w:rsidR="00F04507" w:rsidRPr="008F6B31" w:rsidRDefault="00F04507" w:rsidP="00F04507">
            <w:pPr>
              <w:pStyle w:val="TableTextEntries"/>
            </w:pPr>
          </w:p>
        </w:tc>
        <w:tc>
          <w:tcPr>
            <w:tcW w:w="2696" w:type="dxa"/>
            <w:vAlign w:val="center"/>
          </w:tcPr>
          <w:p w:rsidR="00F04507" w:rsidRPr="008F6B31" w:rsidRDefault="00F04507" w:rsidP="00F04507">
            <w:pPr>
              <w:pStyle w:val="TableTextEntries"/>
            </w:pPr>
            <w:r w:rsidRPr="008F6B31">
              <w:t xml:space="preserve">15/06/2005 </w:t>
            </w:r>
            <w:r>
              <w:t xml:space="preserve">– </w:t>
            </w:r>
            <w:r w:rsidRPr="008F6B31">
              <w:t>30/06/2015</w:t>
            </w:r>
          </w:p>
        </w:tc>
        <w:tc>
          <w:tcPr>
            <w:tcW w:w="1106" w:type="dxa"/>
            <w:vAlign w:val="center"/>
          </w:tcPr>
          <w:p w:rsidR="00F04507" w:rsidRPr="008F6B31" w:rsidRDefault="00F04507" w:rsidP="00F04507">
            <w:pPr>
              <w:pStyle w:val="TableTextEntries"/>
              <w:jc w:val="center"/>
            </w:pPr>
            <w:r w:rsidRPr="008F6B31">
              <w:t>2012</w:t>
            </w:r>
          </w:p>
        </w:tc>
        <w:tc>
          <w:tcPr>
            <w:tcW w:w="553" w:type="dxa"/>
            <w:shd w:val="clear" w:color="auto" w:fill="92D050"/>
            <w:noWrap/>
            <w:vAlign w:val="center"/>
          </w:tcPr>
          <w:p w:rsidR="00F04507" w:rsidRPr="008F6B31" w:rsidRDefault="00F04507" w:rsidP="00F04507">
            <w:pPr>
              <w:pStyle w:val="TableTextEntries"/>
              <w:jc w:val="center"/>
            </w:pPr>
            <w:r w:rsidRPr="008F6B31">
              <w:t>5</w:t>
            </w:r>
          </w:p>
        </w:tc>
        <w:tc>
          <w:tcPr>
            <w:tcW w:w="545" w:type="dxa"/>
            <w:shd w:val="clear" w:color="auto" w:fill="92D050"/>
            <w:noWrap/>
            <w:vAlign w:val="center"/>
          </w:tcPr>
          <w:p w:rsidR="00F04507" w:rsidRPr="008F6B31" w:rsidRDefault="00F04507" w:rsidP="00F04507">
            <w:pPr>
              <w:pStyle w:val="TableTextEntries"/>
              <w:jc w:val="center"/>
            </w:pPr>
            <w:r w:rsidRPr="008F6B31">
              <w:t>5</w:t>
            </w:r>
          </w:p>
        </w:tc>
        <w:tc>
          <w:tcPr>
            <w:tcW w:w="493" w:type="dxa"/>
            <w:shd w:val="clear" w:color="auto" w:fill="FFFF00"/>
            <w:noWrap/>
            <w:vAlign w:val="center"/>
          </w:tcPr>
          <w:p w:rsidR="00F04507" w:rsidRPr="008F6B31" w:rsidRDefault="00F04507" w:rsidP="00F04507">
            <w:pPr>
              <w:pStyle w:val="TableTextEntries"/>
              <w:jc w:val="center"/>
            </w:pPr>
            <w:r w:rsidRPr="008F6B31">
              <w:t>4</w:t>
            </w:r>
          </w:p>
        </w:tc>
        <w:tc>
          <w:tcPr>
            <w:tcW w:w="525" w:type="dxa"/>
            <w:shd w:val="clear" w:color="auto" w:fill="F2AD48"/>
            <w:noWrap/>
            <w:vAlign w:val="center"/>
          </w:tcPr>
          <w:p w:rsidR="00F04507" w:rsidRPr="008F6B31" w:rsidRDefault="00F04507" w:rsidP="00F04507">
            <w:pPr>
              <w:pStyle w:val="TableTextEntries"/>
              <w:jc w:val="center"/>
            </w:pPr>
            <w:r w:rsidRPr="008F6B31">
              <w:t>3</w:t>
            </w:r>
          </w:p>
        </w:tc>
        <w:tc>
          <w:tcPr>
            <w:tcW w:w="576" w:type="dxa"/>
            <w:shd w:val="clear" w:color="auto" w:fill="FFFF00"/>
            <w:noWrap/>
            <w:vAlign w:val="center"/>
          </w:tcPr>
          <w:p w:rsidR="00F04507" w:rsidRPr="008F6B31" w:rsidRDefault="00F04507" w:rsidP="00F04507">
            <w:pPr>
              <w:pStyle w:val="TableTextEntries"/>
              <w:jc w:val="center"/>
            </w:pPr>
            <w:r w:rsidRPr="008F6B31">
              <w:t>4</w:t>
            </w:r>
          </w:p>
        </w:tc>
        <w:tc>
          <w:tcPr>
            <w:tcW w:w="598" w:type="dxa"/>
            <w:shd w:val="clear" w:color="auto" w:fill="F2AD48"/>
            <w:noWrap/>
            <w:vAlign w:val="center"/>
          </w:tcPr>
          <w:p w:rsidR="00F04507" w:rsidRPr="008F6B31" w:rsidRDefault="00F04507" w:rsidP="00F04507">
            <w:pPr>
              <w:pStyle w:val="TableTextEntries"/>
              <w:jc w:val="center"/>
            </w:pPr>
            <w:r w:rsidRPr="008F6B31">
              <w:t>3</w:t>
            </w:r>
          </w:p>
        </w:tc>
      </w:tr>
      <w:tr w:rsidR="00F04507" w:rsidRPr="008F6B31" w:rsidTr="00F04507">
        <w:trPr>
          <w:trHeight w:val="273"/>
          <w:tblHeader w:val="0"/>
          <w:jc w:val="center"/>
        </w:trPr>
        <w:tc>
          <w:tcPr>
            <w:tcW w:w="2583" w:type="dxa"/>
            <w:vMerge w:val="restart"/>
          </w:tcPr>
          <w:p w:rsidR="00F04507" w:rsidRPr="008F6B31" w:rsidRDefault="00F04507" w:rsidP="00F04507">
            <w:pPr>
              <w:pStyle w:val="TableTextEntries"/>
            </w:pPr>
            <w:r w:rsidRPr="008F6B31">
              <w:t>Philippines: Disaster and Climate Risks Management</w:t>
            </w:r>
            <w:r w:rsidR="008E55BE">
              <w:t>*</w:t>
            </w:r>
          </w:p>
        </w:tc>
        <w:tc>
          <w:tcPr>
            <w:tcW w:w="2696" w:type="dxa"/>
            <w:vAlign w:val="center"/>
          </w:tcPr>
          <w:p w:rsidR="00F04507" w:rsidRPr="008F6B31" w:rsidRDefault="00F04507" w:rsidP="008E55BE">
            <w:pPr>
              <w:pStyle w:val="TableTextEntries"/>
            </w:pPr>
            <w:r w:rsidRPr="008F6B31">
              <w:t>$</w:t>
            </w:r>
            <w:r>
              <w:t>46 864 130</w:t>
            </w:r>
          </w:p>
        </w:tc>
        <w:tc>
          <w:tcPr>
            <w:tcW w:w="1106" w:type="dxa"/>
            <w:shd w:val="clear" w:color="auto" w:fill="auto"/>
            <w:vAlign w:val="center"/>
          </w:tcPr>
          <w:p w:rsidR="00F04507" w:rsidRPr="008F6B31" w:rsidRDefault="00F04507" w:rsidP="00F04507">
            <w:pPr>
              <w:pStyle w:val="TableTextEntries"/>
              <w:jc w:val="center"/>
            </w:pPr>
            <w:r>
              <w:t>2013</w:t>
            </w:r>
          </w:p>
        </w:tc>
        <w:tc>
          <w:tcPr>
            <w:tcW w:w="553" w:type="dxa"/>
            <w:shd w:val="clear" w:color="auto" w:fill="92D050"/>
            <w:noWrap/>
            <w:vAlign w:val="center"/>
          </w:tcPr>
          <w:p w:rsidR="00F04507" w:rsidRPr="008F6B31" w:rsidRDefault="00F04507" w:rsidP="00F04507">
            <w:pPr>
              <w:pStyle w:val="TableTextEntries"/>
              <w:jc w:val="center"/>
            </w:pPr>
            <w:r>
              <w:t>6</w:t>
            </w:r>
          </w:p>
        </w:tc>
        <w:tc>
          <w:tcPr>
            <w:tcW w:w="545" w:type="dxa"/>
            <w:shd w:val="clear" w:color="auto" w:fill="92D050"/>
            <w:noWrap/>
            <w:vAlign w:val="center"/>
          </w:tcPr>
          <w:p w:rsidR="00F04507" w:rsidRPr="008F6B31" w:rsidRDefault="00F04507" w:rsidP="00F04507">
            <w:pPr>
              <w:pStyle w:val="TableTextEntries"/>
              <w:jc w:val="center"/>
            </w:pPr>
            <w:r>
              <w:t>6</w:t>
            </w:r>
          </w:p>
        </w:tc>
        <w:tc>
          <w:tcPr>
            <w:tcW w:w="493" w:type="dxa"/>
            <w:shd w:val="clear" w:color="auto" w:fill="FFFF00"/>
            <w:noWrap/>
            <w:vAlign w:val="center"/>
          </w:tcPr>
          <w:p w:rsidR="00F04507" w:rsidRPr="008F6B31" w:rsidRDefault="00F04507" w:rsidP="00F04507">
            <w:pPr>
              <w:pStyle w:val="TableTextEntries"/>
              <w:jc w:val="center"/>
            </w:pPr>
            <w:r>
              <w:t>4</w:t>
            </w:r>
          </w:p>
        </w:tc>
        <w:tc>
          <w:tcPr>
            <w:tcW w:w="525" w:type="dxa"/>
            <w:shd w:val="clear" w:color="auto" w:fill="FFFF00"/>
            <w:noWrap/>
            <w:vAlign w:val="center"/>
          </w:tcPr>
          <w:p w:rsidR="00F04507" w:rsidRPr="008F6B31" w:rsidRDefault="00F04507" w:rsidP="00F04507">
            <w:pPr>
              <w:pStyle w:val="TableTextEntries"/>
              <w:jc w:val="center"/>
            </w:pPr>
            <w:r>
              <w:t>4</w:t>
            </w:r>
          </w:p>
        </w:tc>
        <w:tc>
          <w:tcPr>
            <w:tcW w:w="576" w:type="dxa"/>
            <w:shd w:val="clear" w:color="auto" w:fill="92D050"/>
            <w:noWrap/>
            <w:vAlign w:val="center"/>
          </w:tcPr>
          <w:p w:rsidR="00F04507" w:rsidRPr="008F6B31" w:rsidRDefault="00F04507" w:rsidP="00F04507">
            <w:pPr>
              <w:pStyle w:val="TableTextEntries"/>
              <w:jc w:val="center"/>
            </w:pPr>
            <w:r>
              <w:t>6</w:t>
            </w:r>
          </w:p>
        </w:tc>
        <w:tc>
          <w:tcPr>
            <w:tcW w:w="598" w:type="dxa"/>
            <w:shd w:val="clear" w:color="auto" w:fill="FFFF00"/>
            <w:noWrap/>
            <w:vAlign w:val="center"/>
          </w:tcPr>
          <w:p w:rsidR="00F04507" w:rsidRPr="008F6B31" w:rsidRDefault="00F04507" w:rsidP="00F04507">
            <w:pPr>
              <w:pStyle w:val="TableTextEntries"/>
              <w:jc w:val="center"/>
            </w:pPr>
            <w:r>
              <w:t>4</w:t>
            </w:r>
          </w:p>
        </w:tc>
      </w:tr>
      <w:tr w:rsidR="00F04507" w:rsidRPr="008F6B31" w:rsidTr="00F04507">
        <w:trPr>
          <w:cnfStyle w:val="000000010000" w:firstRow="0" w:lastRow="0" w:firstColumn="0" w:lastColumn="0" w:oddVBand="0" w:evenVBand="0" w:oddHBand="0" w:evenHBand="1" w:firstRowFirstColumn="0" w:firstRowLastColumn="0" w:lastRowFirstColumn="0" w:lastRowLastColumn="0"/>
          <w:trHeight w:val="284"/>
          <w:tblHeader w:val="0"/>
          <w:jc w:val="center"/>
        </w:trPr>
        <w:tc>
          <w:tcPr>
            <w:tcW w:w="2583" w:type="dxa"/>
            <w:vMerge/>
          </w:tcPr>
          <w:p w:rsidR="00F04507" w:rsidRPr="008F6B31" w:rsidRDefault="00F04507" w:rsidP="00F04507">
            <w:pPr>
              <w:pStyle w:val="TableTextEntries"/>
            </w:pPr>
          </w:p>
        </w:tc>
        <w:tc>
          <w:tcPr>
            <w:tcW w:w="2696" w:type="dxa"/>
            <w:vAlign w:val="center"/>
          </w:tcPr>
          <w:p w:rsidR="00F04507" w:rsidRPr="008F6B31" w:rsidRDefault="00F04507" w:rsidP="00F04507">
            <w:pPr>
              <w:pStyle w:val="TableTextEntries"/>
            </w:pPr>
            <w:r w:rsidRPr="008F6B31">
              <w:t>02/06/2006</w:t>
            </w:r>
            <w:r>
              <w:t xml:space="preserve"> – 31/12/2017</w:t>
            </w:r>
          </w:p>
        </w:tc>
        <w:tc>
          <w:tcPr>
            <w:tcW w:w="1106" w:type="dxa"/>
            <w:vAlign w:val="center"/>
          </w:tcPr>
          <w:p w:rsidR="00F04507" w:rsidRPr="008F6B31" w:rsidRDefault="00F04507" w:rsidP="00F04507">
            <w:pPr>
              <w:pStyle w:val="TableTextEntries"/>
              <w:jc w:val="center"/>
            </w:pPr>
            <w:r w:rsidRPr="008F6B31">
              <w:t>2012</w:t>
            </w:r>
          </w:p>
        </w:tc>
        <w:tc>
          <w:tcPr>
            <w:tcW w:w="553" w:type="dxa"/>
            <w:shd w:val="clear" w:color="auto" w:fill="92D050"/>
            <w:noWrap/>
            <w:vAlign w:val="center"/>
          </w:tcPr>
          <w:p w:rsidR="00F04507" w:rsidRPr="008F6B31" w:rsidRDefault="00F04507" w:rsidP="00F04507">
            <w:pPr>
              <w:pStyle w:val="TableTextEntries"/>
              <w:jc w:val="center"/>
            </w:pPr>
            <w:r w:rsidRPr="008F6B31">
              <w:t>6</w:t>
            </w:r>
          </w:p>
        </w:tc>
        <w:tc>
          <w:tcPr>
            <w:tcW w:w="545" w:type="dxa"/>
            <w:shd w:val="clear" w:color="auto" w:fill="92D050"/>
            <w:noWrap/>
            <w:vAlign w:val="center"/>
          </w:tcPr>
          <w:p w:rsidR="00F04507" w:rsidRPr="008F6B31" w:rsidRDefault="00F04507" w:rsidP="00F04507">
            <w:pPr>
              <w:pStyle w:val="TableTextEntries"/>
              <w:jc w:val="center"/>
            </w:pPr>
            <w:r w:rsidRPr="008F6B31">
              <w:t>6</w:t>
            </w:r>
          </w:p>
        </w:tc>
        <w:tc>
          <w:tcPr>
            <w:tcW w:w="493" w:type="dxa"/>
            <w:shd w:val="clear" w:color="auto" w:fill="92D050"/>
            <w:noWrap/>
            <w:vAlign w:val="center"/>
          </w:tcPr>
          <w:p w:rsidR="00F04507" w:rsidRPr="008F6B31" w:rsidRDefault="00F04507" w:rsidP="00F04507">
            <w:pPr>
              <w:pStyle w:val="TableTextEntries"/>
              <w:jc w:val="center"/>
            </w:pPr>
            <w:r w:rsidRPr="008F6B31">
              <w:t>5</w:t>
            </w:r>
          </w:p>
        </w:tc>
        <w:tc>
          <w:tcPr>
            <w:tcW w:w="525" w:type="dxa"/>
            <w:shd w:val="clear" w:color="auto" w:fill="FFFF00"/>
            <w:noWrap/>
            <w:vAlign w:val="center"/>
          </w:tcPr>
          <w:p w:rsidR="00F04507" w:rsidRPr="008F6B31" w:rsidRDefault="00F04507" w:rsidP="00F04507">
            <w:pPr>
              <w:pStyle w:val="TableTextEntries"/>
              <w:jc w:val="center"/>
            </w:pPr>
            <w:r w:rsidRPr="008F6B31">
              <w:t>4</w:t>
            </w:r>
          </w:p>
        </w:tc>
        <w:tc>
          <w:tcPr>
            <w:tcW w:w="576" w:type="dxa"/>
            <w:shd w:val="clear" w:color="auto" w:fill="92D050"/>
            <w:noWrap/>
            <w:vAlign w:val="center"/>
          </w:tcPr>
          <w:p w:rsidR="00F04507" w:rsidRPr="008F6B31" w:rsidRDefault="00F04507" w:rsidP="00F04507">
            <w:pPr>
              <w:pStyle w:val="TableTextEntries"/>
              <w:jc w:val="center"/>
            </w:pPr>
            <w:r w:rsidRPr="008F6B31">
              <w:t>6</w:t>
            </w:r>
          </w:p>
        </w:tc>
        <w:tc>
          <w:tcPr>
            <w:tcW w:w="598" w:type="dxa"/>
            <w:shd w:val="clear" w:color="auto" w:fill="FFFF00"/>
            <w:noWrap/>
            <w:vAlign w:val="center"/>
          </w:tcPr>
          <w:p w:rsidR="00F04507" w:rsidRPr="008F6B31" w:rsidRDefault="00F04507" w:rsidP="00F04507">
            <w:pPr>
              <w:pStyle w:val="TableTextEntries"/>
              <w:jc w:val="center"/>
            </w:pPr>
            <w:r w:rsidRPr="008F6B31">
              <w:t>4</w:t>
            </w:r>
          </w:p>
        </w:tc>
      </w:tr>
      <w:tr w:rsidR="00F04507" w:rsidRPr="008F6B31" w:rsidTr="00F04507">
        <w:trPr>
          <w:trHeight w:val="284"/>
          <w:tblHeader w:val="0"/>
          <w:jc w:val="center"/>
        </w:trPr>
        <w:tc>
          <w:tcPr>
            <w:tcW w:w="2583" w:type="dxa"/>
            <w:vMerge w:val="restart"/>
          </w:tcPr>
          <w:p w:rsidR="00F04507" w:rsidRPr="008F6B31" w:rsidRDefault="00F04507" w:rsidP="00F04507">
            <w:pPr>
              <w:pStyle w:val="TableTextEntries"/>
            </w:pPr>
            <w:r w:rsidRPr="008F6B31">
              <w:t>Building Disaster Resilience of Manila Communities</w:t>
            </w:r>
            <w:r w:rsidR="008E55BE">
              <w:t>*</w:t>
            </w:r>
            <w:r w:rsidR="008E55BE" w:rsidRPr="00391D7A">
              <w:rPr>
                <w:sz w:val="14"/>
                <w:vertAlign w:val="superscript"/>
              </w:rPr>
              <w:sym w:font="Wingdings" w:char="F075"/>
            </w:r>
          </w:p>
        </w:tc>
        <w:tc>
          <w:tcPr>
            <w:tcW w:w="2696" w:type="dxa"/>
            <w:vAlign w:val="center"/>
          </w:tcPr>
          <w:p w:rsidR="00F04507" w:rsidRPr="008F6B31" w:rsidRDefault="00F04507" w:rsidP="008E55BE">
            <w:pPr>
              <w:pStyle w:val="TableTextEntries"/>
            </w:pPr>
            <w:r w:rsidRPr="008F6B31">
              <w:t>$</w:t>
            </w:r>
            <w:r>
              <w:t>15 000 000</w:t>
            </w:r>
          </w:p>
        </w:tc>
        <w:tc>
          <w:tcPr>
            <w:tcW w:w="1106" w:type="dxa"/>
            <w:shd w:val="clear" w:color="auto" w:fill="auto"/>
            <w:vAlign w:val="center"/>
          </w:tcPr>
          <w:p w:rsidR="00F04507" w:rsidRPr="008F6B31" w:rsidRDefault="00F04507" w:rsidP="00F04507">
            <w:pPr>
              <w:pStyle w:val="TableTextEntries"/>
              <w:jc w:val="center"/>
            </w:pPr>
            <w:r>
              <w:t>2013</w:t>
            </w:r>
          </w:p>
        </w:tc>
        <w:tc>
          <w:tcPr>
            <w:tcW w:w="553" w:type="dxa"/>
            <w:shd w:val="clear" w:color="auto" w:fill="92D050"/>
            <w:noWrap/>
            <w:vAlign w:val="center"/>
          </w:tcPr>
          <w:p w:rsidR="00F04507" w:rsidRPr="008F6B31" w:rsidRDefault="00F04507" w:rsidP="00F04507">
            <w:pPr>
              <w:pStyle w:val="TableTextEntries"/>
              <w:jc w:val="center"/>
            </w:pPr>
            <w:r>
              <w:t>6</w:t>
            </w:r>
          </w:p>
        </w:tc>
        <w:tc>
          <w:tcPr>
            <w:tcW w:w="545" w:type="dxa"/>
            <w:shd w:val="clear" w:color="auto" w:fill="92D050"/>
            <w:noWrap/>
            <w:vAlign w:val="center"/>
          </w:tcPr>
          <w:p w:rsidR="00F04507" w:rsidRPr="008F6B31" w:rsidRDefault="00F04507" w:rsidP="00F04507">
            <w:pPr>
              <w:pStyle w:val="TableTextEntries"/>
              <w:jc w:val="center"/>
            </w:pPr>
            <w:r>
              <w:t>5</w:t>
            </w:r>
          </w:p>
        </w:tc>
        <w:tc>
          <w:tcPr>
            <w:tcW w:w="493" w:type="dxa"/>
            <w:shd w:val="clear" w:color="auto" w:fill="FFFF00"/>
            <w:noWrap/>
            <w:vAlign w:val="center"/>
          </w:tcPr>
          <w:p w:rsidR="00F04507" w:rsidRPr="008F6B31" w:rsidRDefault="00F04507" w:rsidP="00F04507">
            <w:pPr>
              <w:pStyle w:val="TableTextEntries"/>
              <w:jc w:val="center"/>
            </w:pPr>
            <w:r>
              <w:t>4</w:t>
            </w:r>
          </w:p>
        </w:tc>
        <w:tc>
          <w:tcPr>
            <w:tcW w:w="525" w:type="dxa"/>
            <w:shd w:val="clear" w:color="auto" w:fill="92D050"/>
            <w:noWrap/>
            <w:vAlign w:val="center"/>
          </w:tcPr>
          <w:p w:rsidR="00F04507" w:rsidRPr="008F6B31" w:rsidRDefault="00F04507" w:rsidP="00F04507">
            <w:pPr>
              <w:pStyle w:val="TableTextEntries"/>
              <w:jc w:val="center"/>
            </w:pPr>
            <w:r>
              <w:t>5</w:t>
            </w:r>
          </w:p>
        </w:tc>
        <w:tc>
          <w:tcPr>
            <w:tcW w:w="576" w:type="dxa"/>
            <w:shd w:val="clear" w:color="auto" w:fill="92D050"/>
            <w:noWrap/>
            <w:vAlign w:val="center"/>
          </w:tcPr>
          <w:p w:rsidR="00F04507" w:rsidRPr="008F6B31" w:rsidRDefault="00F04507" w:rsidP="00F04507">
            <w:pPr>
              <w:pStyle w:val="TableTextEntries"/>
              <w:jc w:val="center"/>
            </w:pPr>
            <w:r>
              <w:t>6</w:t>
            </w:r>
          </w:p>
        </w:tc>
        <w:tc>
          <w:tcPr>
            <w:tcW w:w="598" w:type="dxa"/>
            <w:shd w:val="clear" w:color="auto" w:fill="92D050"/>
            <w:noWrap/>
            <w:vAlign w:val="center"/>
          </w:tcPr>
          <w:p w:rsidR="00F04507" w:rsidRPr="008F6B31" w:rsidRDefault="00F04507" w:rsidP="00F04507">
            <w:pPr>
              <w:pStyle w:val="TableTextEntries"/>
              <w:jc w:val="center"/>
            </w:pPr>
            <w:r>
              <w:t>5</w:t>
            </w:r>
          </w:p>
        </w:tc>
      </w:tr>
      <w:tr w:rsidR="00F04507" w:rsidRPr="008F6B31" w:rsidTr="00F04507">
        <w:trPr>
          <w:cnfStyle w:val="000000010000" w:firstRow="0" w:lastRow="0" w:firstColumn="0" w:lastColumn="0" w:oddVBand="0" w:evenVBand="0" w:oddHBand="0" w:evenHBand="1" w:firstRowFirstColumn="0" w:firstRowLastColumn="0" w:lastRowFirstColumn="0" w:lastRowLastColumn="0"/>
          <w:trHeight w:val="284"/>
          <w:tblHeader w:val="0"/>
          <w:jc w:val="center"/>
        </w:trPr>
        <w:tc>
          <w:tcPr>
            <w:tcW w:w="2583" w:type="dxa"/>
            <w:vMerge/>
          </w:tcPr>
          <w:p w:rsidR="00F04507" w:rsidRPr="008F6B31" w:rsidRDefault="00F04507" w:rsidP="00F04507">
            <w:pPr>
              <w:pStyle w:val="TableTextEntries"/>
            </w:pPr>
          </w:p>
        </w:tc>
        <w:tc>
          <w:tcPr>
            <w:tcW w:w="2696" w:type="dxa"/>
            <w:vAlign w:val="center"/>
          </w:tcPr>
          <w:p w:rsidR="00F04507" w:rsidRPr="008F6B31" w:rsidRDefault="00F04507" w:rsidP="008E55BE">
            <w:pPr>
              <w:pStyle w:val="TableTextEntries"/>
            </w:pPr>
            <w:r w:rsidRPr="008F6B31">
              <w:t xml:space="preserve">14/01/2010 </w:t>
            </w:r>
            <w:r>
              <w:t>– 30/06/2016</w:t>
            </w:r>
          </w:p>
        </w:tc>
        <w:tc>
          <w:tcPr>
            <w:tcW w:w="1106" w:type="dxa"/>
            <w:vAlign w:val="center"/>
          </w:tcPr>
          <w:p w:rsidR="00F04507" w:rsidRPr="008F6B31" w:rsidRDefault="00F04507" w:rsidP="00F04507">
            <w:pPr>
              <w:pStyle w:val="TableTextEntries"/>
              <w:jc w:val="center"/>
            </w:pPr>
            <w:r w:rsidRPr="008F6B31">
              <w:t>2012</w:t>
            </w:r>
          </w:p>
        </w:tc>
        <w:tc>
          <w:tcPr>
            <w:tcW w:w="553" w:type="dxa"/>
            <w:shd w:val="clear" w:color="auto" w:fill="92D050"/>
            <w:noWrap/>
            <w:vAlign w:val="center"/>
          </w:tcPr>
          <w:p w:rsidR="00F04507" w:rsidRPr="008F6B31" w:rsidRDefault="00F04507" w:rsidP="00F04507">
            <w:pPr>
              <w:pStyle w:val="TableTextEntries"/>
              <w:jc w:val="center"/>
            </w:pPr>
            <w:r w:rsidRPr="008F6B31">
              <w:t>6</w:t>
            </w:r>
          </w:p>
        </w:tc>
        <w:tc>
          <w:tcPr>
            <w:tcW w:w="545" w:type="dxa"/>
            <w:shd w:val="clear" w:color="auto" w:fill="92D050"/>
            <w:noWrap/>
            <w:vAlign w:val="center"/>
          </w:tcPr>
          <w:p w:rsidR="00F04507" w:rsidRPr="008F6B31" w:rsidRDefault="00F04507" w:rsidP="00F04507">
            <w:pPr>
              <w:pStyle w:val="TableTextEntries"/>
              <w:jc w:val="center"/>
            </w:pPr>
            <w:r w:rsidRPr="008F6B31">
              <w:t>5</w:t>
            </w:r>
          </w:p>
        </w:tc>
        <w:tc>
          <w:tcPr>
            <w:tcW w:w="493" w:type="dxa"/>
            <w:shd w:val="clear" w:color="auto" w:fill="FFFF00"/>
            <w:noWrap/>
            <w:vAlign w:val="center"/>
          </w:tcPr>
          <w:p w:rsidR="00F04507" w:rsidRPr="008F6B31" w:rsidRDefault="00F04507" w:rsidP="00F04507">
            <w:pPr>
              <w:pStyle w:val="TableTextEntries"/>
              <w:jc w:val="center"/>
            </w:pPr>
            <w:r w:rsidRPr="008F6B31">
              <w:t>4</w:t>
            </w:r>
          </w:p>
        </w:tc>
        <w:tc>
          <w:tcPr>
            <w:tcW w:w="525" w:type="dxa"/>
            <w:shd w:val="clear" w:color="auto" w:fill="92D050"/>
            <w:noWrap/>
            <w:vAlign w:val="center"/>
          </w:tcPr>
          <w:p w:rsidR="00F04507" w:rsidRPr="008F6B31" w:rsidRDefault="00F04507" w:rsidP="00F04507">
            <w:pPr>
              <w:pStyle w:val="TableTextEntries"/>
              <w:jc w:val="center"/>
            </w:pPr>
            <w:r w:rsidRPr="008F6B31">
              <w:t>5</w:t>
            </w:r>
          </w:p>
        </w:tc>
        <w:tc>
          <w:tcPr>
            <w:tcW w:w="576" w:type="dxa"/>
            <w:shd w:val="clear" w:color="auto" w:fill="92D050"/>
            <w:noWrap/>
            <w:vAlign w:val="center"/>
          </w:tcPr>
          <w:p w:rsidR="00F04507" w:rsidRPr="008F6B31" w:rsidRDefault="00F04507" w:rsidP="00F04507">
            <w:pPr>
              <w:pStyle w:val="TableTextEntries"/>
              <w:jc w:val="center"/>
            </w:pPr>
            <w:r w:rsidRPr="008F6B31">
              <w:t>5</w:t>
            </w:r>
          </w:p>
        </w:tc>
        <w:tc>
          <w:tcPr>
            <w:tcW w:w="598" w:type="dxa"/>
            <w:shd w:val="clear" w:color="auto" w:fill="92D050"/>
            <w:noWrap/>
            <w:vAlign w:val="center"/>
          </w:tcPr>
          <w:p w:rsidR="00F04507" w:rsidRPr="008F6B31" w:rsidRDefault="00F04507" w:rsidP="00F04507">
            <w:pPr>
              <w:pStyle w:val="TableTextEntries"/>
              <w:jc w:val="center"/>
            </w:pPr>
            <w:r w:rsidRPr="008F6B31">
              <w:t>6</w:t>
            </w:r>
          </w:p>
        </w:tc>
      </w:tr>
      <w:tr w:rsidR="009D59D1" w:rsidRPr="008F6B31" w:rsidTr="00CA4954">
        <w:trPr>
          <w:trHeight w:val="229"/>
          <w:tblHeader w:val="0"/>
          <w:jc w:val="center"/>
        </w:trPr>
        <w:tc>
          <w:tcPr>
            <w:tcW w:w="2583" w:type="dxa"/>
            <w:vMerge w:val="restart"/>
          </w:tcPr>
          <w:p w:rsidR="009D59D1" w:rsidRPr="008F6B31" w:rsidRDefault="009D59D1" w:rsidP="00CA4954">
            <w:pPr>
              <w:pStyle w:val="TableTextEntries"/>
            </w:pPr>
            <w:r w:rsidRPr="008F6B31">
              <w:t>Strengthening Public Private Partnership Program</w:t>
            </w:r>
            <w:r w:rsidR="008E55BE" w:rsidRPr="00391D7A">
              <w:rPr>
                <w:sz w:val="14"/>
                <w:vertAlign w:val="superscript"/>
              </w:rPr>
              <w:sym w:font="Wingdings" w:char="F075"/>
            </w:r>
          </w:p>
        </w:tc>
        <w:tc>
          <w:tcPr>
            <w:tcW w:w="2696" w:type="dxa"/>
            <w:vAlign w:val="center"/>
          </w:tcPr>
          <w:p w:rsidR="009D59D1" w:rsidRPr="008F6B31" w:rsidRDefault="009D59D1" w:rsidP="00CA4954">
            <w:pPr>
              <w:pStyle w:val="TableTextEntries"/>
            </w:pPr>
            <w:r w:rsidRPr="008F6B31">
              <w:t>$26</w:t>
            </w:r>
            <w:r>
              <w:t xml:space="preserve"> </w:t>
            </w:r>
            <w:r w:rsidRPr="008F6B31">
              <w:t>277</w:t>
            </w:r>
            <w:r>
              <w:t xml:space="preserve"> </w:t>
            </w:r>
            <w:r w:rsidRPr="008F6B31">
              <w:t>692</w:t>
            </w:r>
          </w:p>
        </w:tc>
        <w:tc>
          <w:tcPr>
            <w:tcW w:w="1106" w:type="dxa"/>
            <w:shd w:val="clear" w:color="auto" w:fill="auto"/>
            <w:vAlign w:val="center"/>
          </w:tcPr>
          <w:p w:rsidR="009D59D1" w:rsidRPr="008F6B31" w:rsidRDefault="009D59D1" w:rsidP="00CA4954">
            <w:pPr>
              <w:pStyle w:val="TableTextEntries"/>
              <w:jc w:val="center"/>
            </w:pPr>
            <w:r>
              <w:t>2013</w:t>
            </w:r>
          </w:p>
        </w:tc>
        <w:tc>
          <w:tcPr>
            <w:tcW w:w="553" w:type="dxa"/>
            <w:shd w:val="clear" w:color="auto" w:fill="92D050"/>
            <w:noWrap/>
            <w:vAlign w:val="center"/>
          </w:tcPr>
          <w:p w:rsidR="009D59D1" w:rsidRPr="008F6B31" w:rsidRDefault="009D59D1" w:rsidP="00CA4954">
            <w:pPr>
              <w:pStyle w:val="TableTextEntries"/>
              <w:jc w:val="center"/>
            </w:pPr>
            <w:r>
              <w:t>6</w:t>
            </w:r>
          </w:p>
        </w:tc>
        <w:tc>
          <w:tcPr>
            <w:tcW w:w="545" w:type="dxa"/>
            <w:shd w:val="clear" w:color="auto" w:fill="92D050"/>
            <w:noWrap/>
            <w:vAlign w:val="center"/>
          </w:tcPr>
          <w:p w:rsidR="009D59D1" w:rsidRPr="008F6B31" w:rsidRDefault="009D59D1" w:rsidP="00CA4954">
            <w:pPr>
              <w:pStyle w:val="TableTextEntries"/>
              <w:jc w:val="center"/>
            </w:pPr>
            <w:r>
              <w:t>6</w:t>
            </w:r>
          </w:p>
        </w:tc>
        <w:tc>
          <w:tcPr>
            <w:tcW w:w="493" w:type="dxa"/>
            <w:shd w:val="clear" w:color="auto" w:fill="92D050"/>
            <w:noWrap/>
            <w:vAlign w:val="center"/>
          </w:tcPr>
          <w:p w:rsidR="009D59D1" w:rsidRPr="008F6B31" w:rsidRDefault="009D59D1" w:rsidP="00CA4954">
            <w:pPr>
              <w:pStyle w:val="TableTextEntries"/>
              <w:jc w:val="center"/>
            </w:pPr>
            <w:r>
              <w:t>5</w:t>
            </w:r>
          </w:p>
        </w:tc>
        <w:tc>
          <w:tcPr>
            <w:tcW w:w="525" w:type="dxa"/>
            <w:shd w:val="clear" w:color="auto" w:fill="92D050"/>
            <w:noWrap/>
            <w:vAlign w:val="center"/>
          </w:tcPr>
          <w:p w:rsidR="009D59D1" w:rsidRPr="008F6B31" w:rsidRDefault="009D59D1" w:rsidP="00CA4954">
            <w:pPr>
              <w:pStyle w:val="TableTextEntries"/>
              <w:jc w:val="center"/>
            </w:pPr>
            <w:r>
              <w:t>5</w:t>
            </w:r>
          </w:p>
        </w:tc>
        <w:tc>
          <w:tcPr>
            <w:tcW w:w="576" w:type="dxa"/>
            <w:shd w:val="clear" w:color="auto" w:fill="92D050"/>
            <w:noWrap/>
            <w:vAlign w:val="center"/>
          </w:tcPr>
          <w:p w:rsidR="009D59D1" w:rsidRPr="008F6B31" w:rsidRDefault="009D59D1" w:rsidP="00CA4954">
            <w:pPr>
              <w:pStyle w:val="TableTextEntries"/>
              <w:jc w:val="center"/>
            </w:pPr>
            <w:r>
              <w:t>5</w:t>
            </w:r>
          </w:p>
        </w:tc>
        <w:tc>
          <w:tcPr>
            <w:tcW w:w="598" w:type="dxa"/>
            <w:shd w:val="clear" w:color="auto" w:fill="92D050"/>
            <w:noWrap/>
            <w:vAlign w:val="center"/>
          </w:tcPr>
          <w:p w:rsidR="009D59D1" w:rsidRPr="008F6B31" w:rsidRDefault="009D59D1" w:rsidP="00CA4954">
            <w:pPr>
              <w:pStyle w:val="TableTextEntries"/>
              <w:jc w:val="center"/>
            </w:pPr>
            <w:r>
              <w:t>5</w:t>
            </w:r>
          </w:p>
        </w:tc>
      </w:tr>
      <w:tr w:rsidR="009D59D1" w:rsidRPr="008F6B31" w:rsidTr="00CA4954">
        <w:trPr>
          <w:cnfStyle w:val="000000010000" w:firstRow="0" w:lastRow="0" w:firstColumn="0" w:lastColumn="0" w:oddVBand="0" w:evenVBand="0" w:oddHBand="0" w:evenHBand="1" w:firstRowFirstColumn="0" w:firstRowLastColumn="0" w:lastRowFirstColumn="0" w:lastRowLastColumn="0"/>
          <w:trHeight w:val="284"/>
          <w:tblHeader w:val="0"/>
          <w:jc w:val="center"/>
        </w:trPr>
        <w:tc>
          <w:tcPr>
            <w:tcW w:w="2583" w:type="dxa"/>
            <w:vMerge/>
          </w:tcPr>
          <w:p w:rsidR="009D59D1" w:rsidRPr="008F6B31" w:rsidRDefault="009D59D1" w:rsidP="00CA4954">
            <w:pPr>
              <w:pStyle w:val="TableTextEntries"/>
            </w:pPr>
          </w:p>
        </w:tc>
        <w:tc>
          <w:tcPr>
            <w:tcW w:w="2696" w:type="dxa"/>
            <w:vAlign w:val="center"/>
          </w:tcPr>
          <w:p w:rsidR="009D59D1" w:rsidRPr="008F6B31" w:rsidRDefault="009D59D1" w:rsidP="008E55BE">
            <w:pPr>
              <w:pStyle w:val="TableTextEntries"/>
            </w:pPr>
            <w:r w:rsidRPr="008F6B31">
              <w:t>22/03/2011</w:t>
            </w:r>
            <w:r>
              <w:t xml:space="preserve"> – 30/06/2016</w:t>
            </w:r>
          </w:p>
        </w:tc>
        <w:tc>
          <w:tcPr>
            <w:tcW w:w="1106" w:type="dxa"/>
            <w:vAlign w:val="center"/>
          </w:tcPr>
          <w:p w:rsidR="009D59D1" w:rsidRPr="008F6B31" w:rsidRDefault="009D59D1" w:rsidP="00CA4954">
            <w:pPr>
              <w:pStyle w:val="TableTextEntries"/>
              <w:jc w:val="center"/>
            </w:pPr>
            <w:r w:rsidRPr="008F6B31">
              <w:t>2012</w:t>
            </w:r>
          </w:p>
        </w:tc>
        <w:tc>
          <w:tcPr>
            <w:tcW w:w="553" w:type="dxa"/>
            <w:shd w:val="clear" w:color="auto" w:fill="92D050"/>
            <w:noWrap/>
            <w:vAlign w:val="center"/>
          </w:tcPr>
          <w:p w:rsidR="009D59D1" w:rsidRPr="008F6B31" w:rsidRDefault="009D59D1" w:rsidP="00CA4954">
            <w:pPr>
              <w:pStyle w:val="TableTextEntries"/>
              <w:jc w:val="center"/>
            </w:pPr>
            <w:r w:rsidRPr="008F6B31">
              <w:t>6</w:t>
            </w:r>
          </w:p>
        </w:tc>
        <w:tc>
          <w:tcPr>
            <w:tcW w:w="545" w:type="dxa"/>
            <w:shd w:val="clear" w:color="auto" w:fill="92D050"/>
            <w:noWrap/>
            <w:vAlign w:val="center"/>
          </w:tcPr>
          <w:p w:rsidR="009D59D1" w:rsidRPr="008F6B31" w:rsidRDefault="009D59D1" w:rsidP="00CA4954">
            <w:pPr>
              <w:pStyle w:val="TableTextEntries"/>
              <w:jc w:val="center"/>
            </w:pPr>
            <w:r w:rsidRPr="008F6B31">
              <w:t>5</w:t>
            </w:r>
          </w:p>
        </w:tc>
        <w:tc>
          <w:tcPr>
            <w:tcW w:w="493" w:type="dxa"/>
            <w:shd w:val="clear" w:color="auto" w:fill="FFFF00"/>
            <w:noWrap/>
            <w:vAlign w:val="center"/>
          </w:tcPr>
          <w:p w:rsidR="009D59D1" w:rsidRPr="008F6B31" w:rsidRDefault="009D59D1" w:rsidP="00CA4954">
            <w:pPr>
              <w:pStyle w:val="TableTextEntries"/>
              <w:jc w:val="center"/>
            </w:pPr>
            <w:r w:rsidRPr="008F6B31">
              <w:t>4</w:t>
            </w:r>
          </w:p>
        </w:tc>
        <w:tc>
          <w:tcPr>
            <w:tcW w:w="525" w:type="dxa"/>
            <w:shd w:val="clear" w:color="auto" w:fill="92D050"/>
            <w:noWrap/>
            <w:vAlign w:val="center"/>
          </w:tcPr>
          <w:p w:rsidR="009D59D1" w:rsidRPr="008F6B31" w:rsidRDefault="009D59D1" w:rsidP="00CA4954">
            <w:pPr>
              <w:pStyle w:val="TableTextEntries"/>
              <w:jc w:val="center"/>
            </w:pPr>
            <w:r w:rsidRPr="008F6B31">
              <w:t>5</w:t>
            </w:r>
          </w:p>
        </w:tc>
        <w:tc>
          <w:tcPr>
            <w:tcW w:w="576" w:type="dxa"/>
            <w:shd w:val="clear" w:color="auto" w:fill="92D050"/>
            <w:noWrap/>
            <w:vAlign w:val="center"/>
          </w:tcPr>
          <w:p w:rsidR="009D59D1" w:rsidRPr="008F6B31" w:rsidRDefault="009D59D1" w:rsidP="00CA4954">
            <w:pPr>
              <w:pStyle w:val="TableTextEntries"/>
              <w:jc w:val="center"/>
            </w:pPr>
            <w:r w:rsidRPr="008F6B31">
              <w:t>5</w:t>
            </w:r>
          </w:p>
        </w:tc>
        <w:tc>
          <w:tcPr>
            <w:tcW w:w="598" w:type="dxa"/>
            <w:shd w:val="clear" w:color="auto" w:fill="92D050"/>
            <w:noWrap/>
            <w:vAlign w:val="center"/>
          </w:tcPr>
          <w:p w:rsidR="009D59D1" w:rsidRPr="008F6B31" w:rsidRDefault="009D59D1" w:rsidP="00CA4954">
            <w:pPr>
              <w:pStyle w:val="TableTextEntries"/>
              <w:jc w:val="center"/>
            </w:pPr>
            <w:r w:rsidRPr="008F6B31">
              <w:t>5</w:t>
            </w:r>
          </w:p>
        </w:tc>
      </w:tr>
      <w:tr w:rsidR="00F04507" w:rsidRPr="008F6B31" w:rsidTr="00F04507">
        <w:trPr>
          <w:trHeight w:val="225"/>
          <w:tblHeader w:val="0"/>
          <w:jc w:val="center"/>
        </w:trPr>
        <w:tc>
          <w:tcPr>
            <w:tcW w:w="2583" w:type="dxa"/>
            <w:vMerge w:val="restart"/>
          </w:tcPr>
          <w:p w:rsidR="00F04507" w:rsidRPr="008F6B31" w:rsidRDefault="00F04507" w:rsidP="00F04507">
            <w:pPr>
              <w:pStyle w:val="TableTextEntries"/>
            </w:pPr>
            <w:r w:rsidRPr="008F6B31">
              <w:t>Provincial Road Management Facility</w:t>
            </w:r>
            <w:r w:rsidR="008E55BE" w:rsidRPr="00391D7A">
              <w:rPr>
                <w:sz w:val="14"/>
                <w:vertAlign w:val="superscript"/>
              </w:rPr>
              <w:sym w:font="Wingdings" w:char="F075"/>
            </w:r>
          </w:p>
        </w:tc>
        <w:tc>
          <w:tcPr>
            <w:tcW w:w="2696" w:type="dxa"/>
            <w:vAlign w:val="center"/>
          </w:tcPr>
          <w:p w:rsidR="00F04507" w:rsidRPr="008F6B31" w:rsidRDefault="00F04507" w:rsidP="00F04507">
            <w:pPr>
              <w:pStyle w:val="TableTextEntries"/>
            </w:pPr>
            <w:r w:rsidRPr="008F6B31">
              <w:t>$100</w:t>
            </w:r>
            <w:r>
              <w:t xml:space="preserve"> </w:t>
            </w:r>
            <w:r w:rsidRPr="008F6B31">
              <w:t>000</w:t>
            </w:r>
            <w:r>
              <w:t xml:space="preserve"> </w:t>
            </w:r>
            <w:r w:rsidRPr="008F6B31">
              <w:t>000</w:t>
            </w:r>
          </w:p>
        </w:tc>
        <w:tc>
          <w:tcPr>
            <w:tcW w:w="1106" w:type="dxa"/>
            <w:shd w:val="clear" w:color="auto" w:fill="auto"/>
            <w:vAlign w:val="center"/>
          </w:tcPr>
          <w:p w:rsidR="00F04507" w:rsidRPr="008F6B31" w:rsidRDefault="00F04507" w:rsidP="00F04507">
            <w:pPr>
              <w:pStyle w:val="TableTextEntries"/>
              <w:jc w:val="center"/>
            </w:pPr>
            <w:r>
              <w:t>2013</w:t>
            </w:r>
          </w:p>
        </w:tc>
        <w:tc>
          <w:tcPr>
            <w:tcW w:w="553" w:type="dxa"/>
            <w:shd w:val="clear" w:color="auto" w:fill="FFFF00"/>
            <w:noWrap/>
            <w:vAlign w:val="center"/>
          </w:tcPr>
          <w:p w:rsidR="00F04507" w:rsidRPr="008F6B31" w:rsidRDefault="00F04507" w:rsidP="00F04507">
            <w:pPr>
              <w:pStyle w:val="TableTextEntries"/>
              <w:jc w:val="center"/>
            </w:pPr>
            <w:r>
              <w:t>4</w:t>
            </w:r>
          </w:p>
        </w:tc>
        <w:tc>
          <w:tcPr>
            <w:tcW w:w="545" w:type="dxa"/>
            <w:shd w:val="clear" w:color="auto" w:fill="FFFF00"/>
            <w:noWrap/>
            <w:vAlign w:val="center"/>
          </w:tcPr>
          <w:p w:rsidR="00F04507" w:rsidRPr="008F6B31" w:rsidRDefault="00F04507" w:rsidP="00F04507">
            <w:pPr>
              <w:pStyle w:val="TableTextEntries"/>
              <w:jc w:val="center"/>
            </w:pPr>
            <w:r>
              <w:t>4</w:t>
            </w:r>
          </w:p>
        </w:tc>
        <w:tc>
          <w:tcPr>
            <w:tcW w:w="493" w:type="dxa"/>
            <w:shd w:val="clear" w:color="auto" w:fill="FFFF00"/>
            <w:noWrap/>
            <w:vAlign w:val="center"/>
          </w:tcPr>
          <w:p w:rsidR="00F04507" w:rsidRPr="008F6B31" w:rsidRDefault="00F04507" w:rsidP="00F04507">
            <w:pPr>
              <w:pStyle w:val="TableTextEntries"/>
              <w:jc w:val="center"/>
            </w:pPr>
            <w:r>
              <w:t>4</w:t>
            </w:r>
          </w:p>
        </w:tc>
        <w:tc>
          <w:tcPr>
            <w:tcW w:w="525" w:type="dxa"/>
            <w:shd w:val="clear" w:color="auto" w:fill="FFFF00"/>
            <w:noWrap/>
            <w:vAlign w:val="center"/>
          </w:tcPr>
          <w:p w:rsidR="00F04507" w:rsidRPr="008F6B31" w:rsidRDefault="00F04507" w:rsidP="00F04507">
            <w:pPr>
              <w:pStyle w:val="TableTextEntries"/>
              <w:jc w:val="center"/>
            </w:pPr>
            <w:r>
              <w:t>4</w:t>
            </w:r>
          </w:p>
        </w:tc>
        <w:tc>
          <w:tcPr>
            <w:tcW w:w="576" w:type="dxa"/>
            <w:shd w:val="clear" w:color="auto" w:fill="FFFF00"/>
            <w:noWrap/>
            <w:vAlign w:val="center"/>
          </w:tcPr>
          <w:p w:rsidR="00F04507" w:rsidRPr="008F6B31" w:rsidRDefault="00F04507" w:rsidP="00F04507">
            <w:pPr>
              <w:pStyle w:val="TableTextEntries"/>
              <w:jc w:val="center"/>
            </w:pPr>
            <w:r>
              <w:t>4</w:t>
            </w:r>
          </w:p>
        </w:tc>
        <w:tc>
          <w:tcPr>
            <w:tcW w:w="598" w:type="dxa"/>
            <w:shd w:val="clear" w:color="auto" w:fill="F2AD48"/>
            <w:noWrap/>
            <w:vAlign w:val="center"/>
          </w:tcPr>
          <w:p w:rsidR="00F04507" w:rsidRPr="008F6B31" w:rsidRDefault="00F04507" w:rsidP="00F04507">
            <w:pPr>
              <w:pStyle w:val="TableTextEntries"/>
              <w:jc w:val="center"/>
            </w:pPr>
            <w:r>
              <w:t>3</w:t>
            </w:r>
          </w:p>
        </w:tc>
      </w:tr>
      <w:tr w:rsidR="00F04507" w:rsidRPr="008F6B31" w:rsidTr="00F04507">
        <w:trPr>
          <w:cnfStyle w:val="000000010000" w:firstRow="0" w:lastRow="0" w:firstColumn="0" w:lastColumn="0" w:oddVBand="0" w:evenVBand="0" w:oddHBand="0" w:evenHBand="1" w:firstRowFirstColumn="0" w:firstRowLastColumn="0" w:lastRowFirstColumn="0" w:lastRowLastColumn="0"/>
          <w:trHeight w:val="284"/>
          <w:tblHeader w:val="0"/>
          <w:jc w:val="center"/>
        </w:trPr>
        <w:tc>
          <w:tcPr>
            <w:tcW w:w="2583" w:type="dxa"/>
            <w:vMerge/>
          </w:tcPr>
          <w:p w:rsidR="00F04507" w:rsidRPr="008F6B31" w:rsidRDefault="00F04507" w:rsidP="00F04507">
            <w:pPr>
              <w:pStyle w:val="TableTextEntries"/>
            </w:pPr>
          </w:p>
        </w:tc>
        <w:tc>
          <w:tcPr>
            <w:tcW w:w="2696" w:type="dxa"/>
            <w:vAlign w:val="center"/>
          </w:tcPr>
          <w:p w:rsidR="00F04507" w:rsidRPr="008F6B31" w:rsidRDefault="00F04507" w:rsidP="008E55BE">
            <w:pPr>
              <w:pStyle w:val="TableTextEntries"/>
            </w:pPr>
            <w:r w:rsidRPr="008F6B31">
              <w:t xml:space="preserve">01/09/2009 </w:t>
            </w:r>
            <w:r>
              <w:t>– 30/06/2016</w:t>
            </w:r>
          </w:p>
        </w:tc>
        <w:tc>
          <w:tcPr>
            <w:tcW w:w="1106" w:type="dxa"/>
            <w:vAlign w:val="center"/>
          </w:tcPr>
          <w:p w:rsidR="00F04507" w:rsidRPr="008F6B31" w:rsidRDefault="00F04507" w:rsidP="00F04507">
            <w:pPr>
              <w:pStyle w:val="TableTextEntries"/>
              <w:jc w:val="center"/>
            </w:pPr>
            <w:r w:rsidRPr="008F6B31">
              <w:t>2012</w:t>
            </w:r>
          </w:p>
        </w:tc>
        <w:tc>
          <w:tcPr>
            <w:tcW w:w="553" w:type="dxa"/>
            <w:shd w:val="clear" w:color="auto" w:fill="92D050"/>
            <w:noWrap/>
            <w:vAlign w:val="center"/>
          </w:tcPr>
          <w:p w:rsidR="00F04507" w:rsidRPr="008F6B31" w:rsidRDefault="00F04507" w:rsidP="00F04507">
            <w:pPr>
              <w:pStyle w:val="TableTextEntries"/>
              <w:jc w:val="center"/>
            </w:pPr>
            <w:r w:rsidRPr="008F6B31">
              <w:t>5</w:t>
            </w:r>
          </w:p>
        </w:tc>
        <w:tc>
          <w:tcPr>
            <w:tcW w:w="545" w:type="dxa"/>
            <w:shd w:val="clear" w:color="auto" w:fill="F2AD48"/>
            <w:noWrap/>
            <w:vAlign w:val="center"/>
          </w:tcPr>
          <w:p w:rsidR="00F04507" w:rsidRPr="008F6B31" w:rsidRDefault="00F04507" w:rsidP="00F04507">
            <w:pPr>
              <w:pStyle w:val="TableTextEntries"/>
              <w:jc w:val="center"/>
            </w:pPr>
            <w:r w:rsidRPr="008F6B31">
              <w:t>3</w:t>
            </w:r>
          </w:p>
        </w:tc>
        <w:tc>
          <w:tcPr>
            <w:tcW w:w="493" w:type="dxa"/>
            <w:shd w:val="clear" w:color="auto" w:fill="F2AD48"/>
            <w:noWrap/>
            <w:vAlign w:val="center"/>
          </w:tcPr>
          <w:p w:rsidR="00F04507" w:rsidRPr="008F6B31" w:rsidRDefault="00F04507" w:rsidP="00F04507">
            <w:pPr>
              <w:pStyle w:val="TableTextEntries"/>
              <w:jc w:val="center"/>
            </w:pPr>
            <w:r w:rsidRPr="008F6B31">
              <w:t>3</w:t>
            </w:r>
          </w:p>
        </w:tc>
        <w:tc>
          <w:tcPr>
            <w:tcW w:w="525" w:type="dxa"/>
            <w:shd w:val="clear" w:color="auto" w:fill="FFFF00"/>
            <w:noWrap/>
            <w:vAlign w:val="center"/>
          </w:tcPr>
          <w:p w:rsidR="00F04507" w:rsidRPr="008F6B31" w:rsidRDefault="00F04507" w:rsidP="00F04507">
            <w:pPr>
              <w:pStyle w:val="TableTextEntries"/>
              <w:jc w:val="center"/>
            </w:pPr>
            <w:r w:rsidRPr="008F6B31">
              <w:t>4</w:t>
            </w:r>
          </w:p>
        </w:tc>
        <w:tc>
          <w:tcPr>
            <w:tcW w:w="576" w:type="dxa"/>
            <w:shd w:val="clear" w:color="auto" w:fill="F2AD48"/>
            <w:noWrap/>
            <w:vAlign w:val="center"/>
          </w:tcPr>
          <w:p w:rsidR="00F04507" w:rsidRPr="008F6B31" w:rsidRDefault="00F04507" w:rsidP="00F04507">
            <w:pPr>
              <w:pStyle w:val="TableTextEntries"/>
              <w:jc w:val="center"/>
            </w:pPr>
            <w:r w:rsidRPr="008F6B31">
              <w:t>3</w:t>
            </w:r>
          </w:p>
        </w:tc>
        <w:tc>
          <w:tcPr>
            <w:tcW w:w="598" w:type="dxa"/>
            <w:shd w:val="clear" w:color="auto" w:fill="F2AD48"/>
            <w:noWrap/>
            <w:vAlign w:val="center"/>
          </w:tcPr>
          <w:p w:rsidR="00F04507" w:rsidRPr="008F6B31" w:rsidRDefault="00F04507" w:rsidP="00F04507">
            <w:pPr>
              <w:pStyle w:val="TableTextEntries"/>
              <w:jc w:val="center"/>
            </w:pPr>
            <w:r w:rsidRPr="008F6B31">
              <w:t>3</w:t>
            </w:r>
          </w:p>
        </w:tc>
      </w:tr>
      <w:tr w:rsidR="009D59D1" w:rsidRPr="008F6B31" w:rsidTr="00CA4954">
        <w:trPr>
          <w:trHeight w:val="284"/>
          <w:tblHeader w:val="0"/>
          <w:jc w:val="center"/>
        </w:trPr>
        <w:tc>
          <w:tcPr>
            <w:tcW w:w="2583" w:type="dxa"/>
            <w:vMerge w:val="restart"/>
          </w:tcPr>
          <w:p w:rsidR="009D59D1" w:rsidRPr="008F6B31" w:rsidRDefault="009D59D1" w:rsidP="00CA4954">
            <w:pPr>
              <w:pStyle w:val="TableTextEntries"/>
            </w:pPr>
            <w:r w:rsidRPr="008F6B31">
              <w:t>Public Financial Management Program</w:t>
            </w:r>
            <w:r w:rsidR="008E55BE">
              <w:t>*</w:t>
            </w:r>
          </w:p>
        </w:tc>
        <w:tc>
          <w:tcPr>
            <w:tcW w:w="2696" w:type="dxa"/>
            <w:vAlign w:val="center"/>
          </w:tcPr>
          <w:p w:rsidR="009D59D1" w:rsidRPr="008F6B31" w:rsidRDefault="009D59D1" w:rsidP="008E55BE">
            <w:pPr>
              <w:pStyle w:val="TableTextEntries"/>
            </w:pPr>
            <w:r w:rsidRPr="008F6B31">
              <w:t>$</w:t>
            </w:r>
            <w:r>
              <w:t>30 000 000</w:t>
            </w:r>
          </w:p>
        </w:tc>
        <w:tc>
          <w:tcPr>
            <w:tcW w:w="1106" w:type="dxa"/>
            <w:shd w:val="clear" w:color="auto" w:fill="auto"/>
            <w:vAlign w:val="center"/>
          </w:tcPr>
          <w:p w:rsidR="009D59D1" w:rsidRPr="008F6B31" w:rsidRDefault="009D59D1" w:rsidP="00CA4954">
            <w:pPr>
              <w:pStyle w:val="TableTextEntries"/>
              <w:jc w:val="center"/>
            </w:pPr>
            <w:r>
              <w:t>2013</w:t>
            </w:r>
          </w:p>
        </w:tc>
        <w:tc>
          <w:tcPr>
            <w:tcW w:w="553" w:type="dxa"/>
            <w:shd w:val="clear" w:color="auto" w:fill="92D050"/>
            <w:noWrap/>
            <w:vAlign w:val="center"/>
          </w:tcPr>
          <w:p w:rsidR="009D59D1" w:rsidRPr="008F6B31" w:rsidRDefault="009D59D1" w:rsidP="00CA4954">
            <w:pPr>
              <w:pStyle w:val="TableTextEntries"/>
              <w:jc w:val="center"/>
            </w:pPr>
            <w:r>
              <w:t>5</w:t>
            </w:r>
          </w:p>
        </w:tc>
        <w:tc>
          <w:tcPr>
            <w:tcW w:w="545" w:type="dxa"/>
            <w:shd w:val="clear" w:color="auto" w:fill="FFFF00"/>
            <w:noWrap/>
            <w:vAlign w:val="center"/>
          </w:tcPr>
          <w:p w:rsidR="009D59D1" w:rsidRPr="008F6B31" w:rsidRDefault="009D59D1" w:rsidP="00CA4954">
            <w:pPr>
              <w:pStyle w:val="TableTextEntries"/>
              <w:jc w:val="center"/>
            </w:pPr>
            <w:r>
              <w:t>4</w:t>
            </w:r>
          </w:p>
        </w:tc>
        <w:tc>
          <w:tcPr>
            <w:tcW w:w="493" w:type="dxa"/>
            <w:shd w:val="clear" w:color="auto" w:fill="FFFF00"/>
            <w:noWrap/>
            <w:vAlign w:val="center"/>
          </w:tcPr>
          <w:p w:rsidR="009D59D1" w:rsidRPr="008F6B31" w:rsidRDefault="009D59D1" w:rsidP="00CA4954">
            <w:pPr>
              <w:pStyle w:val="TableTextEntries"/>
              <w:jc w:val="center"/>
            </w:pPr>
            <w:r>
              <w:t>4</w:t>
            </w:r>
          </w:p>
        </w:tc>
        <w:tc>
          <w:tcPr>
            <w:tcW w:w="525" w:type="dxa"/>
            <w:shd w:val="clear" w:color="auto" w:fill="FFFF00"/>
            <w:noWrap/>
            <w:vAlign w:val="center"/>
          </w:tcPr>
          <w:p w:rsidR="009D59D1" w:rsidRPr="008F6B31" w:rsidRDefault="009D59D1" w:rsidP="00CA4954">
            <w:pPr>
              <w:pStyle w:val="TableTextEntries"/>
              <w:jc w:val="center"/>
            </w:pPr>
            <w:r>
              <w:t>4</w:t>
            </w:r>
          </w:p>
        </w:tc>
        <w:tc>
          <w:tcPr>
            <w:tcW w:w="576" w:type="dxa"/>
            <w:shd w:val="clear" w:color="auto" w:fill="92D050"/>
            <w:noWrap/>
            <w:vAlign w:val="center"/>
          </w:tcPr>
          <w:p w:rsidR="009D59D1" w:rsidRPr="008F6B31" w:rsidRDefault="009D59D1" w:rsidP="00CA4954">
            <w:pPr>
              <w:pStyle w:val="TableTextEntries"/>
              <w:jc w:val="center"/>
            </w:pPr>
            <w:r>
              <w:t>5</w:t>
            </w:r>
          </w:p>
        </w:tc>
        <w:tc>
          <w:tcPr>
            <w:tcW w:w="598" w:type="dxa"/>
            <w:shd w:val="clear" w:color="auto" w:fill="92D050"/>
            <w:noWrap/>
            <w:vAlign w:val="center"/>
          </w:tcPr>
          <w:p w:rsidR="009D59D1" w:rsidRPr="008F6B31" w:rsidRDefault="009D59D1" w:rsidP="00CA4954">
            <w:pPr>
              <w:pStyle w:val="TableTextEntries"/>
              <w:jc w:val="center"/>
            </w:pPr>
            <w:r>
              <w:t>5</w:t>
            </w:r>
          </w:p>
        </w:tc>
      </w:tr>
      <w:tr w:rsidR="009D59D1" w:rsidRPr="008F6B31" w:rsidTr="00CA4954">
        <w:trPr>
          <w:cnfStyle w:val="000000010000" w:firstRow="0" w:lastRow="0" w:firstColumn="0" w:lastColumn="0" w:oddVBand="0" w:evenVBand="0" w:oddHBand="0" w:evenHBand="1" w:firstRowFirstColumn="0" w:firstRowLastColumn="0" w:lastRowFirstColumn="0" w:lastRowLastColumn="0"/>
          <w:trHeight w:val="345"/>
          <w:tblHeader w:val="0"/>
          <w:jc w:val="center"/>
        </w:trPr>
        <w:tc>
          <w:tcPr>
            <w:tcW w:w="2583" w:type="dxa"/>
            <w:vMerge/>
          </w:tcPr>
          <w:p w:rsidR="009D59D1" w:rsidRPr="008F6B31" w:rsidRDefault="009D59D1" w:rsidP="00CA4954">
            <w:pPr>
              <w:pStyle w:val="TableTextEntries"/>
            </w:pPr>
          </w:p>
        </w:tc>
        <w:tc>
          <w:tcPr>
            <w:tcW w:w="2696" w:type="dxa"/>
            <w:vAlign w:val="center"/>
          </w:tcPr>
          <w:p w:rsidR="009D59D1" w:rsidRPr="008F6B31" w:rsidRDefault="009D59D1" w:rsidP="00CA4954">
            <w:pPr>
              <w:pStyle w:val="TableTextEntries"/>
            </w:pPr>
            <w:r w:rsidRPr="008F6B31">
              <w:t xml:space="preserve">01/07/2011 </w:t>
            </w:r>
            <w:r>
              <w:t xml:space="preserve">– </w:t>
            </w:r>
            <w:r w:rsidRPr="008F6B31">
              <w:t>30/06/2016</w:t>
            </w:r>
          </w:p>
        </w:tc>
        <w:tc>
          <w:tcPr>
            <w:tcW w:w="1106" w:type="dxa"/>
            <w:vAlign w:val="center"/>
          </w:tcPr>
          <w:p w:rsidR="009D59D1" w:rsidRPr="008F6B31" w:rsidRDefault="009D59D1" w:rsidP="00CA4954">
            <w:pPr>
              <w:pStyle w:val="TableTextEntries"/>
              <w:jc w:val="center"/>
            </w:pPr>
            <w:r w:rsidRPr="008F6B31">
              <w:t>2012</w:t>
            </w:r>
          </w:p>
        </w:tc>
        <w:tc>
          <w:tcPr>
            <w:tcW w:w="553" w:type="dxa"/>
            <w:shd w:val="clear" w:color="auto" w:fill="92D050"/>
            <w:noWrap/>
            <w:vAlign w:val="center"/>
          </w:tcPr>
          <w:p w:rsidR="009D59D1" w:rsidRPr="008F6B31" w:rsidRDefault="009D59D1" w:rsidP="00CA4954">
            <w:pPr>
              <w:pStyle w:val="TableTextEntries"/>
              <w:jc w:val="center"/>
            </w:pPr>
            <w:r w:rsidRPr="008F6B31">
              <w:t>6</w:t>
            </w:r>
          </w:p>
        </w:tc>
        <w:tc>
          <w:tcPr>
            <w:tcW w:w="545" w:type="dxa"/>
            <w:shd w:val="clear" w:color="auto" w:fill="92D050"/>
            <w:noWrap/>
            <w:vAlign w:val="center"/>
          </w:tcPr>
          <w:p w:rsidR="009D59D1" w:rsidRPr="008F6B31" w:rsidRDefault="009D59D1" w:rsidP="00CA4954">
            <w:pPr>
              <w:pStyle w:val="TableTextEntries"/>
              <w:jc w:val="center"/>
            </w:pPr>
            <w:r w:rsidRPr="008F6B31">
              <w:t>5</w:t>
            </w:r>
          </w:p>
        </w:tc>
        <w:tc>
          <w:tcPr>
            <w:tcW w:w="493" w:type="dxa"/>
            <w:shd w:val="clear" w:color="auto" w:fill="92D050"/>
            <w:noWrap/>
            <w:vAlign w:val="center"/>
          </w:tcPr>
          <w:p w:rsidR="009D59D1" w:rsidRPr="008F6B31" w:rsidRDefault="009D59D1" w:rsidP="00CA4954">
            <w:pPr>
              <w:pStyle w:val="TableTextEntries"/>
              <w:jc w:val="center"/>
            </w:pPr>
            <w:r w:rsidRPr="008F6B31">
              <w:t>5</w:t>
            </w:r>
          </w:p>
        </w:tc>
        <w:tc>
          <w:tcPr>
            <w:tcW w:w="525" w:type="dxa"/>
            <w:shd w:val="clear" w:color="auto" w:fill="92D050"/>
            <w:noWrap/>
            <w:vAlign w:val="center"/>
          </w:tcPr>
          <w:p w:rsidR="009D59D1" w:rsidRPr="008F6B31" w:rsidRDefault="009D59D1" w:rsidP="00CA4954">
            <w:pPr>
              <w:pStyle w:val="TableTextEntries"/>
              <w:jc w:val="center"/>
            </w:pPr>
            <w:r w:rsidRPr="008F6B31">
              <w:t>5</w:t>
            </w:r>
          </w:p>
        </w:tc>
        <w:tc>
          <w:tcPr>
            <w:tcW w:w="576" w:type="dxa"/>
            <w:shd w:val="clear" w:color="auto" w:fill="92D050"/>
            <w:noWrap/>
            <w:vAlign w:val="center"/>
          </w:tcPr>
          <w:p w:rsidR="009D59D1" w:rsidRPr="008F6B31" w:rsidRDefault="009D59D1" w:rsidP="00CA4954">
            <w:pPr>
              <w:pStyle w:val="TableTextEntries"/>
              <w:jc w:val="center"/>
            </w:pPr>
            <w:r w:rsidRPr="008F6B31">
              <w:t>5</w:t>
            </w:r>
          </w:p>
        </w:tc>
        <w:tc>
          <w:tcPr>
            <w:tcW w:w="598" w:type="dxa"/>
            <w:shd w:val="clear" w:color="auto" w:fill="92D050"/>
            <w:noWrap/>
            <w:vAlign w:val="center"/>
          </w:tcPr>
          <w:p w:rsidR="009D59D1" w:rsidRPr="008F6B31" w:rsidRDefault="009D59D1" w:rsidP="00CA4954">
            <w:pPr>
              <w:pStyle w:val="TableTextEntries"/>
              <w:jc w:val="center"/>
            </w:pPr>
            <w:r w:rsidRPr="008F6B31">
              <w:t>5</w:t>
            </w:r>
          </w:p>
        </w:tc>
      </w:tr>
      <w:tr w:rsidR="009D59D1" w:rsidRPr="008F6B31" w:rsidTr="00CA4954">
        <w:trPr>
          <w:trHeight w:val="365"/>
          <w:tblHeader w:val="0"/>
          <w:jc w:val="center"/>
        </w:trPr>
        <w:tc>
          <w:tcPr>
            <w:tcW w:w="2583" w:type="dxa"/>
            <w:vMerge w:val="restart"/>
          </w:tcPr>
          <w:p w:rsidR="009D59D1" w:rsidRPr="008F6B31" w:rsidRDefault="009D59D1" w:rsidP="00CA4954">
            <w:pPr>
              <w:pStyle w:val="TableTextEntries"/>
            </w:pPr>
            <w:r w:rsidRPr="008F6B31">
              <w:t>Human Resource Organisational Development Facility</w:t>
            </w:r>
            <w:r w:rsidR="008E55BE">
              <w:t>*</w:t>
            </w:r>
          </w:p>
        </w:tc>
        <w:tc>
          <w:tcPr>
            <w:tcW w:w="2696" w:type="dxa"/>
            <w:vAlign w:val="center"/>
          </w:tcPr>
          <w:p w:rsidR="009D59D1" w:rsidRPr="008F6B31" w:rsidRDefault="009D59D1" w:rsidP="008E55BE">
            <w:pPr>
              <w:pStyle w:val="TableTextEntries"/>
            </w:pPr>
            <w:r w:rsidRPr="008F6B31">
              <w:t>$73</w:t>
            </w:r>
            <w:r>
              <w:t xml:space="preserve"> 830 130</w:t>
            </w:r>
          </w:p>
        </w:tc>
        <w:tc>
          <w:tcPr>
            <w:tcW w:w="1106" w:type="dxa"/>
            <w:shd w:val="clear" w:color="auto" w:fill="auto"/>
            <w:vAlign w:val="center"/>
          </w:tcPr>
          <w:p w:rsidR="009D59D1" w:rsidRPr="008F6B31" w:rsidRDefault="009D59D1" w:rsidP="00CA4954">
            <w:pPr>
              <w:pStyle w:val="TableTextEntries"/>
              <w:jc w:val="center"/>
            </w:pPr>
            <w:r>
              <w:t>2013</w:t>
            </w:r>
          </w:p>
        </w:tc>
        <w:tc>
          <w:tcPr>
            <w:tcW w:w="553" w:type="dxa"/>
            <w:shd w:val="clear" w:color="auto" w:fill="92D050"/>
            <w:noWrap/>
            <w:vAlign w:val="center"/>
          </w:tcPr>
          <w:p w:rsidR="009D59D1" w:rsidRPr="008F6B31" w:rsidRDefault="009D59D1" w:rsidP="00CA4954">
            <w:pPr>
              <w:pStyle w:val="TableTextEntries"/>
              <w:jc w:val="center"/>
            </w:pPr>
            <w:r>
              <w:t>6</w:t>
            </w:r>
          </w:p>
        </w:tc>
        <w:tc>
          <w:tcPr>
            <w:tcW w:w="545" w:type="dxa"/>
            <w:shd w:val="clear" w:color="auto" w:fill="92D050"/>
            <w:noWrap/>
            <w:vAlign w:val="center"/>
          </w:tcPr>
          <w:p w:rsidR="009D59D1" w:rsidRPr="008F6B31" w:rsidRDefault="009D59D1" w:rsidP="00CA4954">
            <w:pPr>
              <w:pStyle w:val="TableTextEntries"/>
              <w:jc w:val="center"/>
            </w:pPr>
            <w:r>
              <w:t>5</w:t>
            </w:r>
          </w:p>
        </w:tc>
        <w:tc>
          <w:tcPr>
            <w:tcW w:w="493" w:type="dxa"/>
            <w:shd w:val="clear" w:color="auto" w:fill="FFFF00"/>
            <w:noWrap/>
            <w:vAlign w:val="center"/>
          </w:tcPr>
          <w:p w:rsidR="009D59D1" w:rsidRPr="008F6B31" w:rsidRDefault="009D59D1" w:rsidP="00CA4954">
            <w:pPr>
              <w:pStyle w:val="TableTextEntries"/>
              <w:jc w:val="center"/>
            </w:pPr>
            <w:r>
              <w:t>4</w:t>
            </w:r>
          </w:p>
        </w:tc>
        <w:tc>
          <w:tcPr>
            <w:tcW w:w="525" w:type="dxa"/>
            <w:shd w:val="clear" w:color="auto" w:fill="92D050"/>
            <w:noWrap/>
            <w:vAlign w:val="center"/>
          </w:tcPr>
          <w:p w:rsidR="009D59D1" w:rsidRPr="008F6B31" w:rsidRDefault="009D59D1" w:rsidP="00CA4954">
            <w:pPr>
              <w:pStyle w:val="TableTextEntries"/>
              <w:jc w:val="center"/>
            </w:pPr>
            <w:r>
              <w:t>6</w:t>
            </w:r>
          </w:p>
        </w:tc>
        <w:tc>
          <w:tcPr>
            <w:tcW w:w="576" w:type="dxa"/>
            <w:shd w:val="clear" w:color="auto" w:fill="92D050"/>
            <w:noWrap/>
            <w:vAlign w:val="center"/>
          </w:tcPr>
          <w:p w:rsidR="009D59D1" w:rsidRPr="008F6B31" w:rsidRDefault="009D59D1" w:rsidP="00CA4954">
            <w:pPr>
              <w:pStyle w:val="TableTextEntries"/>
              <w:jc w:val="center"/>
            </w:pPr>
            <w:r>
              <w:t>5</w:t>
            </w:r>
          </w:p>
        </w:tc>
        <w:tc>
          <w:tcPr>
            <w:tcW w:w="598" w:type="dxa"/>
            <w:shd w:val="clear" w:color="auto" w:fill="92D050"/>
            <w:noWrap/>
            <w:vAlign w:val="center"/>
          </w:tcPr>
          <w:p w:rsidR="009D59D1" w:rsidRPr="008F6B31" w:rsidRDefault="009D59D1" w:rsidP="00CA4954">
            <w:pPr>
              <w:pStyle w:val="TableTextEntries"/>
              <w:jc w:val="center"/>
            </w:pPr>
            <w:r>
              <w:t>5</w:t>
            </w:r>
          </w:p>
        </w:tc>
      </w:tr>
      <w:tr w:rsidR="009D59D1" w:rsidRPr="008F6B31" w:rsidTr="00CA4954">
        <w:trPr>
          <w:cnfStyle w:val="000000010000" w:firstRow="0" w:lastRow="0" w:firstColumn="0" w:lastColumn="0" w:oddVBand="0" w:evenVBand="0" w:oddHBand="0" w:evenHBand="1" w:firstRowFirstColumn="0" w:firstRowLastColumn="0" w:lastRowFirstColumn="0" w:lastRowLastColumn="0"/>
          <w:trHeight w:val="256"/>
          <w:tblHeader w:val="0"/>
          <w:jc w:val="center"/>
        </w:trPr>
        <w:tc>
          <w:tcPr>
            <w:tcW w:w="2583" w:type="dxa"/>
            <w:vMerge/>
          </w:tcPr>
          <w:p w:rsidR="009D59D1" w:rsidRPr="008F6B31" w:rsidRDefault="009D59D1" w:rsidP="00CA4954">
            <w:pPr>
              <w:pStyle w:val="TableTextEntries"/>
            </w:pPr>
          </w:p>
        </w:tc>
        <w:tc>
          <w:tcPr>
            <w:tcW w:w="2696" w:type="dxa"/>
            <w:vAlign w:val="center"/>
          </w:tcPr>
          <w:p w:rsidR="009D59D1" w:rsidRPr="008F6B31" w:rsidRDefault="009D59D1" w:rsidP="00CA4954">
            <w:pPr>
              <w:pStyle w:val="TableTextEntries"/>
            </w:pPr>
            <w:r w:rsidRPr="008F6B31">
              <w:t xml:space="preserve">23/03/2009 </w:t>
            </w:r>
            <w:r>
              <w:t xml:space="preserve">– </w:t>
            </w:r>
            <w:r w:rsidRPr="008F6B31">
              <w:t>30/06/2019</w:t>
            </w:r>
          </w:p>
        </w:tc>
        <w:tc>
          <w:tcPr>
            <w:tcW w:w="1106" w:type="dxa"/>
            <w:vAlign w:val="center"/>
          </w:tcPr>
          <w:p w:rsidR="009D59D1" w:rsidRPr="008F6B31" w:rsidRDefault="009D59D1" w:rsidP="00CA4954">
            <w:pPr>
              <w:pStyle w:val="TableTextEntries"/>
              <w:jc w:val="center"/>
            </w:pPr>
            <w:r w:rsidRPr="008F6B31">
              <w:t>2012</w:t>
            </w:r>
          </w:p>
        </w:tc>
        <w:tc>
          <w:tcPr>
            <w:tcW w:w="553" w:type="dxa"/>
            <w:shd w:val="clear" w:color="auto" w:fill="92D050"/>
            <w:noWrap/>
            <w:vAlign w:val="center"/>
          </w:tcPr>
          <w:p w:rsidR="009D59D1" w:rsidRPr="008F6B31" w:rsidRDefault="009D59D1" w:rsidP="00CA4954">
            <w:pPr>
              <w:pStyle w:val="TableTextEntries"/>
              <w:jc w:val="center"/>
            </w:pPr>
            <w:r w:rsidRPr="008F6B31">
              <w:t>6</w:t>
            </w:r>
          </w:p>
        </w:tc>
        <w:tc>
          <w:tcPr>
            <w:tcW w:w="545" w:type="dxa"/>
            <w:shd w:val="clear" w:color="auto" w:fill="92D050"/>
            <w:noWrap/>
            <w:vAlign w:val="center"/>
          </w:tcPr>
          <w:p w:rsidR="009D59D1" w:rsidRPr="008F6B31" w:rsidRDefault="009D59D1" w:rsidP="00CA4954">
            <w:pPr>
              <w:pStyle w:val="TableTextEntries"/>
              <w:jc w:val="center"/>
            </w:pPr>
            <w:r w:rsidRPr="008F6B31">
              <w:t>5</w:t>
            </w:r>
          </w:p>
        </w:tc>
        <w:tc>
          <w:tcPr>
            <w:tcW w:w="493" w:type="dxa"/>
            <w:shd w:val="clear" w:color="auto" w:fill="92D050"/>
            <w:noWrap/>
            <w:vAlign w:val="center"/>
          </w:tcPr>
          <w:p w:rsidR="009D59D1" w:rsidRPr="008F6B31" w:rsidRDefault="009D59D1" w:rsidP="00CA4954">
            <w:pPr>
              <w:pStyle w:val="TableTextEntries"/>
              <w:jc w:val="center"/>
            </w:pPr>
            <w:r w:rsidRPr="008F6B31">
              <w:t>5</w:t>
            </w:r>
          </w:p>
        </w:tc>
        <w:tc>
          <w:tcPr>
            <w:tcW w:w="525" w:type="dxa"/>
            <w:shd w:val="clear" w:color="auto" w:fill="92D050"/>
            <w:noWrap/>
            <w:vAlign w:val="center"/>
          </w:tcPr>
          <w:p w:rsidR="009D59D1" w:rsidRPr="008F6B31" w:rsidRDefault="009D59D1" w:rsidP="00CA4954">
            <w:pPr>
              <w:pStyle w:val="TableTextEntries"/>
              <w:jc w:val="center"/>
            </w:pPr>
            <w:r w:rsidRPr="008F6B31">
              <w:t>5</w:t>
            </w:r>
          </w:p>
        </w:tc>
        <w:tc>
          <w:tcPr>
            <w:tcW w:w="576" w:type="dxa"/>
            <w:shd w:val="clear" w:color="auto" w:fill="92D050"/>
            <w:noWrap/>
            <w:vAlign w:val="center"/>
          </w:tcPr>
          <w:p w:rsidR="009D59D1" w:rsidRPr="008F6B31" w:rsidRDefault="009D59D1" w:rsidP="00CA4954">
            <w:pPr>
              <w:pStyle w:val="TableTextEntries"/>
              <w:jc w:val="center"/>
            </w:pPr>
            <w:r w:rsidRPr="008F6B31">
              <w:t>5</w:t>
            </w:r>
          </w:p>
        </w:tc>
        <w:tc>
          <w:tcPr>
            <w:tcW w:w="598" w:type="dxa"/>
            <w:shd w:val="clear" w:color="auto" w:fill="92D050"/>
            <w:noWrap/>
            <w:vAlign w:val="center"/>
          </w:tcPr>
          <w:p w:rsidR="009D59D1" w:rsidRPr="008F6B31" w:rsidRDefault="009D59D1" w:rsidP="00CA4954">
            <w:pPr>
              <w:pStyle w:val="TableTextEntries"/>
              <w:jc w:val="center"/>
            </w:pPr>
            <w:r w:rsidRPr="008F6B31">
              <w:t>6</w:t>
            </w:r>
          </w:p>
        </w:tc>
      </w:tr>
      <w:tr w:rsidR="009D59D1" w:rsidRPr="008F6B31" w:rsidTr="00CA4954">
        <w:trPr>
          <w:trHeight w:val="284"/>
          <w:tblHeader w:val="0"/>
          <w:jc w:val="center"/>
        </w:trPr>
        <w:tc>
          <w:tcPr>
            <w:tcW w:w="2583" w:type="dxa"/>
            <w:vMerge w:val="restart"/>
          </w:tcPr>
          <w:p w:rsidR="009D59D1" w:rsidRPr="008F6B31" w:rsidRDefault="009D59D1" w:rsidP="00CA4954">
            <w:pPr>
              <w:pStyle w:val="TableTextEntries"/>
            </w:pPr>
            <w:r w:rsidRPr="008F6B31">
              <w:t xml:space="preserve">Australian Development </w:t>
            </w:r>
            <w:r w:rsidRPr="008F6B31">
              <w:lastRenderedPageBreak/>
              <w:t xml:space="preserve">Scholarships </w:t>
            </w:r>
            <w:r>
              <w:t>–</w:t>
            </w:r>
            <w:r w:rsidRPr="008F6B31">
              <w:t xml:space="preserve"> Philippines</w:t>
            </w:r>
            <w:r w:rsidR="00441DA2">
              <w:rPr>
                <w:rStyle w:val="FootnoteReference"/>
              </w:rPr>
              <w:footnoteReference w:id="14"/>
            </w:r>
          </w:p>
        </w:tc>
        <w:tc>
          <w:tcPr>
            <w:tcW w:w="2696" w:type="dxa"/>
            <w:vAlign w:val="center"/>
          </w:tcPr>
          <w:p w:rsidR="009D59D1" w:rsidRPr="008F6B31" w:rsidRDefault="009D59D1" w:rsidP="00CA4954">
            <w:pPr>
              <w:pStyle w:val="TableTextEntries"/>
            </w:pPr>
            <w:r w:rsidRPr="008F6B31">
              <w:lastRenderedPageBreak/>
              <w:t>$3</w:t>
            </w:r>
            <w:r>
              <w:t xml:space="preserve"> </w:t>
            </w:r>
            <w:r w:rsidRPr="008F6B31">
              <w:t>499</w:t>
            </w:r>
            <w:r>
              <w:t xml:space="preserve"> </w:t>
            </w:r>
            <w:r w:rsidRPr="008F6B31">
              <w:t>255</w:t>
            </w:r>
          </w:p>
        </w:tc>
        <w:tc>
          <w:tcPr>
            <w:tcW w:w="1106" w:type="dxa"/>
            <w:shd w:val="clear" w:color="auto" w:fill="auto"/>
            <w:vAlign w:val="center"/>
          </w:tcPr>
          <w:p w:rsidR="009D59D1" w:rsidRPr="008F6B31" w:rsidRDefault="009D59D1" w:rsidP="00CA4954">
            <w:pPr>
              <w:pStyle w:val="TableTextEntries"/>
              <w:jc w:val="center"/>
            </w:pPr>
            <w:r>
              <w:t>2013</w:t>
            </w:r>
          </w:p>
        </w:tc>
        <w:tc>
          <w:tcPr>
            <w:tcW w:w="553" w:type="dxa"/>
            <w:shd w:val="clear" w:color="auto" w:fill="92D050"/>
            <w:noWrap/>
            <w:vAlign w:val="center"/>
          </w:tcPr>
          <w:p w:rsidR="009D59D1" w:rsidRPr="008F6B31" w:rsidRDefault="009D59D1" w:rsidP="00CA4954">
            <w:pPr>
              <w:pStyle w:val="TableTextEntries"/>
              <w:jc w:val="center"/>
            </w:pPr>
            <w:r>
              <w:t>6</w:t>
            </w:r>
          </w:p>
        </w:tc>
        <w:tc>
          <w:tcPr>
            <w:tcW w:w="545" w:type="dxa"/>
            <w:shd w:val="clear" w:color="auto" w:fill="92D050"/>
            <w:noWrap/>
            <w:vAlign w:val="center"/>
          </w:tcPr>
          <w:p w:rsidR="009D59D1" w:rsidRPr="008F6B31" w:rsidRDefault="009D59D1" w:rsidP="00CA4954">
            <w:pPr>
              <w:pStyle w:val="TableTextEntries"/>
              <w:jc w:val="center"/>
            </w:pPr>
            <w:r>
              <w:t>5</w:t>
            </w:r>
          </w:p>
        </w:tc>
        <w:tc>
          <w:tcPr>
            <w:tcW w:w="493" w:type="dxa"/>
            <w:shd w:val="clear" w:color="auto" w:fill="FFFF00"/>
            <w:noWrap/>
            <w:vAlign w:val="center"/>
          </w:tcPr>
          <w:p w:rsidR="009D59D1" w:rsidRPr="008F6B31" w:rsidRDefault="009D59D1" w:rsidP="00CA4954">
            <w:pPr>
              <w:pStyle w:val="TableTextEntries"/>
              <w:jc w:val="center"/>
            </w:pPr>
            <w:r>
              <w:t>4</w:t>
            </w:r>
          </w:p>
        </w:tc>
        <w:tc>
          <w:tcPr>
            <w:tcW w:w="525" w:type="dxa"/>
            <w:shd w:val="clear" w:color="auto" w:fill="92D050"/>
            <w:noWrap/>
            <w:vAlign w:val="center"/>
          </w:tcPr>
          <w:p w:rsidR="009D59D1" w:rsidRPr="008F6B31" w:rsidRDefault="009D59D1" w:rsidP="00CA4954">
            <w:pPr>
              <w:pStyle w:val="TableTextEntries"/>
              <w:jc w:val="center"/>
            </w:pPr>
            <w:r>
              <w:t>6</w:t>
            </w:r>
          </w:p>
        </w:tc>
        <w:tc>
          <w:tcPr>
            <w:tcW w:w="576" w:type="dxa"/>
            <w:shd w:val="clear" w:color="auto" w:fill="92D050"/>
            <w:noWrap/>
            <w:vAlign w:val="center"/>
          </w:tcPr>
          <w:p w:rsidR="009D59D1" w:rsidRPr="008F6B31" w:rsidRDefault="009D59D1" w:rsidP="00CA4954">
            <w:pPr>
              <w:pStyle w:val="TableTextEntries"/>
              <w:jc w:val="center"/>
            </w:pPr>
            <w:r>
              <w:t>5</w:t>
            </w:r>
          </w:p>
        </w:tc>
        <w:tc>
          <w:tcPr>
            <w:tcW w:w="598" w:type="dxa"/>
            <w:shd w:val="clear" w:color="auto" w:fill="92D050"/>
            <w:noWrap/>
            <w:vAlign w:val="center"/>
          </w:tcPr>
          <w:p w:rsidR="009D59D1" w:rsidRPr="008F6B31" w:rsidRDefault="009D59D1" w:rsidP="00CA4954">
            <w:pPr>
              <w:pStyle w:val="TableTextEntries"/>
              <w:jc w:val="center"/>
            </w:pPr>
            <w:r>
              <w:t>5</w:t>
            </w:r>
          </w:p>
        </w:tc>
      </w:tr>
      <w:tr w:rsidR="009D59D1" w:rsidRPr="008F6B31" w:rsidTr="00CA4954">
        <w:trPr>
          <w:cnfStyle w:val="000000010000" w:firstRow="0" w:lastRow="0" w:firstColumn="0" w:lastColumn="0" w:oddVBand="0" w:evenVBand="0" w:oddHBand="0" w:evenHBand="1" w:firstRowFirstColumn="0" w:firstRowLastColumn="0" w:lastRowFirstColumn="0" w:lastRowLastColumn="0"/>
          <w:trHeight w:val="284"/>
          <w:tblHeader w:val="0"/>
          <w:jc w:val="center"/>
        </w:trPr>
        <w:tc>
          <w:tcPr>
            <w:tcW w:w="2583" w:type="dxa"/>
            <w:vMerge/>
          </w:tcPr>
          <w:p w:rsidR="009D59D1" w:rsidRPr="008F6B31" w:rsidRDefault="009D59D1" w:rsidP="00CA4954">
            <w:pPr>
              <w:pStyle w:val="TableTextEntries"/>
            </w:pPr>
          </w:p>
        </w:tc>
        <w:tc>
          <w:tcPr>
            <w:tcW w:w="2696" w:type="dxa"/>
            <w:vAlign w:val="center"/>
          </w:tcPr>
          <w:p w:rsidR="009D59D1" w:rsidRPr="008F6B31" w:rsidRDefault="009D59D1" w:rsidP="00CA4954">
            <w:pPr>
              <w:pStyle w:val="TableTextEntries"/>
            </w:pPr>
            <w:r w:rsidRPr="008F6B31">
              <w:t xml:space="preserve">01/01/2010 </w:t>
            </w:r>
            <w:r>
              <w:t xml:space="preserve">– </w:t>
            </w:r>
            <w:r w:rsidRPr="008F6B31">
              <w:t>31/12/2013</w:t>
            </w:r>
          </w:p>
        </w:tc>
        <w:tc>
          <w:tcPr>
            <w:tcW w:w="1106" w:type="dxa"/>
            <w:vAlign w:val="center"/>
          </w:tcPr>
          <w:p w:rsidR="009D59D1" w:rsidRPr="008F6B31" w:rsidRDefault="009D59D1" w:rsidP="00CA4954">
            <w:pPr>
              <w:pStyle w:val="TableTextEntries"/>
              <w:jc w:val="center"/>
            </w:pPr>
            <w:r w:rsidRPr="008F6B31">
              <w:t>2012</w:t>
            </w:r>
          </w:p>
        </w:tc>
        <w:tc>
          <w:tcPr>
            <w:tcW w:w="553" w:type="dxa"/>
            <w:shd w:val="clear" w:color="auto" w:fill="92D050"/>
            <w:noWrap/>
            <w:vAlign w:val="center"/>
          </w:tcPr>
          <w:p w:rsidR="009D59D1" w:rsidRPr="008F6B31" w:rsidRDefault="009D59D1" w:rsidP="00CA4954">
            <w:pPr>
              <w:pStyle w:val="TableTextEntries"/>
              <w:jc w:val="center"/>
            </w:pPr>
            <w:r w:rsidRPr="008F6B31">
              <w:t>6</w:t>
            </w:r>
          </w:p>
        </w:tc>
        <w:tc>
          <w:tcPr>
            <w:tcW w:w="545" w:type="dxa"/>
            <w:shd w:val="clear" w:color="auto" w:fill="92D050"/>
            <w:noWrap/>
            <w:vAlign w:val="center"/>
          </w:tcPr>
          <w:p w:rsidR="009D59D1" w:rsidRPr="008F6B31" w:rsidRDefault="009D59D1" w:rsidP="00CA4954">
            <w:pPr>
              <w:pStyle w:val="TableTextEntries"/>
              <w:jc w:val="center"/>
            </w:pPr>
            <w:r w:rsidRPr="008F6B31">
              <w:t>5</w:t>
            </w:r>
          </w:p>
        </w:tc>
        <w:tc>
          <w:tcPr>
            <w:tcW w:w="493" w:type="dxa"/>
            <w:shd w:val="clear" w:color="auto" w:fill="92D050"/>
            <w:noWrap/>
            <w:vAlign w:val="center"/>
          </w:tcPr>
          <w:p w:rsidR="009D59D1" w:rsidRPr="008F6B31" w:rsidRDefault="009D59D1" w:rsidP="00CA4954">
            <w:pPr>
              <w:pStyle w:val="TableTextEntries"/>
              <w:jc w:val="center"/>
            </w:pPr>
            <w:r w:rsidRPr="008F6B31">
              <w:t>5</w:t>
            </w:r>
          </w:p>
        </w:tc>
        <w:tc>
          <w:tcPr>
            <w:tcW w:w="525" w:type="dxa"/>
            <w:shd w:val="clear" w:color="auto" w:fill="92D050"/>
            <w:noWrap/>
            <w:vAlign w:val="center"/>
          </w:tcPr>
          <w:p w:rsidR="009D59D1" w:rsidRPr="008F6B31" w:rsidRDefault="009D59D1" w:rsidP="00CA4954">
            <w:pPr>
              <w:pStyle w:val="TableTextEntries"/>
              <w:jc w:val="center"/>
            </w:pPr>
            <w:r w:rsidRPr="008F6B31">
              <w:t>5</w:t>
            </w:r>
          </w:p>
        </w:tc>
        <w:tc>
          <w:tcPr>
            <w:tcW w:w="576" w:type="dxa"/>
            <w:shd w:val="clear" w:color="auto" w:fill="92D050"/>
            <w:noWrap/>
            <w:vAlign w:val="center"/>
          </w:tcPr>
          <w:p w:rsidR="009D59D1" w:rsidRPr="008F6B31" w:rsidRDefault="009D59D1" w:rsidP="00CA4954">
            <w:pPr>
              <w:pStyle w:val="TableTextEntries"/>
              <w:jc w:val="center"/>
            </w:pPr>
            <w:r w:rsidRPr="008F6B31">
              <w:t>5</w:t>
            </w:r>
          </w:p>
        </w:tc>
        <w:tc>
          <w:tcPr>
            <w:tcW w:w="598" w:type="dxa"/>
            <w:shd w:val="clear" w:color="auto" w:fill="92D050"/>
            <w:noWrap/>
            <w:vAlign w:val="center"/>
          </w:tcPr>
          <w:p w:rsidR="009D59D1" w:rsidRPr="008F6B31" w:rsidRDefault="009D59D1" w:rsidP="00CA4954">
            <w:pPr>
              <w:pStyle w:val="TableTextEntries"/>
              <w:jc w:val="center"/>
            </w:pPr>
            <w:r w:rsidRPr="008F6B31">
              <w:t>6</w:t>
            </w:r>
          </w:p>
        </w:tc>
      </w:tr>
      <w:tr w:rsidR="009D59D1" w:rsidRPr="008F6B31" w:rsidTr="00CA4954">
        <w:trPr>
          <w:trHeight w:val="284"/>
          <w:tblHeader w:val="0"/>
          <w:jc w:val="center"/>
        </w:trPr>
        <w:tc>
          <w:tcPr>
            <w:tcW w:w="2583" w:type="dxa"/>
            <w:vMerge w:val="restart"/>
          </w:tcPr>
          <w:p w:rsidR="009D59D1" w:rsidRPr="008F6B31" w:rsidRDefault="009D59D1" w:rsidP="00CA4954">
            <w:pPr>
              <w:pStyle w:val="TableTextEntries"/>
            </w:pPr>
            <w:r w:rsidRPr="008F6B31">
              <w:lastRenderedPageBreak/>
              <w:t>AusAID The Asia Foundation Partnership Philippines</w:t>
            </w:r>
            <w:r w:rsidR="008E55BE">
              <w:t>*</w:t>
            </w:r>
            <w:r w:rsidR="008E55BE" w:rsidRPr="00391D7A">
              <w:rPr>
                <w:sz w:val="14"/>
                <w:vertAlign w:val="superscript"/>
              </w:rPr>
              <w:sym w:font="Wingdings" w:char="F075"/>
            </w:r>
          </w:p>
        </w:tc>
        <w:tc>
          <w:tcPr>
            <w:tcW w:w="2696" w:type="dxa"/>
            <w:vAlign w:val="center"/>
          </w:tcPr>
          <w:p w:rsidR="009D59D1" w:rsidRPr="008F6B31" w:rsidRDefault="009D59D1" w:rsidP="008E55BE">
            <w:pPr>
              <w:pStyle w:val="TableTextEntries"/>
            </w:pPr>
            <w:r w:rsidRPr="008F6B31">
              <w:t>$</w:t>
            </w:r>
            <w:r>
              <w:t>33 930 001</w:t>
            </w:r>
          </w:p>
        </w:tc>
        <w:tc>
          <w:tcPr>
            <w:tcW w:w="1106" w:type="dxa"/>
            <w:shd w:val="clear" w:color="auto" w:fill="auto"/>
            <w:vAlign w:val="center"/>
          </w:tcPr>
          <w:p w:rsidR="009D59D1" w:rsidRPr="008F6B31" w:rsidRDefault="009D59D1" w:rsidP="00CA4954">
            <w:pPr>
              <w:pStyle w:val="TableTextEntries"/>
              <w:jc w:val="center"/>
            </w:pPr>
            <w:r>
              <w:t>2013</w:t>
            </w:r>
          </w:p>
        </w:tc>
        <w:tc>
          <w:tcPr>
            <w:tcW w:w="553" w:type="dxa"/>
            <w:shd w:val="clear" w:color="auto" w:fill="92D050"/>
            <w:noWrap/>
            <w:vAlign w:val="center"/>
          </w:tcPr>
          <w:p w:rsidR="009D59D1" w:rsidRPr="008F6B31" w:rsidRDefault="009D59D1" w:rsidP="00CA4954">
            <w:pPr>
              <w:pStyle w:val="TableTextEntries"/>
              <w:jc w:val="center"/>
            </w:pPr>
            <w:r>
              <w:t>6</w:t>
            </w:r>
          </w:p>
        </w:tc>
        <w:tc>
          <w:tcPr>
            <w:tcW w:w="545" w:type="dxa"/>
            <w:shd w:val="clear" w:color="auto" w:fill="92D050"/>
            <w:noWrap/>
            <w:vAlign w:val="center"/>
          </w:tcPr>
          <w:p w:rsidR="009D59D1" w:rsidRPr="008F6B31" w:rsidRDefault="009D59D1" w:rsidP="00CA4954">
            <w:pPr>
              <w:pStyle w:val="TableTextEntries"/>
              <w:jc w:val="center"/>
            </w:pPr>
            <w:r>
              <w:t>5</w:t>
            </w:r>
          </w:p>
        </w:tc>
        <w:tc>
          <w:tcPr>
            <w:tcW w:w="493" w:type="dxa"/>
            <w:shd w:val="clear" w:color="auto" w:fill="92D050"/>
            <w:noWrap/>
            <w:vAlign w:val="center"/>
          </w:tcPr>
          <w:p w:rsidR="009D59D1" w:rsidRPr="008F6B31" w:rsidRDefault="009D59D1" w:rsidP="00CA4954">
            <w:pPr>
              <w:pStyle w:val="TableTextEntries"/>
              <w:jc w:val="center"/>
            </w:pPr>
            <w:r>
              <w:t>5</w:t>
            </w:r>
          </w:p>
        </w:tc>
        <w:tc>
          <w:tcPr>
            <w:tcW w:w="525" w:type="dxa"/>
            <w:shd w:val="clear" w:color="auto" w:fill="FFFF00"/>
            <w:noWrap/>
            <w:vAlign w:val="center"/>
          </w:tcPr>
          <w:p w:rsidR="009D59D1" w:rsidRPr="008F6B31" w:rsidRDefault="009D59D1" w:rsidP="00CA4954">
            <w:pPr>
              <w:pStyle w:val="TableTextEntries"/>
              <w:jc w:val="center"/>
            </w:pPr>
            <w:r>
              <w:t>4</w:t>
            </w:r>
          </w:p>
        </w:tc>
        <w:tc>
          <w:tcPr>
            <w:tcW w:w="576" w:type="dxa"/>
            <w:shd w:val="clear" w:color="auto" w:fill="92D050"/>
            <w:noWrap/>
            <w:vAlign w:val="center"/>
          </w:tcPr>
          <w:p w:rsidR="009D59D1" w:rsidRPr="008F6B31" w:rsidRDefault="009D59D1" w:rsidP="00CA4954">
            <w:pPr>
              <w:pStyle w:val="TableTextEntries"/>
              <w:jc w:val="center"/>
            </w:pPr>
            <w:r>
              <w:t>5</w:t>
            </w:r>
          </w:p>
        </w:tc>
        <w:tc>
          <w:tcPr>
            <w:tcW w:w="598" w:type="dxa"/>
            <w:shd w:val="clear" w:color="auto" w:fill="F2AD48"/>
            <w:noWrap/>
            <w:vAlign w:val="center"/>
          </w:tcPr>
          <w:p w:rsidR="009D59D1" w:rsidRPr="008F6B31" w:rsidRDefault="009D59D1" w:rsidP="00CA4954">
            <w:pPr>
              <w:pStyle w:val="TableTextEntries"/>
              <w:jc w:val="center"/>
            </w:pPr>
            <w:r>
              <w:t>3</w:t>
            </w:r>
          </w:p>
        </w:tc>
      </w:tr>
      <w:tr w:rsidR="009D59D1" w:rsidRPr="008F6B31" w:rsidTr="00CA4954">
        <w:trPr>
          <w:cnfStyle w:val="000000010000" w:firstRow="0" w:lastRow="0" w:firstColumn="0" w:lastColumn="0" w:oddVBand="0" w:evenVBand="0" w:oddHBand="0" w:evenHBand="1" w:firstRowFirstColumn="0" w:firstRowLastColumn="0" w:lastRowFirstColumn="0" w:lastRowLastColumn="0"/>
          <w:trHeight w:val="284"/>
          <w:tblHeader w:val="0"/>
          <w:jc w:val="center"/>
        </w:trPr>
        <w:tc>
          <w:tcPr>
            <w:tcW w:w="2583" w:type="dxa"/>
            <w:vMerge/>
          </w:tcPr>
          <w:p w:rsidR="009D59D1" w:rsidRPr="008F6B31" w:rsidRDefault="009D59D1" w:rsidP="00CA4954">
            <w:pPr>
              <w:pStyle w:val="TableTextEntries"/>
            </w:pPr>
          </w:p>
        </w:tc>
        <w:tc>
          <w:tcPr>
            <w:tcW w:w="2696" w:type="dxa"/>
            <w:vAlign w:val="center"/>
          </w:tcPr>
          <w:p w:rsidR="009D59D1" w:rsidRPr="008F6B31" w:rsidRDefault="009D59D1" w:rsidP="008E55BE">
            <w:pPr>
              <w:pStyle w:val="TableTextEntries"/>
            </w:pPr>
            <w:r w:rsidRPr="008F6B31">
              <w:t xml:space="preserve">01/07/2011 </w:t>
            </w:r>
            <w:r>
              <w:t>– 30/06/2017</w:t>
            </w:r>
          </w:p>
        </w:tc>
        <w:tc>
          <w:tcPr>
            <w:tcW w:w="1106" w:type="dxa"/>
            <w:vAlign w:val="center"/>
          </w:tcPr>
          <w:p w:rsidR="009D59D1" w:rsidRPr="008F6B31" w:rsidRDefault="009D59D1" w:rsidP="00CA4954">
            <w:pPr>
              <w:pStyle w:val="TableTextEntries"/>
              <w:jc w:val="center"/>
            </w:pPr>
            <w:r w:rsidRPr="008F6B31">
              <w:t>2012</w:t>
            </w:r>
          </w:p>
        </w:tc>
        <w:tc>
          <w:tcPr>
            <w:tcW w:w="553" w:type="dxa"/>
            <w:shd w:val="clear" w:color="auto" w:fill="92D050"/>
            <w:noWrap/>
            <w:vAlign w:val="center"/>
          </w:tcPr>
          <w:p w:rsidR="009D59D1" w:rsidRPr="008F6B31" w:rsidRDefault="009D59D1" w:rsidP="00CA4954">
            <w:pPr>
              <w:pStyle w:val="TableTextEntries"/>
              <w:jc w:val="center"/>
            </w:pPr>
            <w:r w:rsidRPr="008F6B31">
              <w:t>5</w:t>
            </w:r>
          </w:p>
        </w:tc>
        <w:tc>
          <w:tcPr>
            <w:tcW w:w="545" w:type="dxa"/>
            <w:shd w:val="clear" w:color="auto" w:fill="92D050"/>
            <w:noWrap/>
            <w:vAlign w:val="center"/>
          </w:tcPr>
          <w:p w:rsidR="009D59D1" w:rsidRPr="008F6B31" w:rsidRDefault="009D59D1" w:rsidP="00CA4954">
            <w:pPr>
              <w:pStyle w:val="TableTextEntries"/>
              <w:jc w:val="center"/>
            </w:pPr>
            <w:r w:rsidRPr="008F6B31">
              <w:t>5</w:t>
            </w:r>
          </w:p>
        </w:tc>
        <w:tc>
          <w:tcPr>
            <w:tcW w:w="493" w:type="dxa"/>
            <w:shd w:val="clear" w:color="auto" w:fill="FFFF00"/>
            <w:noWrap/>
            <w:vAlign w:val="center"/>
          </w:tcPr>
          <w:p w:rsidR="009D59D1" w:rsidRPr="008F6B31" w:rsidRDefault="009D59D1" w:rsidP="00CA4954">
            <w:pPr>
              <w:pStyle w:val="TableTextEntries"/>
              <w:jc w:val="center"/>
            </w:pPr>
            <w:r w:rsidRPr="008F6B31">
              <w:t>4</w:t>
            </w:r>
          </w:p>
        </w:tc>
        <w:tc>
          <w:tcPr>
            <w:tcW w:w="525" w:type="dxa"/>
            <w:shd w:val="clear" w:color="auto" w:fill="FFFF00"/>
            <w:noWrap/>
            <w:vAlign w:val="center"/>
          </w:tcPr>
          <w:p w:rsidR="009D59D1" w:rsidRPr="008F6B31" w:rsidRDefault="009D59D1" w:rsidP="00CA4954">
            <w:pPr>
              <w:pStyle w:val="TableTextEntries"/>
              <w:jc w:val="center"/>
            </w:pPr>
            <w:r w:rsidRPr="008F6B31">
              <w:t>4</w:t>
            </w:r>
          </w:p>
        </w:tc>
        <w:tc>
          <w:tcPr>
            <w:tcW w:w="576" w:type="dxa"/>
            <w:shd w:val="clear" w:color="auto" w:fill="FFFF00"/>
            <w:noWrap/>
            <w:vAlign w:val="center"/>
          </w:tcPr>
          <w:p w:rsidR="009D59D1" w:rsidRPr="008F6B31" w:rsidRDefault="009D59D1" w:rsidP="00CA4954">
            <w:pPr>
              <w:pStyle w:val="TableTextEntries"/>
              <w:jc w:val="center"/>
            </w:pPr>
            <w:r w:rsidRPr="008F6B31">
              <w:t>4</w:t>
            </w:r>
          </w:p>
        </w:tc>
        <w:tc>
          <w:tcPr>
            <w:tcW w:w="598" w:type="dxa"/>
            <w:shd w:val="clear" w:color="auto" w:fill="FFFF00"/>
            <w:noWrap/>
            <w:vAlign w:val="center"/>
          </w:tcPr>
          <w:p w:rsidR="009D59D1" w:rsidRPr="008F6B31" w:rsidRDefault="009D59D1" w:rsidP="00CA4954">
            <w:pPr>
              <w:pStyle w:val="TableTextEntries"/>
              <w:jc w:val="center"/>
            </w:pPr>
            <w:r w:rsidRPr="008F6B31">
              <w:t>4</w:t>
            </w:r>
          </w:p>
        </w:tc>
      </w:tr>
      <w:tr w:rsidR="002141DF" w:rsidRPr="008F6B31" w:rsidTr="00886064">
        <w:trPr>
          <w:trHeight w:val="302"/>
          <w:tblHeader w:val="0"/>
          <w:jc w:val="center"/>
        </w:trPr>
        <w:tc>
          <w:tcPr>
            <w:tcW w:w="2583" w:type="dxa"/>
            <w:vMerge w:val="restart"/>
            <w:tcBorders>
              <w:top w:val="single" w:sz="4" w:space="0" w:color="auto"/>
            </w:tcBorders>
          </w:tcPr>
          <w:p w:rsidR="002141DF" w:rsidRPr="008F6B31" w:rsidRDefault="002141DF" w:rsidP="001F76AA">
            <w:pPr>
              <w:pStyle w:val="TableTextEntries"/>
            </w:pPr>
            <w:r w:rsidRPr="008F6B31">
              <w:t>Philippines</w:t>
            </w:r>
            <w:r>
              <w:t>:</w:t>
            </w:r>
            <w:r w:rsidRPr="008F6B31">
              <w:t xml:space="preserve"> Public Sector Linkages Program</w:t>
            </w:r>
            <w:r w:rsidR="00441DA2">
              <w:rPr>
                <w:rStyle w:val="FootnoteReference"/>
              </w:rPr>
              <w:footnoteReference w:id="15"/>
            </w:r>
          </w:p>
        </w:tc>
        <w:tc>
          <w:tcPr>
            <w:tcW w:w="2696" w:type="dxa"/>
            <w:tcBorders>
              <w:top w:val="single" w:sz="4" w:space="0" w:color="auto"/>
            </w:tcBorders>
            <w:vAlign w:val="center"/>
          </w:tcPr>
          <w:p w:rsidR="002141DF" w:rsidRPr="008F6B31" w:rsidRDefault="002141DF" w:rsidP="001F76AA">
            <w:pPr>
              <w:pStyle w:val="TableTextEntries"/>
            </w:pPr>
            <w:r w:rsidRPr="008F6B31">
              <w:t>$6</w:t>
            </w:r>
            <w:r>
              <w:t xml:space="preserve"> </w:t>
            </w:r>
            <w:r w:rsidRPr="008F6B31">
              <w:t>269</w:t>
            </w:r>
            <w:r>
              <w:t xml:space="preserve"> </w:t>
            </w:r>
            <w:r w:rsidRPr="008F6B31">
              <w:t>006</w:t>
            </w:r>
          </w:p>
        </w:tc>
        <w:tc>
          <w:tcPr>
            <w:tcW w:w="1106" w:type="dxa"/>
            <w:tcBorders>
              <w:top w:val="single" w:sz="4" w:space="0" w:color="auto"/>
            </w:tcBorders>
            <w:shd w:val="clear" w:color="auto" w:fill="auto"/>
            <w:vAlign w:val="center"/>
          </w:tcPr>
          <w:p w:rsidR="002141DF" w:rsidRPr="008F6B31" w:rsidRDefault="002141DF" w:rsidP="001F76AA">
            <w:pPr>
              <w:pStyle w:val="TableTextEntries"/>
              <w:jc w:val="center"/>
            </w:pPr>
            <w:r>
              <w:t>2013</w:t>
            </w:r>
          </w:p>
        </w:tc>
        <w:tc>
          <w:tcPr>
            <w:tcW w:w="553" w:type="dxa"/>
            <w:tcBorders>
              <w:top w:val="single" w:sz="4" w:space="0" w:color="auto"/>
            </w:tcBorders>
            <w:shd w:val="clear" w:color="auto" w:fill="92D050"/>
            <w:noWrap/>
            <w:vAlign w:val="center"/>
          </w:tcPr>
          <w:p w:rsidR="002141DF" w:rsidRPr="008F6B31" w:rsidRDefault="002141DF" w:rsidP="001F76AA">
            <w:pPr>
              <w:pStyle w:val="TableTextEntries"/>
              <w:jc w:val="center"/>
            </w:pPr>
            <w:r>
              <w:t>5</w:t>
            </w:r>
          </w:p>
        </w:tc>
        <w:tc>
          <w:tcPr>
            <w:tcW w:w="545" w:type="dxa"/>
            <w:tcBorders>
              <w:top w:val="single" w:sz="4" w:space="0" w:color="auto"/>
            </w:tcBorders>
            <w:shd w:val="clear" w:color="auto" w:fill="FFFF00"/>
            <w:noWrap/>
            <w:vAlign w:val="center"/>
          </w:tcPr>
          <w:p w:rsidR="002141DF" w:rsidRPr="008F6B31" w:rsidRDefault="002141DF" w:rsidP="001F76AA">
            <w:pPr>
              <w:pStyle w:val="TableTextEntries"/>
              <w:jc w:val="center"/>
            </w:pPr>
            <w:r>
              <w:t>4</w:t>
            </w:r>
          </w:p>
        </w:tc>
        <w:tc>
          <w:tcPr>
            <w:tcW w:w="493" w:type="dxa"/>
            <w:tcBorders>
              <w:top w:val="single" w:sz="4" w:space="0" w:color="auto"/>
            </w:tcBorders>
            <w:shd w:val="clear" w:color="auto" w:fill="FFFF00"/>
            <w:noWrap/>
            <w:vAlign w:val="center"/>
          </w:tcPr>
          <w:p w:rsidR="002141DF" w:rsidRPr="008F6B31" w:rsidRDefault="002141DF" w:rsidP="001F76AA">
            <w:pPr>
              <w:pStyle w:val="TableTextEntries"/>
              <w:jc w:val="center"/>
            </w:pPr>
            <w:r>
              <w:t>4</w:t>
            </w:r>
          </w:p>
        </w:tc>
        <w:tc>
          <w:tcPr>
            <w:tcW w:w="525" w:type="dxa"/>
            <w:tcBorders>
              <w:top w:val="single" w:sz="4" w:space="0" w:color="auto"/>
            </w:tcBorders>
            <w:shd w:val="clear" w:color="auto" w:fill="F2AD48"/>
            <w:noWrap/>
            <w:vAlign w:val="center"/>
          </w:tcPr>
          <w:p w:rsidR="002141DF" w:rsidRPr="008F6B31" w:rsidRDefault="002141DF" w:rsidP="001F76AA">
            <w:pPr>
              <w:pStyle w:val="TableTextEntries"/>
              <w:jc w:val="center"/>
            </w:pPr>
            <w:r>
              <w:t>3</w:t>
            </w:r>
          </w:p>
        </w:tc>
        <w:tc>
          <w:tcPr>
            <w:tcW w:w="576" w:type="dxa"/>
            <w:tcBorders>
              <w:top w:val="single" w:sz="4" w:space="0" w:color="auto"/>
            </w:tcBorders>
            <w:shd w:val="clear" w:color="auto" w:fill="FFFF00"/>
            <w:noWrap/>
            <w:vAlign w:val="center"/>
          </w:tcPr>
          <w:p w:rsidR="002141DF" w:rsidRPr="008F6B31" w:rsidRDefault="002141DF" w:rsidP="001F76AA">
            <w:pPr>
              <w:pStyle w:val="TableTextEntries"/>
              <w:jc w:val="center"/>
            </w:pPr>
            <w:r>
              <w:t>4</w:t>
            </w:r>
          </w:p>
        </w:tc>
        <w:tc>
          <w:tcPr>
            <w:tcW w:w="598" w:type="dxa"/>
            <w:tcBorders>
              <w:top w:val="single" w:sz="4" w:space="0" w:color="auto"/>
            </w:tcBorders>
            <w:shd w:val="clear" w:color="auto" w:fill="F2AD48"/>
            <w:noWrap/>
            <w:vAlign w:val="center"/>
          </w:tcPr>
          <w:p w:rsidR="002141DF" w:rsidRPr="008F6B31" w:rsidRDefault="002141DF" w:rsidP="001F76AA">
            <w:pPr>
              <w:pStyle w:val="TableTextEntries"/>
              <w:jc w:val="center"/>
            </w:pPr>
            <w:r>
              <w:t>3</w:t>
            </w:r>
          </w:p>
        </w:tc>
      </w:tr>
      <w:tr w:rsidR="002141DF" w:rsidRPr="008F6B31" w:rsidTr="00886064">
        <w:trPr>
          <w:cnfStyle w:val="000000010000" w:firstRow="0" w:lastRow="0" w:firstColumn="0" w:lastColumn="0" w:oddVBand="0" w:evenVBand="0" w:oddHBand="0" w:evenHBand="1" w:firstRowFirstColumn="0" w:firstRowLastColumn="0" w:lastRowFirstColumn="0" w:lastRowLastColumn="0"/>
          <w:trHeight w:val="304"/>
          <w:tblHeader w:val="0"/>
          <w:jc w:val="center"/>
        </w:trPr>
        <w:tc>
          <w:tcPr>
            <w:tcW w:w="2583" w:type="dxa"/>
            <w:vMerge/>
          </w:tcPr>
          <w:p w:rsidR="002141DF" w:rsidRPr="008F6B31" w:rsidRDefault="002141DF" w:rsidP="001F76AA">
            <w:pPr>
              <w:pStyle w:val="TableTextEntries"/>
            </w:pPr>
          </w:p>
        </w:tc>
        <w:tc>
          <w:tcPr>
            <w:tcW w:w="2696" w:type="dxa"/>
            <w:vAlign w:val="center"/>
          </w:tcPr>
          <w:p w:rsidR="002141DF" w:rsidRPr="008F6B31" w:rsidRDefault="002141DF" w:rsidP="00FA5DA7">
            <w:pPr>
              <w:pStyle w:val="TableTextEntries"/>
            </w:pPr>
            <w:r>
              <w:t>19/02/2004 –</w:t>
            </w:r>
            <w:r w:rsidR="00FA5DA7">
              <w:t xml:space="preserve"> </w:t>
            </w:r>
            <w:r w:rsidRPr="008F6B31">
              <w:t>31/12/2015</w:t>
            </w:r>
          </w:p>
        </w:tc>
        <w:tc>
          <w:tcPr>
            <w:tcW w:w="1106" w:type="dxa"/>
            <w:vAlign w:val="center"/>
          </w:tcPr>
          <w:p w:rsidR="002141DF" w:rsidRPr="008F6B31" w:rsidRDefault="002141DF" w:rsidP="001F76AA">
            <w:pPr>
              <w:pStyle w:val="TableTextEntries"/>
              <w:jc w:val="center"/>
            </w:pPr>
            <w:r w:rsidRPr="008F6B31">
              <w:t>2012</w:t>
            </w:r>
          </w:p>
        </w:tc>
        <w:tc>
          <w:tcPr>
            <w:tcW w:w="553" w:type="dxa"/>
            <w:shd w:val="clear" w:color="auto" w:fill="FFFF00"/>
            <w:noWrap/>
            <w:vAlign w:val="center"/>
          </w:tcPr>
          <w:p w:rsidR="002141DF" w:rsidRPr="008F6B31" w:rsidRDefault="002141DF" w:rsidP="001F76AA">
            <w:pPr>
              <w:pStyle w:val="TableTextEntries"/>
              <w:jc w:val="center"/>
            </w:pPr>
            <w:r w:rsidRPr="008F6B31">
              <w:t>4</w:t>
            </w:r>
          </w:p>
        </w:tc>
        <w:tc>
          <w:tcPr>
            <w:tcW w:w="545" w:type="dxa"/>
            <w:shd w:val="clear" w:color="auto" w:fill="FFFF00"/>
            <w:noWrap/>
            <w:vAlign w:val="center"/>
          </w:tcPr>
          <w:p w:rsidR="002141DF" w:rsidRPr="008F6B31" w:rsidRDefault="002141DF" w:rsidP="001F76AA">
            <w:pPr>
              <w:pStyle w:val="TableTextEntries"/>
              <w:jc w:val="center"/>
            </w:pPr>
            <w:r w:rsidRPr="008F6B31">
              <w:t>4</w:t>
            </w:r>
          </w:p>
        </w:tc>
        <w:tc>
          <w:tcPr>
            <w:tcW w:w="493" w:type="dxa"/>
            <w:shd w:val="clear" w:color="auto" w:fill="FFFF00"/>
            <w:noWrap/>
            <w:vAlign w:val="center"/>
          </w:tcPr>
          <w:p w:rsidR="002141DF" w:rsidRPr="008F6B31" w:rsidRDefault="002141DF" w:rsidP="001F76AA">
            <w:pPr>
              <w:pStyle w:val="TableTextEntries"/>
              <w:jc w:val="center"/>
            </w:pPr>
            <w:r w:rsidRPr="008F6B31">
              <w:t>4</w:t>
            </w:r>
          </w:p>
        </w:tc>
        <w:tc>
          <w:tcPr>
            <w:tcW w:w="525" w:type="dxa"/>
            <w:shd w:val="clear" w:color="auto" w:fill="FF0000"/>
            <w:noWrap/>
            <w:vAlign w:val="center"/>
          </w:tcPr>
          <w:p w:rsidR="002141DF" w:rsidRPr="008F6B31" w:rsidRDefault="002141DF" w:rsidP="001F76AA">
            <w:pPr>
              <w:pStyle w:val="TableTextEntries"/>
              <w:jc w:val="center"/>
            </w:pPr>
            <w:r w:rsidRPr="008F6B31">
              <w:t>2</w:t>
            </w:r>
          </w:p>
        </w:tc>
        <w:tc>
          <w:tcPr>
            <w:tcW w:w="576" w:type="dxa"/>
            <w:shd w:val="clear" w:color="auto" w:fill="F2AD48"/>
            <w:noWrap/>
            <w:vAlign w:val="center"/>
          </w:tcPr>
          <w:p w:rsidR="002141DF" w:rsidRPr="008F6B31" w:rsidRDefault="002141DF" w:rsidP="001F76AA">
            <w:pPr>
              <w:pStyle w:val="TableTextEntries"/>
              <w:jc w:val="center"/>
            </w:pPr>
            <w:r w:rsidRPr="008F6B31">
              <w:t>3</w:t>
            </w:r>
          </w:p>
        </w:tc>
        <w:tc>
          <w:tcPr>
            <w:tcW w:w="598" w:type="dxa"/>
            <w:shd w:val="clear" w:color="auto" w:fill="FF0000"/>
            <w:noWrap/>
            <w:vAlign w:val="center"/>
          </w:tcPr>
          <w:p w:rsidR="002141DF" w:rsidRPr="008F6B31" w:rsidRDefault="002141DF" w:rsidP="001F76AA">
            <w:pPr>
              <w:pStyle w:val="TableTextEntries"/>
              <w:jc w:val="center"/>
            </w:pPr>
            <w:r w:rsidRPr="008F6B31">
              <w:t>1</w:t>
            </w:r>
          </w:p>
        </w:tc>
      </w:tr>
      <w:tr w:rsidR="002141DF" w:rsidRPr="008F6B31" w:rsidTr="00FA5DA7">
        <w:trPr>
          <w:trHeight w:val="409"/>
          <w:tblHeader w:val="0"/>
          <w:jc w:val="center"/>
        </w:trPr>
        <w:tc>
          <w:tcPr>
            <w:tcW w:w="2583" w:type="dxa"/>
            <w:vMerge w:val="restart"/>
          </w:tcPr>
          <w:p w:rsidR="002141DF" w:rsidRPr="008F6B31" w:rsidRDefault="002141DF" w:rsidP="001F76AA">
            <w:pPr>
              <w:pStyle w:val="TableTextEntries"/>
            </w:pPr>
            <w:r w:rsidRPr="008F6B31">
              <w:t>Australia</w:t>
            </w:r>
            <w:r>
              <w:t>–</w:t>
            </w:r>
            <w:r w:rsidRPr="008F6B31">
              <w:t>W</w:t>
            </w:r>
            <w:r>
              <w:t xml:space="preserve">orld </w:t>
            </w:r>
            <w:r w:rsidRPr="008F6B31">
              <w:t>B</w:t>
            </w:r>
            <w:r>
              <w:t>ank</w:t>
            </w:r>
            <w:r w:rsidRPr="008F6B31">
              <w:t xml:space="preserve"> Philippines Development Trust Fund</w:t>
            </w:r>
            <w:r w:rsidR="008E55BE">
              <w:t>*</w:t>
            </w:r>
          </w:p>
        </w:tc>
        <w:tc>
          <w:tcPr>
            <w:tcW w:w="2696" w:type="dxa"/>
            <w:vAlign w:val="center"/>
          </w:tcPr>
          <w:p w:rsidR="002141DF" w:rsidRPr="008F6B31" w:rsidRDefault="002141DF" w:rsidP="008E55BE">
            <w:pPr>
              <w:pStyle w:val="TableTextEntries"/>
            </w:pPr>
            <w:r w:rsidRPr="008F6B31">
              <w:t>$</w:t>
            </w:r>
            <w:r>
              <w:t>49 992 805</w:t>
            </w:r>
          </w:p>
        </w:tc>
        <w:tc>
          <w:tcPr>
            <w:tcW w:w="1106" w:type="dxa"/>
            <w:shd w:val="clear" w:color="auto" w:fill="auto"/>
            <w:vAlign w:val="center"/>
          </w:tcPr>
          <w:p w:rsidR="002141DF" w:rsidRPr="008F6B31" w:rsidRDefault="002141DF" w:rsidP="001F76AA">
            <w:pPr>
              <w:pStyle w:val="TableTextEntries"/>
              <w:jc w:val="center"/>
            </w:pPr>
            <w:r>
              <w:t>2013</w:t>
            </w:r>
          </w:p>
        </w:tc>
        <w:tc>
          <w:tcPr>
            <w:tcW w:w="553" w:type="dxa"/>
            <w:shd w:val="clear" w:color="auto" w:fill="92D050"/>
            <w:noWrap/>
            <w:vAlign w:val="center"/>
          </w:tcPr>
          <w:p w:rsidR="002141DF" w:rsidRPr="008F6B31" w:rsidRDefault="002141DF" w:rsidP="001F76AA">
            <w:pPr>
              <w:pStyle w:val="TableTextEntries"/>
              <w:jc w:val="center"/>
            </w:pPr>
            <w:r>
              <w:t>5</w:t>
            </w:r>
          </w:p>
        </w:tc>
        <w:tc>
          <w:tcPr>
            <w:tcW w:w="545" w:type="dxa"/>
            <w:shd w:val="clear" w:color="auto" w:fill="FFFF00"/>
            <w:noWrap/>
            <w:vAlign w:val="center"/>
          </w:tcPr>
          <w:p w:rsidR="002141DF" w:rsidRPr="008F6B31" w:rsidRDefault="002141DF" w:rsidP="001F76AA">
            <w:pPr>
              <w:pStyle w:val="TableTextEntries"/>
              <w:jc w:val="center"/>
            </w:pPr>
            <w:r>
              <w:t>4</w:t>
            </w:r>
          </w:p>
        </w:tc>
        <w:tc>
          <w:tcPr>
            <w:tcW w:w="493" w:type="dxa"/>
            <w:shd w:val="clear" w:color="auto" w:fill="92D050"/>
            <w:noWrap/>
            <w:vAlign w:val="center"/>
          </w:tcPr>
          <w:p w:rsidR="002141DF" w:rsidRPr="008F6B31" w:rsidRDefault="002141DF" w:rsidP="001F76AA">
            <w:pPr>
              <w:pStyle w:val="TableTextEntries"/>
              <w:jc w:val="center"/>
            </w:pPr>
            <w:r>
              <w:t>5</w:t>
            </w:r>
          </w:p>
        </w:tc>
        <w:tc>
          <w:tcPr>
            <w:tcW w:w="525" w:type="dxa"/>
            <w:shd w:val="clear" w:color="auto" w:fill="F2AD48"/>
            <w:noWrap/>
            <w:vAlign w:val="center"/>
          </w:tcPr>
          <w:p w:rsidR="002141DF" w:rsidRPr="008F6B31" w:rsidRDefault="002141DF" w:rsidP="001F76AA">
            <w:pPr>
              <w:pStyle w:val="TableTextEntries"/>
              <w:jc w:val="center"/>
            </w:pPr>
            <w:r>
              <w:t>3</w:t>
            </w:r>
          </w:p>
        </w:tc>
        <w:tc>
          <w:tcPr>
            <w:tcW w:w="576" w:type="dxa"/>
            <w:shd w:val="clear" w:color="auto" w:fill="92D050"/>
            <w:noWrap/>
            <w:vAlign w:val="center"/>
          </w:tcPr>
          <w:p w:rsidR="002141DF" w:rsidRPr="008F6B31" w:rsidRDefault="002141DF" w:rsidP="001F76AA">
            <w:pPr>
              <w:pStyle w:val="TableTextEntries"/>
              <w:jc w:val="center"/>
            </w:pPr>
            <w:r>
              <w:t>5</w:t>
            </w:r>
          </w:p>
        </w:tc>
        <w:tc>
          <w:tcPr>
            <w:tcW w:w="598" w:type="dxa"/>
            <w:shd w:val="clear" w:color="auto" w:fill="92D050"/>
            <w:noWrap/>
            <w:vAlign w:val="center"/>
          </w:tcPr>
          <w:p w:rsidR="002141DF" w:rsidRPr="008F6B31" w:rsidRDefault="002141DF" w:rsidP="001F76AA">
            <w:pPr>
              <w:pStyle w:val="TableTextEntries"/>
              <w:jc w:val="center"/>
            </w:pPr>
            <w:r>
              <w:t>5</w:t>
            </w:r>
          </w:p>
        </w:tc>
      </w:tr>
      <w:tr w:rsidR="002141DF" w:rsidRPr="008F6B31" w:rsidTr="00FA5DA7">
        <w:trPr>
          <w:cnfStyle w:val="000000010000" w:firstRow="0" w:lastRow="0" w:firstColumn="0" w:lastColumn="0" w:oddVBand="0" w:evenVBand="0" w:oddHBand="0" w:evenHBand="1" w:firstRowFirstColumn="0" w:firstRowLastColumn="0" w:lastRowFirstColumn="0" w:lastRowLastColumn="0"/>
          <w:trHeight w:val="284"/>
          <w:tblHeader w:val="0"/>
          <w:jc w:val="center"/>
        </w:trPr>
        <w:tc>
          <w:tcPr>
            <w:tcW w:w="2583" w:type="dxa"/>
            <w:vMerge/>
          </w:tcPr>
          <w:p w:rsidR="002141DF" w:rsidRPr="008F6B31" w:rsidRDefault="002141DF" w:rsidP="001F76AA">
            <w:pPr>
              <w:pStyle w:val="TableTextEntries"/>
            </w:pPr>
          </w:p>
        </w:tc>
        <w:tc>
          <w:tcPr>
            <w:tcW w:w="2696" w:type="dxa"/>
            <w:vAlign w:val="center"/>
          </w:tcPr>
          <w:p w:rsidR="002141DF" w:rsidRPr="008F6B31" w:rsidRDefault="002141DF" w:rsidP="00FA5DA7">
            <w:pPr>
              <w:pStyle w:val="TableTextEntries"/>
            </w:pPr>
            <w:r w:rsidRPr="008F6B31">
              <w:t xml:space="preserve">01/06/2009 </w:t>
            </w:r>
            <w:r>
              <w:t>–</w:t>
            </w:r>
            <w:r w:rsidR="00FA5DA7">
              <w:t xml:space="preserve"> </w:t>
            </w:r>
            <w:r w:rsidRPr="008F6B31">
              <w:t>30/06/2016</w:t>
            </w:r>
          </w:p>
        </w:tc>
        <w:tc>
          <w:tcPr>
            <w:tcW w:w="1106" w:type="dxa"/>
            <w:vAlign w:val="center"/>
          </w:tcPr>
          <w:p w:rsidR="002141DF" w:rsidRPr="008F6B31" w:rsidRDefault="002141DF" w:rsidP="001F76AA">
            <w:pPr>
              <w:pStyle w:val="TableTextEntries"/>
              <w:jc w:val="center"/>
            </w:pPr>
            <w:r w:rsidRPr="008F6B31">
              <w:t>2012</w:t>
            </w:r>
          </w:p>
        </w:tc>
        <w:tc>
          <w:tcPr>
            <w:tcW w:w="553" w:type="dxa"/>
            <w:shd w:val="clear" w:color="auto" w:fill="92D050"/>
            <w:noWrap/>
            <w:vAlign w:val="center"/>
          </w:tcPr>
          <w:p w:rsidR="002141DF" w:rsidRPr="008F6B31" w:rsidRDefault="002141DF" w:rsidP="001F76AA">
            <w:pPr>
              <w:pStyle w:val="TableTextEntries"/>
              <w:jc w:val="center"/>
            </w:pPr>
            <w:r w:rsidRPr="008F6B31">
              <w:t>5</w:t>
            </w:r>
          </w:p>
        </w:tc>
        <w:tc>
          <w:tcPr>
            <w:tcW w:w="545" w:type="dxa"/>
            <w:shd w:val="clear" w:color="auto" w:fill="FFFF00"/>
            <w:noWrap/>
            <w:vAlign w:val="center"/>
          </w:tcPr>
          <w:p w:rsidR="002141DF" w:rsidRPr="008F6B31" w:rsidRDefault="002141DF" w:rsidP="001F76AA">
            <w:pPr>
              <w:pStyle w:val="TableTextEntries"/>
              <w:jc w:val="center"/>
            </w:pPr>
            <w:r w:rsidRPr="008F6B31">
              <w:t>4</w:t>
            </w:r>
          </w:p>
        </w:tc>
        <w:tc>
          <w:tcPr>
            <w:tcW w:w="493" w:type="dxa"/>
            <w:shd w:val="clear" w:color="auto" w:fill="92D050"/>
            <w:noWrap/>
            <w:vAlign w:val="center"/>
          </w:tcPr>
          <w:p w:rsidR="002141DF" w:rsidRPr="008F6B31" w:rsidRDefault="002141DF" w:rsidP="001F76AA">
            <w:pPr>
              <w:pStyle w:val="TableTextEntries"/>
              <w:jc w:val="center"/>
            </w:pPr>
            <w:r w:rsidRPr="008F6B31">
              <w:t>5</w:t>
            </w:r>
          </w:p>
        </w:tc>
        <w:tc>
          <w:tcPr>
            <w:tcW w:w="525" w:type="dxa"/>
            <w:shd w:val="clear" w:color="auto" w:fill="FF0000"/>
            <w:noWrap/>
            <w:vAlign w:val="center"/>
          </w:tcPr>
          <w:p w:rsidR="002141DF" w:rsidRPr="008F6B31" w:rsidRDefault="002141DF" w:rsidP="001F76AA">
            <w:pPr>
              <w:pStyle w:val="TableTextEntries"/>
              <w:jc w:val="center"/>
            </w:pPr>
            <w:r w:rsidRPr="008F6B31">
              <w:t>2</w:t>
            </w:r>
          </w:p>
        </w:tc>
        <w:tc>
          <w:tcPr>
            <w:tcW w:w="576" w:type="dxa"/>
            <w:shd w:val="clear" w:color="auto" w:fill="92D050"/>
            <w:noWrap/>
            <w:vAlign w:val="center"/>
          </w:tcPr>
          <w:p w:rsidR="002141DF" w:rsidRPr="008F6B31" w:rsidRDefault="002141DF" w:rsidP="001F76AA">
            <w:pPr>
              <w:pStyle w:val="TableTextEntries"/>
              <w:jc w:val="center"/>
            </w:pPr>
            <w:r w:rsidRPr="008F6B31">
              <w:t>5</w:t>
            </w:r>
          </w:p>
        </w:tc>
        <w:tc>
          <w:tcPr>
            <w:tcW w:w="598" w:type="dxa"/>
            <w:shd w:val="clear" w:color="auto" w:fill="FFFF00"/>
            <w:noWrap/>
            <w:vAlign w:val="center"/>
          </w:tcPr>
          <w:p w:rsidR="002141DF" w:rsidRPr="008F6B31" w:rsidRDefault="002141DF" w:rsidP="001F76AA">
            <w:pPr>
              <w:pStyle w:val="TableTextEntries"/>
              <w:jc w:val="center"/>
            </w:pPr>
            <w:r w:rsidRPr="008F6B31">
              <w:t>4</w:t>
            </w:r>
          </w:p>
        </w:tc>
      </w:tr>
    </w:tbl>
    <w:p w:rsidR="002141DF" w:rsidRDefault="002141DF"/>
    <w:p w:rsidR="000D733F" w:rsidRDefault="000D733F" w:rsidP="002141DF">
      <w:pPr>
        <w:pStyle w:val="Note"/>
      </w:pPr>
      <w:r>
        <w:t>Definitions of rating scale:</w:t>
      </w:r>
      <w:r>
        <w:tab/>
      </w:r>
    </w:p>
    <w:p w:rsidR="000D733F" w:rsidRDefault="000D733F" w:rsidP="002141DF">
      <w:pPr>
        <w:pStyle w:val="Note"/>
      </w:pPr>
      <w:r>
        <w:t>Satisfactory (4, 5 and 6)</w:t>
      </w:r>
    </w:p>
    <w:p w:rsidR="000D733F" w:rsidRDefault="000D733F" w:rsidP="002141DF">
      <w:pPr>
        <w:pStyle w:val="Note"/>
      </w:pPr>
      <w:r w:rsidRPr="00593946">
        <w:rPr>
          <w:color w:val="72AF2F"/>
        </w:rPr>
        <w:sym w:font="Webdings" w:char="F067"/>
      </w:r>
      <w:r>
        <w:t xml:space="preserve"> = 6 = Very high quality</w:t>
      </w:r>
    </w:p>
    <w:p w:rsidR="000D733F" w:rsidRDefault="000D733F" w:rsidP="002141DF">
      <w:pPr>
        <w:pStyle w:val="Note"/>
      </w:pPr>
      <w:r w:rsidRPr="00593946">
        <w:rPr>
          <w:color w:val="72AF2F"/>
        </w:rPr>
        <w:sym w:font="Webdings" w:char="F067"/>
      </w:r>
      <w:r>
        <w:t xml:space="preserve"> = 5 = Good quality</w:t>
      </w:r>
    </w:p>
    <w:p w:rsidR="000D733F" w:rsidRDefault="000D733F" w:rsidP="002141DF">
      <w:pPr>
        <w:pStyle w:val="Note"/>
      </w:pPr>
      <w:r w:rsidRPr="000774FD">
        <w:rPr>
          <w:color w:val="FFFF00"/>
        </w:rPr>
        <w:sym w:font="Webdings" w:char="F067"/>
      </w:r>
      <w:r>
        <w:t xml:space="preserve"> = 4 = Adequate quality, needs some work</w:t>
      </w:r>
    </w:p>
    <w:p w:rsidR="000D733F" w:rsidRDefault="000D733F" w:rsidP="002141DF">
      <w:pPr>
        <w:pStyle w:val="Note"/>
      </w:pPr>
      <w:r>
        <w:t>Less than satisfactory (1, 2 and 3)</w:t>
      </w:r>
    </w:p>
    <w:p w:rsidR="000D733F" w:rsidRDefault="000D733F" w:rsidP="002141DF">
      <w:pPr>
        <w:pStyle w:val="Note"/>
      </w:pPr>
      <w:r w:rsidRPr="00593946">
        <w:rPr>
          <w:color w:val="E36C0A"/>
        </w:rPr>
        <w:sym w:font="Webdings" w:char="F067"/>
      </w:r>
      <w:r w:rsidRPr="00593946">
        <w:rPr>
          <w:color w:val="E36C0A"/>
        </w:rPr>
        <w:t xml:space="preserve"> </w:t>
      </w:r>
      <w:r>
        <w:t>= 3 = Less than adequate quality; needs significant work</w:t>
      </w:r>
    </w:p>
    <w:p w:rsidR="000D733F" w:rsidRDefault="000D733F" w:rsidP="002141DF">
      <w:pPr>
        <w:pStyle w:val="Note"/>
      </w:pPr>
      <w:r w:rsidRPr="000774FD">
        <w:rPr>
          <w:color w:val="FF0000"/>
        </w:rPr>
        <w:sym w:font="Webdings" w:char="F067"/>
      </w:r>
      <w:r>
        <w:t xml:space="preserve"> = 2 = Poor quality; needs major work to improve</w:t>
      </w:r>
    </w:p>
    <w:p w:rsidR="002141DF" w:rsidRDefault="000D733F" w:rsidP="002141DF">
      <w:pPr>
        <w:pStyle w:val="Note"/>
        <w:sectPr w:rsidR="002141DF" w:rsidSect="002141DF">
          <w:pgSz w:w="11906" w:h="16838" w:code="9"/>
          <w:pgMar w:top="1560" w:right="851" w:bottom="851" w:left="1814" w:header="709" w:footer="425" w:gutter="0"/>
          <w:cols w:space="708"/>
          <w:docGrid w:linePitch="360"/>
        </w:sectPr>
      </w:pPr>
      <w:r w:rsidRPr="000774FD">
        <w:rPr>
          <w:color w:val="FF0000"/>
        </w:rPr>
        <w:sym w:font="Webdings" w:char="F067"/>
      </w:r>
      <w:r>
        <w:t xml:space="preserve"> = 1 = Very poor quality; needs major overhaul</w:t>
      </w:r>
    </w:p>
    <w:p w:rsidR="000D733F" w:rsidRPr="009E38C1" w:rsidRDefault="000D733F" w:rsidP="000D733F">
      <w:pPr>
        <w:pStyle w:val="Heading2"/>
        <w:rPr>
          <w:sz w:val="28"/>
        </w:rPr>
      </w:pPr>
      <w:r w:rsidRPr="009E38C1">
        <w:rPr>
          <w:sz w:val="28"/>
        </w:rPr>
        <w:lastRenderedPageBreak/>
        <w:t>Annex C</w:t>
      </w:r>
    </w:p>
    <w:p w:rsidR="000D733F" w:rsidRPr="009E38C1" w:rsidRDefault="000D733F" w:rsidP="000D733F">
      <w:pPr>
        <w:pStyle w:val="Heading2"/>
        <w:rPr>
          <w:sz w:val="28"/>
        </w:rPr>
      </w:pPr>
      <w:r w:rsidRPr="009E38C1">
        <w:rPr>
          <w:sz w:val="28"/>
        </w:rPr>
        <w:t>Evaluation and Review Pipeline Planning</w:t>
      </w:r>
    </w:p>
    <w:p w:rsidR="000D733F" w:rsidRPr="00500954" w:rsidRDefault="000D733F" w:rsidP="000D733F">
      <w:pPr>
        <w:pStyle w:val="ListBullet"/>
        <w:tabs>
          <w:tab w:val="clear" w:pos="284"/>
        </w:tabs>
      </w:pPr>
      <w:r w:rsidRPr="00500954">
        <w:t xml:space="preserve">List </w:t>
      </w:r>
      <w:r w:rsidR="00220E29">
        <w:t xml:space="preserve">of </w:t>
      </w:r>
      <w:r w:rsidRPr="00500954">
        <w:t xml:space="preserve">all evaluations </w:t>
      </w:r>
      <w:r w:rsidR="001D7E98">
        <w:t xml:space="preserve">and reviews </w:t>
      </w:r>
      <w:r w:rsidRPr="00500954">
        <w:t xml:space="preserve">completed in the reporting period.  </w:t>
      </w:r>
    </w:p>
    <w:tbl>
      <w:tblPr>
        <w:tblStyle w:val="APPR"/>
        <w:tblW w:w="0" w:type="auto"/>
        <w:tblLook w:val="04A0" w:firstRow="1" w:lastRow="0" w:firstColumn="1" w:lastColumn="0" w:noHBand="0" w:noVBand="1"/>
      </w:tblPr>
      <w:tblGrid>
        <w:gridCol w:w="2121"/>
        <w:gridCol w:w="1559"/>
        <w:gridCol w:w="2693"/>
        <w:gridCol w:w="1558"/>
        <w:gridCol w:w="1949"/>
        <w:gridCol w:w="1771"/>
        <w:gridCol w:w="1545"/>
      </w:tblGrid>
      <w:tr w:rsidR="000D733F" w:rsidRPr="00071B95" w:rsidTr="00704740">
        <w:trPr>
          <w:cnfStyle w:val="100000000000" w:firstRow="1" w:lastRow="0" w:firstColumn="0" w:lastColumn="0" w:oddVBand="0" w:evenVBand="0" w:oddHBand="0" w:evenHBand="0" w:firstRowFirstColumn="0" w:firstRowLastColumn="0" w:lastRowFirstColumn="0" w:lastRowLastColumn="0"/>
        </w:trPr>
        <w:tc>
          <w:tcPr>
            <w:tcW w:w="2079" w:type="dxa"/>
          </w:tcPr>
          <w:p w:rsidR="000D733F" w:rsidRPr="00071B95" w:rsidRDefault="000D733F" w:rsidP="0010390C">
            <w:pPr>
              <w:pStyle w:val="TableTextColumnHeading"/>
              <w:rPr>
                <w:b/>
              </w:rPr>
            </w:pPr>
            <w:r w:rsidRPr="00071B95">
              <w:rPr>
                <w:b/>
              </w:rPr>
              <w:t xml:space="preserve">Name of </w:t>
            </w:r>
            <w:r w:rsidR="00501CD2">
              <w:rPr>
                <w:b/>
              </w:rPr>
              <w:t>Investment</w:t>
            </w:r>
          </w:p>
        </w:tc>
        <w:tc>
          <w:tcPr>
            <w:tcW w:w="1531" w:type="dxa"/>
          </w:tcPr>
          <w:p w:rsidR="000D733F" w:rsidRPr="00071B95" w:rsidRDefault="000D733F" w:rsidP="0010390C">
            <w:pPr>
              <w:pStyle w:val="TableTextColumnHeading"/>
              <w:rPr>
                <w:b/>
              </w:rPr>
            </w:pPr>
            <w:r w:rsidRPr="00071B95">
              <w:rPr>
                <w:b/>
              </w:rPr>
              <w:t>Aidworks number</w:t>
            </w:r>
          </w:p>
        </w:tc>
        <w:tc>
          <w:tcPr>
            <w:tcW w:w="2665" w:type="dxa"/>
          </w:tcPr>
          <w:p w:rsidR="000D733F" w:rsidRPr="00071B95" w:rsidRDefault="000D733F" w:rsidP="0010390C">
            <w:pPr>
              <w:pStyle w:val="TableTextColumnHeading"/>
              <w:rPr>
                <w:b/>
              </w:rPr>
            </w:pPr>
            <w:r>
              <w:rPr>
                <w:b/>
              </w:rPr>
              <w:t>Name of evaluation</w:t>
            </w:r>
          </w:p>
        </w:tc>
        <w:tc>
          <w:tcPr>
            <w:tcW w:w="1530" w:type="dxa"/>
          </w:tcPr>
          <w:p w:rsidR="000D733F" w:rsidRPr="00071B95" w:rsidRDefault="000D733F" w:rsidP="0010390C">
            <w:pPr>
              <w:pStyle w:val="TableTextColumnHeading"/>
              <w:rPr>
                <w:b/>
              </w:rPr>
            </w:pPr>
            <w:r w:rsidRPr="00071B95">
              <w:rPr>
                <w:b/>
              </w:rPr>
              <w:t xml:space="preserve">Date </w:t>
            </w:r>
            <w:r>
              <w:rPr>
                <w:b/>
              </w:rPr>
              <w:t>finalised</w:t>
            </w:r>
          </w:p>
        </w:tc>
        <w:tc>
          <w:tcPr>
            <w:tcW w:w="1921" w:type="dxa"/>
          </w:tcPr>
          <w:p w:rsidR="000D733F" w:rsidRPr="00071B95" w:rsidRDefault="000D733F" w:rsidP="0010390C">
            <w:pPr>
              <w:pStyle w:val="TableTextColumnHeading"/>
              <w:rPr>
                <w:b/>
              </w:rPr>
            </w:pPr>
            <w:r w:rsidRPr="00071B95">
              <w:rPr>
                <w:b/>
              </w:rPr>
              <w:t>Date Evaluation report Uploaded into Aidworks</w:t>
            </w:r>
          </w:p>
        </w:tc>
        <w:tc>
          <w:tcPr>
            <w:tcW w:w="1743" w:type="dxa"/>
          </w:tcPr>
          <w:p w:rsidR="000D733F" w:rsidRPr="00071B95" w:rsidRDefault="000D733F" w:rsidP="0010390C">
            <w:pPr>
              <w:pStyle w:val="TableTextColumnHeading"/>
              <w:rPr>
                <w:b/>
              </w:rPr>
            </w:pPr>
            <w:r w:rsidRPr="00071B95">
              <w:rPr>
                <w:b/>
              </w:rPr>
              <w:t>Date Management response uploaded into Aidworks</w:t>
            </w:r>
          </w:p>
        </w:tc>
        <w:tc>
          <w:tcPr>
            <w:tcW w:w="1503" w:type="dxa"/>
          </w:tcPr>
          <w:p w:rsidR="000D733F" w:rsidRDefault="000D733F" w:rsidP="0010390C">
            <w:pPr>
              <w:pStyle w:val="TableTextColumnHeading"/>
              <w:rPr>
                <w:b/>
              </w:rPr>
            </w:pPr>
            <w:r w:rsidRPr="00071B95">
              <w:rPr>
                <w:b/>
              </w:rPr>
              <w:t>Published on website</w:t>
            </w:r>
            <w:r w:rsidR="00592077" w:rsidRPr="0010390C">
              <w:rPr>
                <w:vertAlign w:val="superscript"/>
              </w:rPr>
              <w:footnoteReference w:id="16"/>
            </w:r>
          </w:p>
          <w:p w:rsidR="003F7D99" w:rsidRPr="00071B95" w:rsidRDefault="003F7D99" w:rsidP="0010390C">
            <w:pPr>
              <w:pStyle w:val="TableTextColumnHeading"/>
              <w:rPr>
                <w:b/>
              </w:rPr>
            </w:pPr>
            <w:r>
              <w:rPr>
                <w:b/>
              </w:rPr>
              <w:t>(Estimated)</w:t>
            </w:r>
          </w:p>
        </w:tc>
      </w:tr>
      <w:tr w:rsidR="00592077" w:rsidRPr="00071B95" w:rsidTr="00704740">
        <w:trPr>
          <w:tblHeader w:val="0"/>
        </w:trPr>
        <w:tc>
          <w:tcPr>
            <w:tcW w:w="2079" w:type="dxa"/>
          </w:tcPr>
          <w:p w:rsidR="00592077" w:rsidRPr="00592077" w:rsidRDefault="00592077" w:rsidP="006B1CD7">
            <w:pPr>
              <w:spacing w:before="40" w:after="40" w:line="200" w:lineRule="atLeast"/>
              <w:rPr>
                <w:rFonts w:asciiTheme="minorHAnsi" w:hAnsiTheme="minorHAnsi"/>
                <w:szCs w:val="20"/>
              </w:rPr>
            </w:pPr>
            <w:r w:rsidRPr="00592077">
              <w:rPr>
                <w:rFonts w:asciiTheme="minorHAnsi" w:hAnsiTheme="minorHAnsi"/>
                <w:szCs w:val="20"/>
              </w:rPr>
              <w:t>Basic Education Sector Reform (SPHERE)</w:t>
            </w:r>
          </w:p>
        </w:tc>
        <w:tc>
          <w:tcPr>
            <w:tcW w:w="1531" w:type="dxa"/>
          </w:tcPr>
          <w:p w:rsidR="00592077" w:rsidRPr="00592077" w:rsidRDefault="00592077" w:rsidP="006B1CD7">
            <w:pPr>
              <w:spacing w:before="40" w:after="40" w:line="200" w:lineRule="atLeast"/>
              <w:rPr>
                <w:rFonts w:asciiTheme="minorHAnsi" w:hAnsiTheme="minorHAnsi"/>
                <w:szCs w:val="20"/>
              </w:rPr>
            </w:pPr>
            <w:r w:rsidRPr="00592077">
              <w:rPr>
                <w:rFonts w:asciiTheme="minorHAnsi" w:hAnsiTheme="minorHAnsi"/>
                <w:szCs w:val="20"/>
              </w:rPr>
              <w:t>ING912</w:t>
            </w:r>
          </w:p>
        </w:tc>
        <w:tc>
          <w:tcPr>
            <w:tcW w:w="2665" w:type="dxa"/>
          </w:tcPr>
          <w:p w:rsidR="00592077" w:rsidRPr="00592077" w:rsidRDefault="00592077" w:rsidP="006B1CD7">
            <w:pPr>
              <w:pStyle w:val="TableTextEntries"/>
            </w:pPr>
            <w:r w:rsidRPr="00592077">
              <w:t xml:space="preserve">Report of the Independent Completion Review </w:t>
            </w:r>
          </w:p>
        </w:tc>
        <w:tc>
          <w:tcPr>
            <w:tcW w:w="1530" w:type="dxa"/>
          </w:tcPr>
          <w:p w:rsidR="00592077" w:rsidRPr="00592077" w:rsidRDefault="00592077" w:rsidP="006B1CD7">
            <w:pPr>
              <w:rPr>
                <w:rFonts w:ascii="Franklin Gothic Book" w:hAnsi="Franklin Gothic Book"/>
                <w:sz w:val="17"/>
                <w:szCs w:val="17"/>
              </w:rPr>
            </w:pPr>
            <w:r w:rsidRPr="00592077">
              <w:rPr>
                <w:rFonts w:ascii="Franklin Gothic Book" w:hAnsi="Franklin Gothic Book"/>
                <w:sz w:val="17"/>
                <w:szCs w:val="17"/>
              </w:rPr>
              <w:t>31 May 2013</w:t>
            </w:r>
          </w:p>
          <w:p w:rsidR="00592077" w:rsidRPr="00592077" w:rsidRDefault="00592077" w:rsidP="006B1CD7">
            <w:pPr>
              <w:spacing w:before="40" w:after="40" w:line="200" w:lineRule="atLeast"/>
              <w:rPr>
                <w:rFonts w:ascii="Franklin Gothic Book" w:hAnsi="Franklin Gothic Book"/>
                <w:sz w:val="17"/>
                <w:szCs w:val="17"/>
              </w:rPr>
            </w:pPr>
          </w:p>
        </w:tc>
        <w:tc>
          <w:tcPr>
            <w:tcW w:w="1921" w:type="dxa"/>
          </w:tcPr>
          <w:p w:rsidR="00592077" w:rsidRPr="00592077" w:rsidRDefault="00592077" w:rsidP="006B1CD7">
            <w:pPr>
              <w:rPr>
                <w:rFonts w:ascii="Franklin Gothic Book" w:hAnsi="Franklin Gothic Book"/>
                <w:sz w:val="17"/>
                <w:szCs w:val="17"/>
              </w:rPr>
            </w:pPr>
            <w:r w:rsidRPr="00592077">
              <w:rPr>
                <w:rFonts w:ascii="Franklin Gothic Book" w:hAnsi="Franklin Gothic Book"/>
                <w:sz w:val="17"/>
                <w:szCs w:val="17"/>
              </w:rPr>
              <w:t>15 May 2014</w:t>
            </w:r>
          </w:p>
          <w:p w:rsidR="00592077" w:rsidRPr="00592077" w:rsidRDefault="00592077" w:rsidP="006B1CD7">
            <w:pPr>
              <w:spacing w:before="40" w:after="40" w:line="200" w:lineRule="atLeast"/>
              <w:rPr>
                <w:rFonts w:ascii="Franklin Gothic Book" w:hAnsi="Franklin Gothic Book"/>
                <w:bCs/>
                <w:sz w:val="17"/>
                <w:szCs w:val="17"/>
              </w:rPr>
            </w:pPr>
          </w:p>
        </w:tc>
        <w:tc>
          <w:tcPr>
            <w:tcW w:w="1743" w:type="dxa"/>
          </w:tcPr>
          <w:p w:rsidR="00592077" w:rsidRPr="00592077" w:rsidRDefault="00592077" w:rsidP="006B1CD7">
            <w:pPr>
              <w:rPr>
                <w:rFonts w:ascii="Franklin Gothic Book" w:hAnsi="Franklin Gothic Book"/>
                <w:sz w:val="17"/>
                <w:szCs w:val="17"/>
              </w:rPr>
            </w:pPr>
            <w:r w:rsidRPr="00592077">
              <w:rPr>
                <w:rFonts w:ascii="Franklin Gothic Book" w:hAnsi="Franklin Gothic Book"/>
                <w:sz w:val="17"/>
                <w:szCs w:val="17"/>
              </w:rPr>
              <w:t>15 May 2014</w:t>
            </w:r>
          </w:p>
          <w:p w:rsidR="00592077" w:rsidRPr="00592077" w:rsidRDefault="00592077" w:rsidP="006B1CD7">
            <w:pPr>
              <w:spacing w:before="40" w:after="40" w:line="200" w:lineRule="atLeast"/>
              <w:rPr>
                <w:rFonts w:ascii="Franklin Gothic Book" w:hAnsi="Franklin Gothic Book"/>
                <w:bCs/>
                <w:sz w:val="17"/>
                <w:szCs w:val="17"/>
              </w:rPr>
            </w:pPr>
          </w:p>
        </w:tc>
        <w:tc>
          <w:tcPr>
            <w:tcW w:w="1503" w:type="dxa"/>
          </w:tcPr>
          <w:p w:rsidR="00592077" w:rsidRDefault="00592077" w:rsidP="006B1CD7">
            <w:pPr>
              <w:pStyle w:val="TableTextEntries"/>
            </w:pPr>
            <w:r>
              <w:t>December 2014</w:t>
            </w:r>
          </w:p>
          <w:p w:rsidR="00592077" w:rsidRPr="00592077" w:rsidRDefault="00592077" w:rsidP="006B1CD7">
            <w:pPr>
              <w:pStyle w:val="TableTextEntries"/>
            </w:pPr>
          </w:p>
        </w:tc>
      </w:tr>
      <w:tr w:rsidR="00592077" w:rsidRPr="00071B95" w:rsidTr="00704740">
        <w:trPr>
          <w:cnfStyle w:val="000000010000" w:firstRow="0" w:lastRow="0" w:firstColumn="0" w:lastColumn="0" w:oddVBand="0" w:evenVBand="0" w:oddHBand="0" w:evenHBand="1" w:firstRowFirstColumn="0" w:firstRowLastColumn="0" w:lastRowFirstColumn="0" w:lastRowLastColumn="0"/>
          <w:tblHeader w:val="0"/>
        </w:trPr>
        <w:tc>
          <w:tcPr>
            <w:tcW w:w="2079" w:type="dxa"/>
          </w:tcPr>
          <w:p w:rsidR="00592077" w:rsidRPr="00592077" w:rsidRDefault="00592077" w:rsidP="006B1CD7">
            <w:pPr>
              <w:spacing w:before="40" w:after="40" w:line="200" w:lineRule="atLeast"/>
              <w:rPr>
                <w:rFonts w:asciiTheme="minorHAnsi" w:eastAsiaTheme="minorHAnsi" w:hAnsiTheme="minorHAnsi"/>
                <w:szCs w:val="20"/>
                <w:lang w:eastAsia="en-US"/>
              </w:rPr>
            </w:pPr>
            <w:r w:rsidRPr="00592077">
              <w:rPr>
                <w:rFonts w:asciiTheme="minorHAnsi" w:hAnsiTheme="minorHAnsi"/>
                <w:szCs w:val="20"/>
              </w:rPr>
              <w:t>Muslim and Indigenous Peoples Education Program (PRIME)</w:t>
            </w:r>
          </w:p>
        </w:tc>
        <w:tc>
          <w:tcPr>
            <w:tcW w:w="1531" w:type="dxa"/>
          </w:tcPr>
          <w:p w:rsidR="00592077" w:rsidRPr="00592077" w:rsidRDefault="00592077" w:rsidP="006B1CD7">
            <w:pPr>
              <w:spacing w:before="40" w:after="40" w:line="200" w:lineRule="atLeast"/>
              <w:rPr>
                <w:rFonts w:asciiTheme="minorHAnsi" w:eastAsiaTheme="minorHAnsi" w:hAnsiTheme="minorHAnsi"/>
                <w:szCs w:val="20"/>
                <w:lang w:eastAsia="en-US"/>
              </w:rPr>
            </w:pPr>
            <w:r w:rsidRPr="00592077">
              <w:rPr>
                <w:rFonts w:asciiTheme="minorHAnsi" w:hAnsiTheme="minorHAnsi"/>
                <w:szCs w:val="20"/>
              </w:rPr>
              <w:t>INH946</w:t>
            </w:r>
          </w:p>
        </w:tc>
        <w:tc>
          <w:tcPr>
            <w:tcW w:w="2665" w:type="dxa"/>
          </w:tcPr>
          <w:p w:rsidR="00592077" w:rsidRPr="00592077" w:rsidRDefault="00592077" w:rsidP="006B1CD7">
            <w:pPr>
              <w:pStyle w:val="TableTextEntries"/>
            </w:pPr>
            <w:r w:rsidRPr="00592077">
              <w:t xml:space="preserve">Independent Completion Review of the Philippines Response to Indigenous Peoples’ and Muslim Education (PRIME) Program </w:t>
            </w:r>
          </w:p>
        </w:tc>
        <w:tc>
          <w:tcPr>
            <w:tcW w:w="1530" w:type="dxa"/>
          </w:tcPr>
          <w:p w:rsidR="00592077" w:rsidRPr="00592077" w:rsidRDefault="00592077" w:rsidP="006B1CD7">
            <w:pPr>
              <w:spacing w:before="40" w:after="40" w:line="200" w:lineRule="atLeast"/>
              <w:rPr>
                <w:rFonts w:asciiTheme="minorHAnsi" w:eastAsiaTheme="minorHAnsi" w:hAnsiTheme="minorHAnsi"/>
                <w:bCs/>
                <w:szCs w:val="20"/>
                <w:lang w:eastAsia="en-US"/>
              </w:rPr>
            </w:pPr>
            <w:r w:rsidRPr="00592077">
              <w:rPr>
                <w:rFonts w:asciiTheme="minorHAnsi" w:hAnsiTheme="minorHAnsi"/>
                <w:bCs/>
                <w:szCs w:val="20"/>
              </w:rPr>
              <w:t>3 June 2014</w:t>
            </w:r>
          </w:p>
        </w:tc>
        <w:tc>
          <w:tcPr>
            <w:tcW w:w="1921" w:type="dxa"/>
          </w:tcPr>
          <w:p w:rsidR="00592077" w:rsidRPr="00592077" w:rsidRDefault="00592077" w:rsidP="006B1CD7">
            <w:pPr>
              <w:spacing w:before="40" w:after="40" w:line="200" w:lineRule="atLeast"/>
              <w:rPr>
                <w:rFonts w:asciiTheme="minorHAnsi" w:eastAsiaTheme="minorHAnsi" w:hAnsiTheme="minorHAnsi"/>
                <w:bCs/>
                <w:szCs w:val="20"/>
                <w:lang w:eastAsia="en-US"/>
              </w:rPr>
            </w:pPr>
            <w:r w:rsidRPr="00592077">
              <w:rPr>
                <w:rFonts w:asciiTheme="minorHAnsi" w:hAnsiTheme="minorHAnsi"/>
                <w:bCs/>
                <w:szCs w:val="20"/>
              </w:rPr>
              <w:t>12 August 2014</w:t>
            </w:r>
          </w:p>
        </w:tc>
        <w:tc>
          <w:tcPr>
            <w:tcW w:w="1743" w:type="dxa"/>
          </w:tcPr>
          <w:p w:rsidR="00592077" w:rsidRPr="00592077" w:rsidRDefault="00592077" w:rsidP="006B1CD7">
            <w:pPr>
              <w:spacing w:before="40" w:after="40" w:line="200" w:lineRule="atLeast"/>
              <w:rPr>
                <w:rFonts w:asciiTheme="minorHAnsi" w:eastAsiaTheme="minorHAnsi" w:hAnsiTheme="minorHAnsi"/>
                <w:bCs/>
                <w:szCs w:val="20"/>
                <w:lang w:eastAsia="en-US"/>
              </w:rPr>
            </w:pPr>
            <w:r w:rsidRPr="00592077">
              <w:rPr>
                <w:rFonts w:asciiTheme="minorHAnsi" w:hAnsiTheme="minorHAnsi"/>
                <w:bCs/>
                <w:szCs w:val="20"/>
              </w:rPr>
              <w:t>For approval</w:t>
            </w:r>
          </w:p>
        </w:tc>
        <w:tc>
          <w:tcPr>
            <w:tcW w:w="1503" w:type="dxa"/>
          </w:tcPr>
          <w:p w:rsidR="00592077" w:rsidRDefault="00592077" w:rsidP="00592077">
            <w:pPr>
              <w:pStyle w:val="TableTextEntries"/>
            </w:pPr>
            <w:r>
              <w:t>December 2014</w:t>
            </w:r>
          </w:p>
          <w:p w:rsidR="00592077" w:rsidRPr="00592077" w:rsidRDefault="00592077" w:rsidP="006B1CD7">
            <w:pPr>
              <w:pStyle w:val="TableTextEntries"/>
            </w:pPr>
          </w:p>
        </w:tc>
      </w:tr>
      <w:tr w:rsidR="00592077" w:rsidRPr="00071B95" w:rsidTr="00704740">
        <w:trPr>
          <w:tblHeader w:val="0"/>
        </w:trPr>
        <w:tc>
          <w:tcPr>
            <w:tcW w:w="2079" w:type="dxa"/>
          </w:tcPr>
          <w:p w:rsidR="00592077" w:rsidRPr="00592077" w:rsidRDefault="00592077" w:rsidP="006B1CD7">
            <w:pPr>
              <w:spacing w:before="40" w:after="40" w:line="200" w:lineRule="atLeast"/>
              <w:rPr>
                <w:rFonts w:asciiTheme="minorHAnsi" w:eastAsiaTheme="minorHAnsi" w:hAnsiTheme="minorHAnsi"/>
                <w:szCs w:val="20"/>
                <w:lang w:eastAsia="en-US"/>
              </w:rPr>
            </w:pPr>
            <w:r w:rsidRPr="00592077">
              <w:rPr>
                <w:rFonts w:asciiTheme="minorHAnsi" w:hAnsiTheme="minorHAnsi"/>
                <w:szCs w:val="20"/>
              </w:rPr>
              <w:t>Classroom Construction Initiative (CCI)</w:t>
            </w:r>
          </w:p>
        </w:tc>
        <w:tc>
          <w:tcPr>
            <w:tcW w:w="1531" w:type="dxa"/>
          </w:tcPr>
          <w:p w:rsidR="00592077" w:rsidRPr="00592077" w:rsidRDefault="00592077" w:rsidP="006B1CD7">
            <w:pPr>
              <w:spacing w:before="40" w:after="40" w:line="200" w:lineRule="atLeast"/>
              <w:rPr>
                <w:rFonts w:asciiTheme="minorHAnsi" w:eastAsiaTheme="minorHAnsi" w:hAnsiTheme="minorHAnsi"/>
                <w:szCs w:val="20"/>
                <w:lang w:eastAsia="en-US"/>
              </w:rPr>
            </w:pPr>
            <w:r w:rsidRPr="00592077">
              <w:rPr>
                <w:rFonts w:asciiTheme="minorHAnsi" w:hAnsiTheme="minorHAnsi"/>
                <w:szCs w:val="20"/>
              </w:rPr>
              <w:t>INK346</w:t>
            </w:r>
          </w:p>
        </w:tc>
        <w:tc>
          <w:tcPr>
            <w:tcW w:w="2665" w:type="dxa"/>
          </w:tcPr>
          <w:p w:rsidR="00592077" w:rsidRPr="00592077" w:rsidRDefault="00592077" w:rsidP="006B1CD7">
            <w:pPr>
              <w:pStyle w:val="TableTextEntries"/>
            </w:pPr>
            <w:r w:rsidRPr="00592077">
              <w:t>Report of the Independent Completion Review (</w:t>
            </w:r>
            <w:r w:rsidRPr="00592077">
              <w:rPr>
                <w:rFonts w:asciiTheme="minorHAnsi" w:hAnsiTheme="minorHAnsi"/>
                <w:sz w:val="20"/>
                <w:szCs w:val="20"/>
              </w:rPr>
              <w:t>Classroom Construction Initiative)</w:t>
            </w:r>
          </w:p>
        </w:tc>
        <w:tc>
          <w:tcPr>
            <w:tcW w:w="1530" w:type="dxa"/>
          </w:tcPr>
          <w:p w:rsidR="00592077" w:rsidRPr="00592077" w:rsidRDefault="00592077" w:rsidP="006B1CD7">
            <w:pPr>
              <w:spacing w:before="40" w:after="40" w:line="200" w:lineRule="atLeast"/>
              <w:rPr>
                <w:rFonts w:asciiTheme="minorHAnsi" w:eastAsiaTheme="minorHAnsi" w:hAnsiTheme="minorHAnsi"/>
                <w:bCs/>
                <w:szCs w:val="20"/>
                <w:lang w:eastAsia="en-US"/>
              </w:rPr>
            </w:pPr>
            <w:r w:rsidRPr="00592077">
              <w:rPr>
                <w:rFonts w:asciiTheme="minorHAnsi" w:hAnsiTheme="minorHAnsi"/>
                <w:bCs/>
                <w:szCs w:val="20"/>
              </w:rPr>
              <w:t>3 June 2014</w:t>
            </w:r>
          </w:p>
        </w:tc>
        <w:tc>
          <w:tcPr>
            <w:tcW w:w="1921" w:type="dxa"/>
          </w:tcPr>
          <w:p w:rsidR="00592077" w:rsidRPr="00592077" w:rsidRDefault="00592077" w:rsidP="006B1CD7">
            <w:pPr>
              <w:spacing w:before="40" w:after="40" w:line="200" w:lineRule="atLeast"/>
              <w:rPr>
                <w:rFonts w:asciiTheme="minorHAnsi" w:eastAsiaTheme="minorHAnsi" w:hAnsiTheme="minorHAnsi"/>
                <w:bCs/>
                <w:szCs w:val="20"/>
                <w:lang w:eastAsia="en-US"/>
              </w:rPr>
            </w:pPr>
            <w:r w:rsidRPr="00592077">
              <w:rPr>
                <w:rFonts w:asciiTheme="minorHAnsi" w:hAnsiTheme="minorHAnsi"/>
                <w:bCs/>
                <w:szCs w:val="20"/>
              </w:rPr>
              <w:t>12 August 2014</w:t>
            </w:r>
          </w:p>
        </w:tc>
        <w:tc>
          <w:tcPr>
            <w:tcW w:w="1743" w:type="dxa"/>
          </w:tcPr>
          <w:p w:rsidR="00592077" w:rsidRPr="00592077" w:rsidRDefault="00592077" w:rsidP="006B1CD7">
            <w:pPr>
              <w:spacing w:before="40" w:after="40" w:line="200" w:lineRule="atLeast"/>
              <w:rPr>
                <w:rFonts w:asciiTheme="minorHAnsi" w:eastAsiaTheme="minorHAnsi" w:hAnsiTheme="minorHAnsi"/>
                <w:bCs/>
                <w:szCs w:val="20"/>
                <w:lang w:eastAsia="en-US"/>
              </w:rPr>
            </w:pPr>
            <w:r w:rsidRPr="00592077">
              <w:rPr>
                <w:rFonts w:asciiTheme="minorHAnsi" w:hAnsiTheme="minorHAnsi"/>
                <w:bCs/>
                <w:szCs w:val="20"/>
              </w:rPr>
              <w:t>For approval</w:t>
            </w:r>
          </w:p>
        </w:tc>
        <w:tc>
          <w:tcPr>
            <w:tcW w:w="1503" w:type="dxa"/>
          </w:tcPr>
          <w:p w:rsidR="00592077" w:rsidRDefault="00592077" w:rsidP="00592077">
            <w:pPr>
              <w:pStyle w:val="TableTextEntries"/>
            </w:pPr>
            <w:r>
              <w:t>December 2014</w:t>
            </w:r>
          </w:p>
          <w:p w:rsidR="00592077" w:rsidRPr="00592077" w:rsidRDefault="00592077" w:rsidP="006B1CD7">
            <w:pPr>
              <w:pStyle w:val="TableTextEntries"/>
            </w:pPr>
          </w:p>
        </w:tc>
      </w:tr>
      <w:tr w:rsidR="00592077" w:rsidRPr="00071B95" w:rsidTr="00704740">
        <w:trPr>
          <w:cnfStyle w:val="000000010000" w:firstRow="0" w:lastRow="0" w:firstColumn="0" w:lastColumn="0" w:oddVBand="0" w:evenVBand="0" w:oddHBand="0" w:evenHBand="1" w:firstRowFirstColumn="0" w:firstRowLastColumn="0" w:lastRowFirstColumn="0" w:lastRowLastColumn="0"/>
          <w:tblHeader w:val="0"/>
        </w:trPr>
        <w:tc>
          <w:tcPr>
            <w:tcW w:w="2079" w:type="dxa"/>
          </w:tcPr>
          <w:p w:rsidR="00592077" w:rsidRPr="00704740" w:rsidRDefault="00592077" w:rsidP="00704740">
            <w:pPr>
              <w:spacing w:before="40" w:after="40" w:line="200" w:lineRule="atLeast"/>
              <w:rPr>
                <w:rFonts w:asciiTheme="minorHAnsi" w:hAnsiTheme="minorHAnsi"/>
                <w:szCs w:val="20"/>
              </w:rPr>
            </w:pPr>
            <w:r w:rsidRPr="00592077">
              <w:rPr>
                <w:rFonts w:asciiTheme="minorHAnsi" w:hAnsiTheme="minorHAnsi"/>
                <w:szCs w:val="20"/>
              </w:rPr>
              <w:t>Philippines Social Protection :</w:t>
            </w:r>
          </w:p>
          <w:p w:rsidR="00592077" w:rsidRPr="00592077" w:rsidRDefault="00592077" w:rsidP="00704740">
            <w:pPr>
              <w:spacing w:before="40" w:after="40" w:line="200" w:lineRule="atLeast"/>
              <w:ind w:left="142"/>
              <w:rPr>
                <w:rFonts w:asciiTheme="minorHAnsi" w:eastAsiaTheme="minorHAnsi" w:hAnsiTheme="minorHAnsi"/>
                <w:szCs w:val="20"/>
                <w:lang w:eastAsia="en-US"/>
              </w:rPr>
            </w:pPr>
            <w:r w:rsidRPr="00592077">
              <w:rPr>
                <w:rFonts w:asciiTheme="minorHAnsi" w:hAnsiTheme="minorHAnsi"/>
                <w:szCs w:val="20"/>
              </w:rPr>
              <w:t xml:space="preserve">DSWD Technical Assistance Facility for Social Protection Reforms </w:t>
            </w:r>
          </w:p>
        </w:tc>
        <w:tc>
          <w:tcPr>
            <w:tcW w:w="1531" w:type="dxa"/>
          </w:tcPr>
          <w:p w:rsidR="00592077" w:rsidRPr="00592077" w:rsidRDefault="00592077" w:rsidP="006B1CD7">
            <w:pPr>
              <w:spacing w:before="40" w:after="40" w:line="200" w:lineRule="atLeast"/>
              <w:rPr>
                <w:rFonts w:asciiTheme="minorHAnsi" w:eastAsiaTheme="minorHAnsi" w:hAnsiTheme="minorHAnsi"/>
                <w:bCs/>
                <w:szCs w:val="20"/>
                <w:lang w:eastAsia="en-US"/>
              </w:rPr>
            </w:pPr>
          </w:p>
          <w:p w:rsidR="00592077" w:rsidRPr="00592077" w:rsidRDefault="00592077" w:rsidP="006B1CD7">
            <w:pPr>
              <w:spacing w:before="40" w:after="40" w:line="200" w:lineRule="atLeast"/>
              <w:rPr>
                <w:rFonts w:asciiTheme="minorHAnsi" w:eastAsiaTheme="minorHAnsi" w:hAnsiTheme="minorHAnsi"/>
                <w:bCs/>
                <w:szCs w:val="20"/>
                <w:lang w:eastAsia="en-US"/>
              </w:rPr>
            </w:pPr>
            <w:r w:rsidRPr="00592077">
              <w:rPr>
                <w:rFonts w:asciiTheme="minorHAnsi" w:hAnsiTheme="minorHAnsi"/>
                <w:bCs/>
                <w:szCs w:val="20"/>
              </w:rPr>
              <w:t>INI 428 Activity 11A661</w:t>
            </w:r>
          </w:p>
        </w:tc>
        <w:tc>
          <w:tcPr>
            <w:tcW w:w="2665" w:type="dxa"/>
          </w:tcPr>
          <w:p w:rsidR="00592077" w:rsidRPr="00592077" w:rsidRDefault="00592077" w:rsidP="006B1CD7">
            <w:pPr>
              <w:pStyle w:val="TableTextEntries"/>
            </w:pPr>
            <w:r w:rsidRPr="00592077">
              <w:t xml:space="preserve">Independent Progress Review of the Technical Assistance Facility (TAF) for Social Protection Reforms </w:t>
            </w:r>
          </w:p>
          <w:p w:rsidR="00592077" w:rsidRDefault="00592077" w:rsidP="006B1CD7">
            <w:pPr>
              <w:pStyle w:val="TableTextEntries"/>
            </w:pPr>
          </w:p>
          <w:p w:rsidR="00592077" w:rsidRPr="00592077" w:rsidRDefault="00592077" w:rsidP="00592077">
            <w:pPr>
              <w:rPr>
                <w:lang w:eastAsia="en-US"/>
              </w:rPr>
            </w:pPr>
          </w:p>
        </w:tc>
        <w:tc>
          <w:tcPr>
            <w:tcW w:w="1530" w:type="dxa"/>
          </w:tcPr>
          <w:p w:rsidR="00592077" w:rsidRPr="00592077" w:rsidRDefault="00592077" w:rsidP="006B1CD7">
            <w:pPr>
              <w:spacing w:before="40" w:after="40" w:line="200" w:lineRule="atLeast"/>
              <w:rPr>
                <w:rFonts w:asciiTheme="minorHAnsi" w:eastAsiaTheme="minorHAnsi" w:hAnsiTheme="minorHAnsi"/>
                <w:bCs/>
                <w:szCs w:val="20"/>
                <w:lang w:eastAsia="en-US"/>
              </w:rPr>
            </w:pPr>
            <w:r w:rsidRPr="00592077">
              <w:rPr>
                <w:rFonts w:asciiTheme="minorHAnsi" w:hAnsiTheme="minorHAnsi"/>
                <w:bCs/>
                <w:szCs w:val="20"/>
              </w:rPr>
              <w:t>2 June 2014</w:t>
            </w:r>
          </w:p>
        </w:tc>
        <w:tc>
          <w:tcPr>
            <w:tcW w:w="1921" w:type="dxa"/>
          </w:tcPr>
          <w:p w:rsidR="00592077" w:rsidRPr="00592077" w:rsidRDefault="00592077" w:rsidP="006B1CD7">
            <w:pPr>
              <w:spacing w:before="40" w:after="40" w:line="200" w:lineRule="atLeast"/>
              <w:rPr>
                <w:rFonts w:asciiTheme="minorHAnsi" w:eastAsiaTheme="minorHAnsi" w:hAnsiTheme="minorHAnsi"/>
                <w:bCs/>
                <w:szCs w:val="20"/>
                <w:lang w:eastAsia="en-US"/>
              </w:rPr>
            </w:pPr>
            <w:r w:rsidRPr="00592077">
              <w:rPr>
                <w:rFonts w:asciiTheme="minorHAnsi" w:hAnsiTheme="minorHAnsi"/>
                <w:bCs/>
                <w:szCs w:val="20"/>
              </w:rPr>
              <w:t>August 12 2014</w:t>
            </w:r>
          </w:p>
        </w:tc>
        <w:tc>
          <w:tcPr>
            <w:tcW w:w="1743" w:type="dxa"/>
          </w:tcPr>
          <w:p w:rsidR="00592077" w:rsidRPr="00592077" w:rsidRDefault="00592077" w:rsidP="006B1CD7">
            <w:pPr>
              <w:spacing w:before="40" w:after="40" w:line="200" w:lineRule="atLeast"/>
              <w:rPr>
                <w:rFonts w:asciiTheme="minorHAnsi" w:eastAsiaTheme="minorHAnsi" w:hAnsiTheme="minorHAnsi"/>
                <w:bCs/>
                <w:szCs w:val="20"/>
                <w:lang w:eastAsia="en-US"/>
              </w:rPr>
            </w:pPr>
            <w:r w:rsidRPr="00592077">
              <w:rPr>
                <w:rFonts w:asciiTheme="minorHAnsi" w:hAnsiTheme="minorHAnsi"/>
                <w:bCs/>
                <w:szCs w:val="20"/>
              </w:rPr>
              <w:t>August 12 2014</w:t>
            </w:r>
          </w:p>
        </w:tc>
        <w:tc>
          <w:tcPr>
            <w:tcW w:w="1503" w:type="dxa"/>
          </w:tcPr>
          <w:p w:rsidR="00592077" w:rsidRDefault="00592077" w:rsidP="00592077">
            <w:pPr>
              <w:pStyle w:val="TableTextEntries"/>
            </w:pPr>
            <w:r>
              <w:t>December 2014</w:t>
            </w:r>
          </w:p>
          <w:p w:rsidR="00592077" w:rsidRPr="00592077" w:rsidRDefault="00592077" w:rsidP="006B1CD7">
            <w:pPr>
              <w:spacing w:before="40" w:after="40" w:line="200" w:lineRule="atLeast"/>
              <w:rPr>
                <w:rFonts w:asciiTheme="minorHAnsi" w:eastAsiaTheme="minorHAnsi" w:hAnsiTheme="minorHAnsi"/>
                <w:bCs/>
                <w:szCs w:val="20"/>
                <w:lang w:eastAsia="en-US"/>
              </w:rPr>
            </w:pPr>
          </w:p>
        </w:tc>
      </w:tr>
      <w:tr w:rsidR="00592077" w:rsidRPr="00071B95" w:rsidTr="00704740">
        <w:trPr>
          <w:tblHeader w:val="0"/>
        </w:trPr>
        <w:tc>
          <w:tcPr>
            <w:tcW w:w="2079" w:type="dxa"/>
          </w:tcPr>
          <w:p w:rsidR="00592077" w:rsidRPr="00592077" w:rsidRDefault="00592077" w:rsidP="006B1CD7">
            <w:pPr>
              <w:rPr>
                <w:rFonts w:asciiTheme="minorHAnsi" w:hAnsiTheme="minorHAnsi"/>
                <w:szCs w:val="20"/>
              </w:rPr>
            </w:pPr>
            <w:r w:rsidRPr="00592077">
              <w:rPr>
                <w:rFonts w:asciiTheme="minorHAnsi" w:hAnsiTheme="minorHAnsi"/>
                <w:szCs w:val="20"/>
              </w:rPr>
              <w:lastRenderedPageBreak/>
              <w:t>Public Financial Management Program</w:t>
            </w:r>
          </w:p>
          <w:p w:rsidR="00592077" w:rsidRPr="00592077" w:rsidRDefault="00592077" w:rsidP="006B1CD7">
            <w:pPr>
              <w:rPr>
                <w:rFonts w:asciiTheme="minorHAnsi" w:hAnsiTheme="minorHAnsi"/>
                <w:szCs w:val="20"/>
              </w:rPr>
            </w:pPr>
          </w:p>
          <w:p w:rsidR="00592077" w:rsidRPr="00592077" w:rsidRDefault="00592077" w:rsidP="006B1CD7">
            <w:pPr>
              <w:rPr>
                <w:rFonts w:asciiTheme="minorHAnsi" w:hAnsiTheme="minorHAnsi"/>
                <w:szCs w:val="20"/>
              </w:rPr>
            </w:pPr>
          </w:p>
        </w:tc>
        <w:tc>
          <w:tcPr>
            <w:tcW w:w="1531" w:type="dxa"/>
          </w:tcPr>
          <w:p w:rsidR="00592077" w:rsidRPr="00592077" w:rsidRDefault="00592077" w:rsidP="006B1CD7">
            <w:pPr>
              <w:pStyle w:val="TableTextEntries"/>
              <w:rPr>
                <w:rFonts w:asciiTheme="minorHAnsi" w:hAnsiTheme="minorHAnsi"/>
                <w:sz w:val="20"/>
                <w:szCs w:val="20"/>
              </w:rPr>
            </w:pPr>
            <w:r w:rsidRPr="00592077">
              <w:rPr>
                <w:rFonts w:asciiTheme="minorHAnsi" w:hAnsiTheme="minorHAnsi"/>
                <w:sz w:val="20"/>
                <w:szCs w:val="20"/>
              </w:rPr>
              <w:t>INK078</w:t>
            </w:r>
          </w:p>
        </w:tc>
        <w:tc>
          <w:tcPr>
            <w:tcW w:w="2665" w:type="dxa"/>
          </w:tcPr>
          <w:p w:rsidR="00592077" w:rsidRPr="00592077" w:rsidRDefault="00592077" w:rsidP="006B1CD7">
            <w:pPr>
              <w:pStyle w:val="TableTextEntries"/>
            </w:pPr>
            <w:r w:rsidRPr="00592077">
              <w:t>Mid-Term Review</w:t>
            </w:r>
          </w:p>
          <w:p w:rsidR="00592077" w:rsidRPr="00592077" w:rsidRDefault="00592077" w:rsidP="006B1CD7">
            <w:pPr>
              <w:pStyle w:val="TableTextEntries"/>
            </w:pPr>
            <w:r w:rsidRPr="00592077">
              <w:t>(A formative and summative evaluation of progress towards outcomes)</w:t>
            </w:r>
          </w:p>
        </w:tc>
        <w:tc>
          <w:tcPr>
            <w:tcW w:w="1530" w:type="dxa"/>
          </w:tcPr>
          <w:p w:rsidR="00592077" w:rsidRPr="00592077" w:rsidRDefault="00592077" w:rsidP="006B1CD7">
            <w:pPr>
              <w:pStyle w:val="TableTextEntries"/>
            </w:pPr>
            <w:r w:rsidRPr="00592077">
              <w:t>March 2014</w:t>
            </w:r>
          </w:p>
        </w:tc>
        <w:tc>
          <w:tcPr>
            <w:tcW w:w="1921" w:type="dxa"/>
          </w:tcPr>
          <w:p w:rsidR="00592077" w:rsidRPr="00592077" w:rsidRDefault="00592077" w:rsidP="006B1CD7">
            <w:pPr>
              <w:pStyle w:val="TableTextEntries"/>
            </w:pPr>
            <w:r w:rsidRPr="00592077">
              <w:t>30 May 2014</w:t>
            </w:r>
          </w:p>
        </w:tc>
        <w:tc>
          <w:tcPr>
            <w:tcW w:w="1743" w:type="dxa"/>
          </w:tcPr>
          <w:p w:rsidR="00592077" w:rsidRPr="00592077" w:rsidRDefault="00592077" w:rsidP="006B1CD7">
            <w:pPr>
              <w:pStyle w:val="TableTextEntries"/>
            </w:pPr>
            <w:r w:rsidRPr="00592077">
              <w:t>13 August 2014</w:t>
            </w:r>
          </w:p>
        </w:tc>
        <w:tc>
          <w:tcPr>
            <w:tcW w:w="1503" w:type="dxa"/>
          </w:tcPr>
          <w:p w:rsidR="00592077" w:rsidRDefault="00592077" w:rsidP="00592077">
            <w:pPr>
              <w:pStyle w:val="TableTextEntries"/>
            </w:pPr>
            <w:r>
              <w:t>December 2014</w:t>
            </w:r>
          </w:p>
          <w:p w:rsidR="00592077" w:rsidRPr="00592077" w:rsidRDefault="00592077" w:rsidP="006B1CD7">
            <w:pPr>
              <w:pStyle w:val="TableTextEntries"/>
            </w:pPr>
          </w:p>
        </w:tc>
      </w:tr>
      <w:tr w:rsidR="00592077" w:rsidRPr="00071B95" w:rsidTr="00704740">
        <w:trPr>
          <w:cnfStyle w:val="000000010000" w:firstRow="0" w:lastRow="0" w:firstColumn="0" w:lastColumn="0" w:oddVBand="0" w:evenVBand="0" w:oddHBand="0" w:evenHBand="1" w:firstRowFirstColumn="0" w:firstRowLastColumn="0" w:lastRowFirstColumn="0" w:lastRowLastColumn="0"/>
          <w:tblHeader w:val="0"/>
        </w:trPr>
        <w:tc>
          <w:tcPr>
            <w:tcW w:w="2079" w:type="dxa"/>
          </w:tcPr>
          <w:p w:rsidR="00592077" w:rsidRPr="00592077" w:rsidRDefault="00592077" w:rsidP="006B1CD7">
            <w:pPr>
              <w:rPr>
                <w:rFonts w:asciiTheme="minorHAnsi" w:hAnsiTheme="minorHAnsi"/>
                <w:szCs w:val="20"/>
              </w:rPr>
            </w:pPr>
            <w:r w:rsidRPr="00592077">
              <w:rPr>
                <w:rFonts w:asciiTheme="minorHAnsi" w:hAnsiTheme="minorHAnsi"/>
                <w:szCs w:val="20"/>
              </w:rPr>
              <w:t>The Asia Foundation Partnership Philippines</w:t>
            </w:r>
          </w:p>
        </w:tc>
        <w:tc>
          <w:tcPr>
            <w:tcW w:w="1531" w:type="dxa"/>
          </w:tcPr>
          <w:p w:rsidR="00592077" w:rsidRPr="00592077" w:rsidRDefault="00592077" w:rsidP="006B1CD7">
            <w:pPr>
              <w:pStyle w:val="TableTextEntries"/>
              <w:rPr>
                <w:rFonts w:asciiTheme="minorHAnsi" w:hAnsiTheme="minorHAnsi"/>
                <w:sz w:val="20"/>
                <w:szCs w:val="20"/>
              </w:rPr>
            </w:pPr>
            <w:r w:rsidRPr="00592077">
              <w:rPr>
                <w:rFonts w:asciiTheme="minorHAnsi" w:hAnsiTheme="minorHAnsi"/>
                <w:sz w:val="20"/>
                <w:szCs w:val="20"/>
              </w:rPr>
              <w:t>INJ839</w:t>
            </w:r>
          </w:p>
        </w:tc>
        <w:tc>
          <w:tcPr>
            <w:tcW w:w="2665" w:type="dxa"/>
          </w:tcPr>
          <w:p w:rsidR="00592077" w:rsidRPr="00592077" w:rsidRDefault="00592077" w:rsidP="006B1CD7">
            <w:pPr>
              <w:pStyle w:val="TableTextEntries"/>
            </w:pPr>
            <w:r w:rsidRPr="00592077">
              <w:t>Review of the</w:t>
            </w:r>
          </w:p>
          <w:p w:rsidR="00592077" w:rsidRPr="00592077" w:rsidRDefault="00592077" w:rsidP="006B1CD7">
            <w:pPr>
              <w:pStyle w:val="TableTextEntries"/>
            </w:pPr>
            <w:r w:rsidRPr="00592077">
              <w:t>Australia-TAF Partnership</w:t>
            </w:r>
          </w:p>
          <w:p w:rsidR="00592077" w:rsidRPr="00592077" w:rsidRDefault="00592077" w:rsidP="006B1CD7">
            <w:pPr>
              <w:pStyle w:val="TableTextEntries"/>
            </w:pPr>
            <w:r w:rsidRPr="00592077">
              <w:t>in the Philippines</w:t>
            </w:r>
          </w:p>
        </w:tc>
        <w:tc>
          <w:tcPr>
            <w:tcW w:w="1530" w:type="dxa"/>
          </w:tcPr>
          <w:p w:rsidR="00592077" w:rsidRPr="00592077" w:rsidRDefault="00592077" w:rsidP="006B1CD7">
            <w:pPr>
              <w:pStyle w:val="TableTextEntries"/>
            </w:pPr>
            <w:r w:rsidRPr="00592077">
              <w:t>22 January 2014</w:t>
            </w:r>
          </w:p>
        </w:tc>
        <w:tc>
          <w:tcPr>
            <w:tcW w:w="1921" w:type="dxa"/>
          </w:tcPr>
          <w:p w:rsidR="00592077" w:rsidRPr="00592077" w:rsidRDefault="00592077" w:rsidP="006B1CD7">
            <w:pPr>
              <w:pStyle w:val="TableTextEntries"/>
            </w:pPr>
            <w:r w:rsidRPr="00592077">
              <w:t>31 January 2014</w:t>
            </w:r>
          </w:p>
        </w:tc>
        <w:tc>
          <w:tcPr>
            <w:tcW w:w="1743" w:type="dxa"/>
          </w:tcPr>
          <w:p w:rsidR="00592077" w:rsidRPr="00592077" w:rsidRDefault="00592077" w:rsidP="006B1CD7">
            <w:pPr>
              <w:pStyle w:val="TableTextEntries"/>
            </w:pPr>
            <w:r w:rsidRPr="00592077">
              <w:t>For uploading but all management consequences have been addressed.</w:t>
            </w:r>
          </w:p>
        </w:tc>
        <w:tc>
          <w:tcPr>
            <w:tcW w:w="1503" w:type="dxa"/>
          </w:tcPr>
          <w:p w:rsidR="00592077" w:rsidRDefault="00592077" w:rsidP="00592077">
            <w:pPr>
              <w:pStyle w:val="TableTextEntries"/>
            </w:pPr>
            <w:r>
              <w:t>December 2014</w:t>
            </w:r>
          </w:p>
          <w:p w:rsidR="00592077" w:rsidRPr="00592077" w:rsidRDefault="00592077" w:rsidP="006B1CD7">
            <w:pPr>
              <w:pStyle w:val="TableTextEntries"/>
            </w:pPr>
          </w:p>
        </w:tc>
      </w:tr>
    </w:tbl>
    <w:p w:rsidR="000D733F" w:rsidRDefault="000D733F" w:rsidP="000D733F">
      <w:pPr>
        <w:rPr>
          <w:b/>
        </w:rPr>
      </w:pPr>
    </w:p>
    <w:p w:rsidR="000D733F" w:rsidRPr="00071B95" w:rsidRDefault="00AE5BC3" w:rsidP="00886064">
      <w:pPr>
        <w:pStyle w:val="ListBullet"/>
        <w:tabs>
          <w:tab w:val="clear" w:pos="284"/>
        </w:tabs>
      </w:pPr>
      <w:r>
        <w:t xml:space="preserve">List of evaluations </w:t>
      </w:r>
      <w:r w:rsidR="000D733F" w:rsidRPr="00071B95">
        <w:t xml:space="preserve">planned in the next 12 months </w:t>
      </w:r>
    </w:p>
    <w:p w:rsidR="000D733F" w:rsidRDefault="000D733F" w:rsidP="00886064">
      <w:pPr>
        <w:pStyle w:val="ListBullet"/>
        <w:tabs>
          <w:tab w:val="clear" w:pos="284"/>
        </w:tabs>
        <w:sectPr w:rsidR="000D733F" w:rsidSect="00CD061B">
          <w:pgSz w:w="16838" w:h="11906" w:orient="landscape" w:code="9"/>
          <w:pgMar w:top="1814" w:right="1814" w:bottom="851" w:left="851" w:header="709" w:footer="425" w:gutter="0"/>
          <w:cols w:space="708"/>
          <w:docGrid w:linePitch="360"/>
        </w:sectPr>
      </w:pPr>
    </w:p>
    <w:tbl>
      <w:tblPr>
        <w:tblStyle w:val="APPR"/>
        <w:tblW w:w="0" w:type="auto"/>
        <w:tblLook w:val="0600" w:firstRow="0" w:lastRow="0" w:firstColumn="0" w:lastColumn="0" w:noHBand="1" w:noVBand="1"/>
      </w:tblPr>
      <w:tblGrid>
        <w:gridCol w:w="2688"/>
        <w:gridCol w:w="2126"/>
        <w:gridCol w:w="1291"/>
        <w:gridCol w:w="5513"/>
        <w:gridCol w:w="1537"/>
      </w:tblGrid>
      <w:tr w:rsidR="000D733F" w:rsidRPr="00071B95" w:rsidTr="00704740">
        <w:tc>
          <w:tcPr>
            <w:tcW w:w="2646" w:type="dxa"/>
          </w:tcPr>
          <w:p w:rsidR="000D733F" w:rsidRPr="00071B95" w:rsidRDefault="000D733F" w:rsidP="0010390C">
            <w:pPr>
              <w:pStyle w:val="TableTextColumnHeading"/>
            </w:pPr>
            <w:r w:rsidRPr="00071B95">
              <w:lastRenderedPageBreak/>
              <w:t xml:space="preserve">Name of </w:t>
            </w:r>
            <w:r w:rsidR="00501CD2">
              <w:t>Investment</w:t>
            </w:r>
          </w:p>
        </w:tc>
        <w:tc>
          <w:tcPr>
            <w:tcW w:w="2098" w:type="dxa"/>
          </w:tcPr>
          <w:p w:rsidR="000D733F" w:rsidRPr="00071B95" w:rsidRDefault="000D733F" w:rsidP="0010390C">
            <w:pPr>
              <w:pStyle w:val="TableTextColumnHeading"/>
            </w:pPr>
            <w:r w:rsidRPr="00071B95">
              <w:t>Aidworks number</w:t>
            </w:r>
          </w:p>
        </w:tc>
        <w:tc>
          <w:tcPr>
            <w:tcW w:w="1263" w:type="dxa"/>
          </w:tcPr>
          <w:p w:rsidR="000D733F" w:rsidRPr="00071B95" w:rsidRDefault="000D733F" w:rsidP="0010390C">
            <w:pPr>
              <w:pStyle w:val="TableTextColumnHeading"/>
            </w:pPr>
            <w:r w:rsidRPr="00071B95">
              <w:t>Type of evaluation</w:t>
            </w:r>
          </w:p>
        </w:tc>
        <w:tc>
          <w:tcPr>
            <w:tcW w:w="5485" w:type="dxa"/>
          </w:tcPr>
          <w:p w:rsidR="000D733F" w:rsidRPr="00071B95" w:rsidRDefault="000D733F" w:rsidP="0010390C">
            <w:pPr>
              <w:pStyle w:val="TableTextColumnHeading"/>
            </w:pPr>
            <w:r w:rsidRPr="00071B95">
              <w:t>Purpose of evaluation</w:t>
            </w:r>
          </w:p>
        </w:tc>
        <w:tc>
          <w:tcPr>
            <w:tcW w:w="1495" w:type="dxa"/>
          </w:tcPr>
          <w:p w:rsidR="000D733F" w:rsidRPr="00071B95" w:rsidRDefault="000D733F" w:rsidP="0010390C">
            <w:pPr>
              <w:pStyle w:val="TableTextColumnHeading"/>
            </w:pPr>
            <w:r w:rsidRPr="00071B95">
              <w:t>Expected completion date</w:t>
            </w:r>
          </w:p>
        </w:tc>
      </w:tr>
      <w:tr w:rsidR="00592077" w:rsidRPr="00071B95" w:rsidTr="00704740">
        <w:trPr>
          <w:tblHeader w:val="0"/>
        </w:trPr>
        <w:tc>
          <w:tcPr>
            <w:tcW w:w="2646" w:type="dxa"/>
          </w:tcPr>
          <w:p w:rsidR="00592077" w:rsidRPr="00AE088D" w:rsidRDefault="00592077" w:rsidP="006B1CD7">
            <w:pPr>
              <w:rPr>
                <w:rFonts w:asciiTheme="minorHAnsi" w:hAnsiTheme="minorHAnsi"/>
                <w:szCs w:val="20"/>
              </w:rPr>
            </w:pPr>
            <w:r w:rsidRPr="00AE088D">
              <w:rPr>
                <w:rFonts w:asciiTheme="minorHAnsi" w:hAnsiTheme="minorHAnsi"/>
                <w:szCs w:val="20"/>
              </w:rPr>
              <w:t>BEAM ARMM</w:t>
            </w:r>
          </w:p>
        </w:tc>
        <w:tc>
          <w:tcPr>
            <w:tcW w:w="2098" w:type="dxa"/>
          </w:tcPr>
          <w:p w:rsidR="00592077" w:rsidRPr="00AE088D" w:rsidRDefault="00592077" w:rsidP="006B1CD7">
            <w:pPr>
              <w:rPr>
                <w:rFonts w:asciiTheme="minorHAnsi" w:hAnsiTheme="minorHAnsi"/>
                <w:szCs w:val="20"/>
              </w:rPr>
            </w:pPr>
            <w:r w:rsidRPr="00AE088D">
              <w:rPr>
                <w:rFonts w:asciiTheme="minorHAnsi" w:hAnsiTheme="minorHAnsi"/>
                <w:szCs w:val="20"/>
              </w:rPr>
              <w:t>INH947</w:t>
            </w:r>
          </w:p>
        </w:tc>
        <w:tc>
          <w:tcPr>
            <w:tcW w:w="1263" w:type="dxa"/>
          </w:tcPr>
          <w:p w:rsidR="00592077" w:rsidRPr="00AE088D" w:rsidRDefault="00592077" w:rsidP="006B1CD7">
            <w:pPr>
              <w:rPr>
                <w:rFonts w:asciiTheme="minorHAnsi" w:hAnsiTheme="minorHAnsi"/>
                <w:szCs w:val="20"/>
              </w:rPr>
            </w:pPr>
            <w:r w:rsidRPr="00AE088D">
              <w:rPr>
                <w:rFonts w:asciiTheme="minorHAnsi" w:hAnsiTheme="minorHAnsi"/>
                <w:szCs w:val="20"/>
              </w:rPr>
              <w:t>Independent Progress Review</w:t>
            </w:r>
          </w:p>
        </w:tc>
        <w:tc>
          <w:tcPr>
            <w:tcW w:w="5485" w:type="dxa"/>
          </w:tcPr>
          <w:p w:rsidR="00592077" w:rsidRPr="00AE088D" w:rsidRDefault="00592077" w:rsidP="006B1CD7">
            <w:pPr>
              <w:rPr>
                <w:rFonts w:asciiTheme="minorHAnsi" w:hAnsiTheme="minorHAnsi"/>
                <w:szCs w:val="20"/>
              </w:rPr>
            </w:pPr>
            <w:r w:rsidRPr="00AE088D">
              <w:rPr>
                <w:rFonts w:asciiTheme="minorHAnsi" w:hAnsiTheme="minorHAnsi"/>
                <w:szCs w:val="20"/>
              </w:rPr>
              <w:t xml:space="preserve">The IPR aims to look at the progress of the program towards its intended outcomes, identify areas of improvement, review partnering modalities, and feed into the updating of the Program Design. </w:t>
            </w:r>
          </w:p>
        </w:tc>
        <w:tc>
          <w:tcPr>
            <w:tcW w:w="1495" w:type="dxa"/>
          </w:tcPr>
          <w:p w:rsidR="00592077" w:rsidRPr="00AE088D" w:rsidRDefault="00592077" w:rsidP="006B1CD7">
            <w:pPr>
              <w:pStyle w:val="TableTextEntries"/>
              <w:rPr>
                <w:rFonts w:asciiTheme="minorHAnsi" w:hAnsiTheme="minorHAnsi"/>
                <w:sz w:val="20"/>
                <w:szCs w:val="20"/>
              </w:rPr>
            </w:pPr>
            <w:r w:rsidRPr="00AE088D">
              <w:rPr>
                <w:rFonts w:asciiTheme="minorHAnsi" w:hAnsiTheme="minorHAnsi"/>
                <w:sz w:val="20"/>
                <w:szCs w:val="20"/>
              </w:rPr>
              <w:t>Q1 2014</w:t>
            </w:r>
          </w:p>
        </w:tc>
      </w:tr>
      <w:tr w:rsidR="00592077" w:rsidRPr="00071B95" w:rsidTr="00704740">
        <w:trPr>
          <w:tblHeader w:val="0"/>
        </w:trPr>
        <w:tc>
          <w:tcPr>
            <w:tcW w:w="2646" w:type="dxa"/>
          </w:tcPr>
          <w:p w:rsidR="00592077" w:rsidRPr="00142419" w:rsidRDefault="00592077" w:rsidP="006B1CD7">
            <w:pPr>
              <w:pStyle w:val="TableTextEntries"/>
              <w:rPr>
                <w:rFonts w:asciiTheme="minorHAnsi" w:eastAsiaTheme="minorHAnsi" w:hAnsiTheme="minorHAnsi"/>
                <w:b/>
                <w:sz w:val="20"/>
                <w:szCs w:val="20"/>
              </w:rPr>
            </w:pPr>
            <w:r w:rsidRPr="00142419">
              <w:rPr>
                <w:rFonts w:asciiTheme="minorHAnsi" w:hAnsiTheme="minorHAnsi"/>
                <w:sz w:val="20"/>
                <w:szCs w:val="20"/>
              </w:rPr>
              <w:t xml:space="preserve">Philippines Social Protection </w:t>
            </w:r>
          </w:p>
          <w:p w:rsidR="00592077" w:rsidRPr="00142419" w:rsidRDefault="00592077" w:rsidP="00704740">
            <w:pPr>
              <w:pStyle w:val="TableTextEntries"/>
              <w:ind w:left="142"/>
              <w:rPr>
                <w:rFonts w:asciiTheme="minorHAnsi" w:hAnsiTheme="minorHAnsi"/>
                <w:b/>
                <w:sz w:val="20"/>
                <w:szCs w:val="20"/>
              </w:rPr>
            </w:pPr>
            <w:r w:rsidRPr="00142419">
              <w:rPr>
                <w:rFonts w:asciiTheme="minorHAnsi" w:hAnsiTheme="minorHAnsi"/>
                <w:sz w:val="20"/>
                <w:szCs w:val="20"/>
              </w:rPr>
              <w:t>UNICEF Early Childhood Care and Development Activity</w:t>
            </w:r>
          </w:p>
        </w:tc>
        <w:tc>
          <w:tcPr>
            <w:tcW w:w="2098" w:type="dxa"/>
          </w:tcPr>
          <w:p w:rsidR="00592077" w:rsidRPr="00142419" w:rsidRDefault="00592077" w:rsidP="006B1CD7">
            <w:pPr>
              <w:pStyle w:val="TableTextEntries"/>
              <w:rPr>
                <w:rFonts w:asciiTheme="minorHAnsi" w:eastAsiaTheme="minorHAnsi" w:hAnsiTheme="minorHAnsi"/>
                <w:b/>
                <w:sz w:val="20"/>
                <w:szCs w:val="20"/>
              </w:rPr>
            </w:pPr>
            <w:r w:rsidRPr="00142419">
              <w:rPr>
                <w:rFonts w:asciiTheme="minorHAnsi" w:hAnsiTheme="minorHAnsi"/>
                <w:sz w:val="20"/>
                <w:szCs w:val="20"/>
              </w:rPr>
              <w:t>INI428</w:t>
            </w:r>
          </w:p>
          <w:p w:rsidR="00592077" w:rsidRPr="00142419" w:rsidRDefault="00592077" w:rsidP="006B1CD7">
            <w:pPr>
              <w:pStyle w:val="TableTextEntries"/>
              <w:rPr>
                <w:rFonts w:asciiTheme="minorHAnsi" w:hAnsiTheme="minorHAnsi"/>
                <w:b/>
                <w:sz w:val="20"/>
                <w:szCs w:val="20"/>
              </w:rPr>
            </w:pPr>
            <w:r w:rsidRPr="00142419">
              <w:rPr>
                <w:rFonts w:asciiTheme="minorHAnsi" w:hAnsiTheme="minorHAnsi"/>
                <w:sz w:val="20"/>
                <w:szCs w:val="20"/>
              </w:rPr>
              <w:t xml:space="preserve">Activity </w:t>
            </w:r>
          </w:p>
          <w:p w:rsidR="00592077" w:rsidRPr="00142419" w:rsidRDefault="00592077" w:rsidP="006B1CD7">
            <w:pPr>
              <w:pStyle w:val="TableTextEntries"/>
              <w:rPr>
                <w:rFonts w:asciiTheme="minorHAnsi" w:hAnsiTheme="minorHAnsi"/>
                <w:b/>
                <w:sz w:val="20"/>
                <w:szCs w:val="20"/>
              </w:rPr>
            </w:pPr>
            <w:r w:rsidRPr="00142419">
              <w:rPr>
                <w:rFonts w:asciiTheme="minorHAnsi" w:hAnsiTheme="minorHAnsi" w:cs="Tahoma"/>
                <w:sz w:val="20"/>
                <w:szCs w:val="20"/>
              </w:rPr>
              <w:t>12B217</w:t>
            </w:r>
          </w:p>
        </w:tc>
        <w:tc>
          <w:tcPr>
            <w:tcW w:w="1263" w:type="dxa"/>
          </w:tcPr>
          <w:p w:rsidR="00592077" w:rsidRPr="00142419" w:rsidRDefault="00592077" w:rsidP="006B1CD7">
            <w:pPr>
              <w:pStyle w:val="TableTextEntries"/>
              <w:rPr>
                <w:rFonts w:asciiTheme="minorHAnsi" w:hAnsiTheme="minorHAnsi"/>
                <w:b/>
                <w:sz w:val="20"/>
                <w:szCs w:val="20"/>
              </w:rPr>
            </w:pPr>
            <w:r w:rsidRPr="00142419">
              <w:rPr>
                <w:rFonts w:asciiTheme="minorHAnsi" w:hAnsiTheme="minorHAnsi"/>
                <w:sz w:val="20"/>
                <w:szCs w:val="20"/>
              </w:rPr>
              <w:t>IPR</w:t>
            </w:r>
          </w:p>
        </w:tc>
        <w:tc>
          <w:tcPr>
            <w:tcW w:w="5485" w:type="dxa"/>
          </w:tcPr>
          <w:p w:rsidR="00592077" w:rsidRPr="00142419" w:rsidRDefault="00592077" w:rsidP="006B1CD7">
            <w:pPr>
              <w:pStyle w:val="TableTextEntries"/>
              <w:rPr>
                <w:rFonts w:asciiTheme="minorHAnsi" w:hAnsiTheme="minorHAnsi"/>
                <w:b/>
                <w:sz w:val="20"/>
                <w:szCs w:val="20"/>
              </w:rPr>
            </w:pPr>
            <w:r w:rsidRPr="00142419">
              <w:rPr>
                <w:rFonts w:asciiTheme="minorHAnsi" w:hAnsiTheme="minorHAnsi"/>
                <w:sz w:val="20"/>
                <w:szCs w:val="20"/>
              </w:rPr>
              <w:t>Assess progress at mid-point of implementation and recommendation for improvement; possible scoping of next engagement in this sector</w:t>
            </w:r>
          </w:p>
        </w:tc>
        <w:tc>
          <w:tcPr>
            <w:tcW w:w="1495" w:type="dxa"/>
          </w:tcPr>
          <w:p w:rsidR="00592077" w:rsidRPr="00142419" w:rsidRDefault="00E43DEF" w:rsidP="006B1CD7">
            <w:pPr>
              <w:pStyle w:val="TableTextEntries"/>
              <w:rPr>
                <w:rFonts w:asciiTheme="minorHAnsi" w:hAnsiTheme="minorHAnsi"/>
                <w:b/>
                <w:sz w:val="20"/>
                <w:szCs w:val="20"/>
              </w:rPr>
            </w:pPr>
            <w:r>
              <w:rPr>
                <w:rFonts w:asciiTheme="minorHAnsi" w:hAnsiTheme="minorHAnsi"/>
                <w:sz w:val="20"/>
                <w:szCs w:val="20"/>
              </w:rPr>
              <w:t>Q2 2015</w:t>
            </w:r>
          </w:p>
        </w:tc>
      </w:tr>
      <w:tr w:rsidR="00F703E9" w:rsidTr="00704740">
        <w:tblPrEx>
          <w:tblLook w:val="04A0" w:firstRow="1" w:lastRow="0" w:firstColumn="1" w:lastColumn="0" w:noHBand="0" w:noVBand="1"/>
        </w:tblPrEx>
        <w:trPr>
          <w:tblHeader w:val="0"/>
        </w:trPr>
        <w:tc>
          <w:tcPr>
            <w:tcW w:w="2646" w:type="dxa"/>
            <w:hideMark/>
          </w:tcPr>
          <w:p w:rsidR="00F703E9" w:rsidRDefault="00F703E9" w:rsidP="00F703E9">
            <w:pPr>
              <w:pStyle w:val="TableTextEntries"/>
              <w:rPr>
                <w:rFonts w:ascii="Calibri" w:hAnsi="Calibri"/>
                <w:sz w:val="20"/>
                <w:szCs w:val="20"/>
                <w:lang w:eastAsia="en-AU"/>
              </w:rPr>
            </w:pPr>
            <w:r>
              <w:rPr>
                <w:rFonts w:ascii="Calibri" w:hAnsi="Calibri"/>
                <w:sz w:val="20"/>
                <w:szCs w:val="20"/>
                <w:lang w:eastAsia="en-AU"/>
              </w:rPr>
              <w:t>BRACE Program</w:t>
            </w:r>
          </w:p>
        </w:tc>
        <w:tc>
          <w:tcPr>
            <w:tcW w:w="2098" w:type="dxa"/>
            <w:hideMark/>
          </w:tcPr>
          <w:p w:rsidR="00F703E9" w:rsidRDefault="00F703E9" w:rsidP="00F703E9">
            <w:pPr>
              <w:pStyle w:val="TableTextEntries"/>
              <w:rPr>
                <w:rFonts w:ascii="Calibri" w:hAnsi="Calibri"/>
                <w:sz w:val="20"/>
                <w:szCs w:val="20"/>
                <w:lang w:eastAsia="en-AU"/>
              </w:rPr>
            </w:pPr>
            <w:r>
              <w:rPr>
                <w:rFonts w:ascii="Calibri" w:hAnsi="Calibri"/>
                <w:sz w:val="20"/>
                <w:szCs w:val="20"/>
                <w:lang w:eastAsia="en-AU"/>
              </w:rPr>
              <w:t>INJ138</w:t>
            </w:r>
          </w:p>
        </w:tc>
        <w:tc>
          <w:tcPr>
            <w:tcW w:w="1263" w:type="dxa"/>
            <w:hideMark/>
          </w:tcPr>
          <w:p w:rsidR="00F703E9" w:rsidRDefault="00F703E9" w:rsidP="00F703E9">
            <w:pPr>
              <w:pStyle w:val="TableTextEntries"/>
              <w:rPr>
                <w:rFonts w:ascii="Calibri" w:hAnsi="Calibri"/>
                <w:sz w:val="20"/>
                <w:szCs w:val="20"/>
                <w:lang w:eastAsia="en-AU"/>
              </w:rPr>
            </w:pPr>
            <w:r>
              <w:rPr>
                <w:rFonts w:ascii="Calibri" w:hAnsi="Calibri"/>
                <w:sz w:val="20"/>
                <w:szCs w:val="20"/>
                <w:lang w:eastAsia="en-AU"/>
              </w:rPr>
              <w:t>ICR</w:t>
            </w:r>
          </w:p>
        </w:tc>
        <w:tc>
          <w:tcPr>
            <w:tcW w:w="5485" w:type="dxa"/>
          </w:tcPr>
          <w:p w:rsidR="00F703E9" w:rsidRPr="00704740" w:rsidRDefault="00F703E9">
            <w:pPr>
              <w:pStyle w:val="TableTextEntries"/>
              <w:rPr>
                <w:rFonts w:ascii="Calibri" w:eastAsiaTheme="minorHAnsi" w:hAnsi="Calibri"/>
                <w:sz w:val="20"/>
                <w:szCs w:val="20"/>
                <w:lang w:eastAsia="en-AU"/>
              </w:rPr>
            </w:pPr>
            <w:r>
              <w:rPr>
                <w:rFonts w:ascii="Calibri" w:hAnsi="Calibri"/>
                <w:sz w:val="20"/>
                <w:szCs w:val="20"/>
                <w:lang w:eastAsia="en-AU"/>
              </w:rPr>
              <w:t xml:space="preserve">Verify initiative and program outcomes and inform design of a new DRRM program. The evaluation will commence in September 2014. Initial results of the evaluation will find into the design of the new DRRM program. </w:t>
            </w:r>
          </w:p>
          <w:p w:rsidR="00F703E9" w:rsidRDefault="00F703E9">
            <w:pPr>
              <w:pStyle w:val="TableTextEntries"/>
              <w:rPr>
                <w:rFonts w:ascii="Calibri" w:hAnsi="Calibri"/>
                <w:sz w:val="20"/>
                <w:szCs w:val="20"/>
                <w:lang w:eastAsia="en-AU"/>
              </w:rPr>
            </w:pPr>
            <w:r>
              <w:rPr>
                <w:rFonts w:ascii="Calibri" w:hAnsi="Calibri"/>
                <w:sz w:val="20"/>
                <w:szCs w:val="20"/>
                <w:lang w:eastAsia="en-AU"/>
              </w:rPr>
              <w:t>This will include the evaluation of the 3 agreements/projects implemented under the initiative: i) Enhancing risk analysis for Metro Manila; ii) Technical Assistance to DILG on ISF Program, and iii) Community-Based DRM for Taguig City</w:t>
            </w:r>
          </w:p>
        </w:tc>
        <w:tc>
          <w:tcPr>
            <w:tcW w:w="1495" w:type="dxa"/>
            <w:hideMark/>
          </w:tcPr>
          <w:p w:rsidR="00F703E9" w:rsidRDefault="00F703E9">
            <w:pPr>
              <w:pStyle w:val="TableTextEntries"/>
              <w:rPr>
                <w:rFonts w:ascii="Calibri" w:hAnsi="Calibri"/>
                <w:sz w:val="20"/>
                <w:szCs w:val="20"/>
                <w:lang w:eastAsia="en-AU"/>
              </w:rPr>
            </w:pPr>
            <w:r>
              <w:rPr>
                <w:rFonts w:ascii="Calibri" w:hAnsi="Calibri"/>
                <w:sz w:val="20"/>
                <w:szCs w:val="20"/>
                <w:lang w:eastAsia="en-AU"/>
              </w:rPr>
              <w:t>June 2015</w:t>
            </w:r>
          </w:p>
        </w:tc>
      </w:tr>
      <w:tr w:rsidR="00592077" w:rsidRPr="00071B95" w:rsidTr="00704740">
        <w:trPr>
          <w:tblHeader w:val="0"/>
        </w:trPr>
        <w:tc>
          <w:tcPr>
            <w:tcW w:w="2646" w:type="dxa"/>
          </w:tcPr>
          <w:p w:rsidR="00592077" w:rsidRPr="00F703E9" w:rsidRDefault="00F703E9" w:rsidP="00F703E9">
            <w:pPr>
              <w:pStyle w:val="TableTextEntries"/>
              <w:rPr>
                <w:rFonts w:asciiTheme="minorHAnsi" w:hAnsiTheme="minorHAnsi"/>
                <w:sz w:val="20"/>
                <w:szCs w:val="20"/>
              </w:rPr>
            </w:pPr>
            <w:r w:rsidRPr="00F703E9">
              <w:rPr>
                <w:rFonts w:asciiTheme="minorHAnsi" w:hAnsiTheme="minorHAnsi"/>
                <w:sz w:val="20"/>
                <w:szCs w:val="20"/>
              </w:rPr>
              <w:t>Disaster and Climate Risks Management</w:t>
            </w:r>
          </w:p>
        </w:tc>
        <w:tc>
          <w:tcPr>
            <w:tcW w:w="2098" w:type="dxa"/>
          </w:tcPr>
          <w:p w:rsidR="00592077" w:rsidRPr="00F703E9" w:rsidRDefault="00F703E9" w:rsidP="00F703E9">
            <w:pPr>
              <w:pStyle w:val="TableTextEntries"/>
              <w:rPr>
                <w:rFonts w:asciiTheme="minorHAnsi" w:hAnsiTheme="minorHAnsi"/>
                <w:sz w:val="20"/>
                <w:szCs w:val="20"/>
              </w:rPr>
            </w:pPr>
            <w:r w:rsidRPr="00F703E9">
              <w:rPr>
                <w:rFonts w:asciiTheme="minorHAnsi" w:hAnsiTheme="minorHAnsi"/>
                <w:sz w:val="20"/>
                <w:szCs w:val="20"/>
              </w:rPr>
              <w:t>ING581</w:t>
            </w:r>
          </w:p>
        </w:tc>
        <w:tc>
          <w:tcPr>
            <w:tcW w:w="1263" w:type="dxa"/>
          </w:tcPr>
          <w:p w:rsidR="00592077" w:rsidRPr="00071B95" w:rsidRDefault="00592077" w:rsidP="00E87897">
            <w:pPr>
              <w:pStyle w:val="TableTextEntries"/>
            </w:pPr>
          </w:p>
        </w:tc>
        <w:tc>
          <w:tcPr>
            <w:tcW w:w="5485" w:type="dxa"/>
          </w:tcPr>
          <w:p w:rsidR="00592077" w:rsidRPr="00071B95" w:rsidRDefault="00592077" w:rsidP="001F76AA">
            <w:pPr>
              <w:pStyle w:val="TableTextEntries"/>
            </w:pPr>
          </w:p>
        </w:tc>
        <w:tc>
          <w:tcPr>
            <w:tcW w:w="1495" w:type="dxa"/>
          </w:tcPr>
          <w:p w:rsidR="00592077" w:rsidRPr="00071B95" w:rsidRDefault="00592077" w:rsidP="001F76AA">
            <w:pPr>
              <w:pStyle w:val="TableTextEntries"/>
            </w:pPr>
          </w:p>
        </w:tc>
      </w:tr>
      <w:tr w:rsidR="00F703E9" w:rsidRPr="00071B95" w:rsidTr="00704740">
        <w:trPr>
          <w:tblHeader w:val="0"/>
        </w:trPr>
        <w:tc>
          <w:tcPr>
            <w:tcW w:w="2646" w:type="dxa"/>
          </w:tcPr>
          <w:p w:rsidR="00F703E9" w:rsidRPr="00F703E9" w:rsidRDefault="00F703E9" w:rsidP="00F703E9">
            <w:pPr>
              <w:pStyle w:val="TableTextEntries"/>
              <w:ind w:left="284"/>
              <w:rPr>
                <w:rFonts w:asciiTheme="minorHAnsi" w:hAnsiTheme="minorHAnsi"/>
                <w:sz w:val="20"/>
                <w:szCs w:val="20"/>
              </w:rPr>
            </w:pPr>
            <w:r w:rsidRPr="00F703E9">
              <w:rPr>
                <w:rFonts w:asciiTheme="minorHAnsi" w:hAnsiTheme="minorHAnsi"/>
                <w:sz w:val="20"/>
                <w:szCs w:val="20"/>
                <w:lang w:eastAsia="en-AU"/>
              </w:rPr>
              <w:lastRenderedPageBreak/>
              <w:t>DRR-CCA Integration Project</w:t>
            </w:r>
          </w:p>
        </w:tc>
        <w:tc>
          <w:tcPr>
            <w:tcW w:w="2098" w:type="dxa"/>
          </w:tcPr>
          <w:p w:rsidR="00F703E9" w:rsidRPr="00F703E9" w:rsidRDefault="00F703E9" w:rsidP="00F703E9">
            <w:pPr>
              <w:pStyle w:val="TableTextEntries"/>
              <w:rPr>
                <w:rFonts w:asciiTheme="minorHAnsi" w:hAnsiTheme="minorHAnsi"/>
                <w:sz w:val="20"/>
                <w:szCs w:val="20"/>
              </w:rPr>
            </w:pPr>
            <w:r w:rsidRPr="00F703E9">
              <w:rPr>
                <w:rFonts w:asciiTheme="minorHAnsi" w:hAnsiTheme="minorHAnsi"/>
                <w:sz w:val="20"/>
                <w:szCs w:val="20"/>
                <w:lang w:eastAsia="en-AU"/>
              </w:rPr>
              <w:t>Agreement 50581</w:t>
            </w:r>
          </w:p>
        </w:tc>
        <w:tc>
          <w:tcPr>
            <w:tcW w:w="1263" w:type="dxa"/>
          </w:tcPr>
          <w:p w:rsidR="00F703E9" w:rsidRPr="00071B95" w:rsidRDefault="00F703E9" w:rsidP="00E87897">
            <w:pPr>
              <w:pStyle w:val="TableTextEntries"/>
            </w:pPr>
            <w:r>
              <w:rPr>
                <w:sz w:val="20"/>
                <w:szCs w:val="20"/>
                <w:lang w:eastAsia="en-AU"/>
              </w:rPr>
              <w:t>ICR</w:t>
            </w:r>
          </w:p>
        </w:tc>
        <w:tc>
          <w:tcPr>
            <w:tcW w:w="5485" w:type="dxa"/>
          </w:tcPr>
          <w:p w:rsidR="00F703E9" w:rsidRPr="00071B95" w:rsidRDefault="00F703E9" w:rsidP="001F76AA">
            <w:pPr>
              <w:pStyle w:val="TableTextEntries"/>
            </w:pPr>
            <w:r w:rsidRPr="00F703E9">
              <w:t>Verify program outcomes. The evaluation will form part of the work of the design of the new DRRM program.</w:t>
            </w:r>
          </w:p>
        </w:tc>
        <w:tc>
          <w:tcPr>
            <w:tcW w:w="1495" w:type="dxa"/>
          </w:tcPr>
          <w:p w:rsidR="00F703E9" w:rsidRPr="00071B95" w:rsidRDefault="00F703E9" w:rsidP="001F76AA">
            <w:pPr>
              <w:pStyle w:val="TableTextEntries"/>
            </w:pPr>
            <w:r w:rsidRPr="00F703E9">
              <w:t>December 2014</w:t>
            </w:r>
          </w:p>
        </w:tc>
      </w:tr>
      <w:tr w:rsidR="00F703E9" w:rsidRPr="00071B95" w:rsidTr="00704740">
        <w:trPr>
          <w:tblHeader w:val="0"/>
        </w:trPr>
        <w:tc>
          <w:tcPr>
            <w:tcW w:w="2646" w:type="dxa"/>
          </w:tcPr>
          <w:p w:rsidR="00F703E9" w:rsidRPr="00F703E9" w:rsidRDefault="00F703E9" w:rsidP="00F703E9">
            <w:pPr>
              <w:pStyle w:val="TableTextEntries"/>
              <w:ind w:firstLine="284"/>
              <w:rPr>
                <w:rFonts w:asciiTheme="minorHAnsi" w:hAnsiTheme="minorHAnsi"/>
                <w:sz w:val="20"/>
                <w:szCs w:val="20"/>
                <w:lang w:eastAsia="en-AU"/>
              </w:rPr>
            </w:pPr>
            <w:r w:rsidRPr="00F703E9">
              <w:rPr>
                <w:rFonts w:asciiTheme="minorHAnsi" w:hAnsiTheme="minorHAnsi"/>
                <w:sz w:val="20"/>
                <w:szCs w:val="20"/>
                <w:lang w:eastAsia="en-AU"/>
              </w:rPr>
              <w:t>GMMA READY Project</w:t>
            </w:r>
          </w:p>
        </w:tc>
        <w:tc>
          <w:tcPr>
            <w:tcW w:w="2098" w:type="dxa"/>
          </w:tcPr>
          <w:p w:rsidR="00F703E9" w:rsidRPr="00F703E9" w:rsidRDefault="00F703E9" w:rsidP="00F703E9">
            <w:pPr>
              <w:pStyle w:val="TableTextEntries"/>
              <w:rPr>
                <w:rFonts w:asciiTheme="minorHAnsi" w:hAnsiTheme="minorHAnsi"/>
                <w:sz w:val="20"/>
                <w:szCs w:val="20"/>
              </w:rPr>
            </w:pPr>
            <w:r w:rsidRPr="00F703E9">
              <w:rPr>
                <w:rFonts w:asciiTheme="minorHAnsi" w:hAnsiTheme="minorHAnsi"/>
                <w:sz w:val="20"/>
                <w:szCs w:val="20"/>
                <w:lang w:eastAsia="en-AU"/>
              </w:rPr>
              <w:t>Agreement 58355</w:t>
            </w:r>
          </w:p>
        </w:tc>
        <w:tc>
          <w:tcPr>
            <w:tcW w:w="1263" w:type="dxa"/>
            <w:vMerge w:val="restart"/>
            <w:vAlign w:val="center"/>
          </w:tcPr>
          <w:p w:rsidR="00F703E9" w:rsidRDefault="00F703E9" w:rsidP="00F703E9">
            <w:pPr>
              <w:pStyle w:val="TableTextEntries"/>
              <w:rPr>
                <w:rFonts w:ascii="Calibri" w:hAnsi="Calibri"/>
                <w:szCs w:val="20"/>
              </w:rPr>
            </w:pPr>
            <w:r>
              <w:rPr>
                <w:rFonts w:ascii="Calibri" w:hAnsi="Calibri"/>
                <w:sz w:val="20"/>
                <w:szCs w:val="20"/>
                <w:lang w:eastAsia="en-AU"/>
              </w:rPr>
              <w:t>IPR</w:t>
            </w:r>
          </w:p>
          <w:p w:rsidR="00F703E9" w:rsidRPr="00071B95" w:rsidRDefault="00F703E9" w:rsidP="00F703E9">
            <w:pPr>
              <w:pStyle w:val="TableTextEntries"/>
            </w:pPr>
          </w:p>
        </w:tc>
        <w:tc>
          <w:tcPr>
            <w:tcW w:w="5485" w:type="dxa"/>
            <w:vMerge w:val="restart"/>
          </w:tcPr>
          <w:p w:rsidR="00F703E9" w:rsidRPr="00071B95" w:rsidRDefault="00F703E9" w:rsidP="001F76AA">
            <w:pPr>
              <w:pStyle w:val="TableTextEntries"/>
            </w:pPr>
            <w:r w:rsidRPr="00F703E9">
              <w:t xml:space="preserve">Improve existing programs. The evaluation will form part of the work of the design of the new DRRM program.  </w:t>
            </w:r>
          </w:p>
        </w:tc>
        <w:tc>
          <w:tcPr>
            <w:tcW w:w="1495" w:type="dxa"/>
            <w:vMerge w:val="restart"/>
          </w:tcPr>
          <w:p w:rsidR="00F703E9" w:rsidRPr="00071B95" w:rsidRDefault="00F703E9" w:rsidP="001F76AA">
            <w:pPr>
              <w:pStyle w:val="TableTextEntries"/>
            </w:pPr>
            <w:r w:rsidRPr="00F703E9">
              <w:t>December 2014</w:t>
            </w:r>
          </w:p>
        </w:tc>
      </w:tr>
      <w:tr w:rsidR="00F703E9" w:rsidRPr="00071B95" w:rsidTr="00704740">
        <w:trPr>
          <w:tblHeader w:val="0"/>
        </w:trPr>
        <w:tc>
          <w:tcPr>
            <w:tcW w:w="2646" w:type="dxa"/>
          </w:tcPr>
          <w:p w:rsidR="00F703E9" w:rsidRPr="00F703E9" w:rsidRDefault="00F703E9" w:rsidP="00F703E9">
            <w:pPr>
              <w:pStyle w:val="TableTextEntries"/>
              <w:ind w:left="284"/>
              <w:rPr>
                <w:rFonts w:asciiTheme="minorHAnsi" w:hAnsiTheme="minorHAnsi"/>
                <w:sz w:val="20"/>
                <w:szCs w:val="20"/>
                <w:lang w:eastAsia="en-AU"/>
              </w:rPr>
            </w:pPr>
            <w:r w:rsidRPr="00F703E9">
              <w:rPr>
                <w:rFonts w:asciiTheme="minorHAnsi" w:hAnsiTheme="minorHAnsi"/>
                <w:sz w:val="20"/>
                <w:szCs w:val="20"/>
                <w:lang w:eastAsia="en-AU"/>
              </w:rPr>
              <w:t>Project Climate Twin Phoenix</w:t>
            </w:r>
          </w:p>
        </w:tc>
        <w:tc>
          <w:tcPr>
            <w:tcW w:w="2098" w:type="dxa"/>
          </w:tcPr>
          <w:p w:rsidR="00F703E9" w:rsidRPr="00F703E9" w:rsidRDefault="00F703E9" w:rsidP="00F703E9">
            <w:pPr>
              <w:pStyle w:val="TableTextEntries"/>
              <w:rPr>
                <w:rFonts w:asciiTheme="minorHAnsi" w:hAnsiTheme="minorHAnsi"/>
                <w:sz w:val="20"/>
                <w:szCs w:val="20"/>
              </w:rPr>
            </w:pPr>
            <w:r w:rsidRPr="00F703E9">
              <w:rPr>
                <w:rFonts w:asciiTheme="minorHAnsi" w:hAnsiTheme="minorHAnsi"/>
                <w:sz w:val="20"/>
                <w:szCs w:val="20"/>
                <w:lang w:eastAsia="en-AU"/>
              </w:rPr>
              <w:t>Agreement 62001</w:t>
            </w:r>
          </w:p>
        </w:tc>
        <w:tc>
          <w:tcPr>
            <w:tcW w:w="1263" w:type="dxa"/>
            <w:vMerge/>
          </w:tcPr>
          <w:p w:rsidR="00F703E9" w:rsidRPr="00071B95" w:rsidRDefault="00F703E9" w:rsidP="00E87897">
            <w:pPr>
              <w:pStyle w:val="TableTextEntries"/>
            </w:pPr>
          </w:p>
        </w:tc>
        <w:tc>
          <w:tcPr>
            <w:tcW w:w="5485" w:type="dxa"/>
            <w:vMerge/>
          </w:tcPr>
          <w:p w:rsidR="00F703E9" w:rsidRPr="00071B95" w:rsidRDefault="00F703E9" w:rsidP="001F76AA">
            <w:pPr>
              <w:pStyle w:val="TableTextEntries"/>
            </w:pPr>
          </w:p>
        </w:tc>
        <w:tc>
          <w:tcPr>
            <w:tcW w:w="1495" w:type="dxa"/>
            <w:vMerge/>
          </w:tcPr>
          <w:p w:rsidR="00F703E9" w:rsidRPr="00071B95" w:rsidRDefault="00F703E9" w:rsidP="001F76AA">
            <w:pPr>
              <w:pStyle w:val="TableTextEntries"/>
            </w:pPr>
          </w:p>
        </w:tc>
      </w:tr>
    </w:tbl>
    <w:p w:rsidR="000D733F" w:rsidRDefault="000D733F" w:rsidP="000D733F">
      <w:pPr>
        <w:rPr>
          <w:b/>
        </w:rPr>
        <w:sectPr w:rsidR="000D733F" w:rsidSect="000D733F">
          <w:type w:val="continuous"/>
          <w:pgSz w:w="16838" w:h="11906" w:orient="landscape" w:code="9"/>
          <w:pgMar w:top="1814" w:right="1814" w:bottom="851" w:left="851" w:header="709" w:footer="425" w:gutter="0"/>
          <w:cols w:space="708"/>
          <w:titlePg/>
          <w:docGrid w:linePitch="360"/>
        </w:sectPr>
      </w:pPr>
    </w:p>
    <w:p w:rsidR="000D733F" w:rsidRPr="00E87897" w:rsidRDefault="000D733F" w:rsidP="000D733F">
      <w:pPr>
        <w:pStyle w:val="Heading2"/>
        <w:rPr>
          <w:sz w:val="28"/>
        </w:rPr>
      </w:pPr>
      <w:r w:rsidRPr="00E87897">
        <w:rPr>
          <w:sz w:val="28"/>
        </w:rPr>
        <w:lastRenderedPageBreak/>
        <w:t>Annex D</w:t>
      </w:r>
    </w:p>
    <w:p w:rsidR="000D733F" w:rsidRPr="009E38C1" w:rsidRDefault="000D733F" w:rsidP="000D733F">
      <w:pPr>
        <w:pStyle w:val="Heading2"/>
        <w:rPr>
          <w:sz w:val="28"/>
        </w:rPr>
      </w:pPr>
      <w:r w:rsidRPr="00E87897">
        <w:rPr>
          <w:sz w:val="28"/>
        </w:rPr>
        <w:t>Performance Benchmarks 2014 -15</w:t>
      </w:r>
    </w:p>
    <w:p w:rsidR="00E87897" w:rsidRDefault="00E87897" w:rsidP="000D733F">
      <w:pPr>
        <w:rPr>
          <w:iCs/>
        </w:rPr>
      </w:pPr>
    </w:p>
    <w:tbl>
      <w:tblPr>
        <w:tblStyle w:val="DFATTable"/>
        <w:tblW w:w="4961" w:type="pct"/>
        <w:tblInd w:w="108" w:type="dxa"/>
        <w:tblLook w:val="04A0" w:firstRow="1" w:lastRow="0" w:firstColumn="1" w:lastColumn="0" w:noHBand="0" w:noVBand="1"/>
      </w:tblPr>
      <w:tblGrid>
        <w:gridCol w:w="3193"/>
        <w:gridCol w:w="3330"/>
        <w:gridCol w:w="7250"/>
      </w:tblGrid>
      <w:tr w:rsidR="00E87897" w:rsidRPr="00E87897" w:rsidTr="00E87897">
        <w:trPr>
          <w:tblHeader/>
        </w:trPr>
        <w:tc>
          <w:tcPr>
            <w:tcW w:w="1159" w:type="pct"/>
            <w:tcBorders>
              <w:top w:val="single" w:sz="12" w:space="0" w:color="auto"/>
              <w:left w:val="nil"/>
              <w:bottom w:val="nil"/>
              <w:right w:val="nil"/>
            </w:tcBorders>
            <w:tcMar>
              <w:top w:w="57" w:type="dxa"/>
              <w:left w:w="108" w:type="dxa"/>
              <w:bottom w:w="57" w:type="dxa"/>
              <w:right w:w="108" w:type="dxa"/>
            </w:tcMar>
            <w:hideMark/>
          </w:tcPr>
          <w:p w:rsidR="00E87897" w:rsidRPr="00E87897" w:rsidRDefault="00E87897" w:rsidP="00E87897">
            <w:pPr>
              <w:pStyle w:val="TableHeading1"/>
              <w:rPr>
                <w:lang w:eastAsia="en-AU"/>
              </w:rPr>
            </w:pPr>
            <w:r w:rsidRPr="00E87897">
              <w:rPr>
                <w:lang w:eastAsia="en-AU"/>
              </w:rPr>
              <w:t>Aid objective</w:t>
            </w:r>
          </w:p>
        </w:tc>
        <w:tc>
          <w:tcPr>
            <w:tcW w:w="1209" w:type="pct"/>
            <w:tcBorders>
              <w:top w:val="single" w:sz="12" w:space="0" w:color="auto"/>
              <w:left w:val="nil"/>
              <w:bottom w:val="nil"/>
              <w:right w:val="nil"/>
            </w:tcBorders>
            <w:hideMark/>
          </w:tcPr>
          <w:p w:rsidR="00E87897" w:rsidRPr="00E87897" w:rsidRDefault="00E87897" w:rsidP="00E87897">
            <w:pPr>
              <w:pStyle w:val="TableHeading1"/>
              <w:rPr>
                <w:lang w:eastAsia="en-AU"/>
              </w:rPr>
            </w:pPr>
            <w:r w:rsidRPr="00E87897">
              <w:rPr>
                <w:lang w:eastAsia="en-AU"/>
              </w:rPr>
              <w:t xml:space="preserve">2014-15 benchmark </w:t>
            </w:r>
          </w:p>
        </w:tc>
        <w:tc>
          <w:tcPr>
            <w:tcW w:w="2632" w:type="pct"/>
            <w:tcBorders>
              <w:top w:val="single" w:sz="12" w:space="0" w:color="auto"/>
              <w:left w:val="nil"/>
              <w:bottom w:val="nil"/>
              <w:right w:val="nil"/>
            </w:tcBorders>
            <w:hideMark/>
          </w:tcPr>
          <w:p w:rsidR="00E87897" w:rsidRPr="00E87897" w:rsidRDefault="00E87897" w:rsidP="00E87897">
            <w:pPr>
              <w:pStyle w:val="TableHeading1"/>
              <w:rPr>
                <w:lang w:eastAsia="en-AU"/>
              </w:rPr>
            </w:pPr>
            <w:r w:rsidRPr="00E87897">
              <w:rPr>
                <w:lang w:eastAsia="en-AU"/>
              </w:rPr>
              <w:t>Rationale for selecting this performance benchmark</w:t>
            </w:r>
          </w:p>
        </w:tc>
      </w:tr>
      <w:tr w:rsidR="00E87897" w:rsidRPr="00E87897" w:rsidTr="00E87897">
        <w:tc>
          <w:tcPr>
            <w:tcW w:w="1159" w:type="pct"/>
            <w:tcBorders>
              <w:top w:val="nil"/>
              <w:left w:val="nil"/>
              <w:bottom w:val="nil"/>
              <w:right w:val="nil"/>
            </w:tcBorders>
            <w:tcMar>
              <w:top w:w="57" w:type="dxa"/>
              <w:left w:w="108" w:type="dxa"/>
              <w:bottom w:w="57" w:type="dxa"/>
              <w:right w:w="108" w:type="dxa"/>
            </w:tcMar>
            <w:hideMark/>
          </w:tcPr>
          <w:p w:rsidR="00E87897" w:rsidRPr="00E87897" w:rsidRDefault="00E87897" w:rsidP="00E87897">
            <w:pPr>
              <w:pStyle w:val="TableTextEntries"/>
              <w:rPr>
                <w:lang w:eastAsia="en-AU"/>
              </w:rPr>
            </w:pPr>
            <w:r w:rsidRPr="00E87897">
              <w:rPr>
                <w:lang w:eastAsia="en-AU"/>
              </w:rPr>
              <w:t>More effective schools and teachers</w:t>
            </w:r>
          </w:p>
        </w:tc>
        <w:tc>
          <w:tcPr>
            <w:tcW w:w="1209" w:type="pct"/>
            <w:tcBorders>
              <w:top w:val="nil"/>
              <w:left w:val="nil"/>
              <w:bottom w:val="nil"/>
              <w:right w:val="nil"/>
            </w:tcBorders>
            <w:hideMark/>
          </w:tcPr>
          <w:p w:rsidR="00E87897" w:rsidRPr="00E87897" w:rsidRDefault="00E87897" w:rsidP="00E87897">
            <w:pPr>
              <w:pStyle w:val="TableTextEntries"/>
              <w:rPr>
                <w:lang w:eastAsia="en-AU"/>
              </w:rPr>
            </w:pPr>
            <w:r w:rsidRPr="00E87897">
              <w:rPr>
                <w:lang w:eastAsia="en-AU"/>
              </w:rPr>
              <w:t>500 new classrooms built</w:t>
            </w:r>
          </w:p>
          <w:p w:rsidR="00E87897" w:rsidRPr="00E87897" w:rsidRDefault="00E87897" w:rsidP="00E87897">
            <w:pPr>
              <w:pStyle w:val="TableTextEntries"/>
              <w:rPr>
                <w:lang w:eastAsia="en-AU"/>
              </w:rPr>
            </w:pPr>
          </w:p>
          <w:p w:rsidR="00E87897" w:rsidRPr="00E87897" w:rsidRDefault="00E87897" w:rsidP="00E87897">
            <w:pPr>
              <w:pStyle w:val="TableTextEntries"/>
              <w:rPr>
                <w:lang w:eastAsia="en-AU"/>
              </w:rPr>
            </w:pPr>
          </w:p>
        </w:tc>
        <w:tc>
          <w:tcPr>
            <w:tcW w:w="2632" w:type="pct"/>
            <w:tcBorders>
              <w:top w:val="nil"/>
              <w:left w:val="nil"/>
              <w:bottom w:val="nil"/>
              <w:right w:val="nil"/>
            </w:tcBorders>
            <w:hideMark/>
          </w:tcPr>
          <w:p w:rsidR="00E87897" w:rsidRPr="00E87897" w:rsidRDefault="00E87897" w:rsidP="00E87897">
            <w:pPr>
              <w:pStyle w:val="TableTextEntries"/>
              <w:rPr>
                <w:lang w:eastAsia="en-AU"/>
              </w:rPr>
            </w:pPr>
            <w:r w:rsidRPr="00E87897">
              <w:rPr>
                <w:lang w:eastAsia="en-AU"/>
              </w:rPr>
              <w:t xml:space="preserve">Through this support, Australia is contributing to improvements in learning environment (physical locations/spaces in which students learn) by building classrooms. </w:t>
            </w:r>
            <w:r w:rsidR="00AB689F">
              <w:rPr>
                <w:lang w:eastAsia="en-AU"/>
              </w:rPr>
              <w:t>The creation of a</w:t>
            </w:r>
            <w:r w:rsidRPr="00E87897">
              <w:rPr>
                <w:lang w:eastAsia="en-AU"/>
              </w:rPr>
              <w:t xml:space="preserve"> conducive learning environment is a contributing factor to increase student’s participation and performance in school. This will also attract more parents to send and keep their children in school, thus increasing a number of children to access basic education services.</w:t>
            </w:r>
          </w:p>
        </w:tc>
      </w:tr>
      <w:tr w:rsidR="00E87897" w:rsidRPr="00E87897" w:rsidTr="00E87897">
        <w:tc>
          <w:tcPr>
            <w:tcW w:w="1159" w:type="pct"/>
            <w:tcBorders>
              <w:top w:val="nil"/>
              <w:left w:val="nil"/>
              <w:bottom w:val="nil"/>
              <w:right w:val="nil"/>
            </w:tcBorders>
            <w:tcMar>
              <w:top w:w="57" w:type="dxa"/>
              <w:left w:w="108" w:type="dxa"/>
              <w:bottom w:w="57" w:type="dxa"/>
              <w:right w:w="108" w:type="dxa"/>
            </w:tcMar>
          </w:tcPr>
          <w:p w:rsidR="00E87897" w:rsidRPr="00E87897" w:rsidRDefault="00E87897" w:rsidP="00E87897">
            <w:pPr>
              <w:pStyle w:val="TableTextEntries"/>
              <w:rPr>
                <w:b/>
                <w:lang w:eastAsia="en-AU"/>
              </w:rPr>
            </w:pPr>
          </w:p>
        </w:tc>
        <w:tc>
          <w:tcPr>
            <w:tcW w:w="1209" w:type="pct"/>
            <w:tcBorders>
              <w:top w:val="nil"/>
              <w:left w:val="nil"/>
              <w:bottom w:val="nil"/>
              <w:right w:val="nil"/>
            </w:tcBorders>
          </w:tcPr>
          <w:p w:rsidR="00E87897" w:rsidRPr="00E87897" w:rsidRDefault="00E87897" w:rsidP="00E87897">
            <w:pPr>
              <w:pStyle w:val="TableTextEntries"/>
              <w:rPr>
                <w:lang w:eastAsia="en-AU"/>
              </w:rPr>
            </w:pPr>
            <w:r w:rsidRPr="00E87897">
              <w:rPr>
                <w:lang w:eastAsia="en-AU"/>
              </w:rPr>
              <w:t>BEST contracted and mobilised</w:t>
            </w:r>
          </w:p>
        </w:tc>
        <w:tc>
          <w:tcPr>
            <w:tcW w:w="2632" w:type="pct"/>
            <w:tcBorders>
              <w:top w:val="nil"/>
              <w:left w:val="nil"/>
              <w:bottom w:val="nil"/>
              <w:right w:val="nil"/>
            </w:tcBorders>
          </w:tcPr>
          <w:p w:rsidR="00E87897" w:rsidRPr="00E87897" w:rsidRDefault="00E87897" w:rsidP="00E87897">
            <w:pPr>
              <w:pStyle w:val="TableTextEntries"/>
              <w:rPr>
                <w:b/>
                <w:lang w:eastAsia="en-AU"/>
              </w:rPr>
            </w:pPr>
            <w:r w:rsidRPr="00E87897">
              <w:rPr>
                <w:lang w:eastAsia="en-AU"/>
              </w:rPr>
              <w:t xml:space="preserve">Education represents 50% of Australian aid investment in Philippines and BEST is our main delivery modality of support. The benchmark aligns with and reflects the partner government’s high priority interest in tackling poor education outcomes.  </w:t>
            </w:r>
          </w:p>
        </w:tc>
      </w:tr>
      <w:tr w:rsidR="00E87897" w:rsidRPr="00E87897" w:rsidTr="00E87897">
        <w:trPr>
          <w:trHeight w:val="495"/>
        </w:trPr>
        <w:tc>
          <w:tcPr>
            <w:tcW w:w="1159" w:type="pct"/>
            <w:tcMar>
              <w:top w:w="57" w:type="dxa"/>
              <w:bottom w:w="57" w:type="dxa"/>
            </w:tcMar>
          </w:tcPr>
          <w:p w:rsidR="00E87897" w:rsidRPr="00E87897" w:rsidRDefault="00E87897" w:rsidP="00E87897">
            <w:pPr>
              <w:pStyle w:val="TableTextEntries"/>
            </w:pPr>
            <w:r w:rsidRPr="00E87897">
              <w:t>Deliver on the Australian Government’s investment priorities to support economic growth</w:t>
            </w:r>
          </w:p>
        </w:tc>
        <w:tc>
          <w:tcPr>
            <w:tcW w:w="1209" w:type="pct"/>
          </w:tcPr>
          <w:p w:rsidR="00E87897" w:rsidRPr="00E87897" w:rsidRDefault="00E87897" w:rsidP="00873A36">
            <w:pPr>
              <w:pStyle w:val="TableTextEntries"/>
              <w:spacing w:before="0"/>
            </w:pPr>
            <w:r w:rsidRPr="00E87897">
              <w:t xml:space="preserve">Finalise the design of a new investment </w:t>
            </w:r>
            <w:r w:rsidR="00873A36">
              <w:t>to support economic growth</w:t>
            </w:r>
          </w:p>
        </w:tc>
        <w:tc>
          <w:tcPr>
            <w:tcW w:w="2632" w:type="pct"/>
          </w:tcPr>
          <w:p w:rsidR="00E87897" w:rsidRPr="00E87897" w:rsidRDefault="00E87897" w:rsidP="00E87897">
            <w:pPr>
              <w:pStyle w:val="TableTextEntries"/>
              <w:spacing w:before="0"/>
            </w:pPr>
            <w:r w:rsidRPr="00E87897">
              <w:t>Economic growth is one of the key investment areas identified in the new aid policy and reflected in the revised aid country program strategy for the Philippines. Possible areas to be supported include infrastructure, aid for trade, and private sector development.</w:t>
            </w:r>
          </w:p>
        </w:tc>
      </w:tr>
      <w:tr w:rsidR="00E87897" w:rsidRPr="00E87897" w:rsidTr="00E87897">
        <w:tc>
          <w:tcPr>
            <w:tcW w:w="1159" w:type="pct"/>
          </w:tcPr>
          <w:p w:rsidR="00E87897" w:rsidRPr="00E87897" w:rsidRDefault="00E87897" w:rsidP="00E87897">
            <w:pPr>
              <w:pStyle w:val="TableTextEntries"/>
              <w:rPr>
                <w:lang w:eastAsia="en-AU"/>
              </w:rPr>
            </w:pPr>
            <w:r w:rsidRPr="00E87897">
              <w:rPr>
                <w:lang w:eastAsia="en-AU"/>
              </w:rPr>
              <w:t>Improved transport infrastructure to support increased economic activity</w:t>
            </w:r>
          </w:p>
        </w:tc>
        <w:tc>
          <w:tcPr>
            <w:tcW w:w="1209" w:type="pct"/>
          </w:tcPr>
          <w:p w:rsidR="00E87897" w:rsidRPr="00E87897" w:rsidRDefault="00E87897" w:rsidP="00E87897">
            <w:pPr>
              <w:pStyle w:val="TableTextEntries"/>
              <w:rPr>
                <w:lang w:eastAsia="en-AU"/>
              </w:rPr>
            </w:pPr>
            <w:r w:rsidRPr="00E87897">
              <w:rPr>
                <w:lang w:eastAsia="en-AU"/>
              </w:rPr>
              <w:t>360 kms of provincial roads rehabilitated or maintained</w:t>
            </w:r>
          </w:p>
        </w:tc>
        <w:tc>
          <w:tcPr>
            <w:tcW w:w="2632" w:type="pct"/>
          </w:tcPr>
          <w:p w:rsidR="00E87897" w:rsidRPr="00E87897" w:rsidRDefault="00E87897" w:rsidP="00E87897">
            <w:pPr>
              <w:pStyle w:val="TableTextEntries"/>
              <w:rPr>
                <w:lang w:eastAsia="en-AU"/>
              </w:rPr>
            </w:pPr>
            <w:r w:rsidRPr="00E87897">
              <w:rPr>
                <w:lang w:eastAsia="en-AU"/>
              </w:rPr>
              <w:t>Rehabilitation and maintenance targets already identified by PRMF.</w:t>
            </w:r>
          </w:p>
        </w:tc>
      </w:tr>
      <w:tr w:rsidR="00E87897" w:rsidRPr="00E87897" w:rsidTr="00E87897">
        <w:trPr>
          <w:trHeight w:val="1111"/>
        </w:trPr>
        <w:tc>
          <w:tcPr>
            <w:tcW w:w="1159" w:type="pct"/>
            <w:hideMark/>
          </w:tcPr>
          <w:p w:rsidR="00E87897" w:rsidRPr="00E87897" w:rsidRDefault="000B5AE8" w:rsidP="00E87897">
            <w:pPr>
              <w:pStyle w:val="TableTextEntries"/>
              <w:rPr>
                <w:lang w:eastAsia="en-AU"/>
              </w:rPr>
            </w:pPr>
            <w:r w:rsidRPr="00571F16">
              <w:rPr>
                <w:lang w:eastAsia="en-AU"/>
              </w:rPr>
              <w:t>Enabling national and local agencies to provide leadership and work with local stakeholders in building resilience</w:t>
            </w:r>
          </w:p>
        </w:tc>
        <w:tc>
          <w:tcPr>
            <w:tcW w:w="1209" w:type="pct"/>
            <w:hideMark/>
          </w:tcPr>
          <w:p w:rsidR="00E87897" w:rsidRPr="00E87897" w:rsidRDefault="00291A2B" w:rsidP="00E87897">
            <w:pPr>
              <w:pStyle w:val="TableTextEntries"/>
              <w:rPr>
                <w:lang w:eastAsia="en-AU"/>
              </w:rPr>
            </w:pPr>
            <w:r w:rsidRPr="00291A2B">
              <w:rPr>
                <w:lang w:eastAsia="en-AU"/>
              </w:rPr>
              <w:t>5 government agencies produce hazard and risk models informing the development of 6 risk-sensitive local land use plans, and contingency plans and early warning systems of 115 barangays</w:t>
            </w:r>
          </w:p>
        </w:tc>
        <w:tc>
          <w:tcPr>
            <w:tcW w:w="2632" w:type="pct"/>
            <w:hideMark/>
          </w:tcPr>
          <w:p w:rsidR="00E87897" w:rsidRPr="00E87897" w:rsidRDefault="00E87897" w:rsidP="00E87897">
            <w:pPr>
              <w:pStyle w:val="TableTextEntries"/>
              <w:rPr>
                <w:lang w:eastAsia="en-AU"/>
              </w:rPr>
            </w:pPr>
            <w:r w:rsidRPr="00E87897">
              <w:rPr>
                <w:lang w:eastAsia="en-AU"/>
              </w:rPr>
              <w:t>As the most populous country prone to disaster, the Government of the Philippines prioritises disaster risk reduction and requested Australian assistance in enabling government agencies (including local government) to better prepare and respond to disasters.</w:t>
            </w:r>
          </w:p>
        </w:tc>
      </w:tr>
      <w:tr w:rsidR="00E87897" w:rsidRPr="00E87897" w:rsidTr="00E87897">
        <w:tc>
          <w:tcPr>
            <w:tcW w:w="1159" w:type="pct"/>
          </w:tcPr>
          <w:p w:rsidR="00E87897" w:rsidRPr="00E87897" w:rsidRDefault="003D729E" w:rsidP="00E87897">
            <w:pPr>
              <w:pStyle w:val="TableTextEntries"/>
              <w:rPr>
                <w:lang w:eastAsia="en-AU"/>
              </w:rPr>
            </w:pPr>
            <w:r w:rsidRPr="003D729E">
              <w:rPr>
                <w:lang w:eastAsia="en-AU"/>
              </w:rPr>
              <w:t>Supporting the GPH and MILF in making the peace process more credible and widely accepted</w:t>
            </w:r>
          </w:p>
        </w:tc>
        <w:tc>
          <w:tcPr>
            <w:tcW w:w="1209" w:type="pct"/>
          </w:tcPr>
          <w:p w:rsidR="00E87897" w:rsidRPr="00E87897" w:rsidRDefault="00E87897" w:rsidP="00E87897">
            <w:pPr>
              <w:pStyle w:val="TableTextEntries"/>
              <w:rPr>
                <w:lang w:eastAsia="en-AU"/>
              </w:rPr>
            </w:pPr>
            <w:r w:rsidRPr="00E87897">
              <w:rPr>
                <w:lang w:eastAsia="en-AU"/>
              </w:rPr>
              <w:t>Gender balance in consultation</w:t>
            </w:r>
            <w:r w:rsidR="00873A36">
              <w:rPr>
                <w:lang w:eastAsia="en-AU"/>
              </w:rPr>
              <w:t>s on the peace process</w:t>
            </w:r>
            <w:r w:rsidRPr="00E87897">
              <w:rPr>
                <w:lang w:eastAsia="en-AU"/>
              </w:rPr>
              <w:t>:</w:t>
            </w:r>
          </w:p>
          <w:p w:rsidR="00E87897" w:rsidRPr="00E87897" w:rsidRDefault="00E87897" w:rsidP="00E87897">
            <w:pPr>
              <w:pStyle w:val="TableTextEntries"/>
              <w:rPr>
                <w:lang w:eastAsia="en-AU"/>
              </w:rPr>
            </w:pPr>
            <w:r w:rsidRPr="00E87897">
              <w:rPr>
                <w:lang w:eastAsia="en-AU"/>
              </w:rPr>
              <w:sym w:font="Symbol" w:char="F0B7"/>
            </w:r>
            <w:r w:rsidRPr="00E87897">
              <w:rPr>
                <w:lang w:eastAsia="en-AU"/>
              </w:rPr>
              <w:t xml:space="preserve"> 2,000 women at public consultations </w:t>
            </w:r>
          </w:p>
          <w:p w:rsidR="00E87897" w:rsidRPr="00E87897" w:rsidRDefault="00E87897" w:rsidP="00E87897">
            <w:pPr>
              <w:pStyle w:val="TableTextEntries"/>
              <w:rPr>
                <w:lang w:eastAsia="en-AU"/>
              </w:rPr>
            </w:pPr>
            <w:r w:rsidRPr="00E87897">
              <w:rPr>
                <w:lang w:eastAsia="en-AU"/>
              </w:rPr>
              <w:sym w:font="Symbol" w:char="F0B7"/>
            </w:r>
            <w:r w:rsidRPr="00E87897">
              <w:rPr>
                <w:lang w:eastAsia="en-AU"/>
              </w:rPr>
              <w:t xml:space="preserve"> 35 women specific consultations </w:t>
            </w:r>
          </w:p>
        </w:tc>
        <w:tc>
          <w:tcPr>
            <w:tcW w:w="2632" w:type="pct"/>
          </w:tcPr>
          <w:p w:rsidR="00E87897" w:rsidRPr="00E87897" w:rsidRDefault="00E87897" w:rsidP="00E87897">
            <w:pPr>
              <w:pStyle w:val="TableTextEntries"/>
              <w:rPr>
                <w:lang w:eastAsia="en-AU"/>
              </w:rPr>
            </w:pPr>
            <w:r w:rsidRPr="00E87897">
              <w:rPr>
                <w:lang w:eastAsia="en-AU"/>
              </w:rPr>
              <w:t>The Philippines programs is helping to fulfil commitments made at AUKMIN in March 2014 to translate undertakings from the Declaration of Commitment to End Sexual Violence in Conflict into practical action; and the Foreign Minister’s personal commitment, as a champion of the PSVI, to promote the initiative in our region. It also presents opportunities to promote the broader women, peace and security agenda, particularly in conflict-affected nations in our region.</w:t>
            </w:r>
          </w:p>
        </w:tc>
      </w:tr>
      <w:tr w:rsidR="00E87897" w:rsidRPr="00E87897" w:rsidTr="00E87897">
        <w:tc>
          <w:tcPr>
            <w:tcW w:w="1159" w:type="pct"/>
            <w:tcMar>
              <w:top w:w="57" w:type="dxa"/>
              <w:bottom w:w="57" w:type="dxa"/>
            </w:tcMar>
          </w:tcPr>
          <w:p w:rsidR="00E87897" w:rsidRPr="00E87897" w:rsidRDefault="00E87897" w:rsidP="00E87897">
            <w:pPr>
              <w:pStyle w:val="TableTextEntries"/>
            </w:pPr>
            <w:r w:rsidRPr="00E87897">
              <w:t xml:space="preserve">Support partner government reforms to </w:t>
            </w:r>
            <w:r w:rsidRPr="00E87897">
              <w:lastRenderedPageBreak/>
              <w:t xml:space="preserve">promote fiscal sustainability and improve public expenditure management. </w:t>
            </w:r>
          </w:p>
        </w:tc>
        <w:tc>
          <w:tcPr>
            <w:tcW w:w="1209" w:type="pct"/>
          </w:tcPr>
          <w:p w:rsidR="00E87897" w:rsidRPr="00E87897" w:rsidRDefault="00E87897" w:rsidP="00E87897">
            <w:pPr>
              <w:pStyle w:val="TableTextEntries"/>
            </w:pPr>
            <w:r w:rsidRPr="00E87897">
              <w:lastRenderedPageBreak/>
              <w:t xml:space="preserve">Support the acquisition </w:t>
            </w:r>
            <w:r w:rsidR="00873A36">
              <w:t xml:space="preserve">and </w:t>
            </w:r>
            <w:r w:rsidR="00873A36">
              <w:lastRenderedPageBreak/>
              <w:t xml:space="preserve">implementation </w:t>
            </w:r>
            <w:r w:rsidRPr="00E87897">
              <w:t xml:space="preserve">by the Government of the Philippines of a Government Integrated Financial Management Information System (GIFMIS). </w:t>
            </w:r>
          </w:p>
        </w:tc>
        <w:tc>
          <w:tcPr>
            <w:tcW w:w="2632" w:type="pct"/>
          </w:tcPr>
          <w:p w:rsidR="00E87897" w:rsidRPr="00E87897" w:rsidRDefault="00E87897" w:rsidP="00E87897">
            <w:pPr>
              <w:pStyle w:val="TableTextEntries"/>
            </w:pPr>
            <w:r w:rsidRPr="00E87897">
              <w:lastRenderedPageBreak/>
              <w:t xml:space="preserve">The implementation of the GIFMIS is a key enabler of Public Financial Management reforms </w:t>
            </w:r>
            <w:r w:rsidRPr="00E87897">
              <w:lastRenderedPageBreak/>
              <w:t>envisaged by the Government of the Philippines.  The GIFMIS will provide for the modernisation of GOP Budget process.</w:t>
            </w:r>
          </w:p>
        </w:tc>
      </w:tr>
      <w:tr w:rsidR="00E87897" w:rsidRPr="00E87897" w:rsidTr="00E87897">
        <w:tc>
          <w:tcPr>
            <w:tcW w:w="1159" w:type="pct"/>
          </w:tcPr>
          <w:p w:rsidR="00E87897" w:rsidRPr="00E87897" w:rsidRDefault="00E87897" w:rsidP="00E87897">
            <w:pPr>
              <w:pStyle w:val="TableTextEntries"/>
              <w:rPr>
                <w:lang w:eastAsia="en-AU"/>
              </w:rPr>
            </w:pPr>
            <w:r w:rsidRPr="00E87897">
              <w:rPr>
                <w:lang w:eastAsia="en-AU"/>
              </w:rPr>
              <w:lastRenderedPageBreak/>
              <w:t>Government structures and human resource capacities are enhanced for more transparent, accountable and effective governance</w:t>
            </w:r>
          </w:p>
        </w:tc>
        <w:tc>
          <w:tcPr>
            <w:tcW w:w="1209" w:type="pct"/>
          </w:tcPr>
          <w:p w:rsidR="00873A36" w:rsidRDefault="00873A36" w:rsidP="00E87897">
            <w:pPr>
              <w:pStyle w:val="TableTextEntries"/>
              <w:rPr>
                <w:lang w:eastAsia="en-AU"/>
              </w:rPr>
            </w:pPr>
            <w:r>
              <w:rPr>
                <w:lang w:eastAsia="en-AU"/>
              </w:rPr>
              <w:t>7 new partners assisted in the development of their Human Resource Development Plans</w:t>
            </w:r>
          </w:p>
          <w:p w:rsidR="00E87897" w:rsidRPr="00E87897" w:rsidRDefault="00873A36" w:rsidP="00873A36">
            <w:pPr>
              <w:pStyle w:val="TableTextEntries"/>
              <w:rPr>
                <w:lang w:eastAsia="en-AU"/>
              </w:rPr>
            </w:pPr>
            <w:r>
              <w:rPr>
                <w:lang w:eastAsia="en-AU"/>
              </w:rPr>
              <w:t xml:space="preserve">Facilitated </w:t>
            </w:r>
            <w:r w:rsidR="00E87897" w:rsidRPr="00E87897">
              <w:rPr>
                <w:lang w:eastAsia="en-AU"/>
              </w:rPr>
              <w:t>6 partnership</w:t>
            </w:r>
            <w:r>
              <w:rPr>
                <w:lang w:eastAsia="en-AU"/>
              </w:rPr>
              <w:t xml:space="preserve"> agreements </w:t>
            </w:r>
            <w:r w:rsidR="00E87897" w:rsidRPr="00E87897">
              <w:rPr>
                <w:lang w:eastAsia="en-AU"/>
              </w:rPr>
              <w:t xml:space="preserve"> between Philippine and Australian academic institutions </w:t>
            </w:r>
          </w:p>
        </w:tc>
        <w:tc>
          <w:tcPr>
            <w:tcW w:w="2632" w:type="pct"/>
          </w:tcPr>
          <w:p w:rsidR="00E87897" w:rsidRPr="00E87897" w:rsidRDefault="00E87897" w:rsidP="00E87897">
            <w:pPr>
              <w:pStyle w:val="TableTextEntries"/>
              <w:rPr>
                <w:lang w:eastAsia="en-AU"/>
              </w:rPr>
            </w:pPr>
            <w:r w:rsidRPr="00E87897">
              <w:rPr>
                <w:lang w:eastAsia="en-AU"/>
              </w:rPr>
              <w:t xml:space="preserve">Support the identified priorities of the </w:t>
            </w:r>
            <w:r w:rsidR="004B5B8F">
              <w:rPr>
                <w:lang w:eastAsia="en-AU"/>
              </w:rPr>
              <w:t>Philippine Government</w:t>
            </w:r>
            <w:r w:rsidRPr="00E87897">
              <w:rPr>
                <w:lang w:eastAsia="en-AU"/>
              </w:rPr>
              <w:t xml:space="preserve"> for economic growth by developing their organisational and human resource management capacities of critical economic development agencies of the </w:t>
            </w:r>
            <w:r w:rsidR="004B5B8F">
              <w:rPr>
                <w:lang w:eastAsia="en-AU"/>
              </w:rPr>
              <w:t>Philippine Government</w:t>
            </w:r>
            <w:r w:rsidRPr="00E87897">
              <w:rPr>
                <w:lang w:eastAsia="en-AU"/>
              </w:rPr>
              <w:t xml:space="preserve">.  </w:t>
            </w:r>
          </w:p>
          <w:p w:rsidR="00E87897" w:rsidRPr="00E87897" w:rsidRDefault="00E87897" w:rsidP="00E87897">
            <w:pPr>
              <w:pStyle w:val="TableTextEntries"/>
              <w:rPr>
                <w:lang w:eastAsia="en-AU"/>
              </w:rPr>
            </w:pPr>
            <w:r w:rsidRPr="00E87897">
              <w:rPr>
                <w:lang w:eastAsia="en-AU"/>
              </w:rPr>
              <w:t xml:space="preserve">In line with education objectives, the partnerships between Australia and Philippine institutions will provide high profile platform to promote education as a flagship sector of the aid program. It will also highlight Australia’s international reputation as world class education provider, and contribute to strengthening local institutions in the Philippines. </w:t>
            </w:r>
          </w:p>
        </w:tc>
      </w:tr>
      <w:bookmarkEnd w:id="2"/>
    </w:tbl>
    <w:p w:rsidR="000D733F" w:rsidRPr="00D95DDC" w:rsidRDefault="000D733F" w:rsidP="009E79EC"/>
    <w:sectPr w:rsidR="000D733F" w:rsidRPr="00D95DDC" w:rsidSect="001C745A">
      <w:pgSz w:w="16840" w:h="11907" w:orient="landscape" w:code="9"/>
      <w:pgMar w:top="1871" w:right="2268" w:bottom="1871" w:left="907" w:header="851" w:footer="45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508" w:rsidRDefault="009E6508" w:rsidP="0050529F">
      <w:r>
        <w:separator/>
      </w:r>
    </w:p>
    <w:p w:rsidR="009E6508" w:rsidRDefault="009E6508"/>
    <w:p w:rsidR="009E6508" w:rsidRDefault="009E6508"/>
    <w:p w:rsidR="009E6508" w:rsidRDefault="009E6508"/>
    <w:p w:rsidR="009E6508" w:rsidRDefault="009E6508"/>
    <w:p w:rsidR="009E6508" w:rsidRDefault="009E6508"/>
    <w:p w:rsidR="009E6508" w:rsidRDefault="009E6508"/>
  </w:endnote>
  <w:endnote w:type="continuationSeparator" w:id="0">
    <w:p w:rsidR="009E6508" w:rsidRDefault="009E6508" w:rsidP="0050529F">
      <w:r>
        <w:continuationSeparator/>
      </w:r>
    </w:p>
    <w:p w:rsidR="009E6508" w:rsidRDefault="009E6508"/>
    <w:p w:rsidR="009E6508" w:rsidRDefault="009E6508"/>
    <w:p w:rsidR="009E6508" w:rsidRDefault="009E6508"/>
    <w:p w:rsidR="009E6508" w:rsidRDefault="009E6508"/>
    <w:p w:rsidR="009E6508" w:rsidRDefault="009E6508"/>
    <w:p w:rsidR="009E6508" w:rsidRDefault="009E6508"/>
  </w:endnote>
  <w:endnote w:type="continuationNotice" w:id="1">
    <w:p w:rsidR="009E6508" w:rsidRDefault="009E65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ebdings">
    <w:panose1 w:val="05030102010509060703"/>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FE9" w:rsidRPr="0091071F" w:rsidRDefault="00C77FE9" w:rsidP="000D733F">
    <w:pPr>
      <w:pStyle w:val="Footer"/>
    </w:pPr>
    <w:r w:rsidRPr="0091071F">
      <w:fldChar w:fldCharType="begin"/>
    </w:r>
    <w:r w:rsidRPr="0091071F">
      <w:instrText xml:space="preserve"> PAGE </w:instrText>
    </w:r>
    <w:r w:rsidRPr="0091071F">
      <w:fldChar w:fldCharType="separate"/>
    </w:r>
    <w:r>
      <w:rPr>
        <w:noProof/>
      </w:rPr>
      <w:t>29</w:t>
    </w:r>
    <w:r w:rsidRPr="0091071F">
      <w:fldChar w:fldCharType="end"/>
    </w:r>
    <w:r w:rsidRPr="0091071F">
      <w:tab/>
    </w:r>
    <w:r>
      <w:fldChar w:fldCharType="begin"/>
    </w:r>
    <w:r>
      <w:instrText xml:space="preserve"> STYLEREF  Title </w:instrText>
    </w:r>
    <w:r>
      <w:rPr>
        <w:noProof/>
      </w:rPr>
      <w:fldChar w:fldCharType="end"/>
    </w:r>
    <w:r>
      <w:t xml:space="preserve"> &lt;&lt;Name of Country Program&gt;&gt;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FE9" w:rsidRPr="0091071F" w:rsidRDefault="00C77FE9" w:rsidP="000D733F">
    <w:pPr>
      <w:pStyle w:val="Footer"/>
    </w:pPr>
    <w:r>
      <w:tab/>
    </w:r>
    <w:r>
      <w:tab/>
    </w:r>
    <w:r w:rsidR="009E6508">
      <w:fldChar w:fldCharType="begin"/>
    </w:r>
    <w:r w:rsidR="009E6508">
      <w:instrText xml:space="preserve"> STYLEREF Title \* MERGEFORMAT </w:instrText>
    </w:r>
    <w:r w:rsidR="009E6508">
      <w:rPr>
        <w:noProof/>
      </w:rPr>
      <w:fldChar w:fldCharType="end"/>
    </w:r>
    <w:r w:rsidRPr="0091071F">
      <w:tab/>
    </w:r>
    <w:r w:rsidRPr="0091071F">
      <w:rPr>
        <w:rStyle w:val="PageNumber"/>
        <w:color w:val="3E3935"/>
      </w:rPr>
      <w:tab/>
    </w:r>
    <w:r w:rsidRPr="0091071F">
      <w:rPr>
        <w:rStyle w:val="PageNumber"/>
        <w:color w:val="3E3935"/>
      </w:rPr>
      <w:fldChar w:fldCharType="begin"/>
    </w:r>
    <w:r w:rsidRPr="0091071F">
      <w:rPr>
        <w:rStyle w:val="PageNumber"/>
        <w:color w:val="3E3935"/>
      </w:rPr>
      <w:instrText xml:space="preserve"> PAGE </w:instrText>
    </w:r>
    <w:r w:rsidRPr="0091071F">
      <w:rPr>
        <w:rStyle w:val="PageNumber"/>
        <w:color w:val="3E3935"/>
      </w:rPr>
      <w:fldChar w:fldCharType="separate"/>
    </w:r>
    <w:r w:rsidR="00E24D48">
      <w:rPr>
        <w:rStyle w:val="PageNumber"/>
        <w:noProof/>
        <w:color w:val="3E3935"/>
      </w:rPr>
      <w:t>1</w:t>
    </w:r>
    <w:r w:rsidRPr="0091071F">
      <w:rPr>
        <w:rStyle w:val="PageNumber"/>
        <w:color w:val="3E393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D48" w:rsidRDefault="00E24D4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FE9" w:rsidRPr="004C4A3E" w:rsidRDefault="00C77FE9" w:rsidP="000D733F">
    <w:pPr>
      <w:tabs>
        <w:tab w:val="left" w:pos="0"/>
        <w:tab w:val="left" w:pos="13325"/>
      </w:tabs>
      <w:spacing w:line="180" w:lineRule="exact"/>
      <w:ind w:right="-1136"/>
      <w:rPr>
        <w:rFonts w:ascii="Franklin Gothic Medium" w:hAnsi="Franklin Gothic Medium"/>
        <w:color w:val="5A9A98"/>
        <w:sz w:val="14"/>
        <w:szCs w:val="14"/>
      </w:rPr>
    </w:pPr>
    <w:r>
      <w:rPr>
        <w:noProof/>
      </w:rPr>
      <mc:AlternateContent>
        <mc:Choice Requires="wps">
          <w:drawing>
            <wp:anchor distT="0" distB="0" distL="114300" distR="114300" simplePos="0" relativeHeight="251720704" behindDoc="1" locked="1" layoutInCell="1" allowOverlap="1" wp14:anchorId="45AC3025" wp14:editId="79BFC9AA">
              <wp:simplePos x="0" y="0"/>
              <wp:positionH relativeFrom="page">
                <wp:posOffset>0</wp:posOffset>
              </wp:positionH>
              <wp:positionV relativeFrom="page">
                <wp:posOffset>8533130</wp:posOffset>
              </wp:positionV>
              <wp:extent cx="7380000" cy="2181600"/>
              <wp:effectExtent l="0" t="0" r="0" b="9525"/>
              <wp:wrapNone/>
              <wp:docPr id="20" name="Rectangle 20"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80000" cy="218160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alt="AusAID web address graphic" style="position:absolute;margin-left:0;margin-top:671.9pt;width:581.1pt;height:171.8pt;z-index:-25159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f6&#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CcUAFFJkeooyPUUXAW&#10;ikyPUUZHqKLgLRSZHqKMii4C0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XN+NP8AkFRf9dR/I10lc340/wCQVF/11H8jXLjf93n6HVgv94h6nC0UUV8kfWBW&#10;/oraKLf/AEsL9qycGXOz26VgVv6L/Yv2b/S9v2rJ/wBbnZ7V04T+J0+Zy4z+F1+Rozyax5Lf2cLM&#10;wAf8uuCf1rkGJLsW+9nn612E66yYW/s5rIQY6WuBx+Nce2dx3dc81tjt1v8APb5GOA2e3y3+YlbP&#10;hZyuvwAfxBgfyNY1a/hj/kYbb/gX/oJrnwv8eHqjpxX8Cfoz0eiiivsD5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ub8af8gqL/rqP5Gukrm/Gn/I&#10;Ki/66j+Rrlxv+7z9DqwX+8Q9ThaKKK+SPrArY03w/cahbfafNSODJG45J49qx63tG0zUZbb7VBef&#10;Z4MnnJPT2FdGFgp1LONznxU3CndSsPRdF01jm6up5R1EYKDNYDkM7EZwTxmutuNX0+KFob1jqEuM&#10;bjAExXIsQWJAwM8CtcZyq0Ytei/pmWDcneUk793+miErX8Mf8jDbf8C/9BNZFa/hj/kYbb/gX/oJ&#10;rHC/x4eqNsV/An6M9Hooor7A+Q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rm/Gn/IKi/66j+RrpK5vxp/yCov+uo/ka5cb/u8/Q6sF/vEPU4Wiiivk&#10;j6wKt2VzfQuBZyTA/wB2PJ/Sqlb+ja41nbfZBZmQEn54uH5rfDpOesrGGIbUNI3NG1bWbmPF7Y27&#10;x45adQp/z+FcjIMSMMAYJ4FddPox1KFp/td7BxnZdnI/nXIMMMRnOD1roxqklFP731ObAuLcmrei&#10;6CVr+GP+Rhtv+Bf+gmsitfwx/wAjDbf8C/8AQTXPhf48PVHTiv4E/Rno9FFFfYHy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c340/5BUX/XUfyNdJ&#10;XN+NP+QVF/11H8jXLjf93n6HVgv94h6nC0UUV8kfWBW/pGuHTrEwvaM0RJzNGcNz74rArcs5NUvd&#10;DewtrQSQA8vjnrnFdOFlKM24vW3a5zYuMZQSktL97E0w0rU8t/alxFIf4ZwWH51zzDDEA5wetS/Z&#10;ZzK8Xkv5iAllxyMdc1DUVqjnq42ZVGmoXUZXQVr+GP8AkYbb/gX/AKCayK1/DH/Iw23/AAL/ANBN&#10;PC/x4eqDFfwJ+jPR6KKK+wPk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zfjT/kFRf9dR/I10lc340/5BUX/XUfyNcuN/3efodWC/3iHqcLRRRXyR9YFdHa2sOo+H&#10;7eKe8ht2hkby9zdQTzkVzlaM1pDDolrcEEzzu2OeAo4row8uXmdrq2pzYmPNyq9nfQuHw/bAH/ic&#10;Wh/z9aw2XaxXOcHGRXSroWmosFpPcSC/nTcuB8oPpXNyRmKV426qxU/hV4mnyJe7b53JwtXnbXNf&#10;5WG1r+GP+Rhtv+Bf+gmsitfwx/yMNt/wL/0E1nhf48PVGmK/gT9Gej0UUV9gfI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VzfjT/kFRf8AXUfyNdJX&#10;N+NP+QVF/wBdR/I1y43/AHefodWC/wB4h6nC0UUV8kfWBW9pF4Hsxb3GmSXkULFkMaklSeorBrp7&#10;KbUF8P239lKdyyP5+1cknPH4V14O/O35dr3OTGfAl597WM6XV5Zdd+3m3y0f3Y+flAFZcjmSRnbq&#10;xLH8a7FLK6OvQ3Jtisc0A+0cYAJHNcfMqrPIq/dDED6Zp4qE4q8nu2ThakJO0Vsl/wAMMrX8Mf8A&#10;Iw23/Av/AEE1kVr+GP8AkYbb/gX/AKCaywv8eHqjbFfwJ+jPR6KKK+wPk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5vxp/wAgqL/rqP5Gukrm/Gn/&#10;ACCov+uo/ka5cb/u8/Q6sF/vEPU4Wiiivkj6wK6DTLbXLjTY/sU4S3DHaN4U5zzXP1s6ZpZntDdX&#10;N79ltQ20Enlj7V04W7nZX+Tt+JzYqyhd2+av+Bfk0vxJJEyPdbkI5Hm9axf7Kuf7Ne++TykfYRnn&#10;Naj6PDcROdO1bz5VGfKJwSPasAySBDGXbbnJXPGa1xCjG3Mn99zHDOUk+Vr7rDK1/DH/ACMNt/wL&#10;/wBBNZFa/hj/AJGG2/4F/wCgmsML/Hh6o6MV/An6M9Hooor7A+Q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rm/Gn/IKi/66j+RrpK5vxp/yCov+uo/&#10;ka5cb/u8/Q6sF/vEPU4Wiiivkj6wK6O0t7a/8PQ2899DbvHIzIGbsfUVzlaS22nHRDObk/bQ3EX4&#10;/wCFdGGdnLRNW66HPiVdR1ad+iubGm6bY2F4twdXtmKA7QGxzjvzWdfaVawwS3C6pbyv12J1P61j&#10;UVUsRBw5eT8WTHDzU+fn/BBWv4Y/5GG2/wCBf+gmsitfwx/yMNt/wL/0E1GF/jQ9UXiv4E/Rno9F&#10;FFfYHy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rm/Gn/IKi/66j+RrpK5vxp/yCov+uo/ka5cb/u8/Q6sF/vEPU4Wi&#10;iivkj6wK6HQ9ZsrK1MEsRimJP+kKoY1z1a0V2kmhvZR6eZJt2TMq5xzn/wCtXRhpuE3JPW3qc2Kg&#10;pwUWtL97F+80661NTLbaot6vXYW2kfhXNkFSQeo4pyM8b5QsrD04IphOeamtUjUd7WfqVRpyprlb&#10;uumgVr+GP+Rhtv8AgX/oJrIrX8Mf8jDbf8C/9BNPC/x4eqDFfwJ+jPR6KKK+wPk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5vxp/yCov+uo/ka6Su&#10;b8af8gqL/rqP5GuXG/7vP0OrBf7xD1OFooor5I+sCumsrq9t9Atm0uMM/mMJ8JuOc8fpXM1v6V/b&#10;01iI9P8AlgRj83yjJ+p6114STU2lfbpucmMinBN20fXY0Y7SVvEEM/2QrFcwZnG3hSRzXJTKEnkV&#10;fuqxA+ma6eS18UyRMjykqRzh1rlmUqxVuoODV4x6L3WtW9TPBrVvmT0S0ErX8Mf8jDbf8C/9BNZF&#10;a/hj/kYbb/gX/oJrDC/x4eqOjFfwJ+jPR6KKK+wPk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5vxp/wAgqL/rqP5Gukrm/Gn/ACCov+uo/ka5cb/u&#10;8/Q6sF/vEPU4Wiiivkj6wK6a1s7zUvDdslq5jMMjZBbaJAT1/CuZp4mkCBBI4UHIAY4rehVVNvmW&#10;jRhXpSqJcrs07m4fD+sgZ81f+/8AWCwKswbqDg07zZP+ej/99UylVnCVuVNeruOlCcb87T9FYK2P&#10;C4z4gtvbd/6Cax66jwbZM93LeMDsjXap9Sa0wUHOvFLuRjZqFCTfY7aiiivrT5I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ub8Z/8AIKi/66j+RrpK&#10;ZJFHKoEiK4HZhmsa9P2tNwvua0KnsqinbY8koxXq/wBitf8An3i/74FH2K1/594v++BXkf2PL+f8&#10;D1/7YX8n4nlGKMV6v9itf+feL/vgUfYrX/n3i/74FH9jy/n/AAD+2F/J+J5RilVWY4VSSewFerfY&#10;rX/n3i/74FOS3hiPyRIv0UChZO+s/wAAecL+T8TgdM8M3t86tKhgh7sw5P0Fd5aWkNlbJbwJtjUc&#10;VPRXpYbB08Ovd37nm4nF1MQ/e27BRRRXWco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" stroked="f" strokecolor="#4a7ebb" strokeweight="1.5pt">
              <v:fill r:id="rId2" o:title="AusAID web address graphic" recolor="t" type="frame"/>
              <v:shadow opacity="22938f" offset="0"/>
              <v:textbox inset=",7.2pt,,7.2pt"/>
              <w10:wrap anchorx="page" anchory="page"/>
              <w10:anchorlock/>
            </v:rect>
          </w:pict>
        </mc:Fallback>
      </mc:AlternateContent>
    </w:r>
    <w:r>
      <w:rPr>
        <w:rFonts w:ascii="Franklin Gothic Medium" w:hAnsi="Franklin Gothic Medium"/>
        <w:color w:val="5A9A98"/>
        <w:sz w:val="14"/>
        <w:szCs w:val="14"/>
      </w:rPr>
      <w:fldChar w:fldCharType="begin"/>
    </w:r>
    <w:r>
      <w:rPr>
        <w:rFonts w:ascii="Franklin Gothic Medium" w:hAnsi="Franklin Gothic Medium"/>
        <w:color w:val="5A9A98"/>
        <w:sz w:val="14"/>
        <w:szCs w:val="14"/>
      </w:rPr>
      <w:instrText xml:space="preserve"> STYLEREF  Title </w:instrText>
    </w:r>
    <w:r>
      <w:rPr>
        <w:rFonts w:ascii="Franklin Gothic Medium" w:hAnsi="Franklin Gothic Medium"/>
        <w:color w:val="5A9A98"/>
        <w:sz w:val="14"/>
        <w:szCs w:val="14"/>
      </w:rPr>
      <w:fldChar w:fldCharType="separate"/>
    </w:r>
    <w:r>
      <w:rPr>
        <w:rFonts w:ascii="Franklin Gothic Medium" w:hAnsi="Franklin Gothic Medium"/>
        <w:noProof/>
        <w:color w:val="5A9A98"/>
        <w:sz w:val="14"/>
        <w:szCs w:val="14"/>
      </w:rPr>
      <w:t>Aid Program Performance Report 2013-14</w:t>
    </w:r>
    <w:r>
      <w:rPr>
        <w:rFonts w:ascii="Franklin Gothic Medium" w:hAnsi="Franklin Gothic Medium"/>
        <w:color w:val="5A9A98"/>
        <w:sz w:val="14"/>
        <w:szCs w:val="14"/>
      </w:rPr>
      <w:fldChar w:fldCharType="end"/>
    </w:r>
    <w:r>
      <w:rPr>
        <w:rFonts w:ascii="Franklin Gothic Medium" w:hAnsi="Franklin Gothic Medium"/>
        <w:color w:val="5A9A98"/>
        <w:sz w:val="14"/>
        <w:szCs w:val="14"/>
      </w:rPr>
      <w:tab/>
    </w:r>
    <w:r w:rsidRPr="0050529F">
      <w:rPr>
        <w:rFonts w:ascii="Franklin Gothic Medium" w:hAnsi="Franklin Gothic Medium"/>
        <w:color w:val="54534A"/>
        <w:sz w:val="14"/>
        <w:szCs w:val="14"/>
      </w:rPr>
      <w:fldChar w:fldCharType="begin"/>
    </w:r>
    <w:r w:rsidRPr="0050529F">
      <w:rPr>
        <w:rFonts w:ascii="Franklin Gothic Medium" w:hAnsi="Franklin Gothic Medium"/>
        <w:color w:val="54534A"/>
        <w:sz w:val="14"/>
        <w:szCs w:val="14"/>
      </w:rPr>
      <w:instrText xml:space="preserve"> PAGE </w:instrText>
    </w:r>
    <w:r w:rsidRPr="0050529F">
      <w:rPr>
        <w:rFonts w:ascii="Franklin Gothic Medium" w:hAnsi="Franklin Gothic Medium"/>
        <w:color w:val="54534A"/>
        <w:sz w:val="14"/>
        <w:szCs w:val="14"/>
      </w:rPr>
      <w:fldChar w:fldCharType="separate"/>
    </w:r>
    <w:r>
      <w:rPr>
        <w:rFonts w:ascii="Franklin Gothic Medium" w:hAnsi="Franklin Gothic Medium"/>
        <w:noProof/>
        <w:color w:val="54534A"/>
        <w:sz w:val="14"/>
        <w:szCs w:val="14"/>
      </w:rPr>
      <w:t>29</w:t>
    </w:r>
    <w:r w:rsidRPr="0050529F">
      <w:rPr>
        <w:rFonts w:ascii="Franklin Gothic Medium" w:hAnsi="Franklin Gothic Medium"/>
        <w:color w:val="54534A"/>
        <w:sz w:val="14"/>
        <w:szCs w:val="14"/>
      </w:rPr>
      <w:fldChar w:fldCharType="end"/>
    </w:r>
    <w:r>
      <w:rPr>
        <w:noProof/>
      </w:rPr>
      <mc:AlternateContent>
        <mc:Choice Requires="wps">
          <w:drawing>
            <wp:anchor distT="0" distB="0" distL="114300" distR="114300" simplePos="0" relativeHeight="251719680" behindDoc="1" locked="0" layoutInCell="1" allowOverlap="1" wp14:anchorId="51FF0D6D" wp14:editId="40B2F673">
              <wp:simplePos x="0" y="0"/>
              <wp:positionH relativeFrom="column">
                <wp:posOffset>0</wp:posOffset>
              </wp:positionH>
              <wp:positionV relativeFrom="paragraph">
                <wp:posOffset>8498840</wp:posOffset>
              </wp:positionV>
              <wp:extent cx="7379970" cy="2181860"/>
              <wp:effectExtent l="0" t="2540" r="1905" b="0"/>
              <wp:wrapNone/>
              <wp:docPr id="21" name="Rectangle 21"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alt="AusAID web address graphic" style="position:absolute;margin-left:0;margin-top:669.2pt;width:581.1pt;height:171.8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93AQ+sAwAA3Q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f6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CcUAFFJkeo&#10;oyPUUXAWikyPUUZHqKLgLRSZHqKMii4C0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XN+NP8AkFRf9dR/I10lc340/wCQVF/11H8jXLjf93n6HVgv94h6nC0U&#10;UV8kfWBW/oraKLf/AEsL9qycGXOz26VgVv6L/Yv2b/S9v2rJ/wBbnZ7V04T+J0+Zy4z+F1+Rozya&#10;x5Lf2cLMwAf8uuCf1rkGJLsW+9nn612E66yYW/s5rIQY6WuBx+Nce2dx3dc81tjt1v8APb5GOA2e&#10;3y3+YlbPhZyuvwAfxBgfyNY1a/hj/kYbb/gX/oJrnwv8eHqjpxX8Cfoz0eiiivsD5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ub8af8gqL/rqP5Gu&#10;krm/Gn/IKi/66j+Rrlxv+7z9DqwX+8Q9ThaKKK+SPrArY03w/cahbfafNSODJG45J49qx63tG0zU&#10;Zbb7VBefZ4MnnJPT2FdGFgp1LONznxU3CndSsPRdF01jm6up5R1EYKDNYDkM7EZwTxmutuNX0+KF&#10;ob1jqEuMbjAExXIsQWJAwM8CtcZyq0Ytei/pmWDcneUk793+miErX8Mf8jDbf8C/9BNZFa/hj/kY&#10;bb/gX/oJrHC/x4eqNsV/An6M9Hooor7A+Q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rm/Gn/IKi/66j+RrpK5vxp/yCov+uo/ka5cb/u8/Q6sF/vEP&#10;U4Wiiivkj6wKt2VzfQuBZyTA/wB2PJ/Sqlb+ja41nbfZBZmQEn54uH5rfDpOesrGGIbUNI3NG1bW&#10;bmPF7Y27x45adQp/z+FcjIMSMMAYJ4FddPox1KFp/td7BxnZdnI/nXIMMMRnOD1roxqklFP731Ob&#10;AuLcmrei6CVr+GP+Rhtv+Bf+gmsitfwx/wAjDbf8C/8AQTXPhf48PVHTiv4E/Rno9FFFfYHy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c340/5BUX&#10;/XUfyNdJXN+NP+QVF/11H8jXLjf93n6HVgv94h6nC0UUV8kfWBW/pGuHTrEwvaM0RJzNGcNz74rA&#10;rcs5NUvdDewtrQSQA8vjnrnFdOFlKM24vW3a5zYuMZQSktL97E0w0rU8t/alxFIf4ZwWH51zzDDE&#10;A5wetS/ZZzK8Xkv5iAllxyMdc1DUVqjnq42ZVGmoXUZXQVr+GP8AkYbb/gX/AKCayK1/DH/Iw23/&#10;AAL/ANBNPC/x4eqDFfwJ+jPR6KKK+wPk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zfjT/kFRf9dR/I10lc340/5BUX/XUfyNcuN/3efodWC/3iHqcLRRRXyR9YFd&#10;Ha2sOo+H7eKe8ht2hkby9zdQTzkVzlaM1pDDolrcEEzzu2OeAo4row8uXmdrq2pzYmPNyq9nfQuH&#10;w/bAH/icWh/z9aw2XaxXOcHGRXSroWmosFpPcSC/nTcuB8oPpXNyRmKV426qxU/hV4mnyJe7b53J&#10;wtXnbXNf5WG1r+GP+Rhtv+Bf+gmsitfwx/yMNt/wL/0E1nhf48PVGmK/gT9Gej0UUV9gfI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zfjT/kFRf8A&#10;XUfyNdJXN+NP+QVF/wBdR/I1y43/AHefodWC/wB4h6nC0UUV8kfWBW9pF4Hsxb3GmSXkULFkMakl&#10;SeorBrp7KbUF8P239lKdyyP5+1cknPH4V14O/O35dr3OTGfAl597WM6XV5Zdd+3m3y0f3Y+flAFZ&#10;cjmSRnbqxLH8a7FLK6OvQ3Jtisc0A+0cYAJHNcfMqrPIq/dDED6Zp4qE4q8nu2ThakJO0Vsl/wAM&#10;MrX8Mf8AIw23/Av/AEE1kVr+GP8AkYbb/gX/AKCaywv8eHqjbFfwJ+jPR6KKK+wPk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5vxp/wAgqL/rqP5G&#10;ukrm/Gn/ACCov+uo/ka5cb/u8/Q6sF/vEPU4Wiiivkj6wK6DTLbXLjTY/sU4S3DHaN4U5zzXP1s6&#10;ZpZntDdXN79ltQ20Enlj7V04W7nZX+Tt+JzYqyhd2+av+Bfk0vxJJEyPdbkI5Hm9axf7Kuf7Ne++&#10;TykfYRnnNaj6PDcROdO1bz5VGfKJwSPasAySBDGXbbnJXPGa1xCjG3Mn99zHDOUk+Vr7rDK1/DH/&#10;ACMNt/wL/wBBNZFa/hj/AJGG2/4F/wCgmsML/Hh6o6MV/An6M9Hooor7A+Q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m/Gn/IKi/66j+RrpK5vxp/&#10;yCov+uo/ka5cb/u8/Q6sF/vEPU4Wiiivkj6wK6O0t7a/8PQ2899DbvHIzIGbsfUVzlaS22nHRDOb&#10;k/bQ3EX4/wCFdGGdnLRNW66HPiVdR1ad+iubGm6bY2F4twdXtmKA7QGxzjvzWdfaVawwS3C6pbyv&#10;12J1P61jUVUsRBw5eT8WTHDzU+fn/BBWv4Y/5GG2/wCBf+gmsitfwx/yMNt/wL/0E1GF/jQ9UXiv&#10;4E/Rno9FFFfYHy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XN+NP+QVF/11H8jXSVzfjT/kFRf9dR/I&#10;1y43/d5+h1YL/eIepwtFFFfJH1gV0Nrcf2PocF5BbxyT3DsGkdc7ADwK56tPTNYubBTAsaTwuc+U&#10;4yM+1dGGmoSd3bz7HPiYOcFZX8u5qWGsT6zdLZXtvDLFICCypgpx1rm5VCTOgOQrEA116Pq15buL&#10;ewgsImHzSHg4rj3Xa7KTkg4zW2Lvyx5m35tWMMHbmlypJdk7ja1/DH/Iw23/AAL/ANBNZFa/hj/k&#10;Ybb/AIF/6Cawwv8AHh6o6MV/An6M9Hooor7A+Q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rm/Gn/IKi/66j+RrpK5vxp/yCov+uo/ka5cb/u8/Q6sF&#10;/vEPU4Wiiivkj6wK6HQ9ZsrK1MEsRimJP+kKoY1z1a0V2kmhvZR6eZJt2TMq5xzn/wCtXRhpuE3J&#10;PW3qc2KgpwUWtL97F+80661NTLbaot6vXYW2kfhXNkFSQeo4pyM8b5QsrD04IphOeamtUjUd7Wfq&#10;VRpyprlbuumgVr+GP+Rhtv8AgX/oJrIrX8Mf8jDbf8C/9BNPC/x4eqDFfwJ+jPR6KKK+wPk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5vxp/yCov+&#10;uo/ka6Sub8af8gqL/rqP5GuXG/7vP0OrBf7xD1OFooor5I+sCumsrq9t9Atm0uMM/mMJ8JuOc8fp&#10;XM1v6V/b01iI9P8AlgRj83yjJ+p6114STU2lfbpucmMinBN20fXY0Y7SVvEEM/2QrFcwZnG3hSRz&#10;XJTKEnkVfuqxA+ma6eS18UyRMjykqRzh1rlmUqxVuoODV4x6L3WtW9TPBrVvmT0S0ErX8Mf8jDbf&#10;8C/9BNZFa/hj/kYbb/gX/oJrDC/x4eqOjFfwJ+jPR6KKK+wPk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p/wAgqL/rqP5Gukrm/Gn/ACCov+uo&#10;/ka5cb/u8/Q6sF/vEPU4Wiiivkj6wK6a1s7zUvDdslq5jMMjZBbaJAT1/CuZp4mkCBBI4UHIAY4r&#10;ehVVNvmWjRhXpSqJcrs07m4fD+sgZ81f+/8AWCwKswbqDg07zZP+ej/99UylVnCVuVNeruOlCcb8&#10;7T9FYK2PC4z4gtvbd/6Cax66jwbZM93LeMDsjXap9Sa0wUHOvFLuRjZqFCTfY7aiiivrT5I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ub8Z/8AIKi/&#10;66j+RrpKZJFHKoEiK4HZhmsa9P2tNwvua0KnsqinbY8koxXq/wBitf8An3i/74FH2K1/594v++BX&#10;kf2PL+f8D1/7YX8n4nlGKMV6v9itf+feL/vgUfYrX/n3i/74FH9jy/n/AAD+2F/J+J5RilVWY4VS&#10;SewFerfYrX/n3i/74FOS3hiPyRIv0UChZO+s/wAAecL+T8TgdM8M3t86tKhgh7sw5P0Fd5aWkNlb&#10;JbwJtjUcVPRXpYbB08Ovd37nm4nF1MQ/e27BRRRXWco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" stroked="f" strokecolor="#4a7ebb" strokeweight="1.5pt">
              <v:fill r:id="rId2" o:title="AusAID web address graphic" recolor="t" type="frame"/>
              <v:shadow opacity="22938f" offset="0"/>
              <v:textbox inset=",7.2pt,,7.2pt"/>
            </v:rect>
          </w:pict>
        </mc:Fallback>
      </mc:AlternateContent>
    </w:r>
    <w:r>
      <w:rPr>
        <w:noProof/>
      </w:rPr>
      <mc:AlternateContent>
        <mc:Choice Requires="wps">
          <w:drawing>
            <wp:anchor distT="0" distB="0" distL="114300" distR="114300" simplePos="0" relativeHeight="251718656" behindDoc="1" locked="0" layoutInCell="1" allowOverlap="1" wp14:anchorId="2CA56A2D" wp14:editId="60E7165D">
              <wp:simplePos x="0" y="0"/>
              <wp:positionH relativeFrom="column">
                <wp:posOffset>0</wp:posOffset>
              </wp:positionH>
              <wp:positionV relativeFrom="paragraph">
                <wp:posOffset>8498840</wp:posOffset>
              </wp:positionV>
              <wp:extent cx="7379970" cy="2181860"/>
              <wp:effectExtent l="0" t="2540" r="1905" b="0"/>
              <wp:wrapNone/>
              <wp:docPr id="22" name="Rectangle 22"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alt="AusAID web address graphic" style="position:absolute;margin-left:0;margin-top:669.2pt;width:581.1pt;height:171.8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f6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CcUAFFJkeo&#10;oyPUUXAWikyPUUZHqKLgLRSZHqKMii4C0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XN+NP8AkFRf9dR/I10lc340/wCQVF/11H8jXLjf93n6HVgv94h6nC0U&#10;UV8kfWBW/oraKLf/AEsL9qycGXOz26VgVv6L/Yv2b/S9v2rJ/wBbnZ7V04T+J0+Zy4z+F1+Rozya&#10;x5Lf2cLMwAf8uuCf1rkGJLsW+9nn612E66yYW/s5rIQY6WuBx+Nce2dx3dc81tjt1v8APb5GOA2e&#10;3y3+YlbPhZyuvwAfxBgfyNY1a/hj/kYbb/gX/oJrnwv8eHqjpxX8Cfoz0eiiivsD5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ub8af8gqL/rqP5Gu&#10;krm/Gn/IKi/66j+Rrlxv+7z9DqwX+8Q9ThaKKK+SPrArY03w/cahbfafNSODJG45J49qx63tG0zU&#10;Zbb7VBefZ4MnnJPT2FdGFgp1LONznxU3CndSsPRdF01jm6up5R1EYKDNYDkM7EZwTxmutuNX0+KF&#10;ob1jqEuMbjAExXIsQWJAwM8CtcZyq0Ytei/pmWDcneUk793+miErX8Mf8jDbf8C/9BNZFa/hj/kY&#10;bb/gX/oJrHC/x4eqNsV/An6M9Hooor7A+Q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rm/Gn/IKi/66j+RrpK5vxp/yCov+uo/ka5cb/u8/Q6sF/vEP&#10;U4Wiiivkj6wKt2VzfQuBZyTA/wB2PJ/Sqlb+ja41nbfZBZmQEn54uH5rfDpOesrGGIbUNI3NG1bW&#10;bmPF7Y27x45adQp/z+FcjIMSMMAYJ4FddPox1KFp/td7BxnZdnI/nXIMMMRnOD1roxqklFP731Ob&#10;AuLcmrei6CVr+GP+Rhtv+Bf+gmsitfwx/wAjDbf8C/8AQTXPhf48PVHTiv4E/Rno9FFFfYHy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c340/5BUX&#10;/XUfyNdJXN+NP+QVF/11H8jXLjf93n6HVgv94h6nC0UUV8kfWBW/pGuHTrEwvaM0RJzNGcNz74rA&#10;rcs5NUvdDewtrQSQA8vjnrnFdOFlKM24vW3a5zYuMZQSktL97E0w0rU8t/alxFIf4ZwWH51zzDDE&#10;A5wetS/ZZzK8Xkv5iAllxyMdc1DUVqjnq42ZVGmoXUZXQVr+GP8AkYbb/gX/AKCayK1/DH/Iw23/&#10;AAL/ANBNPC/x4eqDFfwJ+jPR6KKK+wPk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zfjT/kFRf9dR/I10lc340/5BUX/XUfyNcuN/3efodWC/3iHqcLRRRXyR9YFd&#10;Ha2sOo+H7eKe8ht2hkby9zdQTzkVzlaM1pDDolrcEEzzu2OeAo4row8uXmdrq2pzYmPNyq9nfQuH&#10;w/bAH/icWh/z9aw2XaxXOcHGRXSroWmosFpPcSC/nTcuB8oPpXNyRmKV426qxU/hV4mnyJe7b53J&#10;wtXnbXNf5WG1r+GP+Rhtv+Bf+gmsitfwx/yMNt/wL/0E1nhf48PVGmK/gT9Gej0UUV9gfI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zfjT/kFRf8A&#10;XUfyNdJXN+NP+QVF/wBdR/I1y43/AHefodWC/wB4h6nC0UUV8kfWBW9pF4Hsxb3GmSXkULFkMakl&#10;SeorBrp7KbUF8P239lKdyyP5+1cknPH4V14O/O35dr3OTGfAl597WM6XV5Zdd+3m3y0f3Y+flAFZ&#10;cjmSRnbqxLH8a7FLK6OvQ3Jtisc0A+0cYAJHNcfMqrPIq/dDED6Zp4qE4q8nu2ThakJO0Vsl/wAM&#10;MrX8Mf8AIw23/Av/AEE1kVr+GP8AkYbb/gX/AKCaywv8eHqjbFfwJ+jPR6KKK+wPk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5vxp/wAgqL/rqP5G&#10;ukrm/Gn/ACCov+uo/ka5cb/u8/Q6sF/vEPU4Wiiivkj6wK6DTLbXLjTY/sU4S3DHaN4U5zzXP1s6&#10;ZpZntDdXN79ltQ20Enlj7V04W7nZX+Tt+JzYqyhd2+av+Bfk0vxJJEyPdbkI5Hm9axf7Kuf7Ne++&#10;TykfYRnnNaj6PDcROdO1bz5VGfKJwSPasAySBDGXbbnJXPGa1xCjG3Mn99zHDOUk+Vr7rDK1/DH/&#10;ACMNt/wL/wBBNZFa/hj/AJGG2/4F/wCgmsML/Hh6o6MV/An6M9Hooor7A+Q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m/Gn/IKi/66j+RrpK5vxp/&#10;yCov+uo/ka5cb/u8/Q6sF/vEPU4Wiiivkj6wK6O0t7a/8PQ2899DbvHIzIGbsfUVzlaS22nHRDOb&#10;k/bQ3EX4/wCFdGGdnLRNW66HPiVdR1ad+iubGm6bY2F4twdXtmKA7QGxzjvzWdfaVawwS3C6pbyv&#10;12J1P61jUVUsRBw5eT8WTHDzU+fn/BBWv4Y/5GG2/wCBf+gmsitfwx/yMNt/wL/0E1GF/jQ9UXiv&#10;4E/Rno9FFFfYHy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XN+NP+QVF/11H8jXSVzfjT/kFRf9dR/I&#10;1y43/d5+h1YL/eIepwtFFFfJH1gV0Nrcf2PocF5BbxyT3DsGkdc7ADwK56tPTNYubBTAsaTwuc+U&#10;4yM+1dGGmoSd3bz7HPiYOcFZX8u5qWGsT6zdLZXtvDLFICCypgpx1rm5VCTOgOQrEA116Pq15buL&#10;ewgsImHzSHg4rj3Xa7KTkg4zW2Lvyx5m35tWMMHbmlypJdk7ja1/DH/Iw23/AAL/ANBNZFa/hj/k&#10;Ybb/AIF/6Cawwv8AHh6o6MV/An6M9Hooor7A+Q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rm/Gn/IKi/66j+RrpK5vxp/yCov+uo/ka5cb/u8/Q6sF&#10;/vEPU4Wiiivkj6wK6HQ9ZsrK1MEsRimJP+kKoY1z1a0V2kmhvZR6eZJt2TMq5xzn/wCtXRhpuE3J&#10;PW3qc2KgpwUWtL97F+80661NTLbaot6vXYW2kfhXNkFSQeo4pyM8b5QsrD04IphOeamtUjUd7Wfq&#10;VRpyprlbuumgVr+GP+Rhtv8AgX/oJrIrX8Mf8jDbf8C/9BNPC/x4eqDFfwJ+jPR6KKK+wPk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5vxp/yCov+&#10;uo/ka6Sub8af8gqL/rqP5GuXG/7vP0OrBf7xD1OFooor5I+sCumsrq9t9Atm0uMM/mMJ8JuOc8fp&#10;XM1v6V/b01iI9P8AlgRj83yjJ+p6114STU2lfbpucmMinBN20fXY0Y7SVvEEM/2QrFcwZnG3hSRz&#10;XJTKEnkVfuqxA+ma6eS18UyRMjykqRzh1rlmUqxVuoODV4x6L3WtW9TPBrVvmT0S0ErX8Mf8jDbf&#10;8C/9BNZFa/hj/kYbb/gX/oJrDC/x4eqOjFfwJ+jPR6KKK+wPk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p/wAgqL/rqP5Gukrm/Gn/ACCov+uo&#10;/ka5cb/u8/Q6sF/vEPU4Wiiivkj6wK6a1s7zUvDdslq5jMMjZBbaJAT1/CuZp4mkCBBI4UHIAY4r&#10;ehVVNvmWjRhXpSqJcrs07m4fD+sgZ81f+/8AWCwKswbqDg07zZP+ej/99UylVnCVuVNeruOlCcb8&#10;7T9FYK2PC4z4gtvbd/6Cax66jwbZM93LeMDsjXap9Sa0wUHOvFLuRjZqFCTfY7aiiivrT5I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ub8Z/8AIKi/&#10;66j+RrpKZJFHKoEiK4HZhmsa9P2tNwvua0KnsqinbY8koxXq/wBitf8An3i/74FH2K1/594v++BX&#10;kf2PL+f8D1/7YX8n4nlGKMV6v9itf+feL/vgUfYrX/n3i/74FH9jy/n/AAD+2F/J+J5RilVWY4VS&#10;SewFerfYrX/n3i/74FOS3hiPyRIv0UChZO+s/wAAecL+T8TgdM8M3t86tKhgh7sw5P0Fd5aWkNlb&#10;JbwJtjUcVPRXpYbB08Ovd37nm4nF1MQ/e27BRRRXWco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" stroked="f" strokecolor="#4a7ebb" strokeweight="1.5pt">
              <v:fill r:id="rId2" o:title="AusAID web address graphic" recolor="t" type="frame"/>
              <v:shadow opacity="22938f" offset="0"/>
              <v:textbox inset=",7.2pt,,7.2pt"/>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508" w:rsidRDefault="009E6508" w:rsidP="0050529F">
      <w:r>
        <w:separator/>
      </w:r>
    </w:p>
    <w:p w:rsidR="009E6508" w:rsidRDefault="009E6508"/>
    <w:p w:rsidR="009E6508" w:rsidRDefault="009E6508"/>
    <w:p w:rsidR="009E6508" w:rsidRDefault="009E6508"/>
    <w:p w:rsidR="009E6508" w:rsidRDefault="009E6508"/>
    <w:p w:rsidR="009E6508" w:rsidRDefault="009E6508"/>
    <w:p w:rsidR="009E6508" w:rsidRDefault="009E6508"/>
  </w:footnote>
  <w:footnote w:type="continuationSeparator" w:id="0">
    <w:p w:rsidR="009E6508" w:rsidRDefault="009E6508" w:rsidP="0050529F">
      <w:r>
        <w:continuationSeparator/>
      </w:r>
    </w:p>
    <w:p w:rsidR="009E6508" w:rsidRDefault="009E6508"/>
    <w:p w:rsidR="009E6508" w:rsidRDefault="009E6508"/>
    <w:p w:rsidR="009E6508" w:rsidRDefault="009E6508"/>
    <w:p w:rsidR="009E6508" w:rsidRDefault="009E6508"/>
    <w:p w:rsidR="009E6508" w:rsidRDefault="009E6508"/>
    <w:p w:rsidR="009E6508" w:rsidRDefault="009E6508"/>
  </w:footnote>
  <w:footnote w:type="continuationNotice" w:id="1">
    <w:p w:rsidR="009E6508" w:rsidRDefault="009E6508"/>
  </w:footnote>
  <w:footnote w:id="2">
    <w:p w:rsidR="00C77FE9" w:rsidRDefault="00C77FE9">
      <w:pPr>
        <w:pStyle w:val="FootnoteText"/>
      </w:pPr>
      <w:r>
        <w:rPr>
          <w:rStyle w:val="FootnoteReference"/>
        </w:rPr>
        <w:footnoteRef/>
      </w:r>
      <w:r>
        <w:t xml:space="preserve"> Both the World Bank and the Asian Development Bank forecast 6.4 per cent growth in 2014.</w:t>
      </w:r>
    </w:p>
  </w:footnote>
  <w:footnote w:id="3">
    <w:p w:rsidR="00C77FE9" w:rsidRDefault="00C77FE9" w:rsidP="00023679">
      <w:pPr>
        <w:pStyle w:val="FootnoteText"/>
        <w:spacing w:line="240" w:lineRule="auto"/>
        <w:contextualSpacing w:val="0"/>
      </w:pPr>
      <w:r>
        <w:rPr>
          <w:rStyle w:val="FootnoteReference"/>
        </w:rPr>
        <w:footnoteRef/>
      </w:r>
      <w:r>
        <w:t xml:space="preserve"> </w:t>
      </w:r>
      <w:r w:rsidRPr="005A0471">
        <w:rPr>
          <w:szCs w:val="16"/>
        </w:rPr>
        <w:t xml:space="preserve">Calculated in current U.S. dollars. See </w:t>
      </w:r>
      <w:hyperlink r:id="rId1" w:history="1">
        <w:r w:rsidRPr="005A0471">
          <w:rPr>
            <w:rStyle w:val="Hyperlink"/>
            <w:sz w:val="16"/>
            <w:szCs w:val="16"/>
          </w:rPr>
          <w:t>http://data.worldbank.org/indicator/NY.GDP.PCAP.CD</w:t>
        </w:r>
      </w:hyperlink>
      <w:r>
        <w:rPr>
          <w:rStyle w:val="Hyperlink"/>
          <w:sz w:val="16"/>
          <w:szCs w:val="16"/>
        </w:rPr>
        <w:t xml:space="preserve"> </w:t>
      </w:r>
    </w:p>
  </w:footnote>
  <w:footnote w:id="4">
    <w:p w:rsidR="00C77FE9" w:rsidRDefault="00C77FE9">
      <w:pPr>
        <w:pStyle w:val="FootnoteText"/>
      </w:pPr>
      <w:r>
        <w:rPr>
          <w:rStyle w:val="FootnoteReference"/>
        </w:rPr>
        <w:footnoteRef/>
      </w:r>
      <w:r>
        <w:t xml:space="preserve"> Philippine Government, Mid-term Update to the Philippine Development Plan2011-16,  August 2014 </w:t>
      </w:r>
    </w:p>
  </w:footnote>
  <w:footnote w:id="5">
    <w:p w:rsidR="00C77FE9" w:rsidRDefault="00C77FE9" w:rsidP="00023679">
      <w:pPr>
        <w:pStyle w:val="FootnoteText"/>
        <w:spacing w:line="240" w:lineRule="auto"/>
        <w:contextualSpacing w:val="0"/>
      </w:pPr>
      <w:r>
        <w:rPr>
          <w:rStyle w:val="FootnoteReference"/>
        </w:rPr>
        <w:footnoteRef/>
      </w:r>
      <w:r>
        <w:t xml:space="preserve"> Presentations of Kim S. Jacinto-Henares,  Commissioner of Internal Revenue  and Florencio Abad, Secretary of Budget and Management, </w:t>
      </w:r>
      <w:r w:rsidRPr="00645C94">
        <w:rPr>
          <w:i/>
        </w:rPr>
        <w:t xml:space="preserve">Katas ng Sin Tax </w:t>
      </w:r>
      <w:r>
        <w:t>conference, Manila, 23 June 2014.</w:t>
      </w:r>
    </w:p>
  </w:footnote>
  <w:footnote w:id="6">
    <w:p w:rsidR="00C77FE9" w:rsidRDefault="00C77FE9" w:rsidP="00023679">
      <w:pPr>
        <w:pStyle w:val="FootnoteText"/>
        <w:spacing w:line="240" w:lineRule="auto"/>
        <w:contextualSpacing w:val="0"/>
      </w:pPr>
      <w:r>
        <w:rPr>
          <w:rStyle w:val="FootnoteReference"/>
        </w:rPr>
        <w:footnoteRef/>
      </w:r>
      <w:r>
        <w:t xml:space="preserve"> See </w:t>
      </w:r>
      <w:r w:rsidRPr="00E207BA">
        <w:t>http://cpi.transparency.org/cpi2013/</w:t>
      </w:r>
    </w:p>
  </w:footnote>
  <w:footnote w:id="7">
    <w:p w:rsidR="00C77FE9" w:rsidRDefault="00C77FE9">
      <w:pPr>
        <w:pStyle w:val="FootnoteText"/>
      </w:pPr>
      <w:r>
        <w:rPr>
          <w:rStyle w:val="FootnoteReference"/>
        </w:rPr>
        <w:footnoteRef/>
      </w:r>
      <w:r>
        <w:t xml:space="preserve"> Constantino-David (2007) as cited by Monsod in The Philippine Bureaucracy:  Incentive structures and implications for performance, Human Development Network, 2008/2009.</w:t>
      </w:r>
    </w:p>
  </w:footnote>
  <w:footnote w:id="8">
    <w:p w:rsidR="00C77FE9" w:rsidRPr="0019437E" w:rsidRDefault="00C77FE9" w:rsidP="00023679">
      <w:pPr>
        <w:pStyle w:val="FootnoteText"/>
        <w:spacing w:line="240" w:lineRule="auto"/>
        <w:contextualSpacing w:val="0"/>
      </w:pPr>
      <w:r>
        <w:rPr>
          <w:rStyle w:val="FootnoteReference"/>
        </w:rPr>
        <w:footnoteRef/>
      </w:r>
      <w:r>
        <w:t xml:space="preserve"> </w:t>
      </w:r>
      <w:r w:rsidRPr="007A6494">
        <w:t xml:space="preserve">CY 2013 ODA </w:t>
      </w:r>
      <w:r>
        <w:t xml:space="preserve">Portfolio </w:t>
      </w:r>
      <w:r w:rsidRPr="007A6494">
        <w:t>Review</w:t>
      </w:r>
      <w:r>
        <w:t>, accessed at</w:t>
      </w:r>
      <w:r w:rsidRPr="00A5606F">
        <w:t xml:space="preserve"> </w:t>
      </w:r>
      <w:hyperlink r:id="rId2" w:history="1">
        <w:r w:rsidRPr="00B46821">
          <w:rPr>
            <w:rStyle w:val="Hyperlink"/>
            <w:sz w:val="16"/>
          </w:rPr>
          <w:t>http://www.neda.gov.ph/?p=3526</w:t>
        </w:r>
      </w:hyperlink>
      <w:r>
        <w:t>, accessed on 02 September 2014</w:t>
      </w:r>
      <w:r w:rsidRPr="000975D7">
        <w:t>.</w:t>
      </w:r>
      <w:r>
        <w:t xml:space="preserve"> </w:t>
      </w:r>
    </w:p>
  </w:footnote>
  <w:footnote w:id="9">
    <w:p w:rsidR="00C77FE9" w:rsidRDefault="00C77FE9" w:rsidP="00023679">
      <w:pPr>
        <w:pStyle w:val="FootnoteText"/>
        <w:spacing w:line="240" w:lineRule="auto"/>
        <w:contextualSpacing w:val="0"/>
      </w:pPr>
      <w:r>
        <w:rPr>
          <w:rStyle w:val="FootnoteReference"/>
        </w:rPr>
        <w:footnoteRef/>
      </w:r>
      <w:r>
        <w:t xml:space="preserve"> The recalibrated aid priorities reflects the agreements made with the Philippine Government during the Philippines-Australia Ministerial Meeting (February 2014)</w:t>
      </w:r>
    </w:p>
  </w:footnote>
  <w:footnote w:id="10">
    <w:p w:rsidR="00C77FE9" w:rsidRDefault="00C77FE9" w:rsidP="00023679">
      <w:pPr>
        <w:pStyle w:val="FootnoteText"/>
        <w:spacing w:line="240" w:lineRule="auto"/>
        <w:contextualSpacing w:val="0"/>
      </w:pPr>
      <w:r>
        <w:rPr>
          <w:rStyle w:val="FootnoteReference"/>
        </w:rPr>
        <w:footnoteRef/>
      </w:r>
      <w:r>
        <w:t xml:space="preserve"> </w:t>
      </w:r>
      <w:r w:rsidRPr="00F027E7">
        <w:t>As a percentage of the total ODA allocation (i.e., $176 million).</w:t>
      </w:r>
    </w:p>
  </w:footnote>
  <w:footnote w:id="11">
    <w:p w:rsidR="00C77FE9" w:rsidRDefault="00C77FE9" w:rsidP="007D2494">
      <w:pPr>
        <w:pStyle w:val="FootnoteText"/>
      </w:pPr>
      <w:r>
        <w:rPr>
          <w:rStyle w:val="FootnoteReference"/>
        </w:rPr>
        <w:footnoteRef/>
      </w:r>
      <w:r>
        <w:t xml:space="preserve"> Refer to footnotes in Annex B.</w:t>
      </w:r>
    </w:p>
  </w:footnote>
  <w:footnote w:id="12">
    <w:p w:rsidR="00C77FE9" w:rsidRPr="00434632" w:rsidRDefault="00C77FE9" w:rsidP="008E55BE">
      <w:pPr>
        <w:pStyle w:val="FootnoteText"/>
        <w:spacing w:line="240" w:lineRule="auto"/>
        <w:contextualSpacing w:val="0"/>
        <w:rPr>
          <w:iCs/>
        </w:rPr>
      </w:pPr>
      <w:r w:rsidRPr="00295A4A">
        <w:rPr>
          <w:rStyle w:val="FootnoteReference"/>
        </w:rPr>
        <w:footnoteRef/>
      </w:r>
      <w:r w:rsidRPr="00295A4A">
        <w:t xml:space="preserve"> </w:t>
      </w:r>
      <w:r w:rsidRPr="00434632">
        <w:rPr>
          <w:iCs/>
        </w:rPr>
        <w:t>Inter-Agency Humanitarian Evaluation of the Response  to Typhoon Haiyan in the Philippines</w:t>
      </w:r>
    </w:p>
  </w:footnote>
  <w:footnote w:id="13">
    <w:p w:rsidR="00C77FE9" w:rsidRDefault="00C77FE9" w:rsidP="002141DF">
      <w:pPr>
        <w:pStyle w:val="FootnoteText"/>
      </w:pPr>
      <w:r>
        <w:rPr>
          <w:rStyle w:val="FootnoteReference"/>
        </w:rPr>
        <w:footnoteRef/>
      </w:r>
      <w:r>
        <w:t xml:space="preserve"> Indicate changes from last year’s APPR in terms of approved amount (*) and end date (</w:t>
      </w:r>
      <w:r w:rsidRPr="00391D7A">
        <w:rPr>
          <w:sz w:val="14"/>
          <w:vertAlign w:val="superscript"/>
        </w:rPr>
        <w:sym w:font="Wingdings" w:char="F075"/>
      </w:r>
      <w:r w:rsidRPr="005E6D7B">
        <w:rPr>
          <w:sz w:val="17"/>
          <w:szCs w:val="17"/>
        </w:rPr>
        <w:t>)</w:t>
      </w:r>
      <w:r>
        <w:t>.</w:t>
      </w:r>
    </w:p>
  </w:footnote>
  <w:footnote w:id="14">
    <w:p w:rsidR="00C77FE9" w:rsidRDefault="00C77FE9" w:rsidP="00192FDE">
      <w:pPr>
        <w:pStyle w:val="FootnoteText"/>
        <w:spacing w:line="240" w:lineRule="auto"/>
        <w:contextualSpacing w:val="0"/>
      </w:pPr>
      <w:r>
        <w:rPr>
          <w:rStyle w:val="FootnoteReference"/>
        </w:rPr>
        <w:footnoteRef/>
      </w:r>
      <w:r>
        <w:t xml:space="preserve"> Reviewed and reported (same QAI ratings) as part of Human Resource Organizational Development Facility (HRODF).</w:t>
      </w:r>
    </w:p>
  </w:footnote>
  <w:footnote w:id="15">
    <w:p w:rsidR="00C77FE9" w:rsidRDefault="00C77FE9" w:rsidP="00192FDE">
      <w:pPr>
        <w:pStyle w:val="FootnoteText"/>
        <w:spacing w:line="240" w:lineRule="auto"/>
        <w:contextualSpacing w:val="0"/>
      </w:pPr>
      <w:r>
        <w:rPr>
          <w:rStyle w:val="FootnoteReference"/>
        </w:rPr>
        <w:footnoteRef/>
      </w:r>
      <w:r>
        <w:t xml:space="preserve"> PSLP Cluster Report prepared by the PSLP Section in Canberra and excluded in the number of QAIs prepared at post as stated in the APPR main report (Analysis of Quality at Implementation Reports).</w:t>
      </w:r>
    </w:p>
  </w:footnote>
  <w:footnote w:id="16">
    <w:p w:rsidR="00C77FE9" w:rsidRDefault="00C77FE9" w:rsidP="00FA5D77">
      <w:pPr>
        <w:pStyle w:val="FootnoteText"/>
        <w:spacing w:line="240" w:lineRule="auto"/>
        <w:contextualSpacing w:val="0"/>
      </w:pPr>
      <w:r>
        <w:rPr>
          <w:rStyle w:val="FootnoteReference"/>
        </w:rPr>
        <w:footnoteRef/>
      </w:r>
      <w:r>
        <w:t xml:space="preserve"> Uploading of evaluation reports in the website are pending until release of new guidelines on publications.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D48" w:rsidRDefault="00E24D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D48" w:rsidRDefault="00E24D4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D48" w:rsidRDefault="00E24D4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FE9" w:rsidRDefault="00C77FE9" w:rsidP="00AA31F2"/>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FE9" w:rsidRDefault="00C77F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BBF8C6E4"/>
    <w:lvl w:ilvl="0">
      <w:start w:val="1"/>
      <w:numFmt w:val="lowerRoman"/>
      <w:pStyle w:val="ListNumber3"/>
      <w:lvlText w:val="%1."/>
      <w:lvlJc w:val="left"/>
      <w:pPr>
        <w:ind w:left="926" w:hanging="360"/>
      </w:pPr>
      <w:rPr>
        <w:rFonts w:hint="default"/>
      </w:rPr>
    </w:lvl>
  </w:abstractNum>
  <w:abstractNum w:abstractNumId="1">
    <w:nsid w:val="FFFFFF82"/>
    <w:multiLevelType w:val="singleLevel"/>
    <w:tmpl w:val="661CC504"/>
    <w:lvl w:ilvl="0">
      <w:start w:val="1"/>
      <w:numFmt w:val="bullet"/>
      <w:pStyle w:val="ListBullet3"/>
      <w:lvlText w:val="o"/>
      <w:lvlJc w:val="left"/>
      <w:pPr>
        <w:ind w:left="927" w:hanging="360"/>
      </w:pPr>
      <w:rPr>
        <w:rFonts w:ascii="Courier New" w:hAnsi="Courier New" w:cs="Courier New" w:hint="default"/>
        <w:color w:val="auto"/>
        <w:position w:val="3"/>
      </w:rPr>
    </w:lvl>
  </w:abstractNum>
  <w:abstractNum w:abstractNumId="2">
    <w:nsid w:val="069B0BBC"/>
    <w:multiLevelType w:val="multilevel"/>
    <w:tmpl w:val="9E08230C"/>
    <w:styleLink w:val="StyleBulletedSymbolsymbol95ptLeft063cmHanging"/>
    <w:lvl w:ilvl="0">
      <w:start w:val="1"/>
      <w:numFmt w:val="bullet"/>
      <w:lvlText w:val=""/>
      <w:lvlJc w:val="left"/>
      <w:pPr>
        <w:ind w:left="720" w:hanging="360"/>
      </w:pPr>
      <w:rPr>
        <w:rFonts w:ascii="Symbol" w:hAnsi="Symbol"/>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7185F65"/>
    <w:multiLevelType w:val="hybridMultilevel"/>
    <w:tmpl w:val="855C96E8"/>
    <w:lvl w:ilvl="0" w:tplc="57640FA4">
      <w:numFmt w:val="bullet"/>
      <w:lvlText w:val="-"/>
      <w:lvlJc w:val="left"/>
      <w:pPr>
        <w:ind w:left="1080" w:hanging="360"/>
      </w:pPr>
      <w:rPr>
        <w:rFonts w:ascii="Calibri" w:eastAsiaTheme="minorHAnsi" w:hAnsi="Calibri" w:cstheme="minorBidi"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nsid w:val="14566B53"/>
    <w:multiLevelType w:val="hybridMultilevel"/>
    <w:tmpl w:val="132833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4621CE7"/>
    <w:multiLevelType w:val="hybridMultilevel"/>
    <w:tmpl w:val="DA600D4A"/>
    <w:lvl w:ilvl="0" w:tplc="D6868174">
      <w:start w:val="1"/>
      <w:numFmt w:val="bullet"/>
      <w:pStyle w:val="TableListBullet2"/>
      <w:lvlText w:val="»"/>
      <w:lvlJc w:val="left"/>
      <w:pPr>
        <w:ind w:left="587"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73F7304"/>
    <w:multiLevelType w:val="hybridMultilevel"/>
    <w:tmpl w:val="70BA06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1F2B798C"/>
    <w:multiLevelType w:val="hybridMultilevel"/>
    <w:tmpl w:val="69042CAC"/>
    <w:lvl w:ilvl="0" w:tplc="A120C8FE">
      <w:start w:val="1"/>
      <w:numFmt w:val="bullet"/>
      <w:pStyle w:val="ListParagraph"/>
      <w:lvlText w:val=""/>
      <w:lvlJc w:val="left"/>
      <w:pPr>
        <w:ind w:left="68" w:hanging="360"/>
      </w:pPr>
      <w:rPr>
        <w:rFonts w:ascii="Symbol" w:hAnsi="Symbol" w:hint="default"/>
        <w:color w:val="auto"/>
        <w:sz w:val="24"/>
      </w:rPr>
    </w:lvl>
    <w:lvl w:ilvl="1" w:tplc="0C090003">
      <w:start w:val="1"/>
      <w:numFmt w:val="bullet"/>
      <w:lvlText w:val="o"/>
      <w:lvlJc w:val="left"/>
      <w:pPr>
        <w:ind w:left="788" w:hanging="360"/>
      </w:pPr>
      <w:rPr>
        <w:rFonts w:ascii="Courier New" w:hAnsi="Courier New" w:cs="Courier New" w:hint="default"/>
      </w:rPr>
    </w:lvl>
    <w:lvl w:ilvl="2" w:tplc="0C090005">
      <w:start w:val="1"/>
      <w:numFmt w:val="bullet"/>
      <w:lvlText w:val=""/>
      <w:lvlJc w:val="left"/>
      <w:pPr>
        <w:ind w:left="1508" w:hanging="360"/>
      </w:pPr>
      <w:rPr>
        <w:rFonts w:ascii="Wingdings" w:hAnsi="Wingdings" w:hint="default"/>
      </w:rPr>
    </w:lvl>
    <w:lvl w:ilvl="3" w:tplc="0C090001" w:tentative="1">
      <w:start w:val="1"/>
      <w:numFmt w:val="bullet"/>
      <w:lvlText w:val=""/>
      <w:lvlJc w:val="left"/>
      <w:pPr>
        <w:ind w:left="2228" w:hanging="360"/>
      </w:pPr>
      <w:rPr>
        <w:rFonts w:ascii="Symbol" w:hAnsi="Symbol" w:hint="default"/>
      </w:rPr>
    </w:lvl>
    <w:lvl w:ilvl="4" w:tplc="0C090003" w:tentative="1">
      <w:start w:val="1"/>
      <w:numFmt w:val="bullet"/>
      <w:lvlText w:val="o"/>
      <w:lvlJc w:val="left"/>
      <w:pPr>
        <w:ind w:left="2948" w:hanging="360"/>
      </w:pPr>
      <w:rPr>
        <w:rFonts w:ascii="Courier New" w:hAnsi="Courier New" w:cs="Courier New" w:hint="default"/>
      </w:rPr>
    </w:lvl>
    <w:lvl w:ilvl="5" w:tplc="0C090005" w:tentative="1">
      <w:start w:val="1"/>
      <w:numFmt w:val="bullet"/>
      <w:lvlText w:val=""/>
      <w:lvlJc w:val="left"/>
      <w:pPr>
        <w:ind w:left="3668" w:hanging="360"/>
      </w:pPr>
      <w:rPr>
        <w:rFonts w:ascii="Wingdings" w:hAnsi="Wingdings" w:hint="default"/>
      </w:rPr>
    </w:lvl>
    <w:lvl w:ilvl="6" w:tplc="0C090001" w:tentative="1">
      <w:start w:val="1"/>
      <w:numFmt w:val="bullet"/>
      <w:lvlText w:val=""/>
      <w:lvlJc w:val="left"/>
      <w:pPr>
        <w:ind w:left="4388" w:hanging="360"/>
      </w:pPr>
      <w:rPr>
        <w:rFonts w:ascii="Symbol" w:hAnsi="Symbol" w:hint="default"/>
      </w:rPr>
    </w:lvl>
    <w:lvl w:ilvl="7" w:tplc="0C090003" w:tentative="1">
      <w:start w:val="1"/>
      <w:numFmt w:val="bullet"/>
      <w:lvlText w:val="o"/>
      <w:lvlJc w:val="left"/>
      <w:pPr>
        <w:ind w:left="5108" w:hanging="360"/>
      </w:pPr>
      <w:rPr>
        <w:rFonts w:ascii="Courier New" w:hAnsi="Courier New" w:cs="Courier New" w:hint="default"/>
      </w:rPr>
    </w:lvl>
    <w:lvl w:ilvl="8" w:tplc="0C090005" w:tentative="1">
      <w:start w:val="1"/>
      <w:numFmt w:val="bullet"/>
      <w:lvlText w:val=""/>
      <w:lvlJc w:val="left"/>
      <w:pPr>
        <w:ind w:left="5828" w:hanging="360"/>
      </w:pPr>
      <w:rPr>
        <w:rFonts w:ascii="Wingdings" w:hAnsi="Wingdings" w:hint="default"/>
      </w:rPr>
    </w:lvl>
  </w:abstractNum>
  <w:abstractNum w:abstractNumId="9">
    <w:nsid w:val="209B02A7"/>
    <w:multiLevelType w:val="singleLevel"/>
    <w:tmpl w:val="9D8819C8"/>
    <w:lvl w:ilvl="0">
      <w:start w:val="1"/>
      <w:numFmt w:val="bullet"/>
      <w:pStyle w:val="ListBullet2"/>
      <w:lvlText w:val="»"/>
      <w:lvlJc w:val="left"/>
      <w:pPr>
        <w:ind w:left="644" w:hanging="360"/>
      </w:pPr>
      <w:rPr>
        <w:rFonts w:ascii="Times New Roman" w:hAnsi="Times New Roman" w:cs="Times New Roman" w:hint="default"/>
        <w:color w:val="auto"/>
        <w:sz w:val="21"/>
        <w:szCs w:val="21"/>
      </w:rPr>
    </w:lvl>
  </w:abstractNum>
  <w:abstractNum w:abstractNumId="10">
    <w:nsid w:val="25264A5A"/>
    <w:multiLevelType w:val="hybridMultilevel"/>
    <w:tmpl w:val="DA822F1A"/>
    <w:lvl w:ilvl="0" w:tplc="FAAAF8B2">
      <w:start w:val="1"/>
      <w:numFmt w:val="bullet"/>
      <w:pStyle w:val="List-bullet-1"/>
      <w:lvlText w:val=""/>
      <w:lvlJc w:val="left"/>
      <w:pPr>
        <w:tabs>
          <w:tab w:val="num" w:pos="720"/>
        </w:tabs>
        <w:ind w:left="720" w:hanging="363"/>
      </w:pPr>
      <w:rPr>
        <w:rFonts w:ascii="Symbol" w:hAnsi="Symbol" w:hint="default"/>
        <w:color w:val="auto"/>
        <w:sz w:val="20"/>
      </w:rPr>
    </w:lvl>
    <w:lvl w:ilvl="1" w:tplc="04090003">
      <w:start w:val="1"/>
      <w:numFmt w:val="bullet"/>
      <w:lvlText w:val="o"/>
      <w:lvlJc w:val="left"/>
      <w:pPr>
        <w:tabs>
          <w:tab w:val="num" w:pos="1724"/>
        </w:tabs>
        <w:ind w:left="1724" w:hanging="360"/>
      </w:pPr>
      <w:rPr>
        <w:rFonts w:ascii="Courier New" w:hAnsi="Courier New" w:hint="default"/>
      </w:rPr>
    </w:lvl>
    <w:lvl w:ilvl="2" w:tplc="447A71D4">
      <w:start w:val="1"/>
      <w:numFmt w:val="bullet"/>
      <w:lvlText w:val=""/>
      <w:lvlJc w:val="left"/>
      <w:pPr>
        <w:tabs>
          <w:tab w:val="num" w:pos="2480"/>
        </w:tabs>
        <w:ind w:left="2480" w:hanging="396"/>
      </w:pPr>
      <w:rPr>
        <w:rFonts w:ascii="Symbol" w:hAnsi="Symbol" w:hint="default"/>
        <w:color w:val="auto"/>
        <w:sz w:val="20"/>
      </w:rPr>
    </w:lvl>
    <w:lvl w:ilvl="3" w:tplc="0409000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1">
    <w:nsid w:val="27440C8B"/>
    <w:multiLevelType w:val="multilevel"/>
    <w:tmpl w:val="59E651A8"/>
    <w:name w:val="StandardBulletedList"/>
    <w:lvl w:ilvl="0">
      <w:start w:val="1"/>
      <w:numFmt w:val="bullet"/>
      <w:lvlText w:val="•"/>
      <w:lvlJc w:val="left"/>
      <w:pPr>
        <w:tabs>
          <w:tab w:val="num" w:pos="520"/>
        </w:tabs>
        <w:ind w:left="520" w:hanging="520"/>
      </w:pPr>
      <w:rPr>
        <w:rFonts w:ascii="Times New Roman" w:hAnsi="Times New Roman" w:cs="Times New Roman"/>
        <w:b w:val="0"/>
        <w:i w:val="0"/>
      </w:rPr>
    </w:lvl>
    <w:lvl w:ilvl="1">
      <w:start w:val="1"/>
      <w:numFmt w:val="bullet"/>
      <w:lvlText w:val="–"/>
      <w:lvlJc w:val="left"/>
      <w:pPr>
        <w:tabs>
          <w:tab w:val="num" w:pos="1040"/>
        </w:tabs>
        <w:ind w:left="1040" w:hanging="520"/>
      </w:pPr>
      <w:rPr>
        <w:rFonts w:ascii="Times New Roman" w:hAnsi="Times New Roman" w:cs="Times New Roman"/>
        <w:b w:val="0"/>
        <w:i w:val="0"/>
      </w:rPr>
    </w:lvl>
    <w:lvl w:ilvl="2">
      <w:start w:val="1"/>
      <w:numFmt w:val="bullet"/>
      <w:lvlText w:val=":"/>
      <w:lvlJc w:val="left"/>
      <w:pPr>
        <w:tabs>
          <w:tab w:val="num" w:pos="1560"/>
        </w:tabs>
        <w:ind w:left="1560" w:hanging="520"/>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2">
    <w:nsid w:val="27895F49"/>
    <w:multiLevelType w:val="hybridMultilevel"/>
    <w:tmpl w:val="9114551C"/>
    <w:lvl w:ilvl="0" w:tplc="DE9A5BD6">
      <w:start w:val="1"/>
      <w:numFmt w:val="lowerLetter"/>
      <w:pStyle w:val="BoxListNumber2"/>
      <w:lvlText w:val="%1."/>
      <w:lvlJc w:val="left"/>
      <w:pPr>
        <w:ind w:left="644" w:hanging="360"/>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3">
    <w:nsid w:val="382D65A6"/>
    <w:multiLevelType w:val="hybridMultilevel"/>
    <w:tmpl w:val="A7446C82"/>
    <w:lvl w:ilvl="0" w:tplc="B70A9096">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89A232D"/>
    <w:multiLevelType w:val="hybridMultilevel"/>
    <w:tmpl w:val="6C7A0E3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3C682E7C"/>
    <w:multiLevelType w:val="hybridMultilevel"/>
    <w:tmpl w:val="5366D2EC"/>
    <w:lvl w:ilvl="0" w:tplc="9516015A">
      <w:numFmt w:val="bullet"/>
      <w:lvlText w:val="-"/>
      <w:lvlJc w:val="left"/>
      <w:pPr>
        <w:ind w:left="360" w:hanging="360"/>
      </w:pPr>
      <w:rPr>
        <w:rFonts w:ascii="Franklin Gothic Book" w:eastAsia="Times New Roman" w:hAnsi="Franklin Gothic Book"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46CD579B"/>
    <w:multiLevelType w:val="hybridMultilevel"/>
    <w:tmpl w:val="A5308B10"/>
    <w:lvl w:ilvl="0" w:tplc="35321CFE">
      <w:start w:val="1"/>
      <w:numFmt w:val="bullet"/>
      <w:pStyle w:val="Box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4B594C37"/>
    <w:multiLevelType w:val="hybridMultilevel"/>
    <w:tmpl w:val="343A1532"/>
    <w:lvl w:ilvl="0" w:tplc="F2D2ECE8">
      <w:numFmt w:val="bullet"/>
      <w:lvlText w:val="-"/>
      <w:lvlJc w:val="left"/>
      <w:pPr>
        <w:ind w:left="720" w:hanging="360"/>
      </w:pPr>
      <w:rPr>
        <w:rFonts w:ascii="Franklin Gothic Book" w:eastAsia="Times New Roman" w:hAnsi="Franklin Gothic Book"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186509E"/>
    <w:multiLevelType w:val="hybridMultilevel"/>
    <w:tmpl w:val="16AE8A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53692D64"/>
    <w:multiLevelType w:val="hybridMultilevel"/>
    <w:tmpl w:val="3FC0FB20"/>
    <w:lvl w:ilvl="0" w:tplc="6C461E4A">
      <w:start w:val="1"/>
      <w:numFmt w:val="bullet"/>
      <w:pStyle w:val="BoxListBullet2"/>
      <w:lvlText w:val="»"/>
      <w:lvlJc w:val="left"/>
      <w:pPr>
        <w:ind w:left="644" w:hanging="36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598A5214"/>
    <w:multiLevelType w:val="hybridMultilevel"/>
    <w:tmpl w:val="0B5AC610"/>
    <w:lvl w:ilvl="0" w:tplc="FFFFFFFF">
      <w:start w:val="1"/>
      <w:numFmt w:val="decimal"/>
      <w:pStyle w:val="TableListNumber"/>
      <w:lvlText w:val="%1."/>
      <w:lvlJc w:val="left"/>
      <w:pPr>
        <w:tabs>
          <w:tab w:val="num" w:pos="227"/>
        </w:tabs>
        <w:ind w:left="227" w:hanging="227"/>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5CAA3C80"/>
    <w:multiLevelType w:val="hybridMultilevel"/>
    <w:tmpl w:val="585C5A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64F264CF"/>
    <w:multiLevelType w:val="multilevel"/>
    <w:tmpl w:val="537047AE"/>
    <w:lvl w:ilvl="0">
      <w:start w:val="1"/>
      <w:numFmt w:val="none"/>
      <w:suff w:val="nothing"/>
      <w:lvlText w:val=""/>
      <w:lvlJc w:val="left"/>
      <w:pPr>
        <w:ind w:left="-32767" w:firstLine="0"/>
      </w:pPr>
      <w:rPr>
        <w:rFonts w:hint="default"/>
        <w:b w:val="0"/>
        <w:i w:val="0"/>
        <w:color w:val="54534A"/>
      </w:rPr>
    </w:lvl>
    <w:lvl w:ilvl="1">
      <w:start w:val="1"/>
      <w:numFmt w:val="none"/>
      <w:suff w:val="nothing"/>
      <w:lvlText w:val=""/>
      <w:lvlJc w:val="left"/>
      <w:pPr>
        <w:ind w:left="-32767"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lvlText w:val="%6"/>
      <w:lvlJc w:val="left"/>
      <w:pPr>
        <w:tabs>
          <w:tab w:val="num" w:pos="709"/>
        </w:tabs>
        <w:ind w:left="709" w:hanging="709"/>
      </w:pPr>
      <w:rPr>
        <w:rFonts w:ascii="Franklin Gothic Book" w:hAnsi="Franklin Gothic Book" w:hint="default"/>
        <w:b w:val="0"/>
        <w:i w:val="0"/>
        <w:caps w:val="0"/>
        <w:color w:val="54534A"/>
        <w:position w:val="0"/>
        <w:sz w:val="50"/>
        <w:szCs w:val="50"/>
      </w:rPr>
    </w:lvl>
    <w:lvl w:ilvl="6">
      <w:start w:val="1"/>
      <w:numFmt w:val="none"/>
      <w:lvlRestart w:val="0"/>
      <w:suff w:val="nothing"/>
      <w:lvlText w:val=""/>
      <w:lvlJc w:val="left"/>
      <w:pPr>
        <w:ind w:left="0" w:firstLine="0"/>
      </w:pPr>
      <w:rPr>
        <w:rFonts w:hint="default"/>
        <w:caps/>
        <w:sz w:val="22"/>
        <w:szCs w:val="22"/>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3">
    <w:nsid w:val="655E179A"/>
    <w:multiLevelType w:val="hybridMultilevel"/>
    <w:tmpl w:val="4FF4B7A6"/>
    <w:lvl w:ilvl="0" w:tplc="CBE215DA">
      <w:start w:val="1"/>
      <w:numFmt w:val="decimal"/>
      <w:pStyle w:val="List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66C55035"/>
    <w:multiLevelType w:val="hybridMultilevel"/>
    <w:tmpl w:val="599E5468"/>
    <w:lvl w:ilvl="0" w:tplc="2A42AF7A">
      <w:start w:val="1"/>
      <w:numFmt w:val="bullet"/>
      <w:pStyle w:val="TableListBullet"/>
      <w:lvlText w:val="›"/>
      <w:lvlJc w:val="left"/>
      <w:pPr>
        <w:ind w:left="360" w:hanging="360"/>
      </w:pPr>
      <w:rPr>
        <w:rFonts w:ascii="Times New Roman" w:hAnsi="Times New Roman" w:cs="Times New Roman" w:hint="default"/>
        <w:color w:val="auto"/>
        <w:spacing w:val="0"/>
        <w:w w:val="100"/>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6C26397D"/>
    <w:multiLevelType w:val="hybridMultilevel"/>
    <w:tmpl w:val="6AB62B64"/>
    <w:lvl w:ilvl="0" w:tplc="9516015A">
      <w:numFmt w:val="bullet"/>
      <w:lvlText w:val="-"/>
      <w:lvlJc w:val="left"/>
      <w:pPr>
        <w:ind w:left="360" w:hanging="360"/>
      </w:pPr>
      <w:rPr>
        <w:rFonts w:ascii="Franklin Gothic Book" w:eastAsia="Times New Roman" w:hAnsi="Franklin Gothic Book"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9E1124E"/>
    <w:multiLevelType w:val="hybridMultilevel"/>
    <w:tmpl w:val="6D42E656"/>
    <w:lvl w:ilvl="0" w:tplc="FFFFFFFF">
      <w:start w:val="1"/>
      <w:numFmt w:val="lowerLetter"/>
      <w:pStyle w:val="ListNumber2"/>
      <w:lvlText w:val="%1."/>
      <w:lvlJc w:val="left"/>
      <w:pPr>
        <w:tabs>
          <w:tab w:val="num" w:pos="567"/>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7D125F12"/>
    <w:multiLevelType w:val="hybridMultilevel"/>
    <w:tmpl w:val="F23EEB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F7A528B"/>
    <w:multiLevelType w:val="hybridMultilevel"/>
    <w:tmpl w:val="85FA55B8"/>
    <w:lvl w:ilvl="0" w:tplc="7B640FF6">
      <w:start w:val="1"/>
      <w:numFmt w:val="bullet"/>
      <w:pStyle w:val="ListBullet"/>
      <w:lvlText w:val="›"/>
      <w:lvlJc w:val="left"/>
      <w:pPr>
        <w:ind w:left="360" w:hanging="360"/>
      </w:pPr>
      <w:rPr>
        <w:rFonts w:ascii="Times New Roman" w:hAnsi="Times New Roman" w:cs="Times New Roman" w:hint="default"/>
        <w:color w:val="auto"/>
        <w:position w:val="3"/>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20"/>
  </w:num>
  <w:num w:numId="3">
    <w:abstractNumId w:val="7"/>
  </w:num>
  <w:num w:numId="4">
    <w:abstractNumId w:val="19"/>
  </w:num>
  <w:num w:numId="5">
    <w:abstractNumId w:val="16"/>
  </w:num>
  <w:num w:numId="6">
    <w:abstractNumId w:val="13"/>
  </w:num>
  <w:num w:numId="7">
    <w:abstractNumId w:val="24"/>
  </w:num>
  <w:num w:numId="8">
    <w:abstractNumId w:val="5"/>
  </w:num>
  <w:num w:numId="9">
    <w:abstractNumId w:val="9"/>
  </w:num>
  <w:num w:numId="10">
    <w:abstractNumId w:val="26"/>
  </w:num>
  <w:num w:numId="11">
    <w:abstractNumId w:val="28"/>
  </w:num>
  <w:num w:numId="12">
    <w:abstractNumId w:val="0"/>
  </w:num>
  <w:num w:numId="13">
    <w:abstractNumId w:val="2"/>
  </w:num>
  <w:num w:numId="14">
    <w:abstractNumId w:val="23"/>
  </w:num>
  <w:num w:numId="15">
    <w:abstractNumId w:val="1"/>
  </w:num>
  <w:num w:numId="16">
    <w:abstractNumId w:val="12"/>
  </w:num>
  <w:num w:numId="17">
    <w:abstractNumId w:val="10"/>
  </w:num>
  <w:num w:numId="18">
    <w:abstractNumId w:val="8"/>
  </w:num>
  <w:num w:numId="19">
    <w:abstractNumId w:val="4"/>
  </w:num>
  <w:num w:numId="20">
    <w:abstractNumId w:val="3"/>
  </w:num>
  <w:num w:numId="21">
    <w:abstractNumId w:val="14"/>
  </w:num>
  <w:num w:numId="22">
    <w:abstractNumId w:val="18"/>
  </w:num>
  <w:num w:numId="23">
    <w:abstractNumId w:val="6"/>
  </w:num>
  <w:num w:numId="24">
    <w:abstractNumId w:val="27"/>
  </w:num>
  <w:num w:numId="25">
    <w:abstractNumId w:val="28"/>
  </w:num>
  <w:num w:numId="26">
    <w:abstractNumId w:val="28"/>
  </w:num>
  <w:num w:numId="27">
    <w:abstractNumId w:val="28"/>
  </w:num>
  <w:num w:numId="28">
    <w:abstractNumId w:val="28"/>
  </w:num>
  <w:num w:numId="29">
    <w:abstractNumId w:val="28"/>
  </w:num>
  <w:num w:numId="30">
    <w:abstractNumId w:val="28"/>
  </w:num>
  <w:num w:numId="31">
    <w:abstractNumId w:val="28"/>
  </w:num>
  <w:num w:numId="32">
    <w:abstractNumId w:val="28"/>
  </w:num>
  <w:num w:numId="33">
    <w:abstractNumId w:val="28"/>
  </w:num>
  <w:num w:numId="34">
    <w:abstractNumId w:val="21"/>
  </w:num>
  <w:num w:numId="35">
    <w:abstractNumId w:val="28"/>
  </w:num>
  <w:num w:numId="36">
    <w:abstractNumId w:val="17"/>
  </w:num>
  <w:num w:numId="37">
    <w:abstractNumId w:val="15"/>
  </w:num>
  <w:num w:numId="38">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oNotTrackMove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footnoteLayoutLikeWW8/>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1DE"/>
    <w:rsid w:val="000004FF"/>
    <w:rsid w:val="00002161"/>
    <w:rsid w:val="0000242A"/>
    <w:rsid w:val="00002A92"/>
    <w:rsid w:val="00002E28"/>
    <w:rsid w:val="000039CF"/>
    <w:rsid w:val="00004C64"/>
    <w:rsid w:val="00004DD2"/>
    <w:rsid w:val="00004E18"/>
    <w:rsid w:val="00007E94"/>
    <w:rsid w:val="00010B76"/>
    <w:rsid w:val="00011761"/>
    <w:rsid w:val="00011D80"/>
    <w:rsid w:val="00014154"/>
    <w:rsid w:val="000142A2"/>
    <w:rsid w:val="000143D9"/>
    <w:rsid w:val="00017CD3"/>
    <w:rsid w:val="00020121"/>
    <w:rsid w:val="00021A9E"/>
    <w:rsid w:val="00023679"/>
    <w:rsid w:val="00027629"/>
    <w:rsid w:val="00027FC0"/>
    <w:rsid w:val="00030111"/>
    <w:rsid w:val="00030A4E"/>
    <w:rsid w:val="00031100"/>
    <w:rsid w:val="00031BF2"/>
    <w:rsid w:val="00031CC7"/>
    <w:rsid w:val="00031EB5"/>
    <w:rsid w:val="0003231A"/>
    <w:rsid w:val="0003621D"/>
    <w:rsid w:val="00040AF6"/>
    <w:rsid w:val="000426DF"/>
    <w:rsid w:val="000430D1"/>
    <w:rsid w:val="0004557B"/>
    <w:rsid w:val="000529AD"/>
    <w:rsid w:val="0005506B"/>
    <w:rsid w:val="000550B0"/>
    <w:rsid w:val="00055E78"/>
    <w:rsid w:val="00057589"/>
    <w:rsid w:val="000575D8"/>
    <w:rsid w:val="00057D09"/>
    <w:rsid w:val="00060558"/>
    <w:rsid w:val="0006346F"/>
    <w:rsid w:val="00071B95"/>
    <w:rsid w:val="0007395B"/>
    <w:rsid w:val="000745E2"/>
    <w:rsid w:val="0007703B"/>
    <w:rsid w:val="000774FD"/>
    <w:rsid w:val="000818C0"/>
    <w:rsid w:val="00081F4E"/>
    <w:rsid w:val="00083EF8"/>
    <w:rsid w:val="000861E7"/>
    <w:rsid w:val="00090166"/>
    <w:rsid w:val="00090256"/>
    <w:rsid w:val="000905A8"/>
    <w:rsid w:val="00091878"/>
    <w:rsid w:val="000957FC"/>
    <w:rsid w:val="00095CF5"/>
    <w:rsid w:val="00096BCC"/>
    <w:rsid w:val="000973E0"/>
    <w:rsid w:val="000975D7"/>
    <w:rsid w:val="000979A0"/>
    <w:rsid w:val="00097B02"/>
    <w:rsid w:val="00097BFC"/>
    <w:rsid w:val="000A0D2E"/>
    <w:rsid w:val="000A1618"/>
    <w:rsid w:val="000A30BB"/>
    <w:rsid w:val="000A4247"/>
    <w:rsid w:val="000A4AA9"/>
    <w:rsid w:val="000A60E1"/>
    <w:rsid w:val="000A7FA9"/>
    <w:rsid w:val="000B3121"/>
    <w:rsid w:val="000B3726"/>
    <w:rsid w:val="000B37FD"/>
    <w:rsid w:val="000B3CF6"/>
    <w:rsid w:val="000B5AE8"/>
    <w:rsid w:val="000B68F6"/>
    <w:rsid w:val="000B6BE5"/>
    <w:rsid w:val="000B6FEA"/>
    <w:rsid w:val="000B75E8"/>
    <w:rsid w:val="000C074E"/>
    <w:rsid w:val="000C258A"/>
    <w:rsid w:val="000C29BF"/>
    <w:rsid w:val="000C4A7A"/>
    <w:rsid w:val="000C5D34"/>
    <w:rsid w:val="000C6080"/>
    <w:rsid w:val="000C60A8"/>
    <w:rsid w:val="000D042D"/>
    <w:rsid w:val="000D10A4"/>
    <w:rsid w:val="000D151B"/>
    <w:rsid w:val="000D1993"/>
    <w:rsid w:val="000D20D9"/>
    <w:rsid w:val="000D2E67"/>
    <w:rsid w:val="000D61BD"/>
    <w:rsid w:val="000D733F"/>
    <w:rsid w:val="000D7952"/>
    <w:rsid w:val="000E4573"/>
    <w:rsid w:val="000E515F"/>
    <w:rsid w:val="000E7297"/>
    <w:rsid w:val="000E7A8D"/>
    <w:rsid w:val="000F2D94"/>
    <w:rsid w:val="000F3829"/>
    <w:rsid w:val="000F59E8"/>
    <w:rsid w:val="000F6641"/>
    <w:rsid w:val="000F68A1"/>
    <w:rsid w:val="00100485"/>
    <w:rsid w:val="00100AA2"/>
    <w:rsid w:val="00101509"/>
    <w:rsid w:val="0010201A"/>
    <w:rsid w:val="0010390C"/>
    <w:rsid w:val="001047F8"/>
    <w:rsid w:val="00105E7F"/>
    <w:rsid w:val="00106185"/>
    <w:rsid w:val="00106BDC"/>
    <w:rsid w:val="00106E88"/>
    <w:rsid w:val="0010729C"/>
    <w:rsid w:val="001078CE"/>
    <w:rsid w:val="0011160F"/>
    <w:rsid w:val="00112E97"/>
    <w:rsid w:val="001139DE"/>
    <w:rsid w:val="00114751"/>
    <w:rsid w:val="00114A59"/>
    <w:rsid w:val="001154CA"/>
    <w:rsid w:val="001157BA"/>
    <w:rsid w:val="001171DE"/>
    <w:rsid w:val="00117AE4"/>
    <w:rsid w:val="00120FC7"/>
    <w:rsid w:val="00122038"/>
    <w:rsid w:val="001227C3"/>
    <w:rsid w:val="0012429A"/>
    <w:rsid w:val="001258C6"/>
    <w:rsid w:val="00125BA5"/>
    <w:rsid w:val="00125E78"/>
    <w:rsid w:val="0012730E"/>
    <w:rsid w:val="0012793C"/>
    <w:rsid w:val="00127EBD"/>
    <w:rsid w:val="00130E4D"/>
    <w:rsid w:val="00131FF0"/>
    <w:rsid w:val="00132003"/>
    <w:rsid w:val="00133AAD"/>
    <w:rsid w:val="00135806"/>
    <w:rsid w:val="001366B4"/>
    <w:rsid w:val="001373F4"/>
    <w:rsid w:val="001375E3"/>
    <w:rsid w:val="00141A30"/>
    <w:rsid w:val="00143053"/>
    <w:rsid w:val="0014411B"/>
    <w:rsid w:val="001448E7"/>
    <w:rsid w:val="00147846"/>
    <w:rsid w:val="0015043E"/>
    <w:rsid w:val="00151166"/>
    <w:rsid w:val="00152DFD"/>
    <w:rsid w:val="00154EF9"/>
    <w:rsid w:val="001566C0"/>
    <w:rsid w:val="00157858"/>
    <w:rsid w:val="001612CE"/>
    <w:rsid w:val="001624FB"/>
    <w:rsid w:val="00164D2A"/>
    <w:rsid w:val="0016544D"/>
    <w:rsid w:val="001657F1"/>
    <w:rsid w:val="00167331"/>
    <w:rsid w:val="0016740F"/>
    <w:rsid w:val="00171BB2"/>
    <w:rsid w:val="00172EB0"/>
    <w:rsid w:val="00173C6E"/>
    <w:rsid w:val="001758DF"/>
    <w:rsid w:val="00175E4C"/>
    <w:rsid w:val="00180B19"/>
    <w:rsid w:val="0018196F"/>
    <w:rsid w:val="0018251E"/>
    <w:rsid w:val="001829BB"/>
    <w:rsid w:val="0018305E"/>
    <w:rsid w:val="0018353A"/>
    <w:rsid w:val="00185951"/>
    <w:rsid w:val="00187AE8"/>
    <w:rsid w:val="00187CDE"/>
    <w:rsid w:val="00191017"/>
    <w:rsid w:val="0019104F"/>
    <w:rsid w:val="00191953"/>
    <w:rsid w:val="00192498"/>
    <w:rsid w:val="00192FDE"/>
    <w:rsid w:val="0019437E"/>
    <w:rsid w:val="001943B6"/>
    <w:rsid w:val="00194806"/>
    <w:rsid w:val="00194840"/>
    <w:rsid w:val="001A1A76"/>
    <w:rsid w:val="001A374B"/>
    <w:rsid w:val="001A517F"/>
    <w:rsid w:val="001A6DAE"/>
    <w:rsid w:val="001B1A0C"/>
    <w:rsid w:val="001B23C8"/>
    <w:rsid w:val="001B2948"/>
    <w:rsid w:val="001B41CD"/>
    <w:rsid w:val="001B714C"/>
    <w:rsid w:val="001C1EA0"/>
    <w:rsid w:val="001C31B9"/>
    <w:rsid w:val="001C3EEB"/>
    <w:rsid w:val="001C4679"/>
    <w:rsid w:val="001C507E"/>
    <w:rsid w:val="001C700E"/>
    <w:rsid w:val="001C7117"/>
    <w:rsid w:val="001C745A"/>
    <w:rsid w:val="001C7DDD"/>
    <w:rsid w:val="001D20FC"/>
    <w:rsid w:val="001D210A"/>
    <w:rsid w:val="001D6059"/>
    <w:rsid w:val="001D7E98"/>
    <w:rsid w:val="001E1BD9"/>
    <w:rsid w:val="001E39FA"/>
    <w:rsid w:val="001E4BDE"/>
    <w:rsid w:val="001E5049"/>
    <w:rsid w:val="001E6635"/>
    <w:rsid w:val="001E7053"/>
    <w:rsid w:val="001F12A2"/>
    <w:rsid w:val="001F1807"/>
    <w:rsid w:val="001F5CB1"/>
    <w:rsid w:val="001F61A8"/>
    <w:rsid w:val="001F7480"/>
    <w:rsid w:val="001F76AA"/>
    <w:rsid w:val="00201174"/>
    <w:rsid w:val="00201E2C"/>
    <w:rsid w:val="00202880"/>
    <w:rsid w:val="00202E4E"/>
    <w:rsid w:val="00203BCC"/>
    <w:rsid w:val="00203FA4"/>
    <w:rsid w:val="00205E0B"/>
    <w:rsid w:val="00205F2B"/>
    <w:rsid w:val="002070B5"/>
    <w:rsid w:val="0020729B"/>
    <w:rsid w:val="002115BD"/>
    <w:rsid w:val="002126BA"/>
    <w:rsid w:val="00212B27"/>
    <w:rsid w:val="00213989"/>
    <w:rsid w:val="002141DF"/>
    <w:rsid w:val="0021515C"/>
    <w:rsid w:val="0021590E"/>
    <w:rsid w:val="00220E29"/>
    <w:rsid w:val="002227A9"/>
    <w:rsid w:val="0022560C"/>
    <w:rsid w:val="00225C7E"/>
    <w:rsid w:val="00226C89"/>
    <w:rsid w:val="00226DEE"/>
    <w:rsid w:val="00226DFE"/>
    <w:rsid w:val="00231D45"/>
    <w:rsid w:val="002335A9"/>
    <w:rsid w:val="002343CF"/>
    <w:rsid w:val="00235D29"/>
    <w:rsid w:val="002363D9"/>
    <w:rsid w:val="00236B8C"/>
    <w:rsid w:val="00237C4B"/>
    <w:rsid w:val="00240D59"/>
    <w:rsid w:val="00241050"/>
    <w:rsid w:val="002441D5"/>
    <w:rsid w:val="00244B7E"/>
    <w:rsid w:val="0024511C"/>
    <w:rsid w:val="0024659A"/>
    <w:rsid w:val="00246E5F"/>
    <w:rsid w:val="00260802"/>
    <w:rsid w:val="00261E78"/>
    <w:rsid w:val="0026290E"/>
    <w:rsid w:val="00263F5F"/>
    <w:rsid w:val="00265E3C"/>
    <w:rsid w:val="00266A8E"/>
    <w:rsid w:val="00270898"/>
    <w:rsid w:val="00272AF0"/>
    <w:rsid w:val="00273C6F"/>
    <w:rsid w:val="00275C42"/>
    <w:rsid w:val="00275DB6"/>
    <w:rsid w:val="00282FE5"/>
    <w:rsid w:val="00283E99"/>
    <w:rsid w:val="00284932"/>
    <w:rsid w:val="002849B4"/>
    <w:rsid w:val="00287F8A"/>
    <w:rsid w:val="002911A4"/>
    <w:rsid w:val="00291A2B"/>
    <w:rsid w:val="00291F1C"/>
    <w:rsid w:val="002929F5"/>
    <w:rsid w:val="00295A4A"/>
    <w:rsid w:val="00297FA7"/>
    <w:rsid w:val="002A15F4"/>
    <w:rsid w:val="002A1935"/>
    <w:rsid w:val="002A1A79"/>
    <w:rsid w:val="002A21D1"/>
    <w:rsid w:val="002A22F7"/>
    <w:rsid w:val="002A2703"/>
    <w:rsid w:val="002A3E3F"/>
    <w:rsid w:val="002A4D70"/>
    <w:rsid w:val="002A675E"/>
    <w:rsid w:val="002B1CB1"/>
    <w:rsid w:val="002B1F66"/>
    <w:rsid w:val="002B31B3"/>
    <w:rsid w:val="002B433A"/>
    <w:rsid w:val="002B61A8"/>
    <w:rsid w:val="002B6EBE"/>
    <w:rsid w:val="002B79D4"/>
    <w:rsid w:val="002C1E00"/>
    <w:rsid w:val="002C4E6A"/>
    <w:rsid w:val="002C639B"/>
    <w:rsid w:val="002D1328"/>
    <w:rsid w:val="002D2BAB"/>
    <w:rsid w:val="002D5D7B"/>
    <w:rsid w:val="002D6914"/>
    <w:rsid w:val="002D6DF0"/>
    <w:rsid w:val="002D7FFA"/>
    <w:rsid w:val="002E55EA"/>
    <w:rsid w:val="002E5604"/>
    <w:rsid w:val="002E70CF"/>
    <w:rsid w:val="002E7BAE"/>
    <w:rsid w:val="002F479A"/>
    <w:rsid w:val="002F54F3"/>
    <w:rsid w:val="002F5A14"/>
    <w:rsid w:val="003003CC"/>
    <w:rsid w:val="003014D1"/>
    <w:rsid w:val="00301B57"/>
    <w:rsid w:val="00301D17"/>
    <w:rsid w:val="00303038"/>
    <w:rsid w:val="0030318A"/>
    <w:rsid w:val="00306734"/>
    <w:rsid w:val="00310426"/>
    <w:rsid w:val="00310974"/>
    <w:rsid w:val="0031160E"/>
    <w:rsid w:val="003146E8"/>
    <w:rsid w:val="00315135"/>
    <w:rsid w:val="00315D13"/>
    <w:rsid w:val="003167E5"/>
    <w:rsid w:val="00320FCE"/>
    <w:rsid w:val="003223F8"/>
    <w:rsid w:val="0032292A"/>
    <w:rsid w:val="00322D92"/>
    <w:rsid w:val="00323A0A"/>
    <w:rsid w:val="00323A19"/>
    <w:rsid w:val="0032486D"/>
    <w:rsid w:val="003260C0"/>
    <w:rsid w:val="003266E1"/>
    <w:rsid w:val="00326B5A"/>
    <w:rsid w:val="003275D0"/>
    <w:rsid w:val="003279FD"/>
    <w:rsid w:val="003305E3"/>
    <w:rsid w:val="00330C51"/>
    <w:rsid w:val="003326BE"/>
    <w:rsid w:val="003327F8"/>
    <w:rsid w:val="00335F19"/>
    <w:rsid w:val="003363C7"/>
    <w:rsid w:val="00336D43"/>
    <w:rsid w:val="00337044"/>
    <w:rsid w:val="00341177"/>
    <w:rsid w:val="00341311"/>
    <w:rsid w:val="00342BF7"/>
    <w:rsid w:val="00343B25"/>
    <w:rsid w:val="003445D8"/>
    <w:rsid w:val="00344B14"/>
    <w:rsid w:val="00345B8E"/>
    <w:rsid w:val="00346007"/>
    <w:rsid w:val="00351ACA"/>
    <w:rsid w:val="00352AE5"/>
    <w:rsid w:val="00352C57"/>
    <w:rsid w:val="003562F7"/>
    <w:rsid w:val="00357648"/>
    <w:rsid w:val="00357AF7"/>
    <w:rsid w:val="00360662"/>
    <w:rsid w:val="00362859"/>
    <w:rsid w:val="0036495E"/>
    <w:rsid w:val="0036620B"/>
    <w:rsid w:val="00370319"/>
    <w:rsid w:val="00371F53"/>
    <w:rsid w:val="003725AD"/>
    <w:rsid w:val="00372E1B"/>
    <w:rsid w:val="003743C8"/>
    <w:rsid w:val="00374DD4"/>
    <w:rsid w:val="0037668C"/>
    <w:rsid w:val="003803F5"/>
    <w:rsid w:val="00383294"/>
    <w:rsid w:val="00383F3F"/>
    <w:rsid w:val="00384342"/>
    <w:rsid w:val="003849ED"/>
    <w:rsid w:val="00385A4C"/>
    <w:rsid w:val="00392981"/>
    <w:rsid w:val="00395CFA"/>
    <w:rsid w:val="003A27D2"/>
    <w:rsid w:val="003A28AC"/>
    <w:rsid w:val="003A2A75"/>
    <w:rsid w:val="003A2D7B"/>
    <w:rsid w:val="003A344F"/>
    <w:rsid w:val="003A74BF"/>
    <w:rsid w:val="003B122C"/>
    <w:rsid w:val="003B2756"/>
    <w:rsid w:val="003B2D9B"/>
    <w:rsid w:val="003B5F7E"/>
    <w:rsid w:val="003C0EB4"/>
    <w:rsid w:val="003C17EB"/>
    <w:rsid w:val="003C2376"/>
    <w:rsid w:val="003C288C"/>
    <w:rsid w:val="003C31EE"/>
    <w:rsid w:val="003C3493"/>
    <w:rsid w:val="003C37CC"/>
    <w:rsid w:val="003C3B0D"/>
    <w:rsid w:val="003C7721"/>
    <w:rsid w:val="003D0206"/>
    <w:rsid w:val="003D0345"/>
    <w:rsid w:val="003D081D"/>
    <w:rsid w:val="003D2E2F"/>
    <w:rsid w:val="003D44F4"/>
    <w:rsid w:val="003D7099"/>
    <w:rsid w:val="003D729E"/>
    <w:rsid w:val="003E0E66"/>
    <w:rsid w:val="003E2C9B"/>
    <w:rsid w:val="003E4982"/>
    <w:rsid w:val="003E63B3"/>
    <w:rsid w:val="003E7AA9"/>
    <w:rsid w:val="003F1F6D"/>
    <w:rsid w:val="003F6712"/>
    <w:rsid w:val="003F7D99"/>
    <w:rsid w:val="00403152"/>
    <w:rsid w:val="00403AAA"/>
    <w:rsid w:val="00406000"/>
    <w:rsid w:val="00412707"/>
    <w:rsid w:val="00413539"/>
    <w:rsid w:val="0041396D"/>
    <w:rsid w:val="00415A92"/>
    <w:rsid w:val="0041730D"/>
    <w:rsid w:val="004178CD"/>
    <w:rsid w:val="00417A18"/>
    <w:rsid w:val="00420E02"/>
    <w:rsid w:val="004228CD"/>
    <w:rsid w:val="0042527A"/>
    <w:rsid w:val="004257C3"/>
    <w:rsid w:val="00426354"/>
    <w:rsid w:val="004268EF"/>
    <w:rsid w:val="00426F7A"/>
    <w:rsid w:val="00427A53"/>
    <w:rsid w:val="004309E9"/>
    <w:rsid w:val="00434632"/>
    <w:rsid w:val="00437C95"/>
    <w:rsid w:val="004407E0"/>
    <w:rsid w:val="0044107B"/>
    <w:rsid w:val="00441DA2"/>
    <w:rsid w:val="00441E77"/>
    <w:rsid w:val="00443639"/>
    <w:rsid w:val="004450BD"/>
    <w:rsid w:val="004450DB"/>
    <w:rsid w:val="004453CE"/>
    <w:rsid w:val="00445A3B"/>
    <w:rsid w:val="00445C4E"/>
    <w:rsid w:val="00446742"/>
    <w:rsid w:val="004471EC"/>
    <w:rsid w:val="00451BD8"/>
    <w:rsid w:val="0045475F"/>
    <w:rsid w:val="00462000"/>
    <w:rsid w:val="0046595A"/>
    <w:rsid w:val="00466790"/>
    <w:rsid w:val="004668E1"/>
    <w:rsid w:val="00466C98"/>
    <w:rsid w:val="00467C3F"/>
    <w:rsid w:val="00467CE4"/>
    <w:rsid w:val="00472A80"/>
    <w:rsid w:val="00473858"/>
    <w:rsid w:val="0047710F"/>
    <w:rsid w:val="00481777"/>
    <w:rsid w:val="004831ED"/>
    <w:rsid w:val="00485A75"/>
    <w:rsid w:val="0049063C"/>
    <w:rsid w:val="00490BDE"/>
    <w:rsid w:val="00494504"/>
    <w:rsid w:val="004957EC"/>
    <w:rsid w:val="00496F8D"/>
    <w:rsid w:val="004A2EC3"/>
    <w:rsid w:val="004A37FB"/>
    <w:rsid w:val="004A568F"/>
    <w:rsid w:val="004A7400"/>
    <w:rsid w:val="004B073F"/>
    <w:rsid w:val="004B201A"/>
    <w:rsid w:val="004B41B9"/>
    <w:rsid w:val="004B4A44"/>
    <w:rsid w:val="004B5B8F"/>
    <w:rsid w:val="004B64F3"/>
    <w:rsid w:val="004C33EA"/>
    <w:rsid w:val="004C36CF"/>
    <w:rsid w:val="004C3B3C"/>
    <w:rsid w:val="004C4A3E"/>
    <w:rsid w:val="004C59EA"/>
    <w:rsid w:val="004C65C6"/>
    <w:rsid w:val="004C660D"/>
    <w:rsid w:val="004C7E92"/>
    <w:rsid w:val="004D0699"/>
    <w:rsid w:val="004D1529"/>
    <w:rsid w:val="004D19CE"/>
    <w:rsid w:val="004D23F6"/>
    <w:rsid w:val="004D2ED0"/>
    <w:rsid w:val="004D3D38"/>
    <w:rsid w:val="004D4522"/>
    <w:rsid w:val="004D7E7B"/>
    <w:rsid w:val="004E01E9"/>
    <w:rsid w:val="004E066A"/>
    <w:rsid w:val="004E1C40"/>
    <w:rsid w:val="004E3E40"/>
    <w:rsid w:val="004E570D"/>
    <w:rsid w:val="004E5C8D"/>
    <w:rsid w:val="004E6400"/>
    <w:rsid w:val="004E642E"/>
    <w:rsid w:val="004E6924"/>
    <w:rsid w:val="004E6A61"/>
    <w:rsid w:val="004E6E33"/>
    <w:rsid w:val="004E702A"/>
    <w:rsid w:val="004F00D1"/>
    <w:rsid w:val="004F0C2D"/>
    <w:rsid w:val="004F2D30"/>
    <w:rsid w:val="004F3D7E"/>
    <w:rsid w:val="004F4630"/>
    <w:rsid w:val="004F521E"/>
    <w:rsid w:val="004F5E28"/>
    <w:rsid w:val="004F6FEE"/>
    <w:rsid w:val="00500EB4"/>
    <w:rsid w:val="00501CD2"/>
    <w:rsid w:val="00502DA3"/>
    <w:rsid w:val="00503974"/>
    <w:rsid w:val="0050439B"/>
    <w:rsid w:val="00505074"/>
    <w:rsid w:val="0050529F"/>
    <w:rsid w:val="005064BD"/>
    <w:rsid w:val="00506A51"/>
    <w:rsid w:val="00510FDB"/>
    <w:rsid w:val="005110C3"/>
    <w:rsid w:val="00513BDD"/>
    <w:rsid w:val="00513F55"/>
    <w:rsid w:val="00514B03"/>
    <w:rsid w:val="00514B5E"/>
    <w:rsid w:val="005157C1"/>
    <w:rsid w:val="00515954"/>
    <w:rsid w:val="00515E3D"/>
    <w:rsid w:val="00517765"/>
    <w:rsid w:val="005208AC"/>
    <w:rsid w:val="00521008"/>
    <w:rsid w:val="00521CB2"/>
    <w:rsid w:val="0052286C"/>
    <w:rsid w:val="00522AB9"/>
    <w:rsid w:val="005265B9"/>
    <w:rsid w:val="0053031F"/>
    <w:rsid w:val="005307E8"/>
    <w:rsid w:val="0053175E"/>
    <w:rsid w:val="00531BC4"/>
    <w:rsid w:val="00533533"/>
    <w:rsid w:val="00534712"/>
    <w:rsid w:val="00534CCB"/>
    <w:rsid w:val="00535C99"/>
    <w:rsid w:val="00535E24"/>
    <w:rsid w:val="00537E02"/>
    <w:rsid w:val="00542718"/>
    <w:rsid w:val="00543224"/>
    <w:rsid w:val="005440F6"/>
    <w:rsid w:val="005442C8"/>
    <w:rsid w:val="00544CCD"/>
    <w:rsid w:val="0054557A"/>
    <w:rsid w:val="00546DD6"/>
    <w:rsid w:val="00550608"/>
    <w:rsid w:val="00551427"/>
    <w:rsid w:val="0055172C"/>
    <w:rsid w:val="005540FF"/>
    <w:rsid w:val="0055771D"/>
    <w:rsid w:val="00560656"/>
    <w:rsid w:val="00561B20"/>
    <w:rsid w:val="005628CF"/>
    <w:rsid w:val="005640D0"/>
    <w:rsid w:val="00565055"/>
    <w:rsid w:val="005654A1"/>
    <w:rsid w:val="00565635"/>
    <w:rsid w:val="00567EE2"/>
    <w:rsid w:val="00567FCF"/>
    <w:rsid w:val="00570765"/>
    <w:rsid w:val="00571521"/>
    <w:rsid w:val="005732BD"/>
    <w:rsid w:val="005733F9"/>
    <w:rsid w:val="00573E59"/>
    <w:rsid w:val="00575295"/>
    <w:rsid w:val="0057571F"/>
    <w:rsid w:val="00575ACA"/>
    <w:rsid w:val="00581C01"/>
    <w:rsid w:val="0058242D"/>
    <w:rsid w:val="005845CB"/>
    <w:rsid w:val="0058498A"/>
    <w:rsid w:val="00584EC4"/>
    <w:rsid w:val="00585E79"/>
    <w:rsid w:val="00586350"/>
    <w:rsid w:val="00592077"/>
    <w:rsid w:val="005922AC"/>
    <w:rsid w:val="0059461A"/>
    <w:rsid w:val="00595B14"/>
    <w:rsid w:val="00597520"/>
    <w:rsid w:val="005A0471"/>
    <w:rsid w:val="005A18C5"/>
    <w:rsid w:val="005A3ED5"/>
    <w:rsid w:val="005A511C"/>
    <w:rsid w:val="005A7CF6"/>
    <w:rsid w:val="005B077D"/>
    <w:rsid w:val="005B2D67"/>
    <w:rsid w:val="005B42EE"/>
    <w:rsid w:val="005B4F7A"/>
    <w:rsid w:val="005B537E"/>
    <w:rsid w:val="005B7463"/>
    <w:rsid w:val="005B7C71"/>
    <w:rsid w:val="005C0290"/>
    <w:rsid w:val="005C2FCB"/>
    <w:rsid w:val="005C4A6B"/>
    <w:rsid w:val="005C661F"/>
    <w:rsid w:val="005D288F"/>
    <w:rsid w:val="005D2A59"/>
    <w:rsid w:val="005D3B0C"/>
    <w:rsid w:val="005E2084"/>
    <w:rsid w:val="005E23FB"/>
    <w:rsid w:val="005E2CA3"/>
    <w:rsid w:val="005E59D6"/>
    <w:rsid w:val="005E7873"/>
    <w:rsid w:val="005F0C00"/>
    <w:rsid w:val="005F15ED"/>
    <w:rsid w:val="005F33F2"/>
    <w:rsid w:val="005F460C"/>
    <w:rsid w:val="005F51F6"/>
    <w:rsid w:val="005F74D0"/>
    <w:rsid w:val="00600404"/>
    <w:rsid w:val="0060117A"/>
    <w:rsid w:val="00601472"/>
    <w:rsid w:val="0060227F"/>
    <w:rsid w:val="00611236"/>
    <w:rsid w:val="00612E14"/>
    <w:rsid w:val="00617F30"/>
    <w:rsid w:val="0062318A"/>
    <w:rsid w:val="006231CF"/>
    <w:rsid w:val="0062598A"/>
    <w:rsid w:val="00625A52"/>
    <w:rsid w:val="00625DEC"/>
    <w:rsid w:val="0062686B"/>
    <w:rsid w:val="00627AA6"/>
    <w:rsid w:val="0063090D"/>
    <w:rsid w:val="00631694"/>
    <w:rsid w:val="00633A74"/>
    <w:rsid w:val="00635F8E"/>
    <w:rsid w:val="00637549"/>
    <w:rsid w:val="00637C32"/>
    <w:rsid w:val="00641229"/>
    <w:rsid w:val="00642A6F"/>
    <w:rsid w:val="00642E50"/>
    <w:rsid w:val="00643A1D"/>
    <w:rsid w:val="00645C94"/>
    <w:rsid w:val="00646049"/>
    <w:rsid w:val="00647FBA"/>
    <w:rsid w:val="00652684"/>
    <w:rsid w:val="0065268F"/>
    <w:rsid w:val="0065391A"/>
    <w:rsid w:val="00653DA2"/>
    <w:rsid w:val="0065679C"/>
    <w:rsid w:val="00657108"/>
    <w:rsid w:val="00663306"/>
    <w:rsid w:val="00663503"/>
    <w:rsid w:val="00663909"/>
    <w:rsid w:val="00663E95"/>
    <w:rsid w:val="006659FF"/>
    <w:rsid w:val="006671BC"/>
    <w:rsid w:val="00671087"/>
    <w:rsid w:val="0067299B"/>
    <w:rsid w:val="00673287"/>
    <w:rsid w:val="00680679"/>
    <w:rsid w:val="0068146D"/>
    <w:rsid w:val="00682DB1"/>
    <w:rsid w:val="00683FFB"/>
    <w:rsid w:val="0068768A"/>
    <w:rsid w:val="00690BEA"/>
    <w:rsid w:val="00691B60"/>
    <w:rsid w:val="00692C3A"/>
    <w:rsid w:val="00695279"/>
    <w:rsid w:val="00697C69"/>
    <w:rsid w:val="006B0F12"/>
    <w:rsid w:val="006B1CD7"/>
    <w:rsid w:val="006B1CE7"/>
    <w:rsid w:val="006B33A7"/>
    <w:rsid w:val="006C0997"/>
    <w:rsid w:val="006C1260"/>
    <w:rsid w:val="006C2232"/>
    <w:rsid w:val="006C27A1"/>
    <w:rsid w:val="006C51AB"/>
    <w:rsid w:val="006C6800"/>
    <w:rsid w:val="006C7D2A"/>
    <w:rsid w:val="006D06C5"/>
    <w:rsid w:val="006D0BC5"/>
    <w:rsid w:val="006D1455"/>
    <w:rsid w:val="006D2CF2"/>
    <w:rsid w:val="006D2E37"/>
    <w:rsid w:val="006D34C3"/>
    <w:rsid w:val="006D3DC0"/>
    <w:rsid w:val="006D46CA"/>
    <w:rsid w:val="006D7B78"/>
    <w:rsid w:val="006E327C"/>
    <w:rsid w:val="006E5FDE"/>
    <w:rsid w:val="006E624D"/>
    <w:rsid w:val="006E7795"/>
    <w:rsid w:val="006E7E9F"/>
    <w:rsid w:val="006E7FA8"/>
    <w:rsid w:val="006F00DB"/>
    <w:rsid w:val="006F165C"/>
    <w:rsid w:val="006F3E1A"/>
    <w:rsid w:val="006F4623"/>
    <w:rsid w:val="006F4B40"/>
    <w:rsid w:val="006F621F"/>
    <w:rsid w:val="00700A1C"/>
    <w:rsid w:val="00701FEA"/>
    <w:rsid w:val="007040D1"/>
    <w:rsid w:val="00704740"/>
    <w:rsid w:val="00704C4D"/>
    <w:rsid w:val="007055F7"/>
    <w:rsid w:val="00705A00"/>
    <w:rsid w:val="007069F7"/>
    <w:rsid w:val="00706D81"/>
    <w:rsid w:val="00706DE1"/>
    <w:rsid w:val="00710059"/>
    <w:rsid w:val="00710337"/>
    <w:rsid w:val="007110C9"/>
    <w:rsid w:val="00712349"/>
    <w:rsid w:val="00712FCE"/>
    <w:rsid w:val="007131CA"/>
    <w:rsid w:val="00713AAF"/>
    <w:rsid w:val="00714BA3"/>
    <w:rsid w:val="00715180"/>
    <w:rsid w:val="0071537B"/>
    <w:rsid w:val="00716540"/>
    <w:rsid w:val="007167AE"/>
    <w:rsid w:val="00721098"/>
    <w:rsid w:val="0072299F"/>
    <w:rsid w:val="0072479B"/>
    <w:rsid w:val="0072495B"/>
    <w:rsid w:val="0072704D"/>
    <w:rsid w:val="007311E0"/>
    <w:rsid w:val="007360D3"/>
    <w:rsid w:val="0073644C"/>
    <w:rsid w:val="00736D2D"/>
    <w:rsid w:val="0073703F"/>
    <w:rsid w:val="00737641"/>
    <w:rsid w:val="00737C72"/>
    <w:rsid w:val="007452F9"/>
    <w:rsid w:val="0074660C"/>
    <w:rsid w:val="00747B69"/>
    <w:rsid w:val="00750E77"/>
    <w:rsid w:val="00751449"/>
    <w:rsid w:val="007549C8"/>
    <w:rsid w:val="00755D95"/>
    <w:rsid w:val="00756B0E"/>
    <w:rsid w:val="00757A0D"/>
    <w:rsid w:val="00757BAA"/>
    <w:rsid w:val="00760BBD"/>
    <w:rsid w:val="00762B9C"/>
    <w:rsid w:val="00763B59"/>
    <w:rsid w:val="00763C72"/>
    <w:rsid w:val="00765867"/>
    <w:rsid w:val="00766083"/>
    <w:rsid w:val="00766491"/>
    <w:rsid w:val="00766BCF"/>
    <w:rsid w:val="00767F39"/>
    <w:rsid w:val="007705BC"/>
    <w:rsid w:val="007726E1"/>
    <w:rsid w:val="00774F4B"/>
    <w:rsid w:val="00787AE7"/>
    <w:rsid w:val="00791A65"/>
    <w:rsid w:val="00791B67"/>
    <w:rsid w:val="0079256F"/>
    <w:rsid w:val="0079307B"/>
    <w:rsid w:val="00793AD7"/>
    <w:rsid w:val="007941CF"/>
    <w:rsid w:val="00796F48"/>
    <w:rsid w:val="007A2A5E"/>
    <w:rsid w:val="007A3C6A"/>
    <w:rsid w:val="007A5821"/>
    <w:rsid w:val="007A6494"/>
    <w:rsid w:val="007A6B87"/>
    <w:rsid w:val="007B0EBF"/>
    <w:rsid w:val="007B12EF"/>
    <w:rsid w:val="007B51E2"/>
    <w:rsid w:val="007B62BE"/>
    <w:rsid w:val="007B6F81"/>
    <w:rsid w:val="007C01B8"/>
    <w:rsid w:val="007C08B4"/>
    <w:rsid w:val="007C4DB2"/>
    <w:rsid w:val="007C5C27"/>
    <w:rsid w:val="007C7D2B"/>
    <w:rsid w:val="007D0A64"/>
    <w:rsid w:val="007D0B22"/>
    <w:rsid w:val="007D2494"/>
    <w:rsid w:val="007D5D8D"/>
    <w:rsid w:val="007D608D"/>
    <w:rsid w:val="007D6C3F"/>
    <w:rsid w:val="007E07CA"/>
    <w:rsid w:val="007E10A5"/>
    <w:rsid w:val="007E2A95"/>
    <w:rsid w:val="007E3D71"/>
    <w:rsid w:val="007E5A35"/>
    <w:rsid w:val="007E6281"/>
    <w:rsid w:val="007F0036"/>
    <w:rsid w:val="007F1ADA"/>
    <w:rsid w:val="007F24D1"/>
    <w:rsid w:val="007F2841"/>
    <w:rsid w:val="007F3E30"/>
    <w:rsid w:val="007F7DD9"/>
    <w:rsid w:val="0080096B"/>
    <w:rsid w:val="00800B90"/>
    <w:rsid w:val="00802A66"/>
    <w:rsid w:val="00805ADD"/>
    <w:rsid w:val="008101F1"/>
    <w:rsid w:val="008103A0"/>
    <w:rsid w:val="00810DE3"/>
    <w:rsid w:val="0081447E"/>
    <w:rsid w:val="00817E5E"/>
    <w:rsid w:val="00821541"/>
    <w:rsid w:val="00821A06"/>
    <w:rsid w:val="008220F3"/>
    <w:rsid w:val="00822273"/>
    <w:rsid w:val="008235DB"/>
    <w:rsid w:val="00825CB4"/>
    <w:rsid w:val="0082675E"/>
    <w:rsid w:val="00826FE4"/>
    <w:rsid w:val="00827D32"/>
    <w:rsid w:val="00830647"/>
    <w:rsid w:val="00830E80"/>
    <w:rsid w:val="00832911"/>
    <w:rsid w:val="00832CC9"/>
    <w:rsid w:val="00833071"/>
    <w:rsid w:val="00833EB7"/>
    <w:rsid w:val="00836740"/>
    <w:rsid w:val="0084092F"/>
    <w:rsid w:val="00841782"/>
    <w:rsid w:val="00844C87"/>
    <w:rsid w:val="00846D02"/>
    <w:rsid w:val="008503B5"/>
    <w:rsid w:val="00850A87"/>
    <w:rsid w:val="008532FB"/>
    <w:rsid w:val="008540F0"/>
    <w:rsid w:val="0085657E"/>
    <w:rsid w:val="008568C0"/>
    <w:rsid w:val="00862A3D"/>
    <w:rsid w:val="00863F19"/>
    <w:rsid w:val="00864874"/>
    <w:rsid w:val="00871CA1"/>
    <w:rsid w:val="00872234"/>
    <w:rsid w:val="00872F8B"/>
    <w:rsid w:val="00873A36"/>
    <w:rsid w:val="00874F47"/>
    <w:rsid w:val="00877D87"/>
    <w:rsid w:val="00880255"/>
    <w:rsid w:val="008810FA"/>
    <w:rsid w:val="00884878"/>
    <w:rsid w:val="00884ED2"/>
    <w:rsid w:val="00885B9C"/>
    <w:rsid w:val="00886064"/>
    <w:rsid w:val="00886D18"/>
    <w:rsid w:val="0088752C"/>
    <w:rsid w:val="00892303"/>
    <w:rsid w:val="00895B68"/>
    <w:rsid w:val="00896927"/>
    <w:rsid w:val="00897E16"/>
    <w:rsid w:val="008A144E"/>
    <w:rsid w:val="008A310A"/>
    <w:rsid w:val="008A4B0D"/>
    <w:rsid w:val="008A6603"/>
    <w:rsid w:val="008B5F65"/>
    <w:rsid w:val="008B70D5"/>
    <w:rsid w:val="008C0FBD"/>
    <w:rsid w:val="008C4903"/>
    <w:rsid w:val="008C5617"/>
    <w:rsid w:val="008C6687"/>
    <w:rsid w:val="008C70BD"/>
    <w:rsid w:val="008C7910"/>
    <w:rsid w:val="008C79C7"/>
    <w:rsid w:val="008C7AC8"/>
    <w:rsid w:val="008D0242"/>
    <w:rsid w:val="008D27EF"/>
    <w:rsid w:val="008D28DF"/>
    <w:rsid w:val="008D2DC8"/>
    <w:rsid w:val="008D34F9"/>
    <w:rsid w:val="008D3D46"/>
    <w:rsid w:val="008D4111"/>
    <w:rsid w:val="008D745E"/>
    <w:rsid w:val="008E29AB"/>
    <w:rsid w:val="008E44A5"/>
    <w:rsid w:val="008E4DEE"/>
    <w:rsid w:val="008E4EF2"/>
    <w:rsid w:val="008E55BE"/>
    <w:rsid w:val="008F06F2"/>
    <w:rsid w:val="008F1E28"/>
    <w:rsid w:val="008F4C4B"/>
    <w:rsid w:val="008F5C07"/>
    <w:rsid w:val="008F5D80"/>
    <w:rsid w:val="008F6D7D"/>
    <w:rsid w:val="008F7793"/>
    <w:rsid w:val="008F7B8C"/>
    <w:rsid w:val="008F7E2E"/>
    <w:rsid w:val="009006D2"/>
    <w:rsid w:val="00901CA8"/>
    <w:rsid w:val="00907459"/>
    <w:rsid w:val="009103F3"/>
    <w:rsid w:val="009108B2"/>
    <w:rsid w:val="0091138A"/>
    <w:rsid w:val="009126A4"/>
    <w:rsid w:val="00912A5D"/>
    <w:rsid w:val="00915B4F"/>
    <w:rsid w:val="009163AF"/>
    <w:rsid w:val="00916D52"/>
    <w:rsid w:val="00922C2B"/>
    <w:rsid w:val="00923D3D"/>
    <w:rsid w:val="00924CCB"/>
    <w:rsid w:val="0092520A"/>
    <w:rsid w:val="00927978"/>
    <w:rsid w:val="00932FAD"/>
    <w:rsid w:val="009342CA"/>
    <w:rsid w:val="00936ECF"/>
    <w:rsid w:val="00937307"/>
    <w:rsid w:val="009445BA"/>
    <w:rsid w:val="00945130"/>
    <w:rsid w:val="00945B0A"/>
    <w:rsid w:val="009467D2"/>
    <w:rsid w:val="00946F68"/>
    <w:rsid w:val="009475F3"/>
    <w:rsid w:val="00951562"/>
    <w:rsid w:val="00951651"/>
    <w:rsid w:val="00953CAB"/>
    <w:rsid w:val="00954EF3"/>
    <w:rsid w:val="00955870"/>
    <w:rsid w:val="0095603B"/>
    <w:rsid w:val="00957948"/>
    <w:rsid w:val="009647CC"/>
    <w:rsid w:val="00965127"/>
    <w:rsid w:val="009668EF"/>
    <w:rsid w:val="0097133B"/>
    <w:rsid w:val="009713CF"/>
    <w:rsid w:val="009729A9"/>
    <w:rsid w:val="00973166"/>
    <w:rsid w:val="00975A0D"/>
    <w:rsid w:val="009761F8"/>
    <w:rsid w:val="00976AF1"/>
    <w:rsid w:val="00976FB3"/>
    <w:rsid w:val="00977C19"/>
    <w:rsid w:val="0098030D"/>
    <w:rsid w:val="009817F2"/>
    <w:rsid w:val="00981B13"/>
    <w:rsid w:val="00981E62"/>
    <w:rsid w:val="00983F63"/>
    <w:rsid w:val="00985E57"/>
    <w:rsid w:val="0099014A"/>
    <w:rsid w:val="009928E1"/>
    <w:rsid w:val="0099488A"/>
    <w:rsid w:val="00994D57"/>
    <w:rsid w:val="00996460"/>
    <w:rsid w:val="0099677B"/>
    <w:rsid w:val="009A1E07"/>
    <w:rsid w:val="009A25EB"/>
    <w:rsid w:val="009A290D"/>
    <w:rsid w:val="009A4FF7"/>
    <w:rsid w:val="009B18A8"/>
    <w:rsid w:val="009B19BF"/>
    <w:rsid w:val="009B5190"/>
    <w:rsid w:val="009B5381"/>
    <w:rsid w:val="009B654F"/>
    <w:rsid w:val="009C03BE"/>
    <w:rsid w:val="009C0B7A"/>
    <w:rsid w:val="009C125D"/>
    <w:rsid w:val="009C16DF"/>
    <w:rsid w:val="009C194B"/>
    <w:rsid w:val="009C1FDC"/>
    <w:rsid w:val="009C4804"/>
    <w:rsid w:val="009C6139"/>
    <w:rsid w:val="009D104E"/>
    <w:rsid w:val="009D1FDF"/>
    <w:rsid w:val="009D324A"/>
    <w:rsid w:val="009D3524"/>
    <w:rsid w:val="009D5236"/>
    <w:rsid w:val="009D59D1"/>
    <w:rsid w:val="009D5C44"/>
    <w:rsid w:val="009D788E"/>
    <w:rsid w:val="009E1667"/>
    <w:rsid w:val="009E1CA8"/>
    <w:rsid w:val="009E28E1"/>
    <w:rsid w:val="009E371B"/>
    <w:rsid w:val="009E38C1"/>
    <w:rsid w:val="009E6508"/>
    <w:rsid w:val="009E6780"/>
    <w:rsid w:val="009E79EC"/>
    <w:rsid w:val="009E7CF9"/>
    <w:rsid w:val="009F1243"/>
    <w:rsid w:val="009F4D99"/>
    <w:rsid w:val="009F50F0"/>
    <w:rsid w:val="009F52F3"/>
    <w:rsid w:val="00A01327"/>
    <w:rsid w:val="00A018E7"/>
    <w:rsid w:val="00A03911"/>
    <w:rsid w:val="00A05140"/>
    <w:rsid w:val="00A0590B"/>
    <w:rsid w:val="00A06FC9"/>
    <w:rsid w:val="00A107BD"/>
    <w:rsid w:val="00A10DE1"/>
    <w:rsid w:val="00A1117F"/>
    <w:rsid w:val="00A11D59"/>
    <w:rsid w:val="00A123C7"/>
    <w:rsid w:val="00A12A1C"/>
    <w:rsid w:val="00A13029"/>
    <w:rsid w:val="00A1439D"/>
    <w:rsid w:val="00A14E44"/>
    <w:rsid w:val="00A14E66"/>
    <w:rsid w:val="00A20730"/>
    <w:rsid w:val="00A22538"/>
    <w:rsid w:val="00A27E2B"/>
    <w:rsid w:val="00A3181F"/>
    <w:rsid w:val="00A33B7B"/>
    <w:rsid w:val="00A34039"/>
    <w:rsid w:val="00A3552E"/>
    <w:rsid w:val="00A35814"/>
    <w:rsid w:val="00A35E94"/>
    <w:rsid w:val="00A36449"/>
    <w:rsid w:val="00A37D7A"/>
    <w:rsid w:val="00A417FA"/>
    <w:rsid w:val="00A42760"/>
    <w:rsid w:val="00A443C7"/>
    <w:rsid w:val="00A458B3"/>
    <w:rsid w:val="00A45B60"/>
    <w:rsid w:val="00A45E73"/>
    <w:rsid w:val="00A465E8"/>
    <w:rsid w:val="00A47FAD"/>
    <w:rsid w:val="00A51F78"/>
    <w:rsid w:val="00A5551F"/>
    <w:rsid w:val="00A5606F"/>
    <w:rsid w:val="00A6073D"/>
    <w:rsid w:val="00A61B0C"/>
    <w:rsid w:val="00A62E17"/>
    <w:rsid w:val="00A63887"/>
    <w:rsid w:val="00A65885"/>
    <w:rsid w:val="00A65CAA"/>
    <w:rsid w:val="00A662CF"/>
    <w:rsid w:val="00A6676F"/>
    <w:rsid w:val="00A730D6"/>
    <w:rsid w:val="00A75CAB"/>
    <w:rsid w:val="00A766FD"/>
    <w:rsid w:val="00A773BF"/>
    <w:rsid w:val="00A80353"/>
    <w:rsid w:val="00A820E7"/>
    <w:rsid w:val="00A82DF8"/>
    <w:rsid w:val="00A84711"/>
    <w:rsid w:val="00A85ABF"/>
    <w:rsid w:val="00A87F32"/>
    <w:rsid w:val="00A91918"/>
    <w:rsid w:val="00A929B3"/>
    <w:rsid w:val="00A9333E"/>
    <w:rsid w:val="00A94EC5"/>
    <w:rsid w:val="00A9554E"/>
    <w:rsid w:val="00AA2314"/>
    <w:rsid w:val="00AA31F2"/>
    <w:rsid w:val="00AA406C"/>
    <w:rsid w:val="00AA4F9F"/>
    <w:rsid w:val="00AA5E1B"/>
    <w:rsid w:val="00AA6010"/>
    <w:rsid w:val="00AA7256"/>
    <w:rsid w:val="00AB0987"/>
    <w:rsid w:val="00AB3485"/>
    <w:rsid w:val="00AB3900"/>
    <w:rsid w:val="00AB6208"/>
    <w:rsid w:val="00AB689F"/>
    <w:rsid w:val="00AB7215"/>
    <w:rsid w:val="00AC005D"/>
    <w:rsid w:val="00AC14DE"/>
    <w:rsid w:val="00AC1735"/>
    <w:rsid w:val="00AC2A64"/>
    <w:rsid w:val="00AC4ACC"/>
    <w:rsid w:val="00AC56C2"/>
    <w:rsid w:val="00AC5E19"/>
    <w:rsid w:val="00AC6F49"/>
    <w:rsid w:val="00AD0511"/>
    <w:rsid w:val="00AD16B3"/>
    <w:rsid w:val="00AD2723"/>
    <w:rsid w:val="00AD445D"/>
    <w:rsid w:val="00AD4CBF"/>
    <w:rsid w:val="00AD6F47"/>
    <w:rsid w:val="00AE2781"/>
    <w:rsid w:val="00AE5BC3"/>
    <w:rsid w:val="00AE5C52"/>
    <w:rsid w:val="00AE6CF0"/>
    <w:rsid w:val="00AE6D76"/>
    <w:rsid w:val="00AE6E0A"/>
    <w:rsid w:val="00AF045F"/>
    <w:rsid w:val="00AF0A31"/>
    <w:rsid w:val="00AF0FA2"/>
    <w:rsid w:val="00AF0FDD"/>
    <w:rsid w:val="00AF1880"/>
    <w:rsid w:val="00AF27B1"/>
    <w:rsid w:val="00AF365E"/>
    <w:rsid w:val="00AF5A70"/>
    <w:rsid w:val="00AF5C5C"/>
    <w:rsid w:val="00AF65DA"/>
    <w:rsid w:val="00B00999"/>
    <w:rsid w:val="00B03240"/>
    <w:rsid w:val="00B03FB1"/>
    <w:rsid w:val="00B123F5"/>
    <w:rsid w:val="00B14700"/>
    <w:rsid w:val="00B15829"/>
    <w:rsid w:val="00B16BCA"/>
    <w:rsid w:val="00B17A9D"/>
    <w:rsid w:val="00B206FA"/>
    <w:rsid w:val="00B21C2F"/>
    <w:rsid w:val="00B249B7"/>
    <w:rsid w:val="00B2764E"/>
    <w:rsid w:val="00B30E77"/>
    <w:rsid w:val="00B30FB7"/>
    <w:rsid w:val="00B33516"/>
    <w:rsid w:val="00B33F27"/>
    <w:rsid w:val="00B34B88"/>
    <w:rsid w:val="00B37A25"/>
    <w:rsid w:val="00B4007F"/>
    <w:rsid w:val="00B44032"/>
    <w:rsid w:val="00B45252"/>
    <w:rsid w:val="00B4530B"/>
    <w:rsid w:val="00B456CC"/>
    <w:rsid w:val="00B478EF"/>
    <w:rsid w:val="00B51BAD"/>
    <w:rsid w:val="00B55BE4"/>
    <w:rsid w:val="00B564A3"/>
    <w:rsid w:val="00B56514"/>
    <w:rsid w:val="00B56551"/>
    <w:rsid w:val="00B57AE9"/>
    <w:rsid w:val="00B57CA2"/>
    <w:rsid w:val="00B60C71"/>
    <w:rsid w:val="00B62D91"/>
    <w:rsid w:val="00B62DEA"/>
    <w:rsid w:val="00B638BD"/>
    <w:rsid w:val="00B65EB5"/>
    <w:rsid w:val="00B66555"/>
    <w:rsid w:val="00B70B52"/>
    <w:rsid w:val="00B71672"/>
    <w:rsid w:val="00B72CEC"/>
    <w:rsid w:val="00B73156"/>
    <w:rsid w:val="00B74929"/>
    <w:rsid w:val="00B76ED0"/>
    <w:rsid w:val="00B7716B"/>
    <w:rsid w:val="00B777E6"/>
    <w:rsid w:val="00B80134"/>
    <w:rsid w:val="00B80707"/>
    <w:rsid w:val="00B82932"/>
    <w:rsid w:val="00B82A1B"/>
    <w:rsid w:val="00B85872"/>
    <w:rsid w:val="00B861D4"/>
    <w:rsid w:val="00B8737A"/>
    <w:rsid w:val="00B87675"/>
    <w:rsid w:val="00B910DF"/>
    <w:rsid w:val="00B922B9"/>
    <w:rsid w:val="00B933DE"/>
    <w:rsid w:val="00B95043"/>
    <w:rsid w:val="00B96759"/>
    <w:rsid w:val="00B9749F"/>
    <w:rsid w:val="00BA29C8"/>
    <w:rsid w:val="00BA3026"/>
    <w:rsid w:val="00BA3136"/>
    <w:rsid w:val="00BA3EFF"/>
    <w:rsid w:val="00BA4972"/>
    <w:rsid w:val="00BA5D6E"/>
    <w:rsid w:val="00BA5FE7"/>
    <w:rsid w:val="00BB060B"/>
    <w:rsid w:val="00BB0868"/>
    <w:rsid w:val="00BB1A13"/>
    <w:rsid w:val="00BB1C24"/>
    <w:rsid w:val="00BB2580"/>
    <w:rsid w:val="00BB27EC"/>
    <w:rsid w:val="00BB37EE"/>
    <w:rsid w:val="00BB41C7"/>
    <w:rsid w:val="00BB530B"/>
    <w:rsid w:val="00BB58D3"/>
    <w:rsid w:val="00BC179B"/>
    <w:rsid w:val="00BC1ABA"/>
    <w:rsid w:val="00BC432E"/>
    <w:rsid w:val="00BC6774"/>
    <w:rsid w:val="00BC6C8B"/>
    <w:rsid w:val="00BC6EEF"/>
    <w:rsid w:val="00BC7980"/>
    <w:rsid w:val="00BD042A"/>
    <w:rsid w:val="00BD0E65"/>
    <w:rsid w:val="00BD28C5"/>
    <w:rsid w:val="00BD2BCD"/>
    <w:rsid w:val="00BD2FEE"/>
    <w:rsid w:val="00BD4D43"/>
    <w:rsid w:val="00BD7695"/>
    <w:rsid w:val="00BE0D5C"/>
    <w:rsid w:val="00BE0EE1"/>
    <w:rsid w:val="00BE2A6D"/>
    <w:rsid w:val="00BE2C90"/>
    <w:rsid w:val="00BE4BDF"/>
    <w:rsid w:val="00BE5FED"/>
    <w:rsid w:val="00BE65E4"/>
    <w:rsid w:val="00BE66AA"/>
    <w:rsid w:val="00BE6E6D"/>
    <w:rsid w:val="00BE7D81"/>
    <w:rsid w:val="00BF0347"/>
    <w:rsid w:val="00BF05AE"/>
    <w:rsid w:val="00BF0AA7"/>
    <w:rsid w:val="00BF243B"/>
    <w:rsid w:val="00BF2F97"/>
    <w:rsid w:val="00BF5784"/>
    <w:rsid w:val="00BF57F4"/>
    <w:rsid w:val="00C00586"/>
    <w:rsid w:val="00C00765"/>
    <w:rsid w:val="00C00E26"/>
    <w:rsid w:val="00C030AB"/>
    <w:rsid w:val="00C03A2E"/>
    <w:rsid w:val="00C06287"/>
    <w:rsid w:val="00C0669E"/>
    <w:rsid w:val="00C12309"/>
    <w:rsid w:val="00C14609"/>
    <w:rsid w:val="00C15D68"/>
    <w:rsid w:val="00C17351"/>
    <w:rsid w:val="00C20433"/>
    <w:rsid w:val="00C20D5E"/>
    <w:rsid w:val="00C23583"/>
    <w:rsid w:val="00C258ED"/>
    <w:rsid w:val="00C312CC"/>
    <w:rsid w:val="00C36669"/>
    <w:rsid w:val="00C36C67"/>
    <w:rsid w:val="00C4066A"/>
    <w:rsid w:val="00C40D0E"/>
    <w:rsid w:val="00C40DBF"/>
    <w:rsid w:val="00C414B3"/>
    <w:rsid w:val="00C469FC"/>
    <w:rsid w:val="00C51076"/>
    <w:rsid w:val="00C51DF7"/>
    <w:rsid w:val="00C5255D"/>
    <w:rsid w:val="00C5557F"/>
    <w:rsid w:val="00C56270"/>
    <w:rsid w:val="00C565E1"/>
    <w:rsid w:val="00C56BAB"/>
    <w:rsid w:val="00C570AB"/>
    <w:rsid w:val="00C57E14"/>
    <w:rsid w:val="00C57E2E"/>
    <w:rsid w:val="00C602B7"/>
    <w:rsid w:val="00C60D92"/>
    <w:rsid w:val="00C61F23"/>
    <w:rsid w:val="00C65930"/>
    <w:rsid w:val="00C66AD3"/>
    <w:rsid w:val="00C72D52"/>
    <w:rsid w:val="00C7590B"/>
    <w:rsid w:val="00C75AB0"/>
    <w:rsid w:val="00C77FE9"/>
    <w:rsid w:val="00C82AA4"/>
    <w:rsid w:val="00C8305C"/>
    <w:rsid w:val="00C844D6"/>
    <w:rsid w:val="00C85FF6"/>
    <w:rsid w:val="00C9326B"/>
    <w:rsid w:val="00C95691"/>
    <w:rsid w:val="00C96A47"/>
    <w:rsid w:val="00C970CE"/>
    <w:rsid w:val="00CA0A8B"/>
    <w:rsid w:val="00CA113C"/>
    <w:rsid w:val="00CA1ECD"/>
    <w:rsid w:val="00CA4954"/>
    <w:rsid w:val="00CA4C7F"/>
    <w:rsid w:val="00CB074F"/>
    <w:rsid w:val="00CB13B7"/>
    <w:rsid w:val="00CB7087"/>
    <w:rsid w:val="00CB723D"/>
    <w:rsid w:val="00CB768D"/>
    <w:rsid w:val="00CC273F"/>
    <w:rsid w:val="00CC2989"/>
    <w:rsid w:val="00CC41EE"/>
    <w:rsid w:val="00CC6435"/>
    <w:rsid w:val="00CD061B"/>
    <w:rsid w:val="00CD0BF5"/>
    <w:rsid w:val="00CD0FA4"/>
    <w:rsid w:val="00CD1089"/>
    <w:rsid w:val="00CD1BCD"/>
    <w:rsid w:val="00CD41F8"/>
    <w:rsid w:val="00CD50CB"/>
    <w:rsid w:val="00CD6A42"/>
    <w:rsid w:val="00CD6D61"/>
    <w:rsid w:val="00CD7D66"/>
    <w:rsid w:val="00CD7FFC"/>
    <w:rsid w:val="00CE107A"/>
    <w:rsid w:val="00CE2C6E"/>
    <w:rsid w:val="00CE2D75"/>
    <w:rsid w:val="00CE6C66"/>
    <w:rsid w:val="00CE799B"/>
    <w:rsid w:val="00CF046A"/>
    <w:rsid w:val="00CF321C"/>
    <w:rsid w:val="00CF4D47"/>
    <w:rsid w:val="00CF4FE6"/>
    <w:rsid w:val="00CF556F"/>
    <w:rsid w:val="00CF5974"/>
    <w:rsid w:val="00D0030F"/>
    <w:rsid w:val="00D01B3C"/>
    <w:rsid w:val="00D0445F"/>
    <w:rsid w:val="00D0608D"/>
    <w:rsid w:val="00D061D5"/>
    <w:rsid w:val="00D06E87"/>
    <w:rsid w:val="00D06EFC"/>
    <w:rsid w:val="00D074BF"/>
    <w:rsid w:val="00D1197E"/>
    <w:rsid w:val="00D122E5"/>
    <w:rsid w:val="00D1619E"/>
    <w:rsid w:val="00D17209"/>
    <w:rsid w:val="00D173B4"/>
    <w:rsid w:val="00D206B3"/>
    <w:rsid w:val="00D20C76"/>
    <w:rsid w:val="00D219C1"/>
    <w:rsid w:val="00D22C33"/>
    <w:rsid w:val="00D27373"/>
    <w:rsid w:val="00D31EA1"/>
    <w:rsid w:val="00D3217A"/>
    <w:rsid w:val="00D323B4"/>
    <w:rsid w:val="00D32833"/>
    <w:rsid w:val="00D32FF2"/>
    <w:rsid w:val="00D33DA7"/>
    <w:rsid w:val="00D3507E"/>
    <w:rsid w:val="00D354D0"/>
    <w:rsid w:val="00D41D9A"/>
    <w:rsid w:val="00D430AB"/>
    <w:rsid w:val="00D45C33"/>
    <w:rsid w:val="00D461E5"/>
    <w:rsid w:val="00D472D8"/>
    <w:rsid w:val="00D509DC"/>
    <w:rsid w:val="00D5255B"/>
    <w:rsid w:val="00D538F6"/>
    <w:rsid w:val="00D5457D"/>
    <w:rsid w:val="00D54EF5"/>
    <w:rsid w:val="00D56433"/>
    <w:rsid w:val="00D56FF4"/>
    <w:rsid w:val="00D61E55"/>
    <w:rsid w:val="00D6213A"/>
    <w:rsid w:val="00D66085"/>
    <w:rsid w:val="00D669CD"/>
    <w:rsid w:val="00D66D8C"/>
    <w:rsid w:val="00D67960"/>
    <w:rsid w:val="00D70223"/>
    <w:rsid w:val="00D722E0"/>
    <w:rsid w:val="00D73760"/>
    <w:rsid w:val="00D74036"/>
    <w:rsid w:val="00D75417"/>
    <w:rsid w:val="00D802BD"/>
    <w:rsid w:val="00D808EE"/>
    <w:rsid w:val="00D86692"/>
    <w:rsid w:val="00D87242"/>
    <w:rsid w:val="00D87FE7"/>
    <w:rsid w:val="00D91885"/>
    <w:rsid w:val="00D93663"/>
    <w:rsid w:val="00D94097"/>
    <w:rsid w:val="00D942DE"/>
    <w:rsid w:val="00D95DDC"/>
    <w:rsid w:val="00D96454"/>
    <w:rsid w:val="00D96B60"/>
    <w:rsid w:val="00DA0634"/>
    <w:rsid w:val="00DA2CE3"/>
    <w:rsid w:val="00DA3E6F"/>
    <w:rsid w:val="00DA42B7"/>
    <w:rsid w:val="00DA62C5"/>
    <w:rsid w:val="00DA7AE8"/>
    <w:rsid w:val="00DA7CB8"/>
    <w:rsid w:val="00DA7DA7"/>
    <w:rsid w:val="00DB0871"/>
    <w:rsid w:val="00DB0CB2"/>
    <w:rsid w:val="00DB1A59"/>
    <w:rsid w:val="00DB46D0"/>
    <w:rsid w:val="00DB5683"/>
    <w:rsid w:val="00DC08BC"/>
    <w:rsid w:val="00DC1F63"/>
    <w:rsid w:val="00DC2451"/>
    <w:rsid w:val="00DC27DD"/>
    <w:rsid w:val="00DC5BFD"/>
    <w:rsid w:val="00DD0C90"/>
    <w:rsid w:val="00DD1011"/>
    <w:rsid w:val="00DD13DF"/>
    <w:rsid w:val="00DD1506"/>
    <w:rsid w:val="00DD6598"/>
    <w:rsid w:val="00DE221F"/>
    <w:rsid w:val="00DE3A2A"/>
    <w:rsid w:val="00DE48C0"/>
    <w:rsid w:val="00DE55E6"/>
    <w:rsid w:val="00DE5DBB"/>
    <w:rsid w:val="00DF169D"/>
    <w:rsid w:val="00DF2613"/>
    <w:rsid w:val="00DF5F3F"/>
    <w:rsid w:val="00DF7AE1"/>
    <w:rsid w:val="00E0241F"/>
    <w:rsid w:val="00E04482"/>
    <w:rsid w:val="00E04D37"/>
    <w:rsid w:val="00E05840"/>
    <w:rsid w:val="00E071C0"/>
    <w:rsid w:val="00E07968"/>
    <w:rsid w:val="00E10BA8"/>
    <w:rsid w:val="00E12448"/>
    <w:rsid w:val="00E14683"/>
    <w:rsid w:val="00E15006"/>
    <w:rsid w:val="00E207BA"/>
    <w:rsid w:val="00E207DB"/>
    <w:rsid w:val="00E21EFB"/>
    <w:rsid w:val="00E2267F"/>
    <w:rsid w:val="00E235D4"/>
    <w:rsid w:val="00E24D48"/>
    <w:rsid w:val="00E25FBA"/>
    <w:rsid w:val="00E263BA"/>
    <w:rsid w:val="00E2647C"/>
    <w:rsid w:val="00E270B7"/>
    <w:rsid w:val="00E27675"/>
    <w:rsid w:val="00E27C9F"/>
    <w:rsid w:val="00E326C9"/>
    <w:rsid w:val="00E36A50"/>
    <w:rsid w:val="00E37044"/>
    <w:rsid w:val="00E3744B"/>
    <w:rsid w:val="00E41B22"/>
    <w:rsid w:val="00E43C87"/>
    <w:rsid w:val="00E43DEF"/>
    <w:rsid w:val="00E44BDB"/>
    <w:rsid w:val="00E51BE8"/>
    <w:rsid w:val="00E528EB"/>
    <w:rsid w:val="00E5370B"/>
    <w:rsid w:val="00E53BA6"/>
    <w:rsid w:val="00E54285"/>
    <w:rsid w:val="00E56811"/>
    <w:rsid w:val="00E56A3E"/>
    <w:rsid w:val="00E6139F"/>
    <w:rsid w:val="00E61E1E"/>
    <w:rsid w:val="00E62387"/>
    <w:rsid w:val="00E63ED7"/>
    <w:rsid w:val="00E641FE"/>
    <w:rsid w:val="00E64B3B"/>
    <w:rsid w:val="00E67D97"/>
    <w:rsid w:val="00E70828"/>
    <w:rsid w:val="00E71A05"/>
    <w:rsid w:val="00E742BC"/>
    <w:rsid w:val="00E74E3E"/>
    <w:rsid w:val="00E758EB"/>
    <w:rsid w:val="00E80AB0"/>
    <w:rsid w:val="00E81482"/>
    <w:rsid w:val="00E8435E"/>
    <w:rsid w:val="00E84BA6"/>
    <w:rsid w:val="00E85010"/>
    <w:rsid w:val="00E87897"/>
    <w:rsid w:val="00E87E68"/>
    <w:rsid w:val="00E90B9D"/>
    <w:rsid w:val="00E923F1"/>
    <w:rsid w:val="00E93762"/>
    <w:rsid w:val="00E937CB"/>
    <w:rsid w:val="00E96A6F"/>
    <w:rsid w:val="00EA1B79"/>
    <w:rsid w:val="00EA42B1"/>
    <w:rsid w:val="00EA4BDE"/>
    <w:rsid w:val="00EA5DA4"/>
    <w:rsid w:val="00EA6941"/>
    <w:rsid w:val="00EA6D03"/>
    <w:rsid w:val="00EB0D27"/>
    <w:rsid w:val="00EB1010"/>
    <w:rsid w:val="00EB1D3D"/>
    <w:rsid w:val="00EB3D8A"/>
    <w:rsid w:val="00EB4AF9"/>
    <w:rsid w:val="00EB51BE"/>
    <w:rsid w:val="00EB6139"/>
    <w:rsid w:val="00EB711D"/>
    <w:rsid w:val="00EC035A"/>
    <w:rsid w:val="00EC0476"/>
    <w:rsid w:val="00EC0D8E"/>
    <w:rsid w:val="00EC102A"/>
    <w:rsid w:val="00EC69B6"/>
    <w:rsid w:val="00EC71ED"/>
    <w:rsid w:val="00EC7486"/>
    <w:rsid w:val="00ED04F4"/>
    <w:rsid w:val="00ED2536"/>
    <w:rsid w:val="00ED27A5"/>
    <w:rsid w:val="00ED7B38"/>
    <w:rsid w:val="00EE0057"/>
    <w:rsid w:val="00EE0E84"/>
    <w:rsid w:val="00EE120A"/>
    <w:rsid w:val="00EE208F"/>
    <w:rsid w:val="00EE2ECA"/>
    <w:rsid w:val="00EE308D"/>
    <w:rsid w:val="00EE44C9"/>
    <w:rsid w:val="00EE5C0F"/>
    <w:rsid w:val="00EE763B"/>
    <w:rsid w:val="00EF0222"/>
    <w:rsid w:val="00EF087C"/>
    <w:rsid w:val="00EF132A"/>
    <w:rsid w:val="00EF1A28"/>
    <w:rsid w:val="00EF2769"/>
    <w:rsid w:val="00EF366A"/>
    <w:rsid w:val="00EF4DF3"/>
    <w:rsid w:val="00F018A9"/>
    <w:rsid w:val="00F027E7"/>
    <w:rsid w:val="00F02F28"/>
    <w:rsid w:val="00F04507"/>
    <w:rsid w:val="00F04532"/>
    <w:rsid w:val="00F0799D"/>
    <w:rsid w:val="00F1126D"/>
    <w:rsid w:val="00F12744"/>
    <w:rsid w:val="00F13F24"/>
    <w:rsid w:val="00F1419E"/>
    <w:rsid w:val="00F1472A"/>
    <w:rsid w:val="00F159B0"/>
    <w:rsid w:val="00F16055"/>
    <w:rsid w:val="00F209D8"/>
    <w:rsid w:val="00F2278E"/>
    <w:rsid w:val="00F24091"/>
    <w:rsid w:val="00F250FA"/>
    <w:rsid w:val="00F27ED1"/>
    <w:rsid w:val="00F30CF8"/>
    <w:rsid w:val="00F31315"/>
    <w:rsid w:val="00F329A2"/>
    <w:rsid w:val="00F32CF6"/>
    <w:rsid w:val="00F35440"/>
    <w:rsid w:val="00F354A7"/>
    <w:rsid w:val="00F40408"/>
    <w:rsid w:val="00F42301"/>
    <w:rsid w:val="00F42F5E"/>
    <w:rsid w:val="00F43BA3"/>
    <w:rsid w:val="00F446CA"/>
    <w:rsid w:val="00F461C7"/>
    <w:rsid w:val="00F46297"/>
    <w:rsid w:val="00F46ABC"/>
    <w:rsid w:val="00F5172B"/>
    <w:rsid w:val="00F53017"/>
    <w:rsid w:val="00F53655"/>
    <w:rsid w:val="00F53C1E"/>
    <w:rsid w:val="00F55290"/>
    <w:rsid w:val="00F55956"/>
    <w:rsid w:val="00F56CA9"/>
    <w:rsid w:val="00F6071E"/>
    <w:rsid w:val="00F614AD"/>
    <w:rsid w:val="00F616C5"/>
    <w:rsid w:val="00F62CFC"/>
    <w:rsid w:val="00F639E2"/>
    <w:rsid w:val="00F64CEE"/>
    <w:rsid w:val="00F65284"/>
    <w:rsid w:val="00F65772"/>
    <w:rsid w:val="00F703E9"/>
    <w:rsid w:val="00F711FF"/>
    <w:rsid w:val="00F71512"/>
    <w:rsid w:val="00F7263D"/>
    <w:rsid w:val="00F73C23"/>
    <w:rsid w:val="00F73EE0"/>
    <w:rsid w:val="00F74363"/>
    <w:rsid w:val="00F74FA5"/>
    <w:rsid w:val="00F7658C"/>
    <w:rsid w:val="00F769FF"/>
    <w:rsid w:val="00F773D6"/>
    <w:rsid w:val="00F77E6A"/>
    <w:rsid w:val="00F806C4"/>
    <w:rsid w:val="00F81D93"/>
    <w:rsid w:val="00F82413"/>
    <w:rsid w:val="00F831FB"/>
    <w:rsid w:val="00F84A92"/>
    <w:rsid w:val="00F86C62"/>
    <w:rsid w:val="00F878C3"/>
    <w:rsid w:val="00F907B5"/>
    <w:rsid w:val="00F91570"/>
    <w:rsid w:val="00F93164"/>
    <w:rsid w:val="00F93332"/>
    <w:rsid w:val="00F940A3"/>
    <w:rsid w:val="00F9413F"/>
    <w:rsid w:val="00F94260"/>
    <w:rsid w:val="00F94A2D"/>
    <w:rsid w:val="00F94D21"/>
    <w:rsid w:val="00F94F2A"/>
    <w:rsid w:val="00F967EA"/>
    <w:rsid w:val="00F96894"/>
    <w:rsid w:val="00F96C43"/>
    <w:rsid w:val="00FA05FD"/>
    <w:rsid w:val="00FA093F"/>
    <w:rsid w:val="00FA11D0"/>
    <w:rsid w:val="00FA14EB"/>
    <w:rsid w:val="00FA344A"/>
    <w:rsid w:val="00FA39DE"/>
    <w:rsid w:val="00FA406D"/>
    <w:rsid w:val="00FA44DE"/>
    <w:rsid w:val="00FA4570"/>
    <w:rsid w:val="00FA4A27"/>
    <w:rsid w:val="00FA5D77"/>
    <w:rsid w:val="00FA5DA7"/>
    <w:rsid w:val="00FA690F"/>
    <w:rsid w:val="00FB23F8"/>
    <w:rsid w:val="00FB2CC4"/>
    <w:rsid w:val="00FB3748"/>
    <w:rsid w:val="00FB5056"/>
    <w:rsid w:val="00FB6DC1"/>
    <w:rsid w:val="00FC015B"/>
    <w:rsid w:val="00FC019D"/>
    <w:rsid w:val="00FC19A6"/>
    <w:rsid w:val="00FC3C87"/>
    <w:rsid w:val="00FD0CB0"/>
    <w:rsid w:val="00FD1285"/>
    <w:rsid w:val="00FD1315"/>
    <w:rsid w:val="00FD19F3"/>
    <w:rsid w:val="00FD2947"/>
    <w:rsid w:val="00FD7086"/>
    <w:rsid w:val="00FD7BD8"/>
    <w:rsid w:val="00FE1536"/>
    <w:rsid w:val="00FE25EE"/>
    <w:rsid w:val="00FE295D"/>
    <w:rsid w:val="00FE4491"/>
    <w:rsid w:val="00FE5718"/>
    <w:rsid w:val="00FE68CD"/>
    <w:rsid w:val="00FE6E84"/>
    <w:rsid w:val="00FE77F1"/>
    <w:rsid w:val="00FF061A"/>
    <w:rsid w:val="00FF0BBE"/>
    <w:rsid w:val="00FF2137"/>
    <w:rsid w:val="00FF2D07"/>
    <w:rsid w:val="00FF34C8"/>
    <w:rsid w:val="00FF3DA4"/>
    <w:rsid w:val="00FF6A90"/>
    <w:rsid w:val="00FF6B6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toc 1" w:uiPriority="0"/>
    <w:lsdException w:name="toc 2" w:uiPriority="0"/>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footnote text" w:qFormat="1"/>
    <w:lsdException w:name="header" w:uiPriority="0"/>
    <w:lsdException w:name="footer" w:uiPriority="0"/>
    <w:lsdException w:name="caption" w:qFormat="1"/>
    <w:lsdException w:name="table of figures" w:uiPriority="0"/>
    <w:lsdException w:name="page number" w:uiPriority="0"/>
    <w:lsdException w:name="endnote reference" w:uiPriority="0"/>
    <w:lsdException w:name="endnote text" w:uiPriority="0"/>
    <w:lsdException w:name="List Bullet" w:uiPriority="0" w:qFormat="1"/>
    <w:lsdException w:name="List Number" w:uiPriority="0" w:qFormat="1"/>
    <w:lsdException w:name="List Bullet 2" w:uiPriority="0" w:qFormat="1"/>
    <w:lsdException w:name="List Number 2" w:uiPriority="0" w:qFormat="1"/>
    <w:lsdException w:name="List Number 3"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Date" w:uiPriority="0" w:qFormat="1"/>
    <w:lsdException w:name="Hyperlink" w:uiPriority="0"/>
    <w:lsdException w:name="FollowedHyperlink" w:uiPriority="0"/>
    <w:lsdException w:name="Strong" w:semiHidden="0" w:uiPriority="22" w:unhideWhenUsed="0"/>
    <w:lsdException w:name="Emphasis" w:semiHidden="0" w:uiPriority="20" w:unhideWhenUsed="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0D151B"/>
    <w:pPr>
      <w:spacing w:after="0" w:line="240" w:lineRule="auto"/>
    </w:pPr>
    <w:rPr>
      <w:rFonts w:ascii="Times New Roman" w:eastAsia="SimSun" w:hAnsi="Times New Roman" w:cs="Times New Roman"/>
      <w:sz w:val="20"/>
      <w:szCs w:val="24"/>
    </w:rPr>
  </w:style>
  <w:style w:type="paragraph" w:styleId="Heading1">
    <w:name w:val="heading 1"/>
    <w:basedOn w:val="Title"/>
    <w:next w:val="BodyText"/>
    <w:link w:val="Heading1Char"/>
    <w:qFormat/>
    <w:rsid w:val="00F93332"/>
    <w:pPr>
      <w:keepNext/>
      <w:spacing w:before="480" w:after="120"/>
      <w:outlineLvl w:val="0"/>
    </w:pPr>
    <w:rPr>
      <w:rFonts w:cs="Arial"/>
      <w:sz w:val="28"/>
      <w:szCs w:val="28"/>
    </w:rPr>
  </w:style>
  <w:style w:type="paragraph" w:styleId="Heading2">
    <w:name w:val="heading 2"/>
    <w:basedOn w:val="Normal"/>
    <w:next w:val="BodyText"/>
    <w:link w:val="Heading2Char"/>
    <w:qFormat/>
    <w:rsid w:val="006D0BC5"/>
    <w:pPr>
      <w:keepNext/>
      <w:spacing w:before="360" w:after="120"/>
      <w:outlineLvl w:val="1"/>
    </w:pPr>
    <w:rPr>
      <w:rFonts w:ascii="Helvetica" w:eastAsia="Times New Roman" w:hAnsi="Helvetica" w:cs="Arial"/>
      <w:color w:val="007FAD"/>
      <w:kern w:val="28"/>
      <w:sz w:val="24"/>
      <w:szCs w:val="28"/>
    </w:rPr>
  </w:style>
  <w:style w:type="paragraph" w:styleId="Heading3">
    <w:name w:val="heading 3"/>
    <w:basedOn w:val="Heading2"/>
    <w:next w:val="BodyText"/>
    <w:link w:val="Heading3Char"/>
    <w:autoRedefine/>
    <w:qFormat/>
    <w:rsid w:val="00C00586"/>
    <w:pPr>
      <w:keepNext w:val="0"/>
      <w:numPr>
        <w:ilvl w:val="2"/>
      </w:numPr>
      <w:spacing w:before="240"/>
      <w:outlineLvl w:val="2"/>
    </w:pPr>
    <w:rPr>
      <w:b/>
      <w:color w:val="124486"/>
      <w:sz w:val="22"/>
      <w:szCs w:val="22"/>
      <w:lang w:eastAsia="zh-CN"/>
    </w:rPr>
  </w:style>
  <w:style w:type="paragraph" w:styleId="Heading4">
    <w:name w:val="heading 4"/>
    <w:basedOn w:val="Heading3"/>
    <w:next w:val="BodyText"/>
    <w:link w:val="Heading4Char"/>
    <w:qFormat/>
    <w:rsid w:val="009E79EC"/>
    <w:pPr>
      <w:numPr>
        <w:ilvl w:val="3"/>
        <w:numId w:val="1"/>
      </w:numPr>
      <w:spacing w:before="320" w:after="0"/>
      <w:outlineLvl w:val="3"/>
    </w:pPr>
    <w:rPr>
      <w:b w:val="0"/>
    </w:rPr>
  </w:style>
  <w:style w:type="paragraph" w:styleId="Heading5">
    <w:name w:val="heading 5"/>
    <w:basedOn w:val="BodyText"/>
    <w:next w:val="BodyText"/>
    <w:link w:val="Heading5Char"/>
    <w:rsid w:val="009E79EC"/>
    <w:pPr>
      <w:keepNext/>
      <w:numPr>
        <w:ilvl w:val="4"/>
        <w:numId w:val="1"/>
      </w:numPr>
      <w:spacing w:before="320" w:after="0"/>
      <w:outlineLvl w:val="4"/>
    </w:pPr>
    <w:rPr>
      <w:rFonts w:ascii="Helvetica" w:hAnsi="Helvetica"/>
      <w:b/>
      <w:color w:val="A8A5A8"/>
      <w:sz w:val="22"/>
    </w:rPr>
  </w:style>
  <w:style w:type="paragraph" w:styleId="Heading6">
    <w:name w:val="heading 6"/>
    <w:next w:val="BodyText"/>
    <w:link w:val="Heading6Char"/>
    <w:rsid w:val="009E79EC"/>
    <w:pPr>
      <w:spacing w:after="240" w:line="280" w:lineRule="atLeast"/>
      <w:outlineLvl w:val="5"/>
    </w:pPr>
    <w:rPr>
      <w:rFonts w:ascii="Franklin Gothic Book" w:eastAsia="Times New Roman" w:hAnsi="Franklin Gothic Book" w:cs="Times New Roman"/>
      <w:b/>
      <w:spacing w:val="-10"/>
      <w:kern w:val="28"/>
      <w:szCs w:val="19"/>
    </w:rPr>
  </w:style>
  <w:style w:type="paragraph" w:styleId="Heading7">
    <w:name w:val="heading 7"/>
    <w:basedOn w:val="Heading6"/>
    <w:next w:val="BodyText"/>
    <w:link w:val="Heading7Char"/>
    <w:rsid w:val="007E10A5"/>
    <w:pPr>
      <w:numPr>
        <w:ilvl w:val="6"/>
      </w:numPr>
      <w:outlineLvl w:val="6"/>
    </w:pPr>
  </w:style>
  <w:style w:type="paragraph" w:styleId="Heading8">
    <w:name w:val="heading 8"/>
    <w:basedOn w:val="Heading7"/>
    <w:next w:val="BodyText"/>
    <w:link w:val="Heading8Char"/>
    <w:rsid w:val="0050529F"/>
    <w:pPr>
      <w:numPr>
        <w:ilvl w:val="7"/>
      </w:numPr>
      <w:outlineLvl w:val="7"/>
    </w:pPr>
  </w:style>
  <w:style w:type="paragraph" w:styleId="Heading9">
    <w:name w:val="heading 9"/>
    <w:basedOn w:val="Heading8"/>
    <w:next w:val="BodyText"/>
    <w:link w:val="Heading9Char"/>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3332"/>
    <w:rPr>
      <w:rFonts w:ascii="Helvetica" w:eastAsia="Times New Roman" w:hAnsi="Helvetica" w:cs="Arial"/>
      <w:color w:val="124486"/>
      <w:spacing w:val="-10"/>
      <w:kern w:val="28"/>
      <w:sz w:val="28"/>
      <w:szCs w:val="28"/>
    </w:rPr>
  </w:style>
  <w:style w:type="paragraph" w:styleId="BodyText">
    <w:name w:val="Body Text"/>
    <w:basedOn w:val="Normal"/>
    <w:link w:val="BodyTextChar"/>
    <w:qFormat/>
    <w:rsid w:val="00F93332"/>
    <w:pPr>
      <w:spacing w:after="160" w:line="280" w:lineRule="exact"/>
    </w:pPr>
    <w:rPr>
      <w:rFonts w:ascii="Franklin Gothic Book" w:eastAsia="Times New Roman" w:hAnsi="Franklin Gothic Book"/>
      <w:sz w:val="21"/>
    </w:rPr>
  </w:style>
  <w:style w:type="character" w:customStyle="1" w:styleId="BodyTextChar">
    <w:name w:val="Body Text Char"/>
    <w:basedOn w:val="DefaultParagraphFont"/>
    <w:link w:val="BodyText"/>
    <w:rsid w:val="00F93332"/>
    <w:rPr>
      <w:rFonts w:ascii="Franklin Gothic Book" w:eastAsia="Times New Roman" w:hAnsi="Franklin Gothic Book" w:cs="Times New Roman"/>
      <w:sz w:val="21"/>
      <w:szCs w:val="24"/>
    </w:rPr>
  </w:style>
  <w:style w:type="character" w:customStyle="1" w:styleId="Heading2Char">
    <w:name w:val="Heading 2 Char"/>
    <w:basedOn w:val="DefaultParagraphFont"/>
    <w:link w:val="Heading2"/>
    <w:rsid w:val="006D0BC5"/>
    <w:rPr>
      <w:rFonts w:ascii="Helvetica" w:eastAsia="Times New Roman" w:hAnsi="Helvetica" w:cs="Arial"/>
      <w:color w:val="007FAD"/>
      <w:kern w:val="28"/>
      <w:sz w:val="24"/>
      <w:szCs w:val="28"/>
    </w:rPr>
  </w:style>
  <w:style w:type="character" w:customStyle="1" w:styleId="Heading3Char">
    <w:name w:val="Heading 3 Char"/>
    <w:basedOn w:val="DefaultParagraphFont"/>
    <w:link w:val="Heading3"/>
    <w:rsid w:val="00C00586"/>
    <w:rPr>
      <w:rFonts w:ascii="Helvetica" w:eastAsia="Times New Roman" w:hAnsi="Helvetica" w:cs="Arial"/>
      <w:b/>
      <w:color w:val="124486"/>
      <w:kern w:val="28"/>
      <w:lang w:eastAsia="zh-CN"/>
    </w:rPr>
  </w:style>
  <w:style w:type="character" w:customStyle="1" w:styleId="Heading4Char">
    <w:name w:val="Heading 4 Char"/>
    <w:basedOn w:val="DefaultParagraphFont"/>
    <w:link w:val="Heading4"/>
    <w:rsid w:val="009E79EC"/>
    <w:rPr>
      <w:rFonts w:ascii="Helvetica" w:eastAsia="Times New Roman" w:hAnsi="Helvetica" w:cs="Arial"/>
      <w:color w:val="124486"/>
      <w:kern w:val="28"/>
      <w:lang w:eastAsia="zh-CN"/>
    </w:rPr>
  </w:style>
  <w:style w:type="character" w:customStyle="1" w:styleId="Heading5Char">
    <w:name w:val="Heading 5 Char"/>
    <w:basedOn w:val="DefaultParagraphFont"/>
    <w:link w:val="Heading5"/>
    <w:rsid w:val="009E79EC"/>
    <w:rPr>
      <w:rFonts w:ascii="Helvetica" w:eastAsia="Times New Roman" w:hAnsi="Helvetica" w:cs="Times New Roman"/>
      <w:b/>
      <w:color w:val="A8A5A8"/>
      <w:szCs w:val="24"/>
    </w:rPr>
  </w:style>
  <w:style w:type="character" w:customStyle="1" w:styleId="Heading6Char">
    <w:name w:val="Heading 6 Char"/>
    <w:basedOn w:val="DefaultParagraphFont"/>
    <w:link w:val="Heading6"/>
    <w:rsid w:val="009E79EC"/>
    <w:rPr>
      <w:rFonts w:ascii="Franklin Gothic Book" w:eastAsia="Times New Roman" w:hAnsi="Franklin Gothic Book" w:cs="Times New Roman"/>
      <w:b/>
      <w:spacing w:val="-10"/>
      <w:kern w:val="28"/>
      <w:szCs w:val="19"/>
    </w:rPr>
  </w:style>
  <w:style w:type="character" w:customStyle="1" w:styleId="Heading7Char">
    <w:name w:val="Heading 7 Char"/>
    <w:basedOn w:val="DefaultParagraphFont"/>
    <w:link w:val="Heading7"/>
    <w:rsid w:val="007E10A5"/>
    <w:rPr>
      <w:rFonts w:ascii="Times New Roman" w:eastAsia="Times New Roman" w:hAnsi="Times New Roman" w:cs="Times New Roman"/>
      <w:b/>
      <w:spacing w:val="-10"/>
      <w:kern w:val="28"/>
      <w:szCs w:val="19"/>
    </w:rPr>
  </w:style>
  <w:style w:type="character" w:customStyle="1" w:styleId="Heading8Char">
    <w:name w:val="Heading 8 Char"/>
    <w:basedOn w:val="DefaultParagraphFont"/>
    <w:link w:val="Heading8"/>
    <w:rsid w:val="007E10A5"/>
    <w:rPr>
      <w:rFonts w:ascii="Times New Roman" w:eastAsia="Times New Roman" w:hAnsi="Times New Roman" w:cs="Times New Roman"/>
      <w:b/>
      <w:spacing w:val="-10"/>
      <w:kern w:val="28"/>
      <w:szCs w:val="19"/>
    </w:rPr>
  </w:style>
  <w:style w:type="character" w:customStyle="1" w:styleId="Heading9Char">
    <w:name w:val="Heading 9 Char"/>
    <w:basedOn w:val="DefaultParagraphFont"/>
    <w:link w:val="Heading9"/>
    <w:rsid w:val="007E10A5"/>
    <w:rPr>
      <w:rFonts w:ascii="Times New Roman" w:eastAsia="Times New Roman" w:hAnsi="Times New Roman" w:cs="Times New Roman"/>
      <w:b/>
      <w:spacing w:val="-10"/>
      <w:kern w:val="28"/>
      <w:szCs w:val="19"/>
    </w:rPr>
  </w:style>
  <w:style w:type="paragraph" w:styleId="Subtitle">
    <w:name w:val="Subtitle"/>
    <w:basedOn w:val="Normal"/>
    <w:next w:val="Normal"/>
    <w:link w:val="SubtitleChar"/>
    <w:qFormat/>
    <w:rsid w:val="00E36A50"/>
    <w:pPr>
      <w:spacing w:before="120" w:after="360"/>
    </w:pPr>
    <w:rPr>
      <w:rFonts w:ascii="Helvetica" w:eastAsia="Times New Roman" w:hAnsi="Helvetica"/>
      <w:color w:val="007FAD"/>
      <w:spacing w:val="-10"/>
      <w:kern w:val="28"/>
      <w:sz w:val="28"/>
      <w:szCs w:val="28"/>
    </w:rPr>
  </w:style>
  <w:style w:type="paragraph" w:customStyle="1" w:styleId="PublicationDate">
    <w:name w:val="Publication Date"/>
    <w:next w:val="Heading1"/>
    <w:rsid w:val="00F93332"/>
    <w:pPr>
      <w:spacing w:after="360"/>
    </w:pPr>
    <w:rPr>
      <w:rFonts w:ascii="Helvetica" w:eastAsia="Times New Roman" w:hAnsi="Helvetica" w:cs="Times New Roman"/>
      <w:color w:val="A8A5A8"/>
      <w:spacing w:val="-10"/>
      <w:kern w:val="24"/>
      <w:sz w:val="24"/>
      <w:szCs w:val="28"/>
    </w:rPr>
  </w:style>
  <w:style w:type="character" w:customStyle="1" w:styleId="SubtitleChar">
    <w:name w:val="Subtitle Char"/>
    <w:basedOn w:val="DefaultParagraphFont"/>
    <w:link w:val="Subtitle"/>
    <w:rsid w:val="00E36A50"/>
    <w:rPr>
      <w:rFonts w:ascii="Helvetica" w:eastAsia="Times New Roman" w:hAnsi="Helvetica" w:cs="Times New Roman"/>
      <w:color w:val="007FAD"/>
      <w:spacing w:val="-10"/>
      <w:kern w:val="28"/>
      <w:sz w:val="28"/>
      <w:szCs w:val="28"/>
    </w:rPr>
  </w:style>
  <w:style w:type="paragraph" w:styleId="Footer">
    <w:name w:val="footer"/>
    <w:basedOn w:val="Normal"/>
    <w:link w:val="FooterChar"/>
    <w:unhideWhenUsed/>
    <w:rsid w:val="009E79EC"/>
    <w:pPr>
      <w:tabs>
        <w:tab w:val="right" w:pos="8222"/>
      </w:tabs>
    </w:pPr>
    <w:rPr>
      <w:rFonts w:ascii="Franklin Gothic Book" w:hAnsi="Franklin Gothic Book"/>
      <w:color w:val="A8A5A8"/>
      <w:sz w:val="14"/>
    </w:rPr>
  </w:style>
  <w:style w:type="paragraph" w:styleId="Title">
    <w:name w:val="Title"/>
    <w:basedOn w:val="Normal"/>
    <w:next w:val="Normal"/>
    <w:link w:val="TitleChar"/>
    <w:qFormat/>
    <w:rsid w:val="00AA406C"/>
    <w:pPr>
      <w:spacing w:before="120" w:after="240"/>
    </w:pPr>
    <w:rPr>
      <w:rFonts w:ascii="Helvetica" w:eastAsia="Times New Roman" w:hAnsi="Helvetica"/>
      <w:color w:val="007FAD"/>
      <w:spacing w:val="-10"/>
      <w:kern w:val="28"/>
      <w:sz w:val="40"/>
      <w:szCs w:val="20"/>
    </w:rPr>
  </w:style>
  <w:style w:type="character" w:customStyle="1" w:styleId="TitleChar">
    <w:name w:val="Title Char"/>
    <w:basedOn w:val="DefaultParagraphFont"/>
    <w:link w:val="Title"/>
    <w:rsid w:val="00AA406C"/>
    <w:rPr>
      <w:rFonts w:ascii="Helvetica" w:eastAsia="Times New Roman" w:hAnsi="Helvetica" w:cs="Times New Roman"/>
      <w:color w:val="007FAD"/>
      <w:spacing w:val="-10"/>
      <w:kern w:val="28"/>
      <w:sz w:val="40"/>
      <w:szCs w:val="20"/>
    </w:rPr>
  </w:style>
  <w:style w:type="character" w:customStyle="1" w:styleId="FooterChar">
    <w:name w:val="Footer Char"/>
    <w:basedOn w:val="DefaultParagraphFont"/>
    <w:link w:val="Footer"/>
    <w:rsid w:val="009E79EC"/>
    <w:rPr>
      <w:rFonts w:ascii="Franklin Gothic Book" w:eastAsia="SimSun" w:hAnsi="Franklin Gothic Book" w:cs="Times New Roman"/>
      <w:color w:val="A8A5A8"/>
      <w:sz w:val="14"/>
      <w:szCs w:val="24"/>
    </w:rPr>
  </w:style>
  <w:style w:type="paragraph" w:styleId="Caption">
    <w:name w:val="caption"/>
    <w:basedOn w:val="Normal"/>
    <w:next w:val="BodyText"/>
    <w:link w:val="CaptionChar"/>
    <w:autoRedefine/>
    <w:uiPriority w:val="99"/>
    <w:qFormat/>
    <w:rsid w:val="001171DE"/>
    <w:pPr>
      <w:keepNext/>
      <w:spacing w:before="80" w:after="80" w:line="280" w:lineRule="atLeast"/>
    </w:pPr>
    <w:rPr>
      <w:rFonts w:ascii="Franklin Gothic Book" w:eastAsia="Times New Roman" w:hAnsi="Franklin Gothic Book" w:cs="Arial"/>
      <w:szCs w:val="19"/>
    </w:rPr>
  </w:style>
  <w:style w:type="paragraph" w:customStyle="1" w:styleId="Note">
    <w:name w:val="Note"/>
    <w:basedOn w:val="TableTextEntries"/>
    <w:next w:val="BodyText"/>
    <w:link w:val="NoteCharChar"/>
    <w:autoRedefine/>
    <w:rsid w:val="002141DF"/>
    <w:pPr>
      <w:keepNext/>
      <w:spacing w:before="20" w:after="20" w:line="180" w:lineRule="atLeast"/>
    </w:pPr>
    <w:rPr>
      <w:iCs w:val="0"/>
      <w:sz w:val="14"/>
      <w:szCs w:val="14"/>
      <w:lang w:eastAsia="en-AU"/>
    </w:rPr>
  </w:style>
  <w:style w:type="paragraph" w:customStyle="1" w:styleId="TableTextEntries">
    <w:name w:val="Table Text Entries"/>
    <w:rsid w:val="00B249B7"/>
    <w:pPr>
      <w:keepLines/>
      <w:spacing w:before="40" w:after="40" w:line="200" w:lineRule="atLeast"/>
    </w:pPr>
    <w:rPr>
      <w:rFonts w:ascii="Franklin Gothic Book" w:eastAsia="Times New Roman" w:hAnsi="Franklin Gothic Book" w:cs="Times New Roman"/>
      <w:iCs/>
      <w:sz w:val="17"/>
      <w:szCs w:val="17"/>
      <w:lang w:eastAsia="en-US"/>
    </w:rPr>
  </w:style>
  <w:style w:type="character" w:customStyle="1" w:styleId="NoteCharChar">
    <w:name w:val="Note Char Char"/>
    <w:link w:val="Note"/>
    <w:rsid w:val="002141DF"/>
    <w:rPr>
      <w:rFonts w:ascii="Franklin Gothic Book" w:eastAsia="Times New Roman" w:hAnsi="Franklin Gothic Book" w:cs="Times New Roman"/>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10390C"/>
    <w:pPr>
      <w:jc w:val="left"/>
    </w:pPr>
    <w:rPr>
      <w:b/>
    </w:rPr>
  </w:style>
  <w:style w:type="paragraph" w:styleId="ListBullet3">
    <w:name w:val="List Bullet 3"/>
    <w:basedOn w:val="ListBullet2"/>
    <w:uiPriority w:val="99"/>
    <w:unhideWhenUsed/>
    <w:rsid w:val="007E3D71"/>
    <w:pPr>
      <w:numPr>
        <w:numId w:val="15"/>
      </w:numPr>
      <w:tabs>
        <w:tab w:val="left" w:pos="567"/>
      </w:tabs>
      <w:ind w:left="851" w:hanging="284"/>
      <w:contextualSpacing/>
    </w:pPr>
  </w:style>
  <w:style w:type="table" w:customStyle="1" w:styleId="DFATTable">
    <w:name w:val="DFAT Table"/>
    <w:basedOn w:val="TableNormal"/>
    <w:uiPriority w:val="99"/>
    <w:rsid w:val="003B2756"/>
    <w:pPr>
      <w:spacing w:after="0" w:line="240" w:lineRule="auto"/>
    </w:pPr>
    <w:rPr>
      <w:rFonts w:ascii="Helvetica" w:hAnsi="Helvetica"/>
      <w:sz w:val="17"/>
    </w:rPr>
    <w:tblPr>
      <w:tblInd w:w="0" w:type="dxa"/>
      <w:tblBorders>
        <w:top w:val="single" w:sz="12" w:space="0" w:color="auto"/>
        <w:bottom w:val="single" w:sz="12" w:space="0" w:color="auto"/>
      </w:tblBorders>
      <w:tblCellMar>
        <w:top w:w="0" w:type="dxa"/>
        <w:left w:w="108" w:type="dxa"/>
        <w:bottom w:w="0" w:type="dxa"/>
        <w:right w:w="108" w:type="dxa"/>
      </w:tblCellMar>
    </w:tblPr>
  </w:style>
  <w:style w:type="table" w:customStyle="1" w:styleId="DFATBox">
    <w:name w:val="DFAT Box"/>
    <w:basedOn w:val="TableNormal"/>
    <w:uiPriority w:val="99"/>
    <w:rsid w:val="00AA406C"/>
    <w:pPr>
      <w:spacing w:after="0" w:line="240" w:lineRule="auto"/>
    </w:pPr>
    <w:rPr>
      <w:rFonts w:ascii="Helvetica" w:hAnsi="Helvetica"/>
    </w:r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tcPr>
      <w:shd w:val="clear" w:color="auto" w:fill="C7D5E6"/>
    </w:tcPr>
  </w:style>
  <w:style w:type="paragraph" w:styleId="ListBullet">
    <w:name w:val="List Bullet"/>
    <w:basedOn w:val="BodyText"/>
    <w:qFormat/>
    <w:rsid w:val="00F93332"/>
    <w:pPr>
      <w:numPr>
        <w:numId w:val="11"/>
      </w:numPr>
      <w:tabs>
        <w:tab w:val="left" w:pos="284"/>
      </w:tabs>
      <w:spacing w:after="120"/>
    </w:pPr>
  </w:style>
  <w:style w:type="paragraph" w:styleId="ListBullet2">
    <w:name w:val="List Bullet 2"/>
    <w:basedOn w:val="ListBullet"/>
    <w:qFormat/>
    <w:rsid w:val="00F42F5E"/>
    <w:pPr>
      <w:numPr>
        <w:numId w:val="9"/>
      </w:numPr>
      <w:ind w:left="568" w:hanging="284"/>
    </w:pPr>
  </w:style>
  <w:style w:type="paragraph" w:styleId="ListNumber">
    <w:name w:val="List Number"/>
    <w:basedOn w:val="ListBullet"/>
    <w:qFormat/>
    <w:rsid w:val="00F93332"/>
    <w:pPr>
      <w:numPr>
        <w:numId w:val="14"/>
      </w:numPr>
      <w:ind w:left="284" w:hanging="284"/>
    </w:pPr>
  </w:style>
  <w:style w:type="paragraph" w:styleId="ListNumber2">
    <w:name w:val="List Number 2"/>
    <w:basedOn w:val="ListNumber"/>
    <w:qFormat/>
    <w:rsid w:val="007E3D71"/>
    <w:pPr>
      <w:numPr>
        <w:numId w:val="10"/>
      </w:numPr>
      <w:ind w:left="568" w:hanging="284"/>
    </w:pPr>
  </w:style>
  <w:style w:type="paragraph" w:styleId="BalloonText">
    <w:name w:val="Balloon Text"/>
    <w:basedOn w:val="Normal"/>
    <w:link w:val="BalloonTextChar"/>
    <w:semiHidden/>
    <w:unhideWhenUsed/>
    <w:rsid w:val="009E79EC"/>
    <w:rPr>
      <w:rFonts w:ascii="Franklin Gothic Book" w:hAnsi="Franklin Gothic Book" w:cs="Tahoma"/>
      <w:sz w:val="16"/>
      <w:szCs w:val="16"/>
    </w:rPr>
  </w:style>
  <w:style w:type="paragraph" w:styleId="Header">
    <w:name w:val="header"/>
    <w:basedOn w:val="Normal"/>
    <w:link w:val="HeaderChar"/>
    <w:unhideWhenUsed/>
    <w:rsid w:val="009E79EC"/>
    <w:pPr>
      <w:tabs>
        <w:tab w:val="center" w:pos="4513"/>
        <w:tab w:val="right" w:pos="9026"/>
      </w:tabs>
    </w:pPr>
  </w:style>
  <w:style w:type="paragraph" w:styleId="Date">
    <w:name w:val="Date"/>
    <w:basedOn w:val="Normal"/>
    <w:next w:val="Normal"/>
    <w:link w:val="DateChar"/>
    <w:unhideWhenUsed/>
    <w:qFormat/>
    <w:rsid w:val="009E79EC"/>
    <w:rPr>
      <w:rFonts w:ascii="Franklin Gothic Book" w:hAnsi="Franklin Gothic Book"/>
    </w:rPr>
  </w:style>
  <w:style w:type="character" w:styleId="PageNumber">
    <w:name w:val="page number"/>
    <w:semiHidden/>
    <w:rsid w:val="009E79EC"/>
    <w:rPr>
      <w:rFonts w:ascii="Helvetica" w:hAnsi="Helvetica"/>
      <w:color w:val="A8A5A8"/>
      <w:sz w:val="14"/>
      <w:szCs w:val="14"/>
    </w:rPr>
  </w:style>
  <w:style w:type="paragraph" w:styleId="TOC1">
    <w:name w:val="toc 1"/>
    <w:basedOn w:val="BodyText"/>
    <w:next w:val="BodyText"/>
    <w:semiHidden/>
    <w:rsid w:val="009E79EC"/>
    <w:pPr>
      <w:tabs>
        <w:tab w:val="left" w:pos="397"/>
        <w:tab w:val="right" w:pos="7938"/>
      </w:tabs>
      <w:spacing w:before="180" w:after="0"/>
      <w:ind w:left="397" w:right="567" w:hanging="397"/>
    </w:pPr>
    <w:rPr>
      <w:rFonts w:ascii="Helvetica" w:hAnsi="Helvetica"/>
      <w:color w:val="A8A5A8"/>
    </w:rPr>
  </w:style>
  <w:style w:type="paragraph" w:styleId="TOC2">
    <w:name w:val="toc 2"/>
    <w:basedOn w:val="TOC1"/>
    <w:next w:val="TOC1"/>
    <w:semiHidden/>
    <w:rsid w:val="009E79EC"/>
    <w:pPr>
      <w:spacing w:before="120" w:line="200" w:lineRule="atLeast"/>
      <w:ind w:left="0" w:firstLine="0"/>
    </w:pPr>
    <w:rPr>
      <w:color w:val="007FAD"/>
      <w:szCs w:val="21"/>
    </w:rPr>
  </w:style>
  <w:style w:type="character" w:customStyle="1" w:styleId="BalloonTextChar">
    <w:name w:val="Balloon Text Char"/>
    <w:basedOn w:val="DefaultParagraphFont"/>
    <w:link w:val="BalloonText"/>
    <w:semiHidden/>
    <w:rsid w:val="009E79EC"/>
    <w:rPr>
      <w:rFonts w:ascii="Franklin Gothic Book" w:eastAsia="SimSun" w:hAnsi="Franklin Gothic Book" w:cs="Tahoma"/>
      <w:sz w:val="16"/>
      <w:szCs w:val="16"/>
    </w:rPr>
  </w:style>
  <w:style w:type="paragraph" w:customStyle="1" w:styleId="BoxListBullet">
    <w:name w:val="Box List Bullet"/>
    <w:basedOn w:val="BoxText"/>
    <w:rsid w:val="00976FB3"/>
    <w:pPr>
      <w:keepLines/>
      <w:numPr>
        <w:numId w:val="5"/>
      </w:numPr>
      <w:spacing w:line="240" w:lineRule="auto"/>
      <w:ind w:left="284" w:hanging="284"/>
      <w:contextualSpacing/>
      <w:mirrorIndents/>
    </w:pPr>
  </w:style>
  <w:style w:type="paragraph" w:customStyle="1" w:styleId="BoxText">
    <w:name w:val="Box Text"/>
    <w:link w:val="BoxTextChar"/>
    <w:autoRedefine/>
    <w:rsid w:val="00FD1315"/>
    <w:pPr>
      <w:pBdr>
        <w:top w:val="single" w:sz="4" w:space="10" w:color="auto"/>
        <w:left w:val="single" w:sz="4" w:space="10" w:color="auto"/>
        <w:bottom w:val="single" w:sz="4" w:space="10" w:color="auto"/>
        <w:right w:val="single" w:sz="4" w:space="10" w:color="auto"/>
      </w:pBdr>
      <w:shd w:val="clear" w:color="auto" w:fill="C7D5E6"/>
      <w:spacing w:after="120" w:line="280" w:lineRule="exact"/>
    </w:pPr>
    <w:rPr>
      <w:rFonts w:ascii="Franklin Gothic Book" w:eastAsia="Times New Roman" w:hAnsi="Franklin Gothic Book" w:cs="Times New Roman"/>
      <w:iCs/>
      <w:sz w:val="20"/>
      <w:szCs w:val="20"/>
    </w:rPr>
  </w:style>
  <w:style w:type="character" w:customStyle="1" w:styleId="BoxTextChar">
    <w:name w:val="Box Text Char"/>
    <w:link w:val="BoxText"/>
    <w:rsid w:val="00FD1315"/>
    <w:rPr>
      <w:rFonts w:ascii="Franklin Gothic Book" w:eastAsia="Times New Roman" w:hAnsi="Franklin Gothic Book" w:cs="Times New Roman"/>
      <w:iCs/>
      <w:sz w:val="20"/>
      <w:szCs w:val="20"/>
      <w:shd w:val="clear" w:color="auto" w:fill="C7D5E6"/>
    </w:rPr>
  </w:style>
  <w:style w:type="character" w:customStyle="1" w:styleId="HeaderChar">
    <w:name w:val="Header Char"/>
    <w:basedOn w:val="DefaultParagraphFont"/>
    <w:link w:val="Header"/>
    <w:uiPriority w:val="99"/>
    <w:rsid w:val="009E79EC"/>
    <w:rPr>
      <w:rFonts w:ascii="Times New Roman" w:eastAsia="SimSun" w:hAnsi="Times New Roman" w:cs="Times New Roman"/>
      <w:sz w:val="20"/>
      <w:szCs w:val="24"/>
    </w:rPr>
  </w:style>
  <w:style w:type="paragraph" w:customStyle="1" w:styleId="BoxHeading1">
    <w:name w:val="Box Heading 1"/>
    <w:basedOn w:val="BoxText"/>
    <w:next w:val="BoxText"/>
    <w:rsid w:val="0016740F"/>
    <w:pPr>
      <w:spacing w:before="120" w:line="240" w:lineRule="auto"/>
    </w:pPr>
    <w:rPr>
      <w:b/>
      <w:color w:val="000000"/>
    </w:rPr>
  </w:style>
  <w:style w:type="paragraph" w:customStyle="1" w:styleId="BoxHeading2">
    <w:name w:val="Box Heading 2"/>
    <w:basedOn w:val="BoxHeading1"/>
    <w:next w:val="BoxText"/>
    <w:rsid w:val="0016740F"/>
    <w:rPr>
      <w:i/>
      <w:color w:val="auto"/>
    </w:rPr>
  </w:style>
  <w:style w:type="paragraph" w:customStyle="1" w:styleId="TableListBullet">
    <w:name w:val="Table List Bullet"/>
    <w:basedOn w:val="TableTextEntries"/>
    <w:rsid w:val="00235D29"/>
    <w:pPr>
      <w:numPr>
        <w:numId w:val="7"/>
      </w:numPr>
      <w:ind w:left="284" w:hanging="284"/>
    </w:pPr>
    <w:rPr>
      <w:rFonts w:ascii="Helvetica" w:hAnsi="Helvetica"/>
    </w:rPr>
  </w:style>
  <w:style w:type="paragraph" w:styleId="TOC3">
    <w:name w:val="toc 3"/>
    <w:basedOn w:val="TOC2"/>
    <w:next w:val="BodyText"/>
    <w:semiHidden/>
    <w:rsid w:val="009E79EC"/>
    <w:pPr>
      <w:tabs>
        <w:tab w:val="clear" w:pos="397"/>
      </w:tabs>
      <w:spacing w:before="40" w:line="230" w:lineRule="atLeast"/>
      <w:ind w:left="567" w:hanging="567"/>
    </w:pPr>
    <w:rPr>
      <w:color w:val="auto"/>
      <w:sz w:val="19"/>
      <w:szCs w:val="19"/>
    </w:rPr>
  </w:style>
  <w:style w:type="paragraph" w:styleId="CommentText">
    <w:name w:val="annotation text"/>
    <w:basedOn w:val="BodyText"/>
    <w:link w:val="CommentTextChar"/>
    <w:uiPriority w:val="99"/>
    <w:semiHidden/>
    <w:rsid w:val="009E79EC"/>
    <w:pPr>
      <w:spacing w:line="240" w:lineRule="atLeast"/>
    </w:pPr>
    <w:rPr>
      <w:sz w:val="18"/>
      <w:szCs w:val="18"/>
    </w:rPr>
  </w:style>
  <w:style w:type="character" w:customStyle="1" w:styleId="CommentTextChar">
    <w:name w:val="Comment Text Char"/>
    <w:basedOn w:val="DefaultParagraphFont"/>
    <w:link w:val="CommentText"/>
    <w:uiPriority w:val="99"/>
    <w:semiHidden/>
    <w:rsid w:val="009E79EC"/>
    <w:rPr>
      <w:rFonts w:ascii="Franklin Gothic Book" w:eastAsia="Times New Roman" w:hAnsi="Franklin Gothic Book" w:cs="Times New Roman"/>
      <w:sz w:val="18"/>
      <w:szCs w:val="18"/>
    </w:rPr>
  </w:style>
  <w:style w:type="character" w:styleId="Hyperlink">
    <w:name w:val="Hyperlink"/>
    <w:rsid w:val="0050529F"/>
    <w:rPr>
      <w:color w:val="00467F"/>
      <w:sz w:val="20"/>
      <w:szCs w:val="20"/>
      <w:u w:val="none"/>
    </w:rPr>
  </w:style>
  <w:style w:type="paragraph" w:customStyle="1" w:styleId="TableHeading1">
    <w:name w:val="Table Heading 1"/>
    <w:basedOn w:val="TableTextEntries"/>
    <w:next w:val="TableTextEntries"/>
    <w:rsid w:val="00D6213A"/>
    <w:pPr>
      <w:spacing w:before="80" w:after="80"/>
    </w:pPr>
    <w:rPr>
      <w:b/>
    </w:rPr>
  </w:style>
  <w:style w:type="paragraph" w:customStyle="1" w:styleId="TableHeading2">
    <w:name w:val="Table Heading 2"/>
    <w:basedOn w:val="TableHeading1"/>
    <w:next w:val="TableTextEntries"/>
    <w:rsid w:val="00235D29"/>
    <w:pPr>
      <w:spacing w:before="40" w:after="40"/>
    </w:pPr>
    <w:rPr>
      <w:i/>
    </w:rPr>
  </w:style>
  <w:style w:type="paragraph" w:customStyle="1" w:styleId="TableListBullet2">
    <w:name w:val="Table List Bullet 2"/>
    <w:basedOn w:val="TableListBullet"/>
    <w:link w:val="TableListBullet2Char"/>
    <w:rsid w:val="00235D29"/>
    <w:pPr>
      <w:numPr>
        <w:numId w:val="8"/>
      </w:numPr>
      <w:ind w:left="568" w:hanging="284"/>
    </w:pPr>
  </w:style>
  <w:style w:type="character" w:customStyle="1" w:styleId="TableListBullet2Char">
    <w:name w:val="Table List Bullet 2 Char"/>
    <w:link w:val="TableListBullet2"/>
    <w:rsid w:val="00235D29"/>
    <w:rPr>
      <w:rFonts w:ascii="Helvetica" w:eastAsia="Times New Roman" w:hAnsi="Helvetica" w:cs="Times New Roman"/>
      <w:iCs/>
      <w:sz w:val="17"/>
      <w:szCs w:val="17"/>
      <w:lang w:eastAsia="en-US"/>
    </w:rPr>
  </w:style>
  <w:style w:type="paragraph" w:customStyle="1" w:styleId="TableListNumber">
    <w:name w:val="Table List Number"/>
    <w:basedOn w:val="TableTextEntries"/>
    <w:rsid w:val="00235D29"/>
    <w:pPr>
      <w:numPr>
        <w:numId w:val="2"/>
      </w:numPr>
      <w:ind w:left="284" w:hanging="284"/>
    </w:pPr>
    <w:rPr>
      <w:rFonts w:ascii="Helvetica" w:hAnsi="Helvetica"/>
    </w:rPr>
  </w:style>
  <w:style w:type="paragraph" w:customStyle="1" w:styleId="TableListNumber2">
    <w:name w:val="Table List Number 2"/>
    <w:basedOn w:val="TableListNumber"/>
    <w:rsid w:val="00235D29"/>
    <w:pPr>
      <w:numPr>
        <w:numId w:val="3"/>
      </w:numPr>
      <w:ind w:left="568" w:hanging="284"/>
    </w:pPr>
  </w:style>
  <w:style w:type="character" w:styleId="FollowedHyperlink">
    <w:name w:val="FollowedHyperlink"/>
    <w:semiHidden/>
    <w:rsid w:val="0050529F"/>
    <w:rPr>
      <w:color w:val="333399"/>
      <w:u w:val="none"/>
    </w:rPr>
  </w:style>
  <w:style w:type="paragraph" w:customStyle="1" w:styleId="BoxListBullet2">
    <w:name w:val="Box List Bullet 2"/>
    <w:basedOn w:val="BoxText"/>
    <w:rsid w:val="00BD7695"/>
    <w:pPr>
      <w:keepLines/>
      <w:numPr>
        <w:numId w:val="4"/>
      </w:numPr>
      <w:tabs>
        <w:tab w:val="left" w:pos="284"/>
        <w:tab w:val="left" w:pos="851"/>
      </w:tabs>
      <w:spacing w:line="240" w:lineRule="auto"/>
      <w:ind w:left="284" w:hanging="284"/>
      <w:contextualSpacing/>
      <w:mirrorIndents/>
    </w:pPr>
    <w:rPr>
      <w:szCs w:val="18"/>
    </w:rPr>
  </w:style>
  <w:style w:type="paragraph" w:customStyle="1" w:styleId="BoxListNumber">
    <w:name w:val="Box List Number"/>
    <w:basedOn w:val="BoxListBullet"/>
    <w:rsid w:val="00BD7695"/>
    <w:pPr>
      <w:numPr>
        <w:numId w:val="6"/>
      </w:numPr>
      <w:tabs>
        <w:tab w:val="left" w:pos="284"/>
      </w:tabs>
      <w:ind w:left="568"/>
    </w:pPr>
  </w:style>
  <w:style w:type="paragraph" w:customStyle="1" w:styleId="BoxListNumber2">
    <w:name w:val="Box List Number 2"/>
    <w:basedOn w:val="BoxListNumber"/>
    <w:rsid w:val="00BD7695"/>
    <w:pPr>
      <w:numPr>
        <w:numId w:val="16"/>
      </w:numPr>
      <w:tabs>
        <w:tab w:val="left" w:pos="284"/>
      </w:tabs>
      <w:ind w:left="284" w:hanging="284"/>
    </w:pPr>
    <w:rPr>
      <w:szCs w:val="22"/>
    </w:r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line="240" w:lineRule="atLeast"/>
      <w:ind w:left="284"/>
    </w:pPr>
    <w:rPr>
      <w:sz w:val="16"/>
      <w:szCs w:val="16"/>
    </w:rPr>
  </w:style>
  <w:style w:type="paragraph" w:customStyle="1" w:styleId="Photocaption">
    <w:name w:val="Photo caption"/>
    <w:basedOn w:val="Normal"/>
    <w:next w:val="BodyText"/>
    <w:semiHidden/>
    <w:rsid w:val="009E79EC"/>
    <w:pPr>
      <w:spacing w:before="140" w:after="240" w:line="180" w:lineRule="exact"/>
    </w:pPr>
    <w:rPr>
      <w:rFonts w:ascii="Franklin Gothic Book" w:eastAsia="Times New Roman" w:hAnsi="Franklin Gothic Book"/>
      <w:color w:val="A8A5A8"/>
      <w:sz w:val="14"/>
      <w:szCs w:val="14"/>
    </w:rPr>
  </w:style>
  <w:style w:type="table" w:styleId="TableGrid">
    <w:name w:val="Table Grid"/>
    <w:basedOn w:val="TableNormal"/>
    <w:uiPriority w:val="59"/>
    <w:rsid w:val="005052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LightShading">
    <w:name w:val="Light Shading"/>
    <w:basedOn w:val="TableNormal"/>
    <w:uiPriority w:val="60"/>
    <w:rsid w:val="00706DE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F53655"/>
    <w:pPr>
      <w:spacing w:after="0" w:line="240" w:lineRule="auto"/>
    </w:pPr>
    <w:rPr>
      <w:rFonts w:ascii="Times New Roman" w:eastAsia="Times New Roman" w:hAnsi="Times New Roman" w:cs="Times New Roman"/>
      <w:sz w:val="20"/>
      <w:szCs w:val="24"/>
    </w:rPr>
  </w:style>
  <w:style w:type="paragraph" w:styleId="ListNumber3">
    <w:name w:val="List Number 3"/>
    <w:basedOn w:val="ListNumber2"/>
    <w:rsid w:val="007E3D71"/>
    <w:pPr>
      <w:numPr>
        <w:numId w:val="12"/>
      </w:numPr>
      <w:ind w:left="851" w:hanging="284"/>
    </w:pPr>
  </w:style>
  <w:style w:type="paragraph" w:styleId="EndnoteText">
    <w:name w:val="endnote text"/>
    <w:basedOn w:val="Normal"/>
    <w:link w:val="EndnoteTextChar"/>
    <w:rsid w:val="009E79EC"/>
    <w:rPr>
      <w:rFonts w:ascii="Franklin Gothic Book" w:eastAsia="Times New Roman" w:hAnsi="Franklin Gothic Book"/>
      <w:sz w:val="21"/>
      <w:szCs w:val="20"/>
    </w:rPr>
  </w:style>
  <w:style w:type="character" w:customStyle="1" w:styleId="EndnoteTextChar">
    <w:name w:val="Endnote Text Char"/>
    <w:basedOn w:val="DefaultParagraphFont"/>
    <w:link w:val="EndnoteText"/>
    <w:rsid w:val="009E79EC"/>
    <w:rPr>
      <w:rFonts w:ascii="Franklin Gothic Book" w:eastAsia="Times New Roman" w:hAnsi="Franklin Gothic Book" w:cs="Times New Roman"/>
      <w:sz w:val="21"/>
      <w:szCs w:val="20"/>
    </w:rPr>
  </w:style>
  <w:style w:type="character" w:styleId="EndnoteReference">
    <w:name w:val="endnote reference"/>
    <w:rsid w:val="009E79EC"/>
    <w:rPr>
      <w:rFonts w:ascii="Franklin Gothic Book" w:hAnsi="Franklin Gothic Book"/>
      <w:sz w:val="21"/>
      <w:vertAlign w:val="superscript"/>
    </w:rPr>
  </w:style>
  <w:style w:type="numbering" w:customStyle="1" w:styleId="StyleBulletedSymbolsymbol95ptLeft063cmHanging">
    <w:name w:val="Style Bulleted Symbol (symbol) 9.5 pt Left:  0.63 cm Hanging:  ..."/>
    <w:basedOn w:val="NoList"/>
    <w:rsid w:val="002A1935"/>
    <w:pPr>
      <w:numPr>
        <w:numId w:val="13"/>
      </w:numPr>
    </w:pPr>
  </w:style>
  <w:style w:type="character" w:customStyle="1" w:styleId="CaptionChar">
    <w:name w:val="Caption Char"/>
    <w:link w:val="Caption"/>
    <w:uiPriority w:val="99"/>
    <w:locked/>
    <w:rsid w:val="001171DE"/>
    <w:rPr>
      <w:rFonts w:ascii="Franklin Gothic Book" w:eastAsia="Times New Roman" w:hAnsi="Franklin Gothic Book" w:cs="Arial"/>
      <w:sz w:val="20"/>
      <w:szCs w:val="19"/>
    </w:rPr>
  </w:style>
  <w:style w:type="paragraph" w:styleId="FootnoteText">
    <w:name w:val="footnote text"/>
    <w:basedOn w:val="BodyText"/>
    <w:link w:val="FootnoteTextChar"/>
    <w:uiPriority w:val="99"/>
    <w:unhideWhenUsed/>
    <w:qFormat/>
    <w:rsid w:val="00DA7CB8"/>
    <w:pPr>
      <w:spacing w:after="0"/>
      <w:contextualSpacing/>
    </w:pPr>
    <w:rPr>
      <w:sz w:val="16"/>
      <w:szCs w:val="20"/>
    </w:rPr>
  </w:style>
  <w:style w:type="character" w:customStyle="1" w:styleId="FootnoteTextChar">
    <w:name w:val="Footnote Text Char"/>
    <w:basedOn w:val="DefaultParagraphFont"/>
    <w:link w:val="FootnoteText"/>
    <w:uiPriority w:val="99"/>
    <w:rsid w:val="00DA7CB8"/>
    <w:rPr>
      <w:rFonts w:ascii="Times New Roman" w:eastAsia="Times New Roman" w:hAnsi="Times New Roman" w:cs="Times New Roman"/>
      <w:sz w:val="16"/>
      <w:szCs w:val="20"/>
    </w:rPr>
  </w:style>
  <w:style w:type="character" w:styleId="FootnoteReference">
    <w:name w:val="footnote reference"/>
    <w:uiPriority w:val="99"/>
    <w:rsid w:val="003B2756"/>
    <w:rPr>
      <w:rFonts w:ascii="Times New Roman" w:hAnsi="Times New Roman"/>
      <w:w w:val="100"/>
      <w:position w:val="6"/>
      <w:sz w:val="16"/>
      <w:szCs w:val="12"/>
      <w:vertAlign w:val="baseline"/>
    </w:rPr>
  </w:style>
  <w:style w:type="paragraph" w:styleId="NormalWeb">
    <w:name w:val="Normal (Web)"/>
    <w:basedOn w:val="Normal"/>
    <w:uiPriority w:val="99"/>
    <w:unhideWhenUsed/>
    <w:rsid w:val="00AB0987"/>
    <w:pPr>
      <w:spacing w:before="100" w:beforeAutospacing="1" w:after="100" w:afterAutospacing="1"/>
    </w:pPr>
    <w:rPr>
      <w:rFonts w:eastAsia="Times New Roman"/>
      <w:sz w:val="24"/>
    </w:rPr>
  </w:style>
  <w:style w:type="table" w:styleId="LightShading-Accent3">
    <w:name w:val="Light Shading Accent 3"/>
    <w:basedOn w:val="TableNormal"/>
    <w:uiPriority w:val="60"/>
    <w:rsid w:val="00F02F28"/>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CommentReference">
    <w:name w:val="annotation reference"/>
    <w:basedOn w:val="DefaultParagraphFont"/>
    <w:uiPriority w:val="99"/>
    <w:semiHidden/>
    <w:unhideWhenUsed/>
    <w:rsid w:val="009E79EC"/>
    <w:rPr>
      <w:rFonts w:ascii="Franklin Gothic Book" w:hAnsi="Franklin Gothic Book"/>
      <w:sz w:val="16"/>
      <w:szCs w:val="16"/>
    </w:rPr>
  </w:style>
  <w:style w:type="paragraph" w:styleId="CommentSubject">
    <w:name w:val="annotation subject"/>
    <w:basedOn w:val="CommentText"/>
    <w:next w:val="CommentText"/>
    <w:link w:val="CommentSubjectChar"/>
    <w:semiHidden/>
    <w:unhideWhenUsed/>
    <w:rsid w:val="009E79EC"/>
    <w:pPr>
      <w:spacing w:after="0" w:line="240" w:lineRule="auto"/>
    </w:pPr>
    <w:rPr>
      <w:rFonts w:eastAsia="SimSun"/>
      <w:b/>
      <w:bCs/>
      <w:sz w:val="20"/>
      <w:szCs w:val="20"/>
    </w:rPr>
  </w:style>
  <w:style w:type="character" w:customStyle="1" w:styleId="CommentSubjectChar">
    <w:name w:val="Comment Subject Char"/>
    <w:basedOn w:val="CommentTextChar"/>
    <w:link w:val="CommentSubject"/>
    <w:semiHidden/>
    <w:rsid w:val="009E79EC"/>
    <w:rPr>
      <w:rFonts w:ascii="Franklin Gothic Book" w:eastAsia="SimSun" w:hAnsi="Franklin Gothic Book" w:cs="Times New Roman"/>
      <w:b/>
      <w:bCs/>
      <w:sz w:val="20"/>
      <w:szCs w:val="20"/>
    </w:rPr>
  </w:style>
  <w:style w:type="character" w:customStyle="1" w:styleId="DateChar">
    <w:name w:val="Date Char"/>
    <w:basedOn w:val="DefaultParagraphFont"/>
    <w:link w:val="Date"/>
    <w:rsid w:val="009E79EC"/>
    <w:rPr>
      <w:rFonts w:ascii="Franklin Gothic Book" w:eastAsia="SimSun" w:hAnsi="Franklin Gothic Book" w:cs="Times New Roman"/>
      <w:sz w:val="20"/>
      <w:szCs w:val="24"/>
    </w:rPr>
  </w:style>
  <w:style w:type="paragraph" w:customStyle="1" w:styleId="GuidanceText">
    <w:name w:val="Guidance Text"/>
    <w:basedOn w:val="BodyText"/>
    <w:rsid w:val="00C85FF6"/>
    <w:pPr>
      <w:spacing w:before="60" w:after="60" w:line="240" w:lineRule="atLeast"/>
    </w:pPr>
    <w:rPr>
      <w:rFonts w:ascii="Calibri" w:hAnsi="Calibri"/>
      <w:color w:val="0000FF"/>
      <w:sz w:val="20"/>
      <w:szCs w:val="20"/>
    </w:rPr>
  </w:style>
  <w:style w:type="paragraph" w:customStyle="1" w:styleId="List-bullet-1">
    <w:name w:val="List-bullet-1"/>
    <w:basedOn w:val="Normal"/>
    <w:link w:val="List-bullet-1Char"/>
    <w:rsid w:val="00FD7BD8"/>
    <w:pPr>
      <w:numPr>
        <w:numId w:val="17"/>
      </w:numPr>
      <w:spacing w:before="120"/>
    </w:pPr>
    <w:rPr>
      <w:rFonts w:ascii="Arial" w:eastAsia="Times New Roman" w:hAnsi="Arial" w:cs="Arial"/>
      <w:szCs w:val="22"/>
      <w:lang w:eastAsia="en-US"/>
    </w:rPr>
  </w:style>
  <w:style w:type="character" w:customStyle="1" w:styleId="List-bullet-1Char">
    <w:name w:val="List-bullet-1 Char"/>
    <w:link w:val="List-bullet-1"/>
    <w:rsid w:val="00FD7BD8"/>
    <w:rPr>
      <w:rFonts w:ascii="Arial" w:eastAsia="Times New Roman" w:hAnsi="Arial" w:cs="Arial"/>
      <w:sz w:val="20"/>
      <w:lang w:eastAsia="en-US"/>
    </w:rPr>
  </w:style>
  <w:style w:type="paragraph" w:styleId="ListParagraph">
    <w:name w:val="List Paragraph"/>
    <w:basedOn w:val="BodyText"/>
    <w:link w:val="ListParagraphChar"/>
    <w:uiPriority w:val="34"/>
    <w:qFormat/>
    <w:rsid w:val="00FD7BD8"/>
    <w:pPr>
      <w:numPr>
        <w:numId w:val="18"/>
      </w:numPr>
      <w:spacing w:after="120" w:line="240" w:lineRule="auto"/>
    </w:pPr>
    <w:rPr>
      <w:rFonts w:ascii="Times New Roman" w:hAnsi="Times New Roman"/>
      <w:sz w:val="22"/>
    </w:rPr>
  </w:style>
  <w:style w:type="table" w:customStyle="1" w:styleId="APPR">
    <w:name w:val="APPR"/>
    <w:basedOn w:val="TableNormal"/>
    <w:uiPriority w:val="99"/>
    <w:rsid w:val="002B1F66"/>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character" w:customStyle="1" w:styleId="ListParagraphChar">
    <w:name w:val="List Paragraph Char"/>
    <w:basedOn w:val="DefaultParagraphFont"/>
    <w:link w:val="ListParagraph"/>
    <w:uiPriority w:val="34"/>
    <w:locked/>
    <w:rsid w:val="009817F2"/>
    <w:rPr>
      <w:rFonts w:ascii="Times New Roman" w:eastAsia="Times New Roman"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toc 1" w:uiPriority="0"/>
    <w:lsdException w:name="toc 2" w:uiPriority="0"/>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footnote text" w:qFormat="1"/>
    <w:lsdException w:name="header" w:uiPriority="0"/>
    <w:lsdException w:name="footer" w:uiPriority="0"/>
    <w:lsdException w:name="caption" w:qFormat="1"/>
    <w:lsdException w:name="table of figures" w:uiPriority="0"/>
    <w:lsdException w:name="page number" w:uiPriority="0"/>
    <w:lsdException w:name="endnote reference" w:uiPriority="0"/>
    <w:lsdException w:name="endnote text" w:uiPriority="0"/>
    <w:lsdException w:name="List Bullet" w:uiPriority="0" w:qFormat="1"/>
    <w:lsdException w:name="List Number" w:uiPriority="0" w:qFormat="1"/>
    <w:lsdException w:name="List Bullet 2" w:uiPriority="0" w:qFormat="1"/>
    <w:lsdException w:name="List Number 2" w:uiPriority="0" w:qFormat="1"/>
    <w:lsdException w:name="List Number 3"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Date" w:uiPriority="0" w:qFormat="1"/>
    <w:lsdException w:name="Hyperlink" w:uiPriority="0"/>
    <w:lsdException w:name="FollowedHyperlink" w:uiPriority="0"/>
    <w:lsdException w:name="Strong" w:semiHidden="0" w:uiPriority="22" w:unhideWhenUsed="0"/>
    <w:lsdException w:name="Emphasis" w:semiHidden="0" w:uiPriority="20" w:unhideWhenUsed="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0D151B"/>
    <w:pPr>
      <w:spacing w:after="0" w:line="240" w:lineRule="auto"/>
    </w:pPr>
    <w:rPr>
      <w:rFonts w:ascii="Times New Roman" w:eastAsia="SimSun" w:hAnsi="Times New Roman" w:cs="Times New Roman"/>
      <w:sz w:val="20"/>
      <w:szCs w:val="24"/>
    </w:rPr>
  </w:style>
  <w:style w:type="paragraph" w:styleId="Heading1">
    <w:name w:val="heading 1"/>
    <w:basedOn w:val="Title"/>
    <w:next w:val="BodyText"/>
    <w:link w:val="Heading1Char"/>
    <w:qFormat/>
    <w:rsid w:val="00F93332"/>
    <w:pPr>
      <w:keepNext/>
      <w:spacing w:before="480" w:after="120"/>
      <w:outlineLvl w:val="0"/>
    </w:pPr>
    <w:rPr>
      <w:rFonts w:cs="Arial"/>
      <w:sz w:val="28"/>
      <w:szCs w:val="28"/>
    </w:rPr>
  </w:style>
  <w:style w:type="paragraph" w:styleId="Heading2">
    <w:name w:val="heading 2"/>
    <w:basedOn w:val="Normal"/>
    <w:next w:val="BodyText"/>
    <w:link w:val="Heading2Char"/>
    <w:qFormat/>
    <w:rsid w:val="006D0BC5"/>
    <w:pPr>
      <w:keepNext/>
      <w:spacing w:before="360" w:after="120"/>
      <w:outlineLvl w:val="1"/>
    </w:pPr>
    <w:rPr>
      <w:rFonts w:ascii="Helvetica" w:eastAsia="Times New Roman" w:hAnsi="Helvetica" w:cs="Arial"/>
      <w:color w:val="007FAD"/>
      <w:kern w:val="28"/>
      <w:sz w:val="24"/>
      <w:szCs w:val="28"/>
    </w:rPr>
  </w:style>
  <w:style w:type="paragraph" w:styleId="Heading3">
    <w:name w:val="heading 3"/>
    <w:basedOn w:val="Heading2"/>
    <w:next w:val="BodyText"/>
    <w:link w:val="Heading3Char"/>
    <w:autoRedefine/>
    <w:qFormat/>
    <w:rsid w:val="00C00586"/>
    <w:pPr>
      <w:keepNext w:val="0"/>
      <w:numPr>
        <w:ilvl w:val="2"/>
      </w:numPr>
      <w:spacing w:before="240"/>
      <w:outlineLvl w:val="2"/>
    </w:pPr>
    <w:rPr>
      <w:b/>
      <w:color w:val="124486"/>
      <w:sz w:val="22"/>
      <w:szCs w:val="22"/>
      <w:lang w:eastAsia="zh-CN"/>
    </w:rPr>
  </w:style>
  <w:style w:type="paragraph" w:styleId="Heading4">
    <w:name w:val="heading 4"/>
    <w:basedOn w:val="Heading3"/>
    <w:next w:val="BodyText"/>
    <w:link w:val="Heading4Char"/>
    <w:qFormat/>
    <w:rsid w:val="009E79EC"/>
    <w:pPr>
      <w:numPr>
        <w:ilvl w:val="3"/>
        <w:numId w:val="1"/>
      </w:numPr>
      <w:spacing w:before="320" w:after="0"/>
      <w:outlineLvl w:val="3"/>
    </w:pPr>
    <w:rPr>
      <w:b w:val="0"/>
    </w:rPr>
  </w:style>
  <w:style w:type="paragraph" w:styleId="Heading5">
    <w:name w:val="heading 5"/>
    <w:basedOn w:val="BodyText"/>
    <w:next w:val="BodyText"/>
    <w:link w:val="Heading5Char"/>
    <w:rsid w:val="009E79EC"/>
    <w:pPr>
      <w:keepNext/>
      <w:numPr>
        <w:ilvl w:val="4"/>
        <w:numId w:val="1"/>
      </w:numPr>
      <w:spacing w:before="320" w:after="0"/>
      <w:outlineLvl w:val="4"/>
    </w:pPr>
    <w:rPr>
      <w:rFonts w:ascii="Helvetica" w:hAnsi="Helvetica"/>
      <w:b/>
      <w:color w:val="A8A5A8"/>
      <w:sz w:val="22"/>
    </w:rPr>
  </w:style>
  <w:style w:type="paragraph" w:styleId="Heading6">
    <w:name w:val="heading 6"/>
    <w:next w:val="BodyText"/>
    <w:link w:val="Heading6Char"/>
    <w:rsid w:val="009E79EC"/>
    <w:pPr>
      <w:spacing w:after="240" w:line="280" w:lineRule="atLeast"/>
      <w:outlineLvl w:val="5"/>
    </w:pPr>
    <w:rPr>
      <w:rFonts w:ascii="Franklin Gothic Book" w:eastAsia="Times New Roman" w:hAnsi="Franklin Gothic Book" w:cs="Times New Roman"/>
      <w:b/>
      <w:spacing w:val="-10"/>
      <w:kern w:val="28"/>
      <w:szCs w:val="19"/>
    </w:rPr>
  </w:style>
  <w:style w:type="paragraph" w:styleId="Heading7">
    <w:name w:val="heading 7"/>
    <w:basedOn w:val="Heading6"/>
    <w:next w:val="BodyText"/>
    <w:link w:val="Heading7Char"/>
    <w:rsid w:val="007E10A5"/>
    <w:pPr>
      <w:numPr>
        <w:ilvl w:val="6"/>
      </w:numPr>
      <w:outlineLvl w:val="6"/>
    </w:pPr>
  </w:style>
  <w:style w:type="paragraph" w:styleId="Heading8">
    <w:name w:val="heading 8"/>
    <w:basedOn w:val="Heading7"/>
    <w:next w:val="BodyText"/>
    <w:link w:val="Heading8Char"/>
    <w:rsid w:val="0050529F"/>
    <w:pPr>
      <w:numPr>
        <w:ilvl w:val="7"/>
      </w:numPr>
      <w:outlineLvl w:val="7"/>
    </w:pPr>
  </w:style>
  <w:style w:type="paragraph" w:styleId="Heading9">
    <w:name w:val="heading 9"/>
    <w:basedOn w:val="Heading8"/>
    <w:next w:val="BodyText"/>
    <w:link w:val="Heading9Char"/>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3332"/>
    <w:rPr>
      <w:rFonts w:ascii="Helvetica" w:eastAsia="Times New Roman" w:hAnsi="Helvetica" w:cs="Arial"/>
      <w:color w:val="124486"/>
      <w:spacing w:val="-10"/>
      <w:kern w:val="28"/>
      <w:sz w:val="28"/>
      <w:szCs w:val="28"/>
    </w:rPr>
  </w:style>
  <w:style w:type="paragraph" w:styleId="BodyText">
    <w:name w:val="Body Text"/>
    <w:basedOn w:val="Normal"/>
    <w:link w:val="BodyTextChar"/>
    <w:qFormat/>
    <w:rsid w:val="00F93332"/>
    <w:pPr>
      <w:spacing w:after="160" w:line="280" w:lineRule="exact"/>
    </w:pPr>
    <w:rPr>
      <w:rFonts w:ascii="Franklin Gothic Book" w:eastAsia="Times New Roman" w:hAnsi="Franklin Gothic Book"/>
      <w:sz w:val="21"/>
    </w:rPr>
  </w:style>
  <w:style w:type="character" w:customStyle="1" w:styleId="BodyTextChar">
    <w:name w:val="Body Text Char"/>
    <w:basedOn w:val="DefaultParagraphFont"/>
    <w:link w:val="BodyText"/>
    <w:rsid w:val="00F93332"/>
    <w:rPr>
      <w:rFonts w:ascii="Franklin Gothic Book" w:eastAsia="Times New Roman" w:hAnsi="Franklin Gothic Book" w:cs="Times New Roman"/>
      <w:sz w:val="21"/>
      <w:szCs w:val="24"/>
    </w:rPr>
  </w:style>
  <w:style w:type="character" w:customStyle="1" w:styleId="Heading2Char">
    <w:name w:val="Heading 2 Char"/>
    <w:basedOn w:val="DefaultParagraphFont"/>
    <w:link w:val="Heading2"/>
    <w:rsid w:val="006D0BC5"/>
    <w:rPr>
      <w:rFonts w:ascii="Helvetica" w:eastAsia="Times New Roman" w:hAnsi="Helvetica" w:cs="Arial"/>
      <w:color w:val="007FAD"/>
      <w:kern w:val="28"/>
      <w:sz w:val="24"/>
      <w:szCs w:val="28"/>
    </w:rPr>
  </w:style>
  <w:style w:type="character" w:customStyle="1" w:styleId="Heading3Char">
    <w:name w:val="Heading 3 Char"/>
    <w:basedOn w:val="DefaultParagraphFont"/>
    <w:link w:val="Heading3"/>
    <w:rsid w:val="00C00586"/>
    <w:rPr>
      <w:rFonts w:ascii="Helvetica" w:eastAsia="Times New Roman" w:hAnsi="Helvetica" w:cs="Arial"/>
      <w:b/>
      <w:color w:val="124486"/>
      <w:kern w:val="28"/>
      <w:lang w:eastAsia="zh-CN"/>
    </w:rPr>
  </w:style>
  <w:style w:type="character" w:customStyle="1" w:styleId="Heading4Char">
    <w:name w:val="Heading 4 Char"/>
    <w:basedOn w:val="DefaultParagraphFont"/>
    <w:link w:val="Heading4"/>
    <w:rsid w:val="009E79EC"/>
    <w:rPr>
      <w:rFonts w:ascii="Helvetica" w:eastAsia="Times New Roman" w:hAnsi="Helvetica" w:cs="Arial"/>
      <w:color w:val="124486"/>
      <w:kern w:val="28"/>
      <w:lang w:eastAsia="zh-CN"/>
    </w:rPr>
  </w:style>
  <w:style w:type="character" w:customStyle="1" w:styleId="Heading5Char">
    <w:name w:val="Heading 5 Char"/>
    <w:basedOn w:val="DefaultParagraphFont"/>
    <w:link w:val="Heading5"/>
    <w:rsid w:val="009E79EC"/>
    <w:rPr>
      <w:rFonts w:ascii="Helvetica" w:eastAsia="Times New Roman" w:hAnsi="Helvetica" w:cs="Times New Roman"/>
      <w:b/>
      <w:color w:val="A8A5A8"/>
      <w:szCs w:val="24"/>
    </w:rPr>
  </w:style>
  <w:style w:type="character" w:customStyle="1" w:styleId="Heading6Char">
    <w:name w:val="Heading 6 Char"/>
    <w:basedOn w:val="DefaultParagraphFont"/>
    <w:link w:val="Heading6"/>
    <w:rsid w:val="009E79EC"/>
    <w:rPr>
      <w:rFonts w:ascii="Franklin Gothic Book" w:eastAsia="Times New Roman" w:hAnsi="Franklin Gothic Book" w:cs="Times New Roman"/>
      <w:b/>
      <w:spacing w:val="-10"/>
      <w:kern w:val="28"/>
      <w:szCs w:val="19"/>
    </w:rPr>
  </w:style>
  <w:style w:type="character" w:customStyle="1" w:styleId="Heading7Char">
    <w:name w:val="Heading 7 Char"/>
    <w:basedOn w:val="DefaultParagraphFont"/>
    <w:link w:val="Heading7"/>
    <w:rsid w:val="007E10A5"/>
    <w:rPr>
      <w:rFonts w:ascii="Times New Roman" w:eastAsia="Times New Roman" w:hAnsi="Times New Roman" w:cs="Times New Roman"/>
      <w:b/>
      <w:spacing w:val="-10"/>
      <w:kern w:val="28"/>
      <w:szCs w:val="19"/>
    </w:rPr>
  </w:style>
  <w:style w:type="character" w:customStyle="1" w:styleId="Heading8Char">
    <w:name w:val="Heading 8 Char"/>
    <w:basedOn w:val="DefaultParagraphFont"/>
    <w:link w:val="Heading8"/>
    <w:rsid w:val="007E10A5"/>
    <w:rPr>
      <w:rFonts w:ascii="Times New Roman" w:eastAsia="Times New Roman" w:hAnsi="Times New Roman" w:cs="Times New Roman"/>
      <w:b/>
      <w:spacing w:val="-10"/>
      <w:kern w:val="28"/>
      <w:szCs w:val="19"/>
    </w:rPr>
  </w:style>
  <w:style w:type="character" w:customStyle="1" w:styleId="Heading9Char">
    <w:name w:val="Heading 9 Char"/>
    <w:basedOn w:val="DefaultParagraphFont"/>
    <w:link w:val="Heading9"/>
    <w:rsid w:val="007E10A5"/>
    <w:rPr>
      <w:rFonts w:ascii="Times New Roman" w:eastAsia="Times New Roman" w:hAnsi="Times New Roman" w:cs="Times New Roman"/>
      <w:b/>
      <w:spacing w:val="-10"/>
      <w:kern w:val="28"/>
      <w:szCs w:val="19"/>
    </w:rPr>
  </w:style>
  <w:style w:type="paragraph" w:styleId="Subtitle">
    <w:name w:val="Subtitle"/>
    <w:basedOn w:val="Normal"/>
    <w:next w:val="Normal"/>
    <w:link w:val="SubtitleChar"/>
    <w:qFormat/>
    <w:rsid w:val="00E36A50"/>
    <w:pPr>
      <w:spacing w:before="120" w:after="360"/>
    </w:pPr>
    <w:rPr>
      <w:rFonts w:ascii="Helvetica" w:eastAsia="Times New Roman" w:hAnsi="Helvetica"/>
      <w:color w:val="007FAD"/>
      <w:spacing w:val="-10"/>
      <w:kern w:val="28"/>
      <w:sz w:val="28"/>
      <w:szCs w:val="28"/>
    </w:rPr>
  </w:style>
  <w:style w:type="paragraph" w:customStyle="1" w:styleId="PublicationDate">
    <w:name w:val="Publication Date"/>
    <w:next w:val="Heading1"/>
    <w:rsid w:val="00F93332"/>
    <w:pPr>
      <w:spacing w:after="360"/>
    </w:pPr>
    <w:rPr>
      <w:rFonts w:ascii="Helvetica" w:eastAsia="Times New Roman" w:hAnsi="Helvetica" w:cs="Times New Roman"/>
      <w:color w:val="A8A5A8"/>
      <w:spacing w:val="-10"/>
      <w:kern w:val="24"/>
      <w:sz w:val="24"/>
      <w:szCs w:val="28"/>
    </w:rPr>
  </w:style>
  <w:style w:type="character" w:customStyle="1" w:styleId="SubtitleChar">
    <w:name w:val="Subtitle Char"/>
    <w:basedOn w:val="DefaultParagraphFont"/>
    <w:link w:val="Subtitle"/>
    <w:rsid w:val="00E36A50"/>
    <w:rPr>
      <w:rFonts w:ascii="Helvetica" w:eastAsia="Times New Roman" w:hAnsi="Helvetica" w:cs="Times New Roman"/>
      <w:color w:val="007FAD"/>
      <w:spacing w:val="-10"/>
      <w:kern w:val="28"/>
      <w:sz w:val="28"/>
      <w:szCs w:val="28"/>
    </w:rPr>
  </w:style>
  <w:style w:type="paragraph" w:styleId="Footer">
    <w:name w:val="footer"/>
    <w:basedOn w:val="Normal"/>
    <w:link w:val="FooterChar"/>
    <w:unhideWhenUsed/>
    <w:rsid w:val="009E79EC"/>
    <w:pPr>
      <w:tabs>
        <w:tab w:val="right" w:pos="8222"/>
      </w:tabs>
    </w:pPr>
    <w:rPr>
      <w:rFonts w:ascii="Franklin Gothic Book" w:hAnsi="Franklin Gothic Book"/>
      <w:color w:val="A8A5A8"/>
      <w:sz w:val="14"/>
    </w:rPr>
  </w:style>
  <w:style w:type="paragraph" w:styleId="Title">
    <w:name w:val="Title"/>
    <w:basedOn w:val="Normal"/>
    <w:next w:val="Normal"/>
    <w:link w:val="TitleChar"/>
    <w:qFormat/>
    <w:rsid w:val="00AA406C"/>
    <w:pPr>
      <w:spacing w:before="120" w:after="240"/>
    </w:pPr>
    <w:rPr>
      <w:rFonts w:ascii="Helvetica" w:eastAsia="Times New Roman" w:hAnsi="Helvetica"/>
      <w:color w:val="007FAD"/>
      <w:spacing w:val="-10"/>
      <w:kern w:val="28"/>
      <w:sz w:val="40"/>
      <w:szCs w:val="20"/>
    </w:rPr>
  </w:style>
  <w:style w:type="character" w:customStyle="1" w:styleId="TitleChar">
    <w:name w:val="Title Char"/>
    <w:basedOn w:val="DefaultParagraphFont"/>
    <w:link w:val="Title"/>
    <w:rsid w:val="00AA406C"/>
    <w:rPr>
      <w:rFonts w:ascii="Helvetica" w:eastAsia="Times New Roman" w:hAnsi="Helvetica" w:cs="Times New Roman"/>
      <w:color w:val="007FAD"/>
      <w:spacing w:val="-10"/>
      <w:kern w:val="28"/>
      <w:sz w:val="40"/>
      <w:szCs w:val="20"/>
    </w:rPr>
  </w:style>
  <w:style w:type="character" w:customStyle="1" w:styleId="FooterChar">
    <w:name w:val="Footer Char"/>
    <w:basedOn w:val="DefaultParagraphFont"/>
    <w:link w:val="Footer"/>
    <w:rsid w:val="009E79EC"/>
    <w:rPr>
      <w:rFonts w:ascii="Franklin Gothic Book" w:eastAsia="SimSun" w:hAnsi="Franklin Gothic Book" w:cs="Times New Roman"/>
      <w:color w:val="A8A5A8"/>
      <w:sz w:val="14"/>
      <w:szCs w:val="24"/>
    </w:rPr>
  </w:style>
  <w:style w:type="paragraph" w:styleId="Caption">
    <w:name w:val="caption"/>
    <w:basedOn w:val="Normal"/>
    <w:next w:val="BodyText"/>
    <w:link w:val="CaptionChar"/>
    <w:autoRedefine/>
    <w:uiPriority w:val="99"/>
    <w:qFormat/>
    <w:rsid w:val="001171DE"/>
    <w:pPr>
      <w:keepNext/>
      <w:spacing w:before="80" w:after="80" w:line="280" w:lineRule="atLeast"/>
    </w:pPr>
    <w:rPr>
      <w:rFonts w:ascii="Franklin Gothic Book" w:eastAsia="Times New Roman" w:hAnsi="Franklin Gothic Book" w:cs="Arial"/>
      <w:szCs w:val="19"/>
    </w:rPr>
  </w:style>
  <w:style w:type="paragraph" w:customStyle="1" w:styleId="Note">
    <w:name w:val="Note"/>
    <w:basedOn w:val="TableTextEntries"/>
    <w:next w:val="BodyText"/>
    <w:link w:val="NoteCharChar"/>
    <w:autoRedefine/>
    <w:rsid w:val="002141DF"/>
    <w:pPr>
      <w:keepNext/>
      <w:spacing w:before="20" w:after="20" w:line="180" w:lineRule="atLeast"/>
    </w:pPr>
    <w:rPr>
      <w:iCs w:val="0"/>
      <w:sz w:val="14"/>
      <w:szCs w:val="14"/>
      <w:lang w:eastAsia="en-AU"/>
    </w:rPr>
  </w:style>
  <w:style w:type="paragraph" w:customStyle="1" w:styleId="TableTextEntries">
    <w:name w:val="Table Text Entries"/>
    <w:rsid w:val="00B249B7"/>
    <w:pPr>
      <w:keepLines/>
      <w:spacing w:before="40" w:after="40" w:line="200" w:lineRule="atLeast"/>
    </w:pPr>
    <w:rPr>
      <w:rFonts w:ascii="Franklin Gothic Book" w:eastAsia="Times New Roman" w:hAnsi="Franklin Gothic Book" w:cs="Times New Roman"/>
      <w:iCs/>
      <w:sz w:val="17"/>
      <w:szCs w:val="17"/>
      <w:lang w:eastAsia="en-US"/>
    </w:rPr>
  </w:style>
  <w:style w:type="character" w:customStyle="1" w:styleId="NoteCharChar">
    <w:name w:val="Note Char Char"/>
    <w:link w:val="Note"/>
    <w:rsid w:val="002141DF"/>
    <w:rPr>
      <w:rFonts w:ascii="Franklin Gothic Book" w:eastAsia="Times New Roman" w:hAnsi="Franklin Gothic Book" w:cs="Times New Roman"/>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10390C"/>
    <w:pPr>
      <w:jc w:val="left"/>
    </w:pPr>
    <w:rPr>
      <w:b/>
    </w:rPr>
  </w:style>
  <w:style w:type="paragraph" w:styleId="ListBullet3">
    <w:name w:val="List Bullet 3"/>
    <w:basedOn w:val="ListBullet2"/>
    <w:uiPriority w:val="99"/>
    <w:unhideWhenUsed/>
    <w:rsid w:val="007E3D71"/>
    <w:pPr>
      <w:numPr>
        <w:numId w:val="15"/>
      </w:numPr>
      <w:tabs>
        <w:tab w:val="left" w:pos="567"/>
      </w:tabs>
      <w:ind w:left="851" w:hanging="284"/>
      <w:contextualSpacing/>
    </w:pPr>
  </w:style>
  <w:style w:type="table" w:customStyle="1" w:styleId="DFATTable">
    <w:name w:val="DFAT Table"/>
    <w:basedOn w:val="TableNormal"/>
    <w:uiPriority w:val="99"/>
    <w:rsid w:val="003B2756"/>
    <w:pPr>
      <w:spacing w:after="0" w:line="240" w:lineRule="auto"/>
    </w:pPr>
    <w:rPr>
      <w:rFonts w:ascii="Helvetica" w:hAnsi="Helvetica"/>
      <w:sz w:val="17"/>
    </w:rPr>
    <w:tblPr>
      <w:tblInd w:w="0" w:type="dxa"/>
      <w:tblBorders>
        <w:top w:val="single" w:sz="12" w:space="0" w:color="auto"/>
        <w:bottom w:val="single" w:sz="12" w:space="0" w:color="auto"/>
      </w:tblBorders>
      <w:tblCellMar>
        <w:top w:w="0" w:type="dxa"/>
        <w:left w:w="108" w:type="dxa"/>
        <w:bottom w:w="0" w:type="dxa"/>
        <w:right w:w="108" w:type="dxa"/>
      </w:tblCellMar>
    </w:tblPr>
  </w:style>
  <w:style w:type="table" w:customStyle="1" w:styleId="DFATBox">
    <w:name w:val="DFAT Box"/>
    <w:basedOn w:val="TableNormal"/>
    <w:uiPriority w:val="99"/>
    <w:rsid w:val="00AA406C"/>
    <w:pPr>
      <w:spacing w:after="0" w:line="240" w:lineRule="auto"/>
    </w:pPr>
    <w:rPr>
      <w:rFonts w:ascii="Helvetica" w:hAnsi="Helvetica"/>
    </w:r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tcPr>
      <w:shd w:val="clear" w:color="auto" w:fill="C7D5E6"/>
    </w:tcPr>
  </w:style>
  <w:style w:type="paragraph" w:styleId="ListBullet">
    <w:name w:val="List Bullet"/>
    <w:basedOn w:val="BodyText"/>
    <w:qFormat/>
    <w:rsid w:val="00F93332"/>
    <w:pPr>
      <w:numPr>
        <w:numId w:val="11"/>
      </w:numPr>
      <w:tabs>
        <w:tab w:val="left" w:pos="284"/>
      </w:tabs>
      <w:spacing w:after="120"/>
    </w:pPr>
  </w:style>
  <w:style w:type="paragraph" w:styleId="ListBullet2">
    <w:name w:val="List Bullet 2"/>
    <w:basedOn w:val="ListBullet"/>
    <w:qFormat/>
    <w:rsid w:val="00F42F5E"/>
    <w:pPr>
      <w:numPr>
        <w:numId w:val="9"/>
      </w:numPr>
      <w:ind w:left="568" w:hanging="284"/>
    </w:pPr>
  </w:style>
  <w:style w:type="paragraph" w:styleId="ListNumber">
    <w:name w:val="List Number"/>
    <w:basedOn w:val="ListBullet"/>
    <w:qFormat/>
    <w:rsid w:val="00F93332"/>
    <w:pPr>
      <w:numPr>
        <w:numId w:val="14"/>
      </w:numPr>
      <w:ind w:left="284" w:hanging="284"/>
    </w:pPr>
  </w:style>
  <w:style w:type="paragraph" w:styleId="ListNumber2">
    <w:name w:val="List Number 2"/>
    <w:basedOn w:val="ListNumber"/>
    <w:qFormat/>
    <w:rsid w:val="007E3D71"/>
    <w:pPr>
      <w:numPr>
        <w:numId w:val="10"/>
      </w:numPr>
      <w:ind w:left="568" w:hanging="284"/>
    </w:pPr>
  </w:style>
  <w:style w:type="paragraph" w:styleId="BalloonText">
    <w:name w:val="Balloon Text"/>
    <w:basedOn w:val="Normal"/>
    <w:link w:val="BalloonTextChar"/>
    <w:semiHidden/>
    <w:unhideWhenUsed/>
    <w:rsid w:val="009E79EC"/>
    <w:rPr>
      <w:rFonts w:ascii="Franklin Gothic Book" w:hAnsi="Franklin Gothic Book" w:cs="Tahoma"/>
      <w:sz w:val="16"/>
      <w:szCs w:val="16"/>
    </w:rPr>
  </w:style>
  <w:style w:type="paragraph" w:styleId="Header">
    <w:name w:val="header"/>
    <w:basedOn w:val="Normal"/>
    <w:link w:val="HeaderChar"/>
    <w:unhideWhenUsed/>
    <w:rsid w:val="009E79EC"/>
    <w:pPr>
      <w:tabs>
        <w:tab w:val="center" w:pos="4513"/>
        <w:tab w:val="right" w:pos="9026"/>
      </w:tabs>
    </w:pPr>
  </w:style>
  <w:style w:type="paragraph" w:styleId="Date">
    <w:name w:val="Date"/>
    <w:basedOn w:val="Normal"/>
    <w:next w:val="Normal"/>
    <w:link w:val="DateChar"/>
    <w:unhideWhenUsed/>
    <w:qFormat/>
    <w:rsid w:val="009E79EC"/>
    <w:rPr>
      <w:rFonts w:ascii="Franklin Gothic Book" w:hAnsi="Franklin Gothic Book"/>
    </w:rPr>
  </w:style>
  <w:style w:type="character" w:styleId="PageNumber">
    <w:name w:val="page number"/>
    <w:semiHidden/>
    <w:rsid w:val="009E79EC"/>
    <w:rPr>
      <w:rFonts w:ascii="Helvetica" w:hAnsi="Helvetica"/>
      <w:color w:val="A8A5A8"/>
      <w:sz w:val="14"/>
      <w:szCs w:val="14"/>
    </w:rPr>
  </w:style>
  <w:style w:type="paragraph" w:styleId="TOC1">
    <w:name w:val="toc 1"/>
    <w:basedOn w:val="BodyText"/>
    <w:next w:val="BodyText"/>
    <w:semiHidden/>
    <w:rsid w:val="009E79EC"/>
    <w:pPr>
      <w:tabs>
        <w:tab w:val="left" w:pos="397"/>
        <w:tab w:val="right" w:pos="7938"/>
      </w:tabs>
      <w:spacing w:before="180" w:after="0"/>
      <w:ind w:left="397" w:right="567" w:hanging="397"/>
    </w:pPr>
    <w:rPr>
      <w:rFonts w:ascii="Helvetica" w:hAnsi="Helvetica"/>
      <w:color w:val="A8A5A8"/>
    </w:rPr>
  </w:style>
  <w:style w:type="paragraph" w:styleId="TOC2">
    <w:name w:val="toc 2"/>
    <w:basedOn w:val="TOC1"/>
    <w:next w:val="TOC1"/>
    <w:semiHidden/>
    <w:rsid w:val="009E79EC"/>
    <w:pPr>
      <w:spacing w:before="120" w:line="200" w:lineRule="atLeast"/>
      <w:ind w:left="0" w:firstLine="0"/>
    </w:pPr>
    <w:rPr>
      <w:color w:val="007FAD"/>
      <w:szCs w:val="21"/>
    </w:rPr>
  </w:style>
  <w:style w:type="character" w:customStyle="1" w:styleId="BalloonTextChar">
    <w:name w:val="Balloon Text Char"/>
    <w:basedOn w:val="DefaultParagraphFont"/>
    <w:link w:val="BalloonText"/>
    <w:semiHidden/>
    <w:rsid w:val="009E79EC"/>
    <w:rPr>
      <w:rFonts w:ascii="Franklin Gothic Book" w:eastAsia="SimSun" w:hAnsi="Franklin Gothic Book" w:cs="Tahoma"/>
      <w:sz w:val="16"/>
      <w:szCs w:val="16"/>
    </w:rPr>
  </w:style>
  <w:style w:type="paragraph" w:customStyle="1" w:styleId="BoxListBullet">
    <w:name w:val="Box List Bullet"/>
    <w:basedOn w:val="BoxText"/>
    <w:rsid w:val="00976FB3"/>
    <w:pPr>
      <w:keepLines/>
      <w:numPr>
        <w:numId w:val="5"/>
      </w:numPr>
      <w:spacing w:line="240" w:lineRule="auto"/>
      <w:ind w:left="284" w:hanging="284"/>
      <w:contextualSpacing/>
      <w:mirrorIndents/>
    </w:pPr>
  </w:style>
  <w:style w:type="paragraph" w:customStyle="1" w:styleId="BoxText">
    <w:name w:val="Box Text"/>
    <w:link w:val="BoxTextChar"/>
    <w:autoRedefine/>
    <w:rsid w:val="00FD1315"/>
    <w:pPr>
      <w:pBdr>
        <w:top w:val="single" w:sz="4" w:space="10" w:color="auto"/>
        <w:left w:val="single" w:sz="4" w:space="10" w:color="auto"/>
        <w:bottom w:val="single" w:sz="4" w:space="10" w:color="auto"/>
        <w:right w:val="single" w:sz="4" w:space="10" w:color="auto"/>
      </w:pBdr>
      <w:shd w:val="clear" w:color="auto" w:fill="C7D5E6"/>
      <w:spacing w:after="120" w:line="280" w:lineRule="exact"/>
    </w:pPr>
    <w:rPr>
      <w:rFonts w:ascii="Franklin Gothic Book" w:eastAsia="Times New Roman" w:hAnsi="Franklin Gothic Book" w:cs="Times New Roman"/>
      <w:iCs/>
      <w:sz w:val="20"/>
      <w:szCs w:val="20"/>
    </w:rPr>
  </w:style>
  <w:style w:type="character" w:customStyle="1" w:styleId="BoxTextChar">
    <w:name w:val="Box Text Char"/>
    <w:link w:val="BoxText"/>
    <w:rsid w:val="00FD1315"/>
    <w:rPr>
      <w:rFonts w:ascii="Franklin Gothic Book" w:eastAsia="Times New Roman" w:hAnsi="Franklin Gothic Book" w:cs="Times New Roman"/>
      <w:iCs/>
      <w:sz w:val="20"/>
      <w:szCs w:val="20"/>
      <w:shd w:val="clear" w:color="auto" w:fill="C7D5E6"/>
    </w:rPr>
  </w:style>
  <w:style w:type="character" w:customStyle="1" w:styleId="HeaderChar">
    <w:name w:val="Header Char"/>
    <w:basedOn w:val="DefaultParagraphFont"/>
    <w:link w:val="Header"/>
    <w:uiPriority w:val="99"/>
    <w:rsid w:val="009E79EC"/>
    <w:rPr>
      <w:rFonts w:ascii="Times New Roman" w:eastAsia="SimSun" w:hAnsi="Times New Roman" w:cs="Times New Roman"/>
      <w:sz w:val="20"/>
      <w:szCs w:val="24"/>
    </w:rPr>
  </w:style>
  <w:style w:type="paragraph" w:customStyle="1" w:styleId="BoxHeading1">
    <w:name w:val="Box Heading 1"/>
    <w:basedOn w:val="BoxText"/>
    <w:next w:val="BoxText"/>
    <w:rsid w:val="0016740F"/>
    <w:pPr>
      <w:spacing w:before="120" w:line="240" w:lineRule="auto"/>
    </w:pPr>
    <w:rPr>
      <w:b/>
      <w:color w:val="000000"/>
    </w:rPr>
  </w:style>
  <w:style w:type="paragraph" w:customStyle="1" w:styleId="BoxHeading2">
    <w:name w:val="Box Heading 2"/>
    <w:basedOn w:val="BoxHeading1"/>
    <w:next w:val="BoxText"/>
    <w:rsid w:val="0016740F"/>
    <w:rPr>
      <w:i/>
      <w:color w:val="auto"/>
    </w:rPr>
  </w:style>
  <w:style w:type="paragraph" w:customStyle="1" w:styleId="TableListBullet">
    <w:name w:val="Table List Bullet"/>
    <w:basedOn w:val="TableTextEntries"/>
    <w:rsid w:val="00235D29"/>
    <w:pPr>
      <w:numPr>
        <w:numId w:val="7"/>
      </w:numPr>
      <w:ind w:left="284" w:hanging="284"/>
    </w:pPr>
    <w:rPr>
      <w:rFonts w:ascii="Helvetica" w:hAnsi="Helvetica"/>
    </w:rPr>
  </w:style>
  <w:style w:type="paragraph" w:styleId="TOC3">
    <w:name w:val="toc 3"/>
    <w:basedOn w:val="TOC2"/>
    <w:next w:val="BodyText"/>
    <w:semiHidden/>
    <w:rsid w:val="009E79EC"/>
    <w:pPr>
      <w:tabs>
        <w:tab w:val="clear" w:pos="397"/>
      </w:tabs>
      <w:spacing w:before="40" w:line="230" w:lineRule="atLeast"/>
      <w:ind w:left="567" w:hanging="567"/>
    </w:pPr>
    <w:rPr>
      <w:color w:val="auto"/>
      <w:sz w:val="19"/>
      <w:szCs w:val="19"/>
    </w:rPr>
  </w:style>
  <w:style w:type="paragraph" w:styleId="CommentText">
    <w:name w:val="annotation text"/>
    <w:basedOn w:val="BodyText"/>
    <w:link w:val="CommentTextChar"/>
    <w:uiPriority w:val="99"/>
    <w:semiHidden/>
    <w:rsid w:val="009E79EC"/>
    <w:pPr>
      <w:spacing w:line="240" w:lineRule="atLeast"/>
    </w:pPr>
    <w:rPr>
      <w:sz w:val="18"/>
      <w:szCs w:val="18"/>
    </w:rPr>
  </w:style>
  <w:style w:type="character" w:customStyle="1" w:styleId="CommentTextChar">
    <w:name w:val="Comment Text Char"/>
    <w:basedOn w:val="DefaultParagraphFont"/>
    <w:link w:val="CommentText"/>
    <w:uiPriority w:val="99"/>
    <w:semiHidden/>
    <w:rsid w:val="009E79EC"/>
    <w:rPr>
      <w:rFonts w:ascii="Franklin Gothic Book" w:eastAsia="Times New Roman" w:hAnsi="Franklin Gothic Book" w:cs="Times New Roman"/>
      <w:sz w:val="18"/>
      <w:szCs w:val="18"/>
    </w:rPr>
  </w:style>
  <w:style w:type="character" w:styleId="Hyperlink">
    <w:name w:val="Hyperlink"/>
    <w:rsid w:val="0050529F"/>
    <w:rPr>
      <w:color w:val="00467F"/>
      <w:sz w:val="20"/>
      <w:szCs w:val="20"/>
      <w:u w:val="none"/>
    </w:rPr>
  </w:style>
  <w:style w:type="paragraph" w:customStyle="1" w:styleId="TableHeading1">
    <w:name w:val="Table Heading 1"/>
    <w:basedOn w:val="TableTextEntries"/>
    <w:next w:val="TableTextEntries"/>
    <w:rsid w:val="00D6213A"/>
    <w:pPr>
      <w:spacing w:before="80" w:after="80"/>
    </w:pPr>
    <w:rPr>
      <w:b/>
    </w:rPr>
  </w:style>
  <w:style w:type="paragraph" w:customStyle="1" w:styleId="TableHeading2">
    <w:name w:val="Table Heading 2"/>
    <w:basedOn w:val="TableHeading1"/>
    <w:next w:val="TableTextEntries"/>
    <w:rsid w:val="00235D29"/>
    <w:pPr>
      <w:spacing w:before="40" w:after="40"/>
    </w:pPr>
    <w:rPr>
      <w:i/>
    </w:rPr>
  </w:style>
  <w:style w:type="paragraph" w:customStyle="1" w:styleId="TableListBullet2">
    <w:name w:val="Table List Bullet 2"/>
    <w:basedOn w:val="TableListBullet"/>
    <w:link w:val="TableListBullet2Char"/>
    <w:rsid w:val="00235D29"/>
    <w:pPr>
      <w:numPr>
        <w:numId w:val="8"/>
      </w:numPr>
      <w:ind w:left="568" w:hanging="284"/>
    </w:pPr>
  </w:style>
  <w:style w:type="character" w:customStyle="1" w:styleId="TableListBullet2Char">
    <w:name w:val="Table List Bullet 2 Char"/>
    <w:link w:val="TableListBullet2"/>
    <w:rsid w:val="00235D29"/>
    <w:rPr>
      <w:rFonts w:ascii="Helvetica" w:eastAsia="Times New Roman" w:hAnsi="Helvetica" w:cs="Times New Roman"/>
      <w:iCs/>
      <w:sz w:val="17"/>
      <w:szCs w:val="17"/>
      <w:lang w:eastAsia="en-US"/>
    </w:rPr>
  </w:style>
  <w:style w:type="paragraph" w:customStyle="1" w:styleId="TableListNumber">
    <w:name w:val="Table List Number"/>
    <w:basedOn w:val="TableTextEntries"/>
    <w:rsid w:val="00235D29"/>
    <w:pPr>
      <w:numPr>
        <w:numId w:val="2"/>
      </w:numPr>
      <w:ind w:left="284" w:hanging="284"/>
    </w:pPr>
    <w:rPr>
      <w:rFonts w:ascii="Helvetica" w:hAnsi="Helvetica"/>
    </w:rPr>
  </w:style>
  <w:style w:type="paragraph" w:customStyle="1" w:styleId="TableListNumber2">
    <w:name w:val="Table List Number 2"/>
    <w:basedOn w:val="TableListNumber"/>
    <w:rsid w:val="00235D29"/>
    <w:pPr>
      <w:numPr>
        <w:numId w:val="3"/>
      </w:numPr>
      <w:ind w:left="568" w:hanging="284"/>
    </w:pPr>
  </w:style>
  <w:style w:type="character" w:styleId="FollowedHyperlink">
    <w:name w:val="FollowedHyperlink"/>
    <w:semiHidden/>
    <w:rsid w:val="0050529F"/>
    <w:rPr>
      <w:color w:val="333399"/>
      <w:u w:val="none"/>
    </w:rPr>
  </w:style>
  <w:style w:type="paragraph" w:customStyle="1" w:styleId="BoxListBullet2">
    <w:name w:val="Box List Bullet 2"/>
    <w:basedOn w:val="BoxText"/>
    <w:rsid w:val="00BD7695"/>
    <w:pPr>
      <w:keepLines/>
      <w:numPr>
        <w:numId w:val="4"/>
      </w:numPr>
      <w:tabs>
        <w:tab w:val="left" w:pos="284"/>
        <w:tab w:val="left" w:pos="851"/>
      </w:tabs>
      <w:spacing w:line="240" w:lineRule="auto"/>
      <w:ind w:left="284" w:hanging="284"/>
      <w:contextualSpacing/>
      <w:mirrorIndents/>
    </w:pPr>
    <w:rPr>
      <w:szCs w:val="18"/>
    </w:rPr>
  </w:style>
  <w:style w:type="paragraph" w:customStyle="1" w:styleId="BoxListNumber">
    <w:name w:val="Box List Number"/>
    <w:basedOn w:val="BoxListBullet"/>
    <w:rsid w:val="00BD7695"/>
    <w:pPr>
      <w:numPr>
        <w:numId w:val="6"/>
      </w:numPr>
      <w:tabs>
        <w:tab w:val="left" w:pos="284"/>
      </w:tabs>
      <w:ind w:left="568"/>
    </w:pPr>
  </w:style>
  <w:style w:type="paragraph" w:customStyle="1" w:styleId="BoxListNumber2">
    <w:name w:val="Box List Number 2"/>
    <w:basedOn w:val="BoxListNumber"/>
    <w:rsid w:val="00BD7695"/>
    <w:pPr>
      <w:numPr>
        <w:numId w:val="16"/>
      </w:numPr>
      <w:tabs>
        <w:tab w:val="left" w:pos="284"/>
      </w:tabs>
      <w:ind w:left="284" w:hanging="284"/>
    </w:pPr>
    <w:rPr>
      <w:szCs w:val="22"/>
    </w:r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line="240" w:lineRule="atLeast"/>
      <w:ind w:left="284"/>
    </w:pPr>
    <w:rPr>
      <w:sz w:val="16"/>
      <w:szCs w:val="16"/>
    </w:rPr>
  </w:style>
  <w:style w:type="paragraph" w:customStyle="1" w:styleId="Photocaption">
    <w:name w:val="Photo caption"/>
    <w:basedOn w:val="Normal"/>
    <w:next w:val="BodyText"/>
    <w:semiHidden/>
    <w:rsid w:val="009E79EC"/>
    <w:pPr>
      <w:spacing w:before="140" w:after="240" w:line="180" w:lineRule="exact"/>
    </w:pPr>
    <w:rPr>
      <w:rFonts w:ascii="Franklin Gothic Book" w:eastAsia="Times New Roman" w:hAnsi="Franklin Gothic Book"/>
      <w:color w:val="A8A5A8"/>
      <w:sz w:val="14"/>
      <w:szCs w:val="14"/>
    </w:rPr>
  </w:style>
  <w:style w:type="table" w:styleId="TableGrid">
    <w:name w:val="Table Grid"/>
    <w:basedOn w:val="TableNormal"/>
    <w:uiPriority w:val="59"/>
    <w:rsid w:val="005052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LightShading">
    <w:name w:val="Light Shading"/>
    <w:basedOn w:val="TableNormal"/>
    <w:uiPriority w:val="60"/>
    <w:rsid w:val="00706DE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F53655"/>
    <w:pPr>
      <w:spacing w:after="0" w:line="240" w:lineRule="auto"/>
    </w:pPr>
    <w:rPr>
      <w:rFonts w:ascii="Times New Roman" w:eastAsia="Times New Roman" w:hAnsi="Times New Roman" w:cs="Times New Roman"/>
      <w:sz w:val="20"/>
      <w:szCs w:val="24"/>
    </w:rPr>
  </w:style>
  <w:style w:type="paragraph" w:styleId="ListNumber3">
    <w:name w:val="List Number 3"/>
    <w:basedOn w:val="ListNumber2"/>
    <w:rsid w:val="007E3D71"/>
    <w:pPr>
      <w:numPr>
        <w:numId w:val="12"/>
      </w:numPr>
      <w:ind w:left="851" w:hanging="284"/>
    </w:pPr>
  </w:style>
  <w:style w:type="paragraph" w:styleId="EndnoteText">
    <w:name w:val="endnote text"/>
    <w:basedOn w:val="Normal"/>
    <w:link w:val="EndnoteTextChar"/>
    <w:rsid w:val="009E79EC"/>
    <w:rPr>
      <w:rFonts w:ascii="Franklin Gothic Book" w:eastAsia="Times New Roman" w:hAnsi="Franklin Gothic Book"/>
      <w:sz w:val="21"/>
      <w:szCs w:val="20"/>
    </w:rPr>
  </w:style>
  <w:style w:type="character" w:customStyle="1" w:styleId="EndnoteTextChar">
    <w:name w:val="Endnote Text Char"/>
    <w:basedOn w:val="DefaultParagraphFont"/>
    <w:link w:val="EndnoteText"/>
    <w:rsid w:val="009E79EC"/>
    <w:rPr>
      <w:rFonts w:ascii="Franklin Gothic Book" w:eastAsia="Times New Roman" w:hAnsi="Franklin Gothic Book" w:cs="Times New Roman"/>
      <w:sz w:val="21"/>
      <w:szCs w:val="20"/>
    </w:rPr>
  </w:style>
  <w:style w:type="character" w:styleId="EndnoteReference">
    <w:name w:val="endnote reference"/>
    <w:rsid w:val="009E79EC"/>
    <w:rPr>
      <w:rFonts w:ascii="Franklin Gothic Book" w:hAnsi="Franklin Gothic Book"/>
      <w:sz w:val="21"/>
      <w:vertAlign w:val="superscript"/>
    </w:rPr>
  </w:style>
  <w:style w:type="numbering" w:customStyle="1" w:styleId="StyleBulletedSymbolsymbol95ptLeft063cmHanging">
    <w:name w:val="Style Bulleted Symbol (symbol) 9.5 pt Left:  0.63 cm Hanging:  ..."/>
    <w:basedOn w:val="NoList"/>
    <w:rsid w:val="002A1935"/>
    <w:pPr>
      <w:numPr>
        <w:numId w:val="13"/>
      </w:numPr>
    </w:pPr>
  </w:style>
  <w:style w:type="character" w:customStyle="1" w:styleId="CaptionChar">
    <w:name w:val="Caption Char"/>
    <w:link w:val="Caption"/>
    <w:uiPriority w:val="99"/>
    <w:locked/>
    <w:rsid w:val="001171DE"/>
    <w:rPr>
      <w:rFonts w:ascii="Franklin Gothic Book" w:eastAsia="Times New Roman" w:hAnsi="Franklin Gothic Book" w:cs="Arial"/>
      <w:sz w:val="20"/>
      <w:szCs w:val="19"/>
    </w:rPr>
  </w:style>
  <w:style w:type="paragraph" w:styleId="FootnoteText">
    <w:name w:val="footnote text"/>
    <w:basedOn w:val="BodyText"/>
    <w:link w:val="FootnoteTextChar"/>
    <w:uiPriority w:val="99"/>
    <w:unhideWhenUsed/>
    <w:qFormat/>
    <w:rsid w:val="00DA7CB8"/>
    <w:pPr>
      <w:spacing w:after="0"/>
      <w:contextualSpacing/>
    </w:pPr>
    <w:rPr>
      <w:sz w:val="16"/>
      <w:szCs w:val="20"/>
    </w:rPr>
  </w:style>
  <w:style w:type="character" w:customStyle="1" w:styleId="FootnoteTextChar">
    <w:name w:val="Footnote Text Char"/>
    <w:basedOn w:val="DefaultParagraphFont"/>
    <w:link w:val="FootnoteText"/>
    <w:uiPriority w:val="99"/>
    <w:rsid w:val="00DA7CB8"/>
    <w:rPr>
      <w:rFonts w:ascii="Times New Roman" w:eastAsia="Times New Roman" w:hAnsi="Times New Roman" w:cs="Times New Roman"/>
      <w:sz w:val="16"/>
      <w:szCs w:val="20"/>
    </w:rPr>
  </w:style>
  <w:style w:type="character" w:styleId="FootnoteReference">
    <w:name w:val="footnote reference"/>
    <w:uiPriority w:val="99"/>
    <w:rsid w:val="003B2756"/>
    <w:rPr>
      <w:rFonts w:ascii="Times New Roman" w:hAnsi="Times New Roman"/>
      <w:w w:val="100"/>
      <w:position w:val="6"/>
      <w:sz w:val="16"/>
      <w:szCs w:val="12"/>
      <w:vertAlign w:val="baseline"/>
    </w:rPr>
  </w:style>
  <w:style w:type="paragraph" w:styleId="NormalWeb">
    <w:name w:val="Normal (Web)"/>
    <w:basedOn w:val="Normal"/>
    <w:uiPriority w:val="99"/>
    <w:unhideWhenUsed/>
    <w:rsid w:val="00AB0987"/>
    <w:pPr>
      <w:spacing w:before="100" w:beforeAutospacing="1" w:after="100" w:afterAutospacing="1"/>
    </w:pPr>
    <w:rPr>
      <w:rFonts w:eastAsia="Times New Roman"/>
      <w:sz w:val="24"/>
    </w:rPr>
  </w:style>
  <w:style w:type="table" w:styleId="LightShading-Accent3">
    <w:name w:val="Light Shading Accent 3"/>
    <w:basedOn w:val="TableNormal"/>
    <w:uiPriority w:val="60"/>
    <w:rsid w:val="00F02F28"/>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CommentReference">
    <w:name w:val="annotation reference"/>
    <w:basedOn w:val="DefaultParagraphFont"/>
    <w:uiPriority w:val="99"/>
    <w:semiHidden/>
    <w:unhideWhenUsed/>
    <w:rsid w:val="009E79EC"/>
    <w:rPr>
      <w:rFonts w:ascii="Franklin Gothic Book" w:hAnsi="Franklin Gothic Book"/>
      <w:sz w:val="16"/>
      <w:szCs w:val="16"/>
    </w:rPr>
  </w:style>
  <w:style w:type="paragraph" w:styleId="CommentSubject">
    <w:name w:val="annotation subject"/>
    <w:basedOn w:val="CommentText"/>
    <w:next w:val="CommentText"/>
    <w:link w:val="CommentSubjectChar"/>
    <w:semiHidden/>
    <w:unhideWhenUsed/>
    <w:rsid w:val="009E79EC"/>
    <w:pPr>
      <w:spacing w:after="0" w:line="240" w:lineRule="auto"/>
    </w:pPr>
    <w:rPr>
      <w:rFonts w:eastAsia="SimSun"/>
      <w:b/>
      <w:bCs/>
      <w:sz w:val="20"/>
      <w:szCs w:val="20"/>
    </w:rPr>
  </w:style>
  <w:style w:type="character" w:customStyle="1" w:styleId="CommentSubjectChar">
    <w:name w:val="Comment Subject Char"/>
    <w:basedOn w:val="CommentTextChar"/>
    <w:link w:val="CommentSubject"/>
    <w:semiHidden/>
    <w:rsid w:val="009E79EC"/>
    <w:rPr>
      <w:rFonts w:ascii="Franklin Gothic Book" w:eastAsia="SimSun" w:hAnsi="Franklin Gothic Book" w:cs="Times New Roman"/>
      <w:b/>
      <w:bCs/>
      <w:sz w:val="20"/>
      <w:szCs w:val="20"/>
    </w:rPr>
  </w:style>
  <w:style w:type="character" w:customStyle="1" w:styleId="DateChar">
    <w:name w:val="Date Char"/>
    <w:basedOn w:val="DefaultParagraphFont"/>
    <w:link w:val="Date"/>
    <w:rsid w:val="009E79EC"/>
    <w:rPr>
      <w:rFonts w:ascii="Franklin Gothic Book" w:eastAsia="SimSun" w:hAnsi="Franklin Gothic Book" w:cs="Times New Roman"/>
      <w:sz w:val="20"/>
      <w:szCs w:val="24"/>
    </w:rPr>
  </w:style>
  <w:style w:type="paragraph" w:customStyle="1" w:styleId="GuidanceText">
    <w:name w:val="Guidance Text"/>
    <w:basedOn w:val="BodyText"/>
    <w:rsid w:val="00C85FF6"/>
    <w:pPr>
      <w:spacing w:before="60" w:after="60" w:line="240" w:lineRule="atLeast"/>
    </w:pPr>
    <w:rPr>
      <w:rFonts w:ascii="Calibri" w:hAnsi="Calibri"/>
      <w:color w:val="0000FF"/>
      <w:sz w:val="20"/>
      <w:szCs w:val="20"/>
    </w:rPr>
  </w:style>
  <w:style w:type="paragraph" w:customStyle="1" w:styleId="List-bullet-1">
    <w:name w:val="List-bullet-1"/>
    <w:basedOn w:val="Normal"/>
    <w:link w:val="List-bullet-1Char"/>
    <w:rsid w:val="00FD7BD8"/>
    <w:pPr>
      <w:numPr>
        <w:numId w:val="17"/>
      </w:numPr>
      <w:spacing w:before="120"/>
    </w:pPr>
    <w:rPr>
      <w:rFonts w:ascii="Arial" w:eastAsia="Times New Roman" w:hAnsi="Arial" w:cs="Arial"/>
      <w:szCs w:val="22"/>
      <w:lang w:eastAsia="en-US"/>
    </w:rPr>
  </w:style>
  <w:style w:type="character" w:customStyle="1" w:styleId="List-bullet-1Char">
    <w:name w:val="List-bullet-1 Char"/>
    <w:link w:val="List-bullet-1"/>
    <w:rsid w:val="00FD7BD8"/>
    <w:rPr>
      <w:rFonts w:ascii="Arial" w:eastAsia="Times New Roman" w:hAnsi="Arial" w:cs="Arial"/>
      <w:sz w:val="20"/>
      <w:lang w:eastAsia="en-US"/>
    </w:rPr>
  </w:style>
  <w:style w:type="paragraph" w:styleId="ListParagraph">
    <w:name w:val="List Paragraph"/>
    <w:basedOn w:val="BodyText"/>
    <w:link w:val="ListParagraphChar"/>
    <w:uiPriority w:val="34"/>
    <w:qFormat/>
    <w:rsid w:val="00FD7BD8"/>
    <w:pPr>
      <w:numPr>
        <w:numId w:val="18"/>
      </w:numPr>
      <w:spacing w:after="120" w:line="240" w:lineRule="auto"/>
    </w:pPr>
    <w:rPr>
      <w:rFonts w:ascii="Times New Roman" w:hAnsi="Times New Roman"/>
      <w:sz w:val="22"/>
    </w:rPr>
  </w:style>
  <w:style w:type="table" w:customStyle="1" w:styleId="APPR">
    <w:name w:val="APPR"/>
    <w:basedOn w:val="TableNormal"/>
    <w:uiPriority w:val="99"/>
    <w:rsid w:val="002B1F66"/>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character" w:customStyle="1" w:styleId="ListParagraphChar">
    <w:name w:val="List Paragraph Char"/>
    <w:basedOn w:val="DefaultParagraphFont"/>
    <w:link w:val="ListParagraph"/>
    <w:uiPriority w:val="34"/>
    <w:locked/>
    <w:rsid w:val="009817F2"/>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86236">
      <w:bodyDiv w:val="1"/>
      <w:marLeft w:val="0"/>
      <w:marRight w:val="0"/>
      <w:marTop w:val="0"/>
      <w:marBottom w:val="0"/>
      <w:divBdr>
        <w:top w:val="none" w:sz="0" w:space="0" w:color="auto"/>
        <w:left w:val="none" w:sz="0" w:space="0" w:color="auto"/>
        <w:bottom w:val="none" w:sz="0" w:space="0" w:color="auto"/>
        <w:right w:val="none" w:sz="0" w:space="0" w:color="auto"/>
      </w:divBdr>
    </w:div>
    <w:div w:id="170800594">
      <w:bodyDiv w:val="1"/>
      <w:marLeft w:val="0"/>
      <w:marRight w:val="0"/>
      <w:marTop w:val="0"/>
      <w:marBottom w:val="0"/>
      <w:divBdr>
        <w:top w:val="none" w:sz="0" w:space="0" w:color="auto"/>
        <w:left w:val="none" w:sz="0" w:space="0" w:color="auto"/>
        <w:bottom w:val="none" w:sz="0" w:space="0" w:color="auto"/>
        <w:right w:val="none" w:sz="0" w:space="0" w:color="auto"/>
      </w:divBdr>
      <w:divsChild>
        <w:div w:id="1849826520">
          <w:marLeft w:val="0"/>
          <w:marRight w:val="0"/>
          <w:marTop w:val="0"/>
          <w:marBottom w:val="0"/>
          <w:divBdr>
            <w:top w:val="none" w:sz="0" w:space="0" w:color="auto"/>
            <w:left w:val="none" w:sz="0" w:space="0" w:color="auto"/>
            <w:bottom w:val="none" w:sz="0" w:space="0" w:color="auto"/>
            <w:right w:val="none" w:sz="0" w:space="0" w:color="auto"/>
          </w:divBdr>
        </w:div>
      </w:divsChild>
    </w:div>
    <w:div w:id="232737913">
      <w:bodyDiv w:val="1"/>
      <w:marLeft w:val="0"/>
      <w:marRight w:val="0"/>
      <w:marTop w:val="0"/>
      <w:marBottom w:val="0"/>
      <w:divBdr>
        <w:top w:val="none" w:sz="0" w:space="0" w:color="auto"/>
        <w:left w:val="none" w:sz="0" w:space="0" w:color="auto"/>
        <w:bottom w:val="none" w:sz="0" w:space="0" w:color="auto"/>
        <w:right w:val="none" w:sz="0" w:space="0" w:color="auto"/>
      </w:divBdr>
    </w:div>
    <w:div w:id="241376800">
      <w:bodyDiv w:val="1"/>
      <w:marLeft w:val="0"/>
      <w:marRight w:val="0"/>
      <w:marTop w:val="0"/>
      <w:marBottom w:val="0"/>
      <w:divBdr>
        <w:top w:val="none" w:sz="0" w:space="0" w:color="auto"/>
        <w:left w:val="none" w:sz="0" w:space="0" w:color="auto"/>
        <w:bottom w:val="none" w:sz="0" w:space="0" w:color="auto"/>
        <w:right w:val="none" w:sz="0" w:space="0" w:color="auto"/>
      </w:divBdr>
    </w:div>
    <w:div w:id="418449527">
      <w:bodyDiv w:val="1"/>
      <w:marLeft w:val="0"/>
      <w:marRight w:val="0"/>
      <w:marTop w:val="0"/>
      <w:marBottom w:val="0"/>
      <w:divBdr>
        <w:top w:val="none" w:sz="0" w:space="0" w:color="auto"/>
        <w:left w:val="none" w:sz="0" w:space="0" w:color="auto"/>
        <w:bottom w:val="none" w:sz="0" w:space="0" w:color="auto"/>
        <w:right w:val="none" w:sz="0" w:space="0" w:color="auto"/>
      </w:divBdr>
    </w:div>
    <w:div w:id="790975192">
      <w:bodyDiv w:val="1"/>
      <w:marLeft w:val="0"/>
      <w:marRight w:val="0"/>
      <w:marTop w:val="0"/>
      <w:marBottom w:val="0"/>
      <w:divBdr>
        <w:top w:val="none" w:sz="0" w:space="0" w:color="auto"/>
        <w:left w:val="none" w:sz="0" w:space="0" w:color="auto"/>
        <w:bottom w:val="none" w:sz="0" w:space="0" w:color="auto"/>
        <w:right w:val="none" w:sz="0" w:space="0" w:color="auto"/>
      </w:divBdr>
    </w:div>
    <w:div w:id="849375196">
      <w:bodyDiv w:val="1"/>
      <w:marLeft w:val="0"/>
      <w:marRight w:val="0"/>
      <w:marTop w:val="0"/>
      <w:marBottom w:val="0"/>
      <w:divBdr>
        <w:top w:val="none" w:sz="0" w:space="0" w:color="auto"/>
        <w:left w:val="none" w:sz="0" w:space="0" w:color="auto"/>
        <w:bottom w:val="none" w:sz="0" w:space="0" w:color="auto"/>
        <w:right w:val="none" w:sz="0" w:space="0" w:color="auto"/>
      </w:divBdr>
      <w:divsChild>
        <w:div w:id="958099486">
          <w:marLeft w:val="0"/>
          <w:marRight w:val="0"/>
          <w:marTop w:val="0"/>
          <w:marBottom w:val="0"/>
          <w:divBdr>
            <w:top w:val="none" w:sz="0" w:space="0" w:color="auto"/>
            <w:left w:val="none" w:sz="0" w:space="0" w:color="auto"/>
            <w:bottom w:val="none" w:sz="0" w:space="0" w:color="auto"/>
            <w:right w:val="none" w:sz="0" w:space="0" w:color="auto"/>
          </w:divBdr>
        </w:div>
        <w:div w:id="1610623587">
          <w:marLeft w:val="0"/>
          <w:marRight w:val="0"/>
          <w:marTop w:val="0"/>
          <w:marBottom w:val="0"/>
          <w:divBdr>
            <w:top w:val="none" w:sz="0" w:space="0" w:color="auto"/>
            <w:left w:val="none" w:sz="0" w:space="0" w:color="auto"/>
            <w:bottom w:val="none" w:sz="0" w:space="0" w:color="auto"/>
            <w:right w:val="none" w:sz="0" w:space="0" w:color="auto"/>
          </w:divBdr>
        </w:div>
      </w:divsChild>
    </w:div>
    <w:div w:id="869995118">
      <w:bodyDiv w:val="1"/>
      <w:marLeft w:val="0"/>
      <w:marRight w:val="0"/>
      <w:marTop w:val="0"/>
      <w:marBottom w:val="0"/>
      <w:divBdr>
        <w:top w:val="none" w:sz="0" w:space="0" w:color="auto"/>
        <w:left w:val="none" w:sz="0" w:space="0" w:color="auto"/>
        <w:bottom w:val="none" w:sz="0" w:space="0" w:color="auto"/>
        <w:right w:val="none" w:sz="0" w:space="0" w:color="auto"/>
      </w:divBdr>
    </w:div>
    <w:div w:id="906887770">
      <w:bodyDiv w:val="1"/>
      <w:marLeft w:val="0"/>
      <w:marRight w:val="0"/>
      <w:marTop w:val="0"/>
      <w:marBottom w:val="0"/>
      <w:divBdr>
        <w:top w:val="none" w:sz="0" w:space="0" w:color="auto"/>
        <w:left w:val="none" w:sz="0" w:space="0" w:color="auto"/>
        <w:bottom w:val="none" w:sz="0" w:space="0" w:color="auto"/>
        <w:right w:val="none" w:sz="0" w:space="0" w:color="auto"/>
      </w:divBdr>
      <w:divsChild>
        <w:div w:id="1687058485">
          <w:marLeft w:val="0"/>
          <w:marRight w:val="0"/>
          <w:marTop w:val="0"/>
          <w:marBottom w:val="0"/>
          <w:divBdr>
            <w:top w:val="none" w:sz="0" w:space="0" w:color="auto"/>
            <w:left w:val="none" w:sz="0" w:space="0" w:color="auto"/>
            <w:bottom w:val="none" w:sz="0" w:space="0" w:color="auto"/>
            <w:right w:val="none" w:sz="0" w:space="0" w:color="auto"/>
          </w:divBdr>
          <w:divsChild>
            <w:div w:id="1750345560">
              <w:marLeft w:val="0"/>
              <w:marRight w:val="0"/>
              <w:marTop w:val="0"/>
              <w:marBottom w:val="0"/>
              <w:divBdr>
                <w:top w:val="none" w:sz="0" w:space="0" w:color="auto"/>
                <w:left w:val="none" w:sz="0" w:space="0" w:color="auto"/>
                <w:bottom w:val="none" w:sz="0" w:space="0" w:color="auto"/>
                <w:right w:val="none" w:sz="0" w:space="0" w:color="auto"/>
              </w:divBdr>
              <w:divsChild>
                <w:div w:id="987590386">
                  <w:marLeft w:val="0"/>
                  <w:marRight w:val="0"/>
                  <w:marTop w:val="0"/>
                  <w:marBottom w:val="0"/>
                  <w:divBdr>
                    <w:top w:val="none" w:sz="0" w:space="0" w:color="auto"/>
                    <w:left w:val="none" w:sz="0" w:space="0" w:color="auto"/>
                    <w:bottom w:val="none" w:sz="0" w:space="0" w:color="auto"/>
                    <w:right w:val="none" w:sz="0" w:space="0" w:color="auto"/>
                  </w:divBdr>
                  <w:divsChild>
                    <w:div w:id="1207717354">
                      <w:marLeft w:val="2325"/>
                      <w:marRight w:val="0"/>
                      <w:marTop w:val="0"/>
                      <w:marBottom w:val="0"/>
                      <w:divBdr>
                        <w:top w:val="none" w:sz="0" w:space="0" w:color="auto"/>
                        <w:left w:val="none" w:sz="0" w:space="0" w:color="auto"/>
                        <w:bottom w:val="none" w:sz="0" w:space="0" w:color="auto"/>
                        <w:right w:val="none" w:sz="0" w:space="0" w:color="auto"/>
                      </w:divBdr>
                      <w:divsChild>
                        <w:div w:id="397361162">
                          <w:marLeft w:val="0"/>
                          <w:marRight w:val="0"/>
                          <w:marTop w:val="0"/>
                          <w:marBottom w:val="0"/>
                          <w:divBdr>
                            <w:top w:val="none" w:sz="0" w:space="0" w:color="auto"/>
                            <w:left w:val="none" w:sz="0" w:space="0" w:color="auto"/>
                            <w:bottom w:val="none" w:sz="0" w:space="0" w:color="auto"/>
                            <w:right w:val="none" w:sz="0" w:space="0" w:color="auto"/>
                          </w:divBdr>
                          <w:divsChild>
                            <w:div w:id="1968852841">
                              <w:marLeft w:val="0"/>
                              <w:marRight w:val="0"/>
                              <w:marTop w:val="0"/>
                              <w:marBottom w:val="0"/>
                              <w:divBdr>
                                <w:top w:val="none" w:sz="0" w:space="0" w:color="auto"/>
                                <w:left w:val="none" w:sz="0" w:space="0" w:color="auto"/>
                                <w:bottom w:val="none" w:sz="0" w:space="0" w:color="auto"/>
                                <w:right w:val="none" w:sz="0" w:space="0" w:color="auto"/>
                              </w:divBdr>
                              <w:divsChild>
                                <w:div w:id="519928029">
                                  <w:marLeft w:val="0"/>
                                  <w:marRight w:val="0"/>
                                  <w:marTop w:val="0"/>
                                  <w:marBottom w:val="0"/>
                                  <w:divBdr>
                                    <w:top w:val="none" w:sz="0" w:space="0" w:color="auto"/>
                                    <w:left w:val="none" w:sz="0" w:space="0" w:color="auto"/>
                                    <w:bottom w:val="none" w:sz="0" w:space="0" w:color="auto"/>
                                    <w:right w:val="none" w:sz="0" w:space="0" w:color="auto"/>
                                  </w:divBdr>
                                  <w:divsChild>
                                    <w:div w:id="419180244">
                                      <w:marLeft w:val="0"/>
                                      <w:marRight w:val="0"/>
                                      <w:marTop w:val="0"/>
                                      <w:marBottom w:val="0"/>
                                      <w:divBdr>
                                        <w:top w:val="none" w:sz="0" w:space="0" w:color="auto"/>
                                        <w:left w:val="none" w:sz="0" w:space="0" w:color="auto"/>
                                        <w:bottom w:val="none" w:sz="0" w:space="0" w:color="auto"/>
                                        <w:right w:val="none" w:sz="0" w:space="0" w:color="auto"/>
                                      </w:divBdr>
                                      <w:divsChild>
                                        <w:div w:id="846676688">
                                          <w:marLeft w:val="0"/>
                                          <w:marRight w:val="0"/>
                                          <w:marTop w:val="0"/>
                                          <w:marBottom w:val="0"/>
                                          <w:divBdr>
                                            <w:top w:val="none" w:sz="0" w:space="0" w:color="auto"/>
                                            <w:left w:val="none" w:sz="0" w:space="0" w:color="auto"/>
                                            <w:bottom w:val="none" w:sz="0" w:space="0" w:color="auto"/>
                                            <w:right w:val="none" w:sz="0" w:space="0" w:color="auto"/>
                                          </w:divBdr>
                                          <w:divsChild>
                                            <w:div w:id="1963998040">
                                              <w:marLeft w:val="0"/>
                                              <w:marRight w:val="0"/>
                                              <w:marTop w:val="0"/>
                                              <w:marBottom w:val="0"/>
                                              <w:divBdr>
                                                <w:top w:val="none" w:sz="0" w:space="0" w:color="auto"/>
                                                <w:left w:val="none" w:sz="0" w:space="0" w:color="auto"/>
                                                <w:bottom w:val="none" w:sz="0" w:space="0" w:color="auto"/>
                                                <w:right w:val="none" w:sz="0" w:space="0" w:color="auto"/>
                                              </w:divBdr>
                                              <w:divsChild>
                                                <w:div w:id="260185647">
                                                  <w:marLeft w:val="0"/>
                                                  <w:marRight w:val="0"/>
                                                  <w:marTop w:val="0"/>
                                                  <w:marBottom w:val="0"/>
                                                  <w:divBdr>
                                                    <w:top w:val="none" w:sz="0" w:space="0" w:color="auto"/>
                                                    <w:left w:val="none" w:sz="0" w:space="0" w:color="auto"/>
                                                    <w:bottom w:val="none" w:sz="0" w:space="0" w:color="auto"/>
                                                    <w:right w:val="none" w:sz="0" w:space="0" w:color="auto"/>
                                                  </w:divBdr>
                                                  <w:divsChild>
                                                    <w:div w:id="1983389395">
                                                      <w:marLeft w:val="0"/>
                                                      <w:marRight w:val="0"/>
                                                      <w:marTop w:val="0"/>
                                                      <w:marBottom w:val="0"/>
                                                      <w:divBdr>
                                                        <w:top w:val="none" w:sz="0" w:space="0" w:color="auto"/>
                                                        <w:left w:val="none" w:sz="0" w:space="0" w:color="auto"/>
                                                        <w:bottom w:val="none" w:sz="0" w:space="0" w:color="auto"/>
                                                        <w:right w:val="none" w:sz="0" w:space="0" w:color="auto"/>
                                                      </w:divBdr>
                                                      <w:divsChild>
                                                        <w:div w:id="1875917744">
                                                          <w:marLeft w:val="0"/>
                                                          <w:marRight w:val="0"/>
                                                          <w:marTop w:val="15"/>
                                                          <w:marBottom w:val="15"/>
                                                          <w:divBdr>
                                                            <w:top w:val="none" w:sz="0" w:space="0" w:color="auto"/>
                                                            <w:left w:val="none" w:sz="0" w:space="0" w:color="auto"/>
                                                            <w:bottom w:val="none" w:sz="0" w:space="0" w:color="auto"/>
                                                            <w:right w:val="none" w:sz="0" w:space="0" w:color="auto"/>
                                                          </w:divBdr>
                                                          <w:divsChild>
                                                            <w:div w:id="1225338489">
                                                              <w:marLeft w:val="0"/>
                                                              <w:marRight w:val="0"/>
                                                              <w:marTop w:val="0"/>
                                                              <w:marBottom w:val="0"/>
                                                              <w:divBdr>
                                                                <w:top w:val="none" w:sz="0" w:space="0" w:color="auto"/>
                                                                <w:left w:val="none" w:sz="0" w:space="0" w:color="auto"/>
                                                                <w:bottom w:val="none" w:sz="0" w:space="0" w:color="auto"/>
                                                                <w:right w:val="none" w:sz="0" w:space="0" w:color="auto"/>
                                                              </w:divBdr>
                                                              <w:divsChild>
                                                                <w:div w:id="1743914366">
                                                                  <w:marLeft w:val="0"/>
                                                                  <w:marRight w:val="0"/>
                                                                  <w:marTop w:val="0"/>
                                                                  <w:marBottom w:val="0"/>
                                                                  <w:divBdr>
                                                                    <w:top w:val="none" w:sz="0" w:space="0" w:color="auto"/>
                                                                    <w:left w:val="none" w:sz="0" w:space="0" w:color="auto"/>
                                                                    <w:bottom w:val="none" w:sz="0" w:space="0" w:color="auto"/>
                                                                    <w:right w:val="none" w:sz="0" w:space="0" w:color="auto"/>
                                                                  </w:divBdr>
                                                                  <w:divsChild>
                                                                    <w:div w:id="2131656692">
                                                                      <w:marLeft w:val="0"/>
                                                                      <w:marRight w:val="0"/>
                                                                      <w:marTop w:val="0"/>
                                                                      <w:marBottom w:val="0"/>
                                                                      <w:divBdr>
                                                                        <w:top w:val="none" w:sz="0" w:space="0" w:color="auto"/>
                                                                        <w:left w:val="none" w:sz="0" w:space="0" w:color="auto"/>
                                                                        <w:bottom w:val="none" w:sz="0" w:space="0" w:color="auto"/>
                                                                        <w:right w:val="none" w:sz="0" w:space="0" w:color="auto"/>
                                                                      </w:divBdr>
                                                                      <w:divsChild>
                                                                        <w:div w:id="2075080198">
                                                                          <w:marLeft w:val="0"/>
                                                                          <w:marRight w:val="0"/>
                                                                          <w:marTop w:val="0"/>
                                                                          <w:marBottom w:val="0"/>
                                                                          <w:divBdr>
                                                                            <w:top w:val="none" w:sz="0" w:space="0" w:color="auto"/>
                                                                            <w:left w:val="none" w:sz="0" w:space="0" w:color="auto"/>
                                                                            <w:bottom w:val="none" w:sz="0" w:space="0" w:color="auto"/>
                                                                            <w:right w:val="none" w:sz="0" w:space="0" w:color="auto"/>
                                                                          </w:divBdr>
                                                                          <w:divsChild>
                                                                            <w:div w:id="1240795041">
                                                                              <w:marLeft w:val="0"/>
                                                                              <w:marRight w:val="0"/>
                                                                              <w:marTop w:val="0"/>
                                                                              <w:marBottom w:val="0"/>
                                                                              <w:divBdr>
                                                                                <w:top w:val="none" w:sz="0" w:space="0" w:color="auto"/>
                                                                                <w:left w:val="none" w:sz="0" w:space="0" w:color="auto"/>
                                                                                <w:bottom w:val="none" w:sz="0" w:space="0" w:color="auto"/>
                                                                                <w:right w:val="none" w:sz="0" w:space="0" w:color="auto"/>
                                                                              </w:divBdr>
                                                                              <w:divsChild>
                                                                                <w:div w:id="160045370">
                                                                                  <w:marLeft w:val="0"/>
                                                                                  <w:marRight w:val="0"/>
                                                                                  <w:marTop w:val="0"/>
                                                                                  <w:marBottom w:val="0"/>
                                                                                  <w:divBdr>
                                                                                    <w:top w:val="none" w:sz="0" w:space="0" w:color="auto"/>
                                                                                    <w:left w:val="none" w:sz="0" w:space="0" w:color="auto"/>
                                                                                    <w:bottom w:val="none" w:sz="0" w:space="0" w:color="auto"/>
                                                                                    <w:right w:val="none" w:sz="0" w:space="0" w:color="auto"/>
                                                                                  </w:divBdr>
                                                                                  <w:divsChild>
                                                                                    <w:div w:id="215051749">
                                                                                      <w:marLeft w:val="0"/>
                                                                                      <w:marRight w:val="0"/>
                                                                                      <w:marTop w:val="0"/>
                                                                                      <w:marBottom w:val="0"/>
                                                                                      <w:divBdr>
                                                                                        <w:top w:val="none" w:sz="0" w:space="0" w:color="auto"/>
                                                                                        <w:left w:val="none" w:sz="0" w:space="0" w:color="auto"/>
                                                                                        <w:bottom w:val="none" w:sz="0" w:space="0" w:color="auto"/>
                                                                                        <w:right w:val="none" w:sz="0" w:space="0" w:color="auto"/>
                                                                                      </w:divBdr>
                                                                                      <w:divsChild>
                                                                                        <w:div w:id="1480030714">
                                                                                          <w:marLeft w:val="0"/>
                                                                                          <w:marRight w:val="0"/>
                                                                                          <w:marTop w:val="0"/>
                                                                                          <w:marBottom w:val="0"/>
                                                                                          <w:divBdr>
                                                                                            <w:top w:val="none" w:sz="0" w:space="0" w:color="auto"/>
                                                                                            <w:left w:val="none" w:sz="0" w:space="0" w:color="auto"/>
                                                                                            <w:bottom w:val="none" w:sz="0" w:space="0" w:color="auto"/>
                                                                                            <w:right w:val="none" w:sz="0" w:space="0" w:color="auto"/>
                                                                                          </w:divBdr>
                                                                                          <w:divsChild>
                                                                                            <w:div w:id="78296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2581698">
      <w:bodyDiv w:val="1"/>
      <w:marLeft w:val="0"/>
      <w:marRight w:val="0"/>
      <w:marTop w:val="0"/>
      <w:marBottom w:val="0"/>
      <w:divBdr>
        <w:top w:val="none" w:sz="0" w:space="0" w:color="auto"/>
        <w:left w:val="none" w:sz="0" w:space="0" w:color="auto"/>
        <w:bottom w:val="none" w:sz="0" w:space="0" w:color="auto"/>
        <w:right w:val="none" w:sz="0" w:space="0" w:color="auto"/>
      </w:divBdr>
      <w:divsChild>
        <w:div w:id="2052915962">
          <w:marLeft w:val="0"/>
          <w:marRight w:val="0"/>
          <w:marTop w:val="0"/>
          <w:marBottom w:val="0"/>
          <w:divBdr>
            <w:top w:val="none" w:sz="0" w:space="0" w:color="auto"/>
            <w:left w:val="none" w:sz="0" w:space="0" w:color="auto"/>
            <w:bottom w:val="none" w:sz="0" w:space="0" w:color="auto"/>
            <w:right w:val="none" w:sz="0" w:space="0" w:color="auto"/>
          </w:divBdr>
        </w:div>
      </w:divsChild>
    </w:div>
    <w:div w:id="1225022999">
      <w:bodyDiv w:val="1"/>
      <w:marLeft w:val="0"/>
      <w:marRight w:val="0"/>
      <w:marTop w:val="0"/>
      <w:marBottom w:val="0"/>
      <w:divBdr>
        <w:top w:val="none" w:sz="0" w:space="0" w:color="auto"/>
        <w:left w:val="none" w:sz="0" w:space="0" w:color="auto"/>
        <w:bottom w:val="none" w:sz="0" w:space="0" w:color="auto"/>
        <w:right w:val="none" w:sz="0" w:space="0" w:color="auto"/>
      </w:divBdr>
      <w:divsChild>
        <w:div w:id="933049636">
          <w:marLeft w:val="0"/>
          <w:marRight w:val="0"/>
          <w:marTop w:val="0"/>
          <w:marBottom w:val="0"/>
          <w:divBdr>
            <w:top w:val="none" w:sz="0" w:space="0" w:color="auto"/>
            <w:left w:val="none" w:sz="0" w:space="0" w:color="auto"/>
            <w:bottom w:val="none" w:sz="0" w:space="0" w:color="auto"/>
            <w:right w:val="none" w:sz="0" w:space="0" w:color="auto"/>
          </w:divBdr>
        </w:div>
      </w:divsChild>
    </w:div>
    <w:div w:id="1283151696">
      <w:bodyDiv w:val="1"/>
      <w:marLeft w:val="0"/>
      <w:marRight w:val="0"/>
      <w:marTop w:val="0"/>
      <w:marBottom w:val="0"/>
      <w:divBdr>
        <w:top w:val="none" w:sz="0" w:space="0" w:color="auto"/>
        <w:left w:val="none" w:sz="0" w:space="0" w:color="auto"/>
        <w:bottom w:val="none" w:sz="0" w:space="0" w:color="auto"/>
        <w:right w:val="none" w:sz="0" w:space="0" w:color="auto"/>
      </w:divBdr>
    </w:div>
    <w:div w:id="1319577261">
      <w:bodyDiv w:val="1"/>
      <w:marLeft w:val="0"/>
      <w:marRight w:val="0"/>
      <w:marTop w:val="0"/>
      <w:marBottom w:val="0"/>
      <w:divBdr>
        <w:top w:val="none" w:sz="0" w:space="0" w:color="auto"/>
        <w:left w:val="none" w:sz="0" w:space="0" w:color="auto"/>
        <w:bottom w:val="none" w:sz="0" w:space="0" w:color="auto"/>
        <w:right w:val="none" w:sz="0" w:space="0" w:color="auto"/>
      </w:divBdr>
      <w:divsChild>
        <w:div w:id="1633053962">
          <w:marLeft w:val="0"/>
          <w:marRight w:val="0"/>
          <w:marTop w:val="0"/>
          <w:marBottom w:val="0"/>
          <w:divBdr>
            <w:top w:val="none" w:sz="0" w:space="0" w:color="auto"/>
            <w:left w:val="none" w:sz="0" w:space="0" w:color="auto"/>
            <w:bottom w:val="none" w:sz="0" w:space="0" w:color="auto"/>
            <w:right w:val="none" w:sz="0" w:space="0" w:color="auto"/>
          </w:divBdr>
        </w:div>
      </w:divsChild>
    </w:div>
    <w:div w:id="1341005079">
      <w:bodyDiv w:val="1"/>
      <w:marLeft w:val="0"/>
      <w:marRight w:val="0"/>
      <w:marTop w:val="0"/>
      <w:marBottom w:val="0"/>
      <w:divBdr>
        <w:top w:val="none" w:sz="0" w:space="0" w:color="auto"/>
        <w:left w:val="none" w:sz="0" w:space="0" w:color="auto"/>
        <w:bottom w:val="none" w:sz="0" w:space="0" w:color="auto"/>
        <w:right w:val="none" w:sz="0" w:space="0" w:color="auto"/>
      </w:divBdr>
    </w:div>
    <w:div w:id="1366910448">
      <w:bodyDiv w:val="1"/>
      <w:marLeft w:val="0"/>
      <w:marRight w:val="0"/>
      <w:marTop w:val="0"/>
      <w:marBottom w:val="0"/>
      <w:divBdr>
        <w:top w:val="none" w:sz="0" w:space="0" w:color="auto"/>
        <w:left w:val="none" w:sz="0" w:space="0" w:color="auto"/>
        <w:bottom w:val="none" w:sz="0" w:space="0" w:color="auto"/>
        <w:right w:val="none" w:sz="0" w:space="0" w:color="auto"/>
      </w:divBdr>
    </w:div>
    <w:div w:id="1412004781">
      <w:bodyDiv w:val="1"/>
      <w:marLeft w:val="0"/>
      <w:marRight w:val="0"/>
      <w:marTop w:val="0"/>
      <w:marBottom w:val="0"/>
      <w:divBdr>
        <w:top w:val="none" w:sz="0" w:space="0" w:color="auto"/>
        <w:left w:val="none" w:sz="0" w:space="0" w:color="auto"/>
        <w:bottom w:val="none" w:sz="0" w:space="0" w:color="auto"/>
        <w:right w:val="none" w:sz="0" w:space="0" w:color="auto"/>
      </w:divBdr>
    </w:div>
    <w:div w:id="1423917138">
      <w:bodyDiv w:val="1"/>
      <w:marLeft w:val="0"/>
      <w:marRight w:val="0"/>
      <w:marTop w:val="0"/>
      <w:marBottom w:val="0"/>
      <w:divBdr>
        <w:top w:val="none" w:sz="0" w:space="0" w:color="auto"/>
        <w:left w:val="none" w:sz="0" w:space="0" w:color="auto"/>
        <w:bottom w:val="none" w:sz="0" w:space="0" w:color="auto"/>
        <w:right w:val="none" w:sz="0" w:space="0" w:color="auto"/>
      </w:divBdr>
      <w:divsChild>
        <w:div w:id="1976829254">
          <w:marLeft w:val="0"/>
          <w:marRight w:val="0"/>
          <w:marTop w:val="0"/>
          <w:marBottom w:val="0"/>
          <w:divBdr>
            <w:top w:val="none" w:sz="0" w:space="0" w:color="auto"/>
            <w:left w:val="none" w:sz="0" w:space="0" w:color="auto"/>
            <w:bottom w:val="none" w:sz="0" w:space="0" w:color="auto"/>
            <w:right w:val="none" w:sz="0" w:space="0" w:color="auto"/>
          </w:divBdr>
        </w:div>
      </w:divsChild>
    </w:div>
    <w:div w:id="1446346657">
      <w:bodyDiv w:val="1"/>
      <w:marLeft w:val="0"/>
      <w:marRight w:val="0"/>
      <w:marTop w:val="0"/>
      <w:marBottom w:val="0"/>
      <w:divBdr>
        <w:top w:val="none" w:sz="0" w:space="0" w:color="auto"/>
        <w:left w:val="none" w:sz="0" w:space="0" w:color="auto"/>
        <w:bottom w:val="none" w:sz="0" w:space="0" w:color="auto"/>
        <w:right w:val="none" w:sz="0" w:space="0" w:color="auto"/>
      </w:divBdr>
    </w:div>
    <w:div w:id="1548490023">
      <w:bodyDiv w:val="1"/>
      <w:marLeft w:val="0"/>
      <w:marRight w:val="0"/>
      <w:marTop w:val="0"/>
      <w:marBottom w:val="0"/>
      <w:divBdr>
        <w:top w:val="none" w:sz="0" w:space="0" w:color="auto"/>
        <w:left w:val="none" w:sz="0" w:space="0" w:color="auto"/>
        <w:bottom w:val="none" w:sz="0" w:space="0" w:color="auto"/>
        <w:right w:val="none" w:sz="0" w:space="0" w:color="auto"/>
      </w:divBdr>
    </w:div>
    <w:div w:id="1606958194">
      <w:bodyDiv w:val="1"/>
      <w:marLeft w:val="0"/>
      <w:marRight w:val="0"/>
      <w:marTop w:val="0"/>
      <w:marBottom w:val="0"/>
      <w:divBdr>
        <w:top w:val="none" w:sz="0" w:space="0" w:color="auto"/>
        <w:left w:val="none" w:sz="0" w:space="0" w:color="auto"/>
        <w:bottom w:val="none" w:sz="0" w:space="0" w:color="auto"/>
        <w:right w:val="none" w:sz="0" w:space="0" w:color="auto"/>
      </w:divBdr>
    </w:div>
    <w:div w:id="1647008294">
      <w:bodyDiv w:val="1"/>
      <w:marLeft w:val="0"/>
      <w:marRight w:val="0"/>
      <w:marTop w:val="0"/>
      <w:marBottom w:val="0"/>
      <w:divBdr>
        <w:top w:val="none" w:sz="0" w:space="0" w:color="auto"/>
        <w:left w:val="none" w:sz="0" w:space="0" w:color="auto"/>
        <w:bottom w:val="none" w:sz="0" w:space="0" w:color="auto"/>
        <w:right w:val="none" w:sz="0" w:space="0" w:color="auto"/>
      </w:divBdr>
    </w:div>
    <w:div w:id="1652325527">
      <w:bodyDiv w:val="1"/>
      <w:marLeft w:val="0"/>
      <w:marRight w:val="0"/>
      <w:marTop w:val="0"/>
      <w:marBottom w:val="0"/>
      <w:divBdr>
        <w:top w:val="none" w:sz="0" w:space="0" w:color="auto"/>
        <w:left w:val="none" w:sz="0" w:space="0" w:color="auto"/>
        <w:bottom w:val="none" w:sz="0" w:space="0" w:color="auto"/>
        <w:right w:val="none" w:sz="0" w:space="0" w:color="auto"/>
      </w:divBdr>
      <w:divsChild>
        <w:div w:id="421488937">
          <w:marLeft w:val="0"/>
          <w:marRight w:val="0"/>
          <w:marTop w:val="0"/>
          <w:marBottom w:val="0"/>
          <w:divBdr>
            <w:top w:val="none" w:sz="0" w:space="0" w:color="auto"/>
            <w:left w:val="none" w:sz="0" w:space="0" w:color="auto"/>
            <w:bottom w:val="none" w:sz="0" w:space="0" w:color="auto"/>
            <w:right w:val="none" w:sz="0" w:space="0" w:color="auto"/>
          </w:divBdr>
          <w:divsChild>
            <w:div w:id="166599492">
              <w:marLeft w:val="0"/>
              <w:marRight w:val="0"/>
              <w:marTop w:val="0"/>
              <w:marBottom w:val="0"/>
              <w:divBdr>
                <w:top w:val="none" w:sz="0" w:space="0" w:color="auto"/>
                <w:left w:val="none" w:sz="0" w:space="0" w:color="auto"/>
                <w:bottom w:val="none" w:sz="0" w:space="0" w:color="auto"/>
                <w:right w:val="none" w:sz="0" w:space="0" w:color="auto"/>
              </w:divBdr>
              <w:divsChild>
                <w:div w:id="584343549">
                  <w:marLeft w:val="0"/>
                  <w:marRight w:val="0"/>
                  <w:marTop w:val="0"/>
                  <w:marBottom w:val="0"/>
                  <w:divBdr>
                    <w:top w:val="none" w:sz="0" w:space="0" w:color="auto"/>
                    <w:left w:val="none" w:sz="0" w:space="0" w:color="auto"/>
                    <w:bottom w:val="none" w:sz="0" w:space="0" w:color="auto"/>
                    <w:right w:val="none" w:sz="0" w:space="0" w:color="auto"/>
                  </w:divBdr>
                  <w:divsChild>
                    <w:div w:id="1326397638">
                      <w:marLeft w:val="2325"/>
                      <w:marRight w:val="0"/>
                      <w:marTop w:val="0"/>
                      <w:marBottom w:val="0"/>
                      <w:divBdr>
                        <w:top w:val="none" w:sz="0" w:space="0" w:color="auto"/>
                        <w:left w:val="none" w:sz="0" w:space="0" w:color="auto"/>
                        <w:bottom w:val="none" w:sz="0" w:space="0" w:color="auto"/>
                        <w:right w:val="none" w:sz="0" w:space="0" w:color="auto"/>
                      </w:divBdr>
                      <w:divsChild>
                        <w:div w:id="1988512745">
                          <w:marLeft w:val="0"/>
                          <w:marRight w:val="0"/>
                          <w:marTop w:val="0"/>
                          <w:marBottom w:val="0"/>
                          <w:divBdr>
                            <w:top w:val="none" w:sz="0" w:space="0" w:color="auto"/>
                            <w:left w:val="none" w:sz="0" w:space="0" w:color="auto"/>
                            <w:bottom w:val="none" w:sz="0" w:space="0" w:color="auto"/>
                            <w:right w:val="none" w:sz="0" w:space="0" w:color="auto"/>
                          </w:divBdr>
                          <w:divsChild>
                            <w:div w:id="347098481">
                              <w:marLeft w:val="0"/>
                              <w:marRight w:val="0"/>
                              <w:marTop w:val="0"/>
                              <w:marBottom w:val="0"/>
                              <w:divBdr>
                                <w:top w:val="none" w:sz="0" w:space="0" w:color="auto"/>
                                <w:left w:val="none" w:sz="0" w:space="0" w:color="auto"/>
                                <w:bottom w:val="none" w:sz="0" w:space="0" w:color="auto"/>
                                <w:right w:val="none" w:sz="0" w:space="0" w:color="auto"/>
                              </w:divBdr>
                              <w:divsChild>
                                <w:div w:id="1839804660">
                                  <w:marLeft w:val="0"/>
                                  <w:marRight w:val="0"/>
                                  <w:marTop w:val="0"/>
                                  <w:marBottom w:val="0"/>
                                  <w:divBdr>
                                    <w:top w:val="none" w:sz="0" w:space="0" w:color="auto"/>
                                    <w:left w:val="none" w:sz="0" w:space="0" w:color="auto"/>
                                    <w:bottom w:val="none" w:sz="0" w:space="0" w:color="auto"/>
                                    <w:right w:val="none" w:sz="0" w:space="0" w:color="auto"/>
                                  </w:divBdr>
                                  <w:divsChild>
                                    <w:div w:id="2095658928">
                                      <w:marLeft w:val="0"/>
                                      <w:marRight w:val="0"/>
                                      <w:marTop w:val="0"/>
                                      <w:marBottom w:val="0"/>
                                      <w:divBdr>
                                        <w:top w:val="none" w:sz="0" w:space="0" w:color="auto"/>
                                        <w:left w:val="none" w:sz="0" w:space="0" w:color="auto"/>
                                        <w:bottom w:val="none" w:sz="0" w:space="0" w:color="auto"/>
                                        <w:right w:val="none" w:sz="0" w:space="0" w:color="auto"/>
                                      </w:divBdr>
                                      <w:divsChild>
                                        <w:div w:id="721366120">
                                          <w:marLeft w:val="0"/>
                                          <w:marRight w:val="0"/>
                                          <w:marTop w:val="0"/>
                                          <w:marBottom w:val="0"/>
                                          <w:divBdr>
                                            <w:top w:val="none" w:sz="0" w:space="0" w:color="auto"/>
                                            <w:left w:val="none" w:sz="0" w:space="0" w:color="auto"/>
                                            <w:bottom w:val="none" w:sz="0" w:space="0" w:color="auto"/>
                                            <w:right w:val="none" w:sz="0" w:space="0" w:color="auto"/>
                                          </w:divBdr>
                                          <w:divsChild>
                                            <w:div w:id="1299870889">
                                              <w:marLeft w:val="0"/>
                                              <w:marRight w:val="0"/>
                                              <w:marTop w:val="0"/>
                                              <w:marBottom w:val="0"/>
                                              <w:divBdr>
                                                <w:top w:val="none" w:sz="0" w:space="0" w:color="auto"/>
                                                <w:left w:val="none" w:sz="0" w:space="0" w:color="auto"/>
                                                <w:bottom w:val="none" w:sz="0" w:space="0" w:color="auto"/>
                                                <w:right w:val="none" w:sz="0" w:space="0" w:color="auto"/>
                                              </w:divBdr>
                                              <w:divsChild>
                                                <w:div w:id="1994791883">
                                                  <w:marLeft w:val="0"/>
                                                  <w:marRight w:val="0"/>
                                                  <w:marTop w:val="0"/>
                                                  <w:marBottom w:val="0"/>
                                                  <w:divBdr>
                                                    <w:top w:val="none" w:sz="0" w:space="0" w:color="auto"/>
                                                    <w:left w:val="none" w:sz="0" w:space="0" w:color="auto"/>
                                                    <w:bottom w:val="none" w:sz="0" w:space="0" w:color="auto"/>
                                                    <w:right w:val="none" w:sz="0" w:space="0" w:color="auto"/>
                                                  </w:divBdr>
                                                  <w:divsChild>
                                                    <w:div w:id="1403261082">
                                                      <w:marLeft w:val="0"/>
                                                      <w:marRight w:val="0"/>
                                                      <w:marTop w:val="0"/>
                                                      <w:marBottom w:val="0"/>
                                                      <w:divBdr>
                                                        <w:top w:val="none" w:sz="0" w:space="0" w:color="auto"/>
                                                        <w:left w:val="none" w:sz="0" w:space="0" w:color="auto"/>
                                                        <w:bottom w:val="none" w:sz="0" w:space="0" w:color="auto"/>
                                                        <w:right w:val="none" w:sz="0" w:space="0" w:color="auto"/>
                                                      </w:divBdr>
                                                      <w:divsChild>
                                                        <w:div w:id="746343835">
                                                          <w:marLeft w:val="0"/>
                                                          <w:marRight w:val="0"/>
                                                          <w:marTop w:val="15"/>
                                                          <w:marBottom w:val="15"/>
                                                          <w:divBdr>
                                                            <w:top w:val="none" w:sz="0" w:space="0" w:color="auto"/>
                                                            <w:left w:val="none" w:sz="0" w:space="0" w:color="auto"/>
                                                            <w:bottom w:val="none" w:sz="0" w:space="0" w:color="auto"/>
                                                            <w:right w:val="none" w:sz="0" w:space="0" w:color="auto"/>
                                                          </w:divBdr>
                                                          <w:divsChild>
                                                            <w:div w:id="420953050">
                                                              <w:marLeft w:val="0"/>
                                                              <w:marRight w:val="0"/>
                                                              <w:marTop w:val="0"/>
                                                              <w:marBottom w:val="0"/>
                                                              <w:divBdr>
                                                                <w:top w:val="none" w:sz="0" w:space="0" w:color="auto"/>
                                                                <w:left w:val="none" w:sz="0" w:space="0" w:color="auto"/>
                                                                <w:bottom w:val="none" w:sz="0" w:space="0" w:color="auto"/>
                                                                <w:right w:val="none" w:sz="0" w:space="0" w:color="auto"/>
                                                              </w:divBdr>
                                                              <w:divsChild>
                                                                <w:div w:id="1451508521">
                                                                  <w:marLeft w:val="0"/>
                                                                  <w:marRight w:val="0"/>
                                                                  <w:marTop w:val="0"/>
                                                                  <w:marBottom w:val="0"/>
                                                                  <w:divBdr>
                                                                    <w:top w:val="none" w:sz="0" w:space="0" w:color="auto"/>
                                                                    <w:left w:val="none" w:sz="0" w:space="0" w:color="auto"/>
                                                                    <w:bottom w:val="none" w:sz="0" w:space="0" w:color="auto"/>
                                                                    <w:right w:val="none" w:sz="0" w:space="0" w:color="auto"/>
                                                                  </w:divBdr>
                                                                  <w:divsChild>
                                                                    <w:div w:id="336738887">
                                                                      <w:marLeft w:val="0"/>
                                                                      <w:marRight w:val="0"/>
                                                                      <w:marTop w:val="0"/>
                                                                      <w:marBottom w:val="0"/>
                                                                      <w:divBdr>
                                                                        <w:top w:val="none" w:sz="0" w:space="0" w:color="auto"/>
                                                                        <w:left w:val="none" w:sz="0" w:space="0" w:color="auto"/>
                                                                        <w:bottom w:val="none" w:sz="0" w:space="0" w:color="auto"/>
                                                                        <w:right w:val="none" w:sz="0" w:space="0" w:color="auto"/>
                                                                      </w:divBdr>
                                                                      <w:divsChild>
                                                                        <w:div w:id="279529876">
                                                                          <w:marLeft w:val="0"/>
                                                                          <w:marRight w:val="0"/>
                                                                          <w:marTop w:val="0"/>
                                                                          <w:marBottom w:val="0"/>
                                                                          <w:divBdr>
                                                                            <w:top w:val="none" w:sz="0" w:space="0" w:color="auto"/>
                                                                            <w:left w:val="none" w:sz="0" w:space="0" w:color="auto"/>
                                                                            <w:bottom w:val="none" w:sz="0" w:space="0" w:color="auto"/>
                                                                            <w:right w:val="none" w:sz="0" w:space="0" w:color="auto"/>
                                                                          </w:divBdr>
                                                                          <w:divsChild>
                                                                            <w:div w:id="455299996">
                                                                              <w:marLeft w:val="0"/>
                                                                              <w:marRight w:val="0"/>
                                                                              <w:marTop w:val="0"/>
                                                                              <w:marBottom w:val="0"/>
                                                                              <w:divBdr>
                                                                                <w:top w:val="none" w:sz="0" w:space="0" w:color="auto"/>
                                                                                <w:left w:val="none" w:sz="0" w:space="0" w:color="auto"/>
                                                                                <w:bottom w:val="none" w:sz="0" w:space="0" w:color="auto"/>
                                                                                <w:right w:val="none" w:sz="0" w:space="0" w:color="auto"/>
                                                                              </w:divBdr>
                                                                              <w:divsChild>
                                                                                <w:div w:id="1721709142">
                                                                                  <w:marLeft w:val="0"/>
                                                                                  <w:marRight w:val="0"/>
                                                                                  <w:marTop w:val="0"/>
                                                                                  <w:marBottom w:val="0"/>
                                                                                  <w:divBdr>
                                                                                    <w:top w:val="none" w:sz="0" w:space="0" w:color="auto"/>
                                                                                    <w:left w:val="none" w:sz="0" w:space="0" w:color="auto"/>
                                                                                    <w:bottom w:val="none" w:sz="0" w:space="0" w:color="auto"/>
                                                                                    <w:right w:val="none" w:sz="0" w:space="0" w:color="auto"/>
                                                                                  </w:divBdr>
                                                                                  <w:divsChild>
                                                                                    <w:div w:id="1334409477">
                                                                                      <w:marLeft w:val="0"/>
                                                                                      <w:marRight w:val="0"/>
                                                                                      <w:marTop w:val="0"/>
                                                                                      <w:marBottom w:val="0"/>
                                                                                      <w:divBdr>
                                                                                        <w:top w:val="none" w:sz="0" w:space="0" w:color="auto"/>
                                                                                        <w:left w:val="none" w:sz="0" w:space="0" w:color="auto"/>
                                                                                        <w:bottom w:val="none" w:sz="0" w:space="0" w:color="auto"/>
                                                                                        <w:right w:val="none" w:sz="0" w:space="0" w:color="auto"/>
                                                                                      </w:divBdr>
                                                                                      <w:divsChild>
                                                                                        <w:div w:id="1203245876">
                                                                                          <w:marLeft w:val="0"/>
                                                                                          <w:marRight w:val="0"/>
                                                                                          <w:marTop w:val="0"/>
                                                                                          <w:marBottom w:val="0"/>
                                                                                          <w:divBdr>
                                                                                            <w:top w:val="none" w:sz="0" w:space="0" w:color="auto"/>
                                                                                            <w:left w:val="none" w:sz="0" w:space="0" w:color="auto"/>
                                                                                            <w:bottom w:val="none" w:sz="0" w:space="0" w:color="auto"/>
                                                                                            <w:right w:val="none" w:sz="0" w:space="0" w:color="auto"/>
                                                                                          </w:divBdr>
                                                                                          <w:divsChild>
                                                                                            <w:div w:id="982543266">
                                                                                              <w:marLeft w:val="0"/>
                                                                                              <w:marRight w:val="0"/>
                                                                                              <w:marTop w:val="0"/>
                                                                                              <w:marBottom w:val="0"/>
                                                                                              <w:divBdr>
                                                                                                <w:top w:val="none" w:sz="0" w:space="0" w:color="auto"/>
                                                                                                <w:left w:val="none" w:sz="0" w:space="0" w:color="auto"/>
                                                                                                <w:bottom w:val="none" w:sz="0" w:space="0" w:color="auto"/>
                                                                                                <w:right w:val="none" w:sz="0" w:space="0" w:color="auto"/>
                                                                                              </w:divBdr>
                                                                                              <w:divsChild>
                                                                                                <w:div w:id="1430079688">
                                                                                                  <w:marLeft w:val="0"/>
                                                                                                  <w:marRight w:val="0"/>
                                                                                                  <w:marTop w:val="0"/>
                                                                                                  <w:marBottom w:val="0"/>
                                                                                                  <w:divBdr>
                                                                                                    <w:top w:val="none" w:sz="0" w:space="0" w:color="auto"/>
                                                                                                    <w:left w:val="none" w:sz="0" w:space="0" w:color="auto"/>
                                                                                                    <w:bottom w:val="none" w:sz="0" w:space="0" w:color="auto"/>
                                                                                                    <w:right w:val="none" w:sz="0" w:space="0" w:color="auto"/>
                                                                                                  </w:divBdr>
                                                                                                  <w:divsChild>
                                                                                                    <w:div w:id="62217148">
                                                                                                      <w:marLeft w:val="0"/>
                                                                                                      <w:marRight w:val="0"/>
                                                                                                      <w:marTop w:val="0"/>
                                                                                                      <w:marBottom w:val="0"/>
                                                                                                      <w:divBdr>
                                                                                                        <w:top w:val="none" w:sz="0" w:space="0" w:color="auto"/>
                                                                                                        <w:left w:val="none" w:sz="0" w:space="0" w:color="auto"/>
                                                                                                        <w:bottom w:val="none" w:sz="0" w:space="0" w:color="auto"/>
                                                                                                        <w:right w:val="none" w:sz="0" w:space="0" w:color="auto"/>
                                                                                                      </w:divBdr>
                                                                                                      <w:divsChild>
                                                                                                        <w:div w:id="204448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1323419">
      <w:bodyDiv w:val="1"/>
      <w:marLeft w:val="0"/>
      <w:marRight w:val="0"/>
      <w:marTop w:val="0"/>
      <w:marBottom w:val="0"/>
      <w:divBdr>
        <w:top w:val="none" w:sz="0" w:space="0" w:color="auto"/>
        <w:left w:val="none" w:sz="0" w:space="0" w:color="auto"/>
        <w:bottom w:val="none" w:sz="0" w:space="0" w:color="auto"/>
        <w:right w:val="none" w:sz="0" w:space="0" w:color="auto"/>
      </w:divBdr>
    </w:div>
    <w:div w:id="1967467924">
      <w:bodyDiv w:val="1"/>
      <w:marLeft w:val="0"/>
      <w:marRight w:val="0"/>
      <w:marTop w:val="0"/>
      <w:marBottom w:val="0"/>
      <w:divBdr>
        <w:top w:val="none" w:sz="0" w:space="0" w:color="auto"/>
        <w:left w:val="none" w:sz="0" w:space="0" w:color="auto"/>
        <w:bottom w:val="none" w:sz="0" w:space="0" w:color="auto"/>
        <w:right w:val="none" w:sz="0" w:space="0" w:color="auto"/>
      </w:divBdr>
    </w:div>
    <w:div w:id="2015840487">
      <w:bodyDiv w:val="1"/>
      <w:marLeft w:val="0"/>
      <w:marRight w:val="0"/>
      <w:marTop w:val="0"/>
      <w:marBottom w:val="0"/>
      <w:divBdr>
        <w:top w:val="none" w:sz="0" w:space="0" w:color="auto"/>
        <w:left w:val="none" w:sz="0" w:space="0" w:color="auto"/>
        <w:bottom w:val="none" w:sz="0" w:space="0" w:color="auto"/>
        <w:right w:val="none" w:sz="0" w:space="0" w:color="auto"/>
      </w:divBdr>
    </w:div>
    <w:div w:id="2050564693">
      <w:bodyDiv w:val="1"/>
      <w:marLeft w:val="0"/>
      <w:marRight w:val="0"/>
      <w:marTop w:val="0"/>
      <w:marBottom w:val="0"/>
      <w:divBdr>
        <w:top w:val="none" w:sz="0" w:space="0" w:color="auto"/>
        <w:left w:val="none" w:sz="0" w:space="0" w:color="auto"/>
        <w:bottom w:val="none" w:sz="0" w:space="0" w:color="auto"/>
        <w:right w:val="none" w:sz="0" w:space="0" w:color="auto"/>
      </w:divBdr>
    </w:div>
    <w:div w:id="2080440744">
      <w:bodyDiv w:val="1"/>
      <w:marLeft w:val="0"/>
      <w:marRight w:val="0"/>
      <w:marTop w:val="0"/>
      <w:marBottom w:val="0"/>
      <w:divBdr>
        <w:top w:val="none" w:sz="0" w:space="0" w:color="auto"/>
        <w:left w:val="none" w:sz="0" w:space="0" w:color="auto"/>
        <w:bottom w:val="none" w:sz="0" w:space="0" w:color="auto"/>
        <w:right w:val="none" w:sz="0" w:space="0" w:color="auto"/>
      </w:divBdr>
      <w:divsChild>
        <w:div w:id="482626885">
          <w:marLeft w:val="0"/>
          <w:marRight w:val="0"/>
          <w:marTop w:val="0"/>
          <w:marBottom w:val="0"/>
          <w:divBdr>
            <w:top w:val="none" w:sz="0" w:space="0" w:color="auto"/>
            <w:left w:val="none" w:sz="0" w:space="0" w:color="auto"/>
            <w:bottom w:val="none" w:sz="0" w:space="0" w:color="auto"/>
            <w:right w:val="none" w:sz="0" w:space="0" w:color="auto"/>
          </w:divBdr>
          <w:divsChild>
            <w:div w:id="1090394708">
              <w:marLeft w:val="0"/>
              <w:marRight w:val="0"/>
              <w:marTop w:val="0"/>
              <w:marBottom w:val="0"/>
              <w:divBdr>
                <w:top w:val="none" w:sz="0" w:space="0" w:color="auto"/>
                <w:left w:val="none" w:sz="0" w:space="0" w:color="auto"/>
                <w:bottom w:val="none" w:sz="0" w:space="0" w:color="auto"/>
                <w:right w:val="none" w:sz="0" w:space="0" w:color="auto"/>
              </w:divBdr>
              <w:divsChild>
                <w:div w:id="1027752456">
                  <w:marLeft w:val="0"/>
                  <w:marRight w:val="0"/>
                  <w:marTop w:val="0"/>
                  <w:marBottom w:val="0"/>
                  <w:divBdr>
                    <w:top w:val="none" w:sz="0" w:space="0" w:color="auto"/>
                    <w:left w:val="none" w:sz="0" w:space="0" w:color="auto"/>
                    <w:bottom w:val="none" w:sz="0" w:space="0" w:color="auto"/>
                    <w:right w:val="none" w:sz="0" w:space="0" w:color="auto"/>
                  </w:divBdr>
                  <w:divsChild>
                    <w:div w:id="1281646560">
                      <w:marLeft w:val="0"/>
                      <w:marRight w:val="0"/>
                      <w:marTop w:val="0"/>
                      <w:marBottom w:val="0"/>
                      <w:divBdr>
                        <w:top w:val="none" w:sz="0" w:space="0" w:color="auto"/>
                        <w:left w:val="none" w:sz="0" w:space="0" w:color="auto"/>
                        <w:bottom w:val="none" w:sz="0" w:space="0" w:color="auto"/>
                        <w:right w:val="none" w:sz="0" w:space="0" w:color="auto"/>
                      </w:divBdr>
                      <w:divsChild>
                        <w:div w:id="423303639">
                          <w:marLeft w:val="0"/>
                          <w:marRight w:val="0"/>
                          <w:marTop w:val="0"/>
                          <w:marBottom w:val="0"/>
                          <w:divBdr>
                            <w:top w:val="none" w:sz="0" w:space="0" w:color="auto"/>
                            <w:left w:val="none" w:sz="0" w:space="0" w:color="auto"/>
                            <w:bottom w:val="none" w:sz="0" w:space="0" w:color="auto"/>
                            <w:right w:val="none" w:sz="0" w:space="0" w:color="auto"/>
                          </w:divBdr>
                          <w:divsChild>
                            <w:div w:id="519128867">
                              <w:marLeft w:val="0"/>
                              <w:marRight w:val="0"/>
                              <w:marTop w:val="0"/>
                              <w:marBottom w:val="0"/>
                              <w:divBdr>
                                <w:top w:val="none" w:sz="0" w:space="0" w:color="auto"/>
                                <w:left w:val="none" w:sz="0" w:space="0" w:color="auto"/>
                                <w:bottom w:val="none" w:sz="0" w:space="0" w:color="auto"/>
                                <w:right w:val="none" w:sz="0" w:space="0" w:color="auto"/>
                              </w:divBdr>
                              <w:divsChild>
                                <w:div w:id="605581978">
                                  <w:marLeft w:val="0"/>
                                  <w:marRight w:val="0"/>
                                  <w:marTop w:val="0"/>
                                  <w:marBottom w:val="0"/>
                                  <w:divBdr>
                                    <w:top w:val="none" w:sz="0" w:space="0" w:color="auto"/>
                                    <w:left w:val="none" w:sz="0" w:space="0" w:color="auto"/>
                                    <w:bottom w:val="none" w:sz="0" w:space="0" w:color="auto"/>
                                    <w:right w:val="none" w:sz="0" w:space="0" w:color="auto"/>
                                  </w:divBdr>
                                  <w:divsChild>
                                    <w:div w:id="743455315">
                                      <w:marLeft w:val="0"/>
                                      <w:marRight w:val="0"/>
                                      <w:marTop w:val="0"/>
                                      <w:marBottom w:val="0"/>
                                      <w:divBdr>
                                        <w:top w:val="none" w:sz="0" w:space="0" w:color="auto"/>
                                        <w:left w:val="none" w:sz="0" w:space="0" w:color="auto"/>
                                        <w:bottom w:val="none" w:sz="0" w:space="0" w:color="auto"/>
                                        <w:right w:val="none" w:sz="0" w:space="0" w:color="auto"/>
                                      </w:divBdr>
                                      <w:divsChild>
                                        <w:div w:id="477382358">
                                          <w:marLeft w:val="0"/>
                                          <w:marRight w:val="0"/>
                                          <w:marTop w:val="0"/>
                                          <w:marBottom w:val="0"/>
                                          <w:divBdr>
                                            <w:top w:val="none" w:sz="0" w:space="0" w:color="auto"/>
                                            <w:left w:val="none" w:sz="0" w:space="0" w:color="auto"/>
                                            <w:bottom w:val="none" w:sz="0" w:space="0" w:color="auto"/>
                                            <w:right w:val="none" w:sz="0" w:space="0" w:color="auto"/>
                                          </w:divBdr>
                                          <w:divsChild>
                                            <w:div w:id="22560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4379645">
      <w:bodyDiv w:val="1"/>
      <w:marLeft w:val="0"/>
      <w:marRight w:val="0"/>
      <w:marTop w:val="0"/>
      <w:marBottom w:val="0"/>
      <w:divBdr>
        <w:top w:val="none" w:sz="0" w:space="0" w:color="auto"/>
        <w:left w:val="none" w:sz="0" w:space="0" w:color="auto"/>
        <w:bottom w:val="none" w:sz="0" w:space="0" w:color="auto"/>
        <w:right w:val="none" w:sz="0" w:space="0" w:color="auto"/>
      </w:divBdr>
      <w:divsChild>
        <w:div w:id="1684238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customXml" Target="../customXml/item3.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customXml" Target="../customXml/item2.xml"/></Relationships>
</file>

<file path=word/_rels/footer4.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2" Type="http://schemas.openxmlformats.org/officeDocument/2006/relationships/hyperlink" Target="http://www.neda.gov.ph/?p=3526" TargetMode="External"/><Relationship Id="rId1" Type="http://schemas.openxmlformats.org/officeDocument/2006/relationships/hyperlink" Target="http://data.worldbank.org/indicator/NY.GDP.PCAP.CD"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blipFill dpi="0" rotWithShape="0">
          <a:blip xmlns:r="http://schemas.openxmlformats.org/officeDocument/2006/relationships"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a:spPr>
      <a:bodyPr rot="0" vert="horz" wrap="square" lIns="91440" tIns="91440" rIns="91440" bIns="9144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D409A5C-7806-41E9-B0AF-86DA8AB51BD9}"/>
</file>

<file path=customXml/itemProps2.xml><?xml version="1.0" encoding="utf-8"?>
<ds:datastoreItem xmlns:ds="http://schemas.openxmlformats.org/officeDocument/2006/customXml" ds:itemID="{7FD80A3C-DD17-49F4-8911-70A955D49F07}"/>
</file>

<file path=customXml/itemProps3.xml><?xml version="1.0" encoding="utf-8"?>
<ds:datastoreItem xmlns:ds="http://schemas.openxmlformats.org/officeDocument/2006/customXml" ds:itemID="{3E44781A-F4FE-47CE-A91C-A296D1B89EA0}"/>
</file>

<file path=customXml/itemProps4.xml><?xml version="1.0" encoding="utf-8"?>
<ds:datastoreItem xmlns:ds="http://schemas.openxmlformats.org/officeDocument/2006/customXml" ds:itemID="{D1042C14-5D80-465D-83F7-16B0E66E00BC}"/>
</file>

<file path=docProps/app.xml><?xml version="1.0" encoding="utf-8"?>
<Properties xmlns="http://schemas.openxmlformats.org/officeDocument/2006/extended-properties" xmlns:vt="http://schemas.openxmlformats.org/officeDocument/2006/docPropsVTypes">
  <Template>80C06DB</Template>
  <TotalTime>0</TotalTime>
  <Pages>31</Pages>
  <Words>11962</Words>
  <Characters>68184</Characters>
  <Application>Microsoft Office Word</Application>
  <DocSecurity>0</DocSecurity>
  <Lines>568</Lines>
  <Paragraphs>159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79987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2014-10-29T03:33:00Z</dcterms:created>
  <dcterms:modified xsi:type="dcterms:W3CDTF">2014-10-29T03:33:00Z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910900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