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8.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F1040" w14:textId="5FB87288" w:rsidR="0050529F" w:rsidRPr="00754A8F" w:rsidRDefault="00763D6F" w:rsidP="00884F5D">
      <w:pPr>
        <w:pStyle w:val="Title"/>
        <w:ind w:right="-171"/>
      </w:pPr>
      <w:r w:rsidRPr="00CA6DB6">
        <w:t>Aid Program Performance Report 2012</w:t>
      </w:r>
      <w:r w:rsidRPr="00052BF3">
        <w:t>−</w:t>
      </w:r>
      <w:r w:rsidRPr="00CA6DB6">
        <w:t xml:space="preserve">13 </w:t>
      </w:r>
      <w:r w:rsidR="0022231D">
        <w:t>the Philippines</w:t>
      </w:r>
    </w:p>
    <w:p w14:paraId="1FDDCB3F" w14:textId="785963CD" w:rsidR="00180B19" w:rsidRPr="0080598D" w:rsidRDefault="00180B19" w:rsidP="0080598D">
      <w:pPr>
        <w:pStyle w:val="Heading1"/>
      </w:pPr>
      <w:r w:rsidRPr="0080598D">
        <w:t xml:space="preserve">Key </w:t>
      </w:r>
      <w:r w:rsidR="001557A3" w:rsidRPr="0080598D">
        <w:t>messages</w:t>
      </w:r>
    </w:p>
    <w:p w14:paraId="1ACAF593" w14:textId="3AB56961" w:rsidR="00CC3CEB" w:rsidRDefault="00CC3CEB" w:rsidP="0080598D">
      <w:pPr>
        <w:pStyle w:val="BodyText"/>
      </w:pPr>
      <w:r w:rsidRPr="00754A8F">
        <w:t>This report summarises the progress of Australia’s aid program in the Philippines for the period Janu</w:t>
      </w:r>
      <w:bookmarkStart w:id="0" w:name="_GoBack"/>
      <w:bookmarkEnd w:id="0"/>
      <w:r w:rsidRPr="00754A8F">
        <w:t>ary 2012 to June 2013. It reports on achievements u</w:t>
      </w:r>
      <w:r w:rsidR="007A0CC9">
        <w:t xml:space="preserve">nder the new </w:t>
      </w:r>
      <w:r w:rsidR="001557A3">
        <w:t>country strategy</w:t>
      </w:r>
      <w:r w:rsidR="007A0CC9">
        <w:t>, t</w:t>
      </w:r>
      <w:r w:rsidRPr="00754A8F">
        <w:t>he Australia</w:t>
      </w:r>
      <w:r w:rsidR="001557A3">
        <w:t>–</w:t>
      </w:r>
      <w:r w:rsidRPr="00754A8F">
        <w:t>Philippines Development Cooperation Strategy 2012</w:t>
      </w:r>
      <w:r w:rsidR="00A20AF1">
        <w:t>–</w:t>
      </w:r>
      <w:r w:rsidRPr="00754A8F">
        <w:t xml:space="preserve">2017, which was agreed through a </w:t>
      </w:r>
      <w:r w:rsidR="001557A3">
        <w:t>s</w:t>
      </w:r>
      <w:r w:rsidR="001557A3" w:rsidRPr="00754A8F">
        <w:t xml:space="preserve">tatement </w:t>
      </w:r>
      <w:r w:rsidRPr="00754A8F">
        <w:t xml:space="preserve">of </w:t>
      </w:r>
      <w:r w:rsidR="001557A3">
        <w:t>c</w:t>
      </w:r>
      <w:r w:rsidR="001557A3" w:rsidRPr="00754A8F">
        <w:t xml:space="preserve">ommitment </w:t>
      </w:r>
      <w:r w:rsidR="00BB786E" w:rsidRPr="00754A8F">
        <w:t xml:space="preserve">with the </w:t>
      </w:r>
      <w:r w:rsidR="001557A3" w:rsidRPr="00754A8F">
        <w:t xml:space="preserve">Philippines </w:t>
      </w:r>
      <w:r w:rsidR="00BF1983">
        <w:t>G</w:t>
      </w:r>
      <w:r w:rsidR="00035C2E">
        <w:t>overnment</w:t>
      </w:r>
      <w:r w:rsidR="00BB786E" w:rsidRPr="00754A8F">
        <w:t xml:space="preserve"> </w:t>
      </w:r>
      <w:r w:rsidR="00A2730A" w:rsidRPr="00754A8F">
        <w:t>signed in March 2012.</w:t>
      </w:r>
    </w:p>
    <w:p w14:paraId="773BB907" w14:textId="61EB8179" w:rsidR="006A5F2C" w:rsidRDefault="006A5F2C" w:rsidP="0080598D">
      <w:pPr>
        <w:pStyle w:val="BodyText"/>
      </w:pPr>
      <w:r w:rsidRPr="00754A8F">
        <w:t>Consistent with Aus</w:t>
      </w:r>
      <w:r>
        <w:t>tralia’s</w:t>
      </w:r>
      <w:r w:rsidRPr="00754A8F">
        <w:t xml:space="preserve"> approach to assisting middle-income countries, our focus in the Philippines is on </w:t>
      </w:r>
      <w:r>
        <w:t xml:space="preserve">providing expertise and knowledge, supporting reforms </w:t>
      </w:r>
      <w:r w:rsidRPr="00754A8F">
        <w:t>to reduce poverty</w:t>
      </w:r>
      <w:r>
        <w:t xml:space="preserve"> and helping the </w:t>
      </w:r>
      <w:r w:rsidR="001557A3">
        <w:t xml:space="preserve">government </w:t>
      </w:r>
      <w:r>
        <w:t xml:space="preserve">to strengthen its </w:t>
      </w:r>
      <w:r w:rsidRPr="00754A8F">
        <w:t>service deliver</w:t>
      </w:r>
      <w:r>
        <w:t>y systems</w:t>
      </w:r>
      <w:r w:rsidRPr="00754A8F">
        <w:t xml:space="preserve">. </w:t>
      </w:r>
      <w:r>
        <w:t xml:space="preserve">Active policy dialogue with </w:t>
      </w:r>
      <w:r w:rsidR="00116065">
        <w:t xml:space="preserve">the </w:t>
      </w:r>
      <w:r w:rsidR="001557A3">
        <w:t xml:space="preserve">government </w:t>
      </w:r>
      <w:r>
        <w:t>and engagement with civil society underpins our program.</w:t>
      </w:r>
      <w:r w:rsidR="00855402">
        <w:t xml:space="preserve"> </w:t>
      </w:r>
    </w:p>
    <w:p w14:paraId="49363D53" w14:textId="0C530802" w:rsidR="006A5F2C" w:rsidRDefault="006A5F2C" w:rsidP="0080598D">
      <w:pPr>
        <w:pStyle w:val="BodyText"/>
      </w:pPr>
      <w:r w:rsidRPr="00754A8F">
        <w:t xml:space="preserve">In support of </w:t>
      </w:r>
      <w:r w:rsidR="00A767EF">
        <w:t xml:space="preserve">Philippines President </w:t>
      </w:r>
      <w:r w:rsidR="00A767EF" w:rsidRPr="00754A8F">
        <w:t>Aquino</w:t>
      </w:r>
      <w:r w:rsidR="00A767EF">
        <w:t>’s</w:t>
      </w:r>
      <w:r w:rsidRPr="00754A8F">
        <w:t xml:space="preserve"> priorities </w:t>
      </w:r>
      <w:r w:rsidR="008D6E83">
        <w:t xml:space="preserve">to </w:t>
      </w:r>
      <w:r>
        <w:t>reduc</w:t>
      </w:r>
      <w:r w:rsidR="008D6E83">
        <w:t>e</w:t>
      </w:r>
      <w:r>
        <w:t xml:space="preserve"> corruption, improv</w:t>
      </w:r>
      <w:r w:rsidR="008D6E83">
        <w:t>e</w:t>
      </w:r>
      <w:r>
        <w:t xml:space="preserve"> </w:t>
      </w:r>
      <w:r w:rsidRPr="00754A8F">
        <w:t xml:space="preserve">governance </w:t>
      </w:r>
      <w:r>
        <w:t>and achiev</w:t>
      </w:r>
      <w:r w:rsidR="008D6E83">
        <w:t>e</w:t>
      </w:r>
      <w:r>
        <w:t xml:space="preserve"> more inclusive growth</w:t>
      </w:r>
      <w:r w:rsidR="008D6E83">
        <w:t>,</w:t>
      </w:r>
      <w:r>
        <w:t xml:space="preserve"> </w:t>
      </w:r>
      <w:r w:rsidR="00B0539B">
        <w:t>Australia is</w:t>
      </w:r>
      <w:r>
        <w:t xml:space="preserve"> contributing to:</w:t>
      </w:r>
    </w:p>
    <w:p w14:paraId="40DB75B0" w14:textId="4DA83FE1" w:rsidR="006A5F2C" w:rsidRDefault="001557A3" w:rsidP="0080598D">
      <w:pPr>
        <w:pStyle w:val="ListBullet"/>
      </w:pPr>
      <w:r>
        <w:t xml:space="preserve">improving </w:t>
      </w:r>
      <w:r w:rsidR="006A5F2C">
        <w:t>education</w:t>
      </w:r>
    </w:p>
    <w:p w14:paraId="3E3EC74A" w14:textId="100E64AE" w:rsidR="006A5F2C" w:rsidRDefault="001557A3" w:rsidP="0080598D">
      <w:pPr>
        <w:pStyle w:val="ListBullet"/>
      </w:pPr>
      <w:r w:rsidRPr="00754A8F">
        <w:t>strengthen</w:t>
      </w:r>
      <w:r>
        <w:t xml:space="preserve">ing </w:t>
      </w:r>
      <w:r w:rsidR="006A5F2C">
        <w:t>local government capacity to deliver services</w:t>
      </w:r>
    </w:p>
    <w:p w14:paraId="0970405F" w14:textId="11B038E1" w:rsidR="006A5F2C" w:rsidRDefault="001557A3" w:rsidP="0080598D">
      <w:pPr>
        <w:pStyle w:val="ListBullet"/>
      </w:pPr>
      <w:r>
        <w:t xml:space="preserve">enhancing </w:t>
      </w:r>
      <w:r w:rsidR="00F50833">
        <w:t>climate change adaptation and disaster risk management</w:t>
      </w:r>
    </w:p>
    <w:p w14:paraId="326231DD" w14:textId="659A9B2D" w:rsidR="006A5F2C" w:rsidRDefault="001557A3" w:rsidP="0080598D">
      <w:pPr>
        <w:pStyle w:val="ListBullet"/>
      </w:pPr>
      <w:r>
        <w:t xml:space="preserve">improving </w:t>
      </w:r>
      <w:r w:rsidR="00F50833">
        <w:t xml:space="preserve">conditions for </w:t>
      </w:r>
      <w:r w:rsidR="006A5F2C">
        <w:t xml:space="preserve">peace </w:t>
      </w:r>
      <w:r w:rsidR="00F50833">
        <w:t>and security</w:t>
      </w:r>
      <w:r w:rsidR="006E634D">
        <w:t xml:space="preserve"> in </w:t>
      </w:r>
      <w:r w:rsidR="006A5F2C">
        <w:t>Mindanao</w:t>
      </w:r>
    </w:p>
    <w:p w14:paraId="7C1FAB58" w14:textId="4CF7140B" w:rsidR="006A5F2C" w:rsidRDefault="008D6E83" w:rsidP="0080598D">
      <w:pPr>
        <w:pStyle w:val="ListBullet"/>
      </w:pPr>
      <w:proofErr w:type="gramStart"/>
      <w:r>
        <w:t>s</w:t>
      </w:r>
      <w:r w:rsidR="002A242F">
        <w:t>upporting</w:t>
      </w:r>
      <w:proofErr w:type="gramEnd"/>
      <w:r w:rsidR="00A20AF1">
        <w:t xml:space="preserve"> </w:t>
      </w:r>
      <w:r w:rsidR="002A242F">
        <w:t xml:space="preserve">the foundations for </w:t>
      </w:r>
      <w:r w:rsidR="006A5F2C">
        <w:t>accountable, effective and inclusive economic management and governance.</w:t>
      </w:r>
    </w:p>
    <w:p w14:paraId="65FD5AC8" w14:textId="773FF040" w:rsidR="006A5F2C" w:rsidRPr="00E10D8E" w:rsidRDefault="006A5F2C" w:rsidP="0080598D">
      <w:pPr>
        <w:pStyle w:val="BodyText"/>
      </w:pPr>
      <w:r w:rsidRPr="00E10D8E">
        <w:t xml:space="preserve">We work with key government agencies to shape public spending and policy decisions for development outcomes. Our core government-to-government engagements are complemented </w:t>
      </w:r>
      <w:r w:rsidR="00B24E2E" w:rsidRPr="00E10D8E">
        <w:t>by strong</w:t>
      </w:r>
      <w:r w:rsidRPr="00E10D8E">
        <w:t xml:space="preserve"> partnerships with civil society, multilateral organisations and the private sector. For example, we have established a new country partnership with The Asia Foundation and continue </w:t>
      </w:r>
      <w:r w:rsidR="002A242F">
        <w:t xml:space="preserve">policy and analysis </w:t>
      </w:r>
      <w:r w:rsidR="00F50833">
        <w:t>work</w:t>
      </w:r>
      <w:r w:rsidR="002A242F">
        <w:t xml:space="preserve"> </w:t>
      </w:r>
      <w:r w:rsidRPr="00E10D8E">
        <w:t>with the World Bank. These partnerships</w:t>
      </w:r>
      <w:r w:rsidR="00855402">
        <w:t xml:space="preserve"> </w:t>
      </w:r>
      <w:r w:rsidRPr="00E10D8E">
        <w:t xml:space="preserve">enable us to better coordinate development efforts, share resources, extend our reach and leverage the expertise and comparative advantage of our partners. </w:t>
      </w:r>
    </w:p>
    <w:p w14:paraId="7FF9DF82" w14:textId="6AF0BE75" w:rsidR="001557A3" w:rsidRDefault="006A5F2C" w:rsidP="0080598D">
      <w:pPr>
        <w:pStyle w:val="BodyText"/>
      </w:pPr>
      <w:r>
        <w:t>The Development Assistance C</w:t>
      </w:r>
      <w:r w:rsidRPr="00E10D8E">
        <w:t xml:space="preserve">ommittee </w:t>
      </w:r>
      <w:r>
        <w:t xml:space="preserve">(DAC) </w:t>
      </w:r>
      <w:r w:rsidRPr="00E10D8E">
        <w:t xml:space="preserve">of the Organisation for Economic Cooperation and Development </w:t>
      </w:r>
      <w:r>
        <w:t xml:space="preserve">(OECD) </w:t>
      </w:r>
      <w:r w:rsidRPr="00E10D8E">
        <w:t xml:space="preserve">reviewed Australia’s aid program in October 2012. The Philippines was </w:t>
      </w:r>
      <w:r>
        <w:t>chosen as the site visit for</w:t>
      </w:r>
      <w:r w:rsidRPr="00E10D8E">
        <w:t xml:space="preserve"> the review. The final report </w:t>
      </w:r>
      <w:r w:rsidR="00A767EF" w:rsidRPr="00E10D8E">
        <w:t>state</w:t>
      </w:r>
      <w:r w:rsidR="00A767EF">
        <w:t>d</w:t>
      </w:r>
      <w:r w:rsidR="00A767EF" w:rsidRPr="00E10D8E">
        <w:t xml:space="preserve"> </w:t>
      </w:r>
      <w:r w:rsidRPr="00E10D8E">
        <w:t>that</w:t>
      </w:r>
      <w:r w:rsidR="001557A3">
        <w:t>:</w:t>
      </w:r>
    </w:p>
    <w:p w14:paraId="1C896486" w14:textId="43E340F8" w:rsidR="001557A3" w:rsidRPr="0080598D" w:rsidRDefault="006A5F2C" w:rsidP="0080598D">
      <w:pPr>
        <w:pStyle w:val="BodyText"/>
        <w:rPr>
          <w:i/>
        </w:rPr>
      </w:pPr>
      <w:r w:rsidRPr="0080598D">
        <w:rPr>
          <w:i/>
        </w:rPr>
        <w:t>“The Australia</w:t>
      </w:r>
      <w:r w:rsidR="00116065" w:rsidRPr="0080598D">
        <w:rPr>
          <w:i/>
        </w:rPr>
        <w:t>–</w:t>
      </w:r>
      <w:r w:rsidRPr="0080598D">
        <w:rPr>
          <w:i/>
        </w:rPr>
        <w:t>Philippines Aid Programme Strategy 2012</w:t>
      </w:r>
      <w:r w:rsidR="001557A3" w:rsidRPr="0080598D">
        <w:rPr>
          <w:i/>
        </w:rPr>
        <w:t>–</w:t>
      </w:r>
      <w:r w:rsidRPr="0080598D">
        <w:rPr>
          <w:i/>
        </w:rPr>
        <w:t xml:space="preserve">17 provides a clear and strategic rationale for Australia’s development co-operation in this middle-income country and has the long-term goal of institutional strengthening. It balances this with the need for short-term results, building on lessons learned from the evaluation of the previous bilateral programme”. </w:t>
      </w:r>
    </w:p>
    <w:p w14:paraId="739BA496" w14:textId="0BDBCF8D" w:rsidR="00247DF7" w:rsidRDefault="006A5F2C" w:rsidP="00541B3F">
      <w:pPr>
        <w:pStyle w:val="BodyText"/>
      </w:pPr>
      <w:r w:rsidRPr="00E10D8E">
        <w:t>The report goes on to say</w:t>
      </w:r>
      <w:r w:rsidR="00381E77">
        <w:t xml:space="preserve"> the Australia-Philippines Aid Program Strategy has championed change in other country programs and driven department-wide change.</w:t>
      </w:r>
    </w:p>
    <w:p w14:paraId="37E3231E" w14:textId="0AB60335" w:rsidR="00541B3F" w:rsidRDefault="00541B3F">
      <w:pPr>
        <w:spacing w:after="200" w:line="276" w:lineRule="auto"/>
        <w:rPr>
          <w:rFonts w:eastAsia="Times New Roman"/>
          <w:sz w:val="22"/>
        </w:rPr>
      </w:pPr>
    </w:p>
    <w:p w14:paraId="1FA70F38" w14:textId="2FC1C659" w:rsidR="006A5F2C" w:rsidRPr="00E10D8E" w:rsidRDefault="006A5F2C" w:rsidP="0080598D">
      <w:pPr>
        <w:pStyle w:val="BodyText"/>
      </w:pPr>
      <w:r>
        <w:t>K</w:t>
      </w:r>
      <w:r w:rsidRPr="00E10D8E">
        <w:t xml:space="preserve">ey achievements in this </w:t>
      </w:r>
      <w:r w:rsidR="00B0539B">
        <w:t xml:space="preserve">reporting </w:t>
      </w:r>
      <w:r w:rsidR="000C6EE0">
        <w:t>period</w:t>
      </w:r>
      <w:r w:rsidR="00247DF7">
        <w:t xml:space="preserve"> include</w:t>
      </w:r>
      <w:r w:rsidR="000C6EE0">
        <w:t>:</w:t>
      </w:r>
    </w:p>
    <w:p w14:paraId="66FF8AAB" w14:textId="48829E18" w:rsidR="006A5F2C" w:rsidRDefault="00247DF7" w:rsidP="0080598D">
      <w:pPr>
        <w:pStyle w:val="ListBullet"/>
      </w:pPr>
      <w:r w:rsidRPr="00E10D8E">
        <w:lastRenderedPageBreak/>
        <w:t>establish</w:t>
      </w:r>
      <w:r>
        <w:t xml:space="preserve">ing </w:t>
      </w:r>
      <w:r w:rsidR="006A5F2C" w:rsidRPr="00E10D8E">
        <w:t>410 community schools in remote and marginalised communities</w:t>
      </w:r>
      <w:r w:rsidR="00855402">
        <w:t xml:space="preserve"> </w:t>
      </w:r>
      <w:r w:rsidR="00A767EF">
        <w:t xml:space="preserve">which is </w:t>
      </w:r>
      <w:r w:rsidR="006A5F2C" w:rsidRPr="00E10D8E">
        <w:t>providing 12</w:t>
      </w:r>
      <w:r>
        <w:t xml:space="preserve"> </w:t>
      </w:r>
      <w:r w:rsidR="006A5F2C" w:rsidRPr="00E10D8E">
        <w:t>000 children with their first opportunity to go to school</w:t>
      </w:r>
      <w:r w:rsidR="006A5F2C">
        <w:t>,</w:t>
      </w:r>
      <w:r w:rsidR="006A5F2C" w:rsidRPr="00E10D8E">
        <w:t xml:space="preserve"> </w:t>
      </w:r>
      <w:r w:rsidR="006A5F2C">
        <w:t>as part of the Basic Education Assistance in Mindanao program launched in 2012</w:t>
      </w:r>
    </w:p>
    <w:p w14:paraId="2E16C1FA" w14:textId="27FCFFFE" w:rsidR="006A5F2C" w:rsidRPr="00E10D8E" w:rsidRDefault="00247DF7" w:rsidP="0080598D">
      <w:pPr>
        <w:pStyle w:val="ListBullet"/>
      </w:pPr>
      <w:proofErr w:type="gramStart"/>
      <w:r>
        <w:t>cleansing</w:t>
      </w:r>
      <w:proofErr w:type="gramEnd"/>
      <w:r>
        <w:t xml:space="preserve"> t</w:t>
      </w:r>
      <w:r w:rsidR="006A5F2C" w:rsidRPr="00E10D8E">
        <w:t>he A</w:t>
      </w:r>
      <w:r w:rsidR="00A20AF1">
        <w:t xml:space="preserve">utonomous Region </w:t>
      </w:r>
      <w:r w:rsidR="00177023">
        <w:t>of</w:t>
      </w:r>
      <w:r w:rsidR="00A20AF1">
        <w:t xml:space="preserve"> Muslim Mindanao (</w:t>
      </w:r>
      <w:r w:rsidR="006A5F2C" w:rsidRPr="00E10D8E">
        <w:t>ARMM</w:t>
      </w:r>
      <w:r w:rsidR="00A20AF1">
        <w:t>)</w:t>
      </w:r>
      <w:r w:rsidR="006A5F2C" w:rsidRPr="00E10D8E">
        <w:t xml:space="preserve"> electoral roll of 477</w:t>
      </w:r>
      <w:r>
        <w:t xml:space="preserve"> </w:t>
      </w:r>
      <w:r w:rsidR="006A5F2C" w:rsidRPr="00E10D8E">
        <w:t>964 non-existent or ineligible voters</w:t>
      </w:r>
      <w:r w:rsidR="005D7A4F">
        <w:rPr>
          <w:rStyle w:val="FootnoteReference"/>
        </w:rPr>
        <w:footnoteReference w:id="2"/>
      </w:r>
      <w:r w:rsidR="006A5F2C" w:rsidRPr="00E10D8E">
        <w:t xml:space="preserve"> with civil society oversight</w:t>
      </w:r>
      <w:r>
        <w:t>,</w:t>
      </w:r>
      <w:r w:rsidR="006A5F2C" w:rsidRPr="00E10D8E">
        <w:t xml:space="preserve"> and monitoring a voter re-registration process. </w:t>
      </w:r>
      <w:r w:rsidR="004B0786">
        <w:t>This</w:t>
      </w:r>
      <w:r w:rsidR="006A5F2C" w:rsidRPr="00E10D8E">
        <w:t xml:space="preserve"> paved the way for more orderly, honest, peaceful, and credible elections in ARMM</w:t>
      </w:r>
      <w:r w:rsidR="006A5F2C">
        <w:t>, at a time when credibility is critical to negotiations for a new political entity</w:t>
      </w:r>
    </w:p>
    <w:p w14:paraId="3A1C615F" w14:textId="5D949EC0" w:rsidR="006A5F2C" w:rsidRPr="00E10D8E" w:rsidRDefault="00247DF7" w:rsidP="0080598D">
      <w:pPr>
        <w:pStyle w:val="ListBullet"/>
      </w:pPr>
      <w:r>
        <w:t xml:space="preserve">providing </w:t>
      </w:r>
      <w:r w:rsidR="006A5F2C" w:rsidRPr="00E10D8E">
        <w:t>$10.55 million to help more than 500</w:t>
      </w:r>
      <w:r>
        <w:t xml:space="preserve"> </w:t>
      </w:r>
      <w:r w:rsidR="006A5F2C" w:rsidRPr="00E10D8E">
        <w:t>000 people affected by category fi</w:t>
      </w:r>
      <w:r w:rsidR="006A5F2C">
        <w:t xml:space="preserve">ve Typhoon </w:t>
      </w:r>
      <w:proofErr w:type="spellStart"/>
      <w:r w:rsidR="006A5F2C">
        <w:t>Bopha</w:t>
      </w:r>
      <w:proofErr w:type="spellEnd"/>
    </w:p>
    <w:p w14:paraId="6DD05346" w14:textId="1567850B" w:rsidR="006A5F2C" w:rsidRPr="00E10D8E" w:rsidRDefault="00247DF7" w:rsidP="0080598D">
      <w:pPr>
        <w:pStyle w:val="ListBullet"/>
      </w:pPr>
      <w:r>
        <w:t>i</w:t>
      </w:r>
      <w:r w:rsidR="00B0539B">
        <w:t>ncreas</w:t>
      </w:r>
      <w:r>
        <w:t>ing the government’s</w:t>
      </w:r>
      <w:r w:rsidR="00B0539B">
        <w:t xml:space="preserve"> t</w:t>
      </w:r>
      <w:r w:rsidR="006A5F2C">
        <w:t>ransparency and accountability by promoting and enabling civil society scrutiny and participation, including</w:t>
      </w:r>
      <w:r w:rsidR="00855402">
        <w:t xml:space="preserve"> </w:t>
      </w:r>
      <w:r w:rsidR="006A5F2C">
        <w:t>through a participatory audit of a government flood control plan</w:t>
      </w:r>
      <w:r>
        <w:t xml:space="preserve">, </w:t>
      </w:r>
      <w:r w:rsidR="006A5F2C">
        <w:t xml:space="preserve">support for a coalition which lobbied successfully for passage of an important </w:t>
      </w:r>
      <w:r w:rsidR="00746FC7">
        <w:t xml:space="preserve">excise </w:t>
      </w:r>
      <w:r w:rsidR="006A5F2C">
        <w:t>tax reform bill</w:t>
      </w:r>
      <w:r>
        <w:t xml:space="preserve">, </w:t>
      </w:r>
      <w:r w:rsidR="006A5F2C">
        <w:t>and support for the Philippine application for E</w:t>
      </w:r>
      <w:r w:rsidR="005D7A4F">
        <w:t xml:space="preserve">xtractive </w:t>
      </w:r>
      <w:r w:rsidR="006A5F2C">
        <w:t>I</w:t>
      </w:r>
      <w:r w:rsidR="005D7A4F">
        <w:t xml:space="preserve">ndustry </w:t>
      </w:r>
      <w:r w:rsidR="006A5F2C">
        <w:t>T</w:t>
      </w:r>
      <w:r w:rsidR="005D7A4F">
        <w:t xml:space="preserve">ransparency </w:t>
      </w:r>
      <w:r w:rsidR="006A5F2C">
        <w:t>I</w:t>
      </w:r>
      <w:r w:rsidR="005D7A4F">
        <w:t>nitiative</w:t>
      </w:r>
      <w:r w:rsidR="006A5F2C">
        <w:t xml:space="preserve"> candidacy.</w:t>
      </w:r>
    </w:p>
    <w:p w14:paraId="6C17957E" w14:textId="77777777" w:rsidR="00180B19" w:rsidRPr="0080598D" w:rsidRDefault="003A7C11" w:rsidP="0080598D">
      <w:pPr>
        <w:pStyle w:val="Heading1"/>
      </w:pPr>
      <w:r w:rsidRPr="0080598D">
        <w:t>Context</w:t>
      </w:r>
    </w:p>
    <w:p w14:paraId="5FCF06B8" w14:textId="77744B2F" w:rsidR="000C46AB" w:rsidRDefault="0082739F" w:rsidP="0080598D">
      <w:pPr>
        <w:pStyle w:val="BodyText"/>
      </w:pPr>
      <w:r>
        <w:t>During 2012</w:t>
      </w:r>
      <w:r w:rsidR="00A20AF1">
        <w:t>–</w:t>
      </w:r>
      <w:r>
        <w:t>13, t</w:t>
      </w:r>
      <w:r w:rsidR="000C46AB" w:rsidRPr="003D2940">
        <w:t xml:space="preserve">he </w:t>
      </w:r>
      <w:r w:rsidR="00B776A1" w:rsidRPr="003D2940">
        <w:t>Philippines</w:t>
      </w:r>
      <w:r w:rsidR="000C46AB" w:rsidRPr="003D2940">
        <w:t xml:space="preserve"> has benefited from improved economic fundamentals. Economic growth at </w:t>
      </w:r>
      <w:r w:rsidR="000643C0" w:rsidRPr="003D2940">
        <w:t xml:space="preserve">6.6 </w:t>
      </w:r>
      <w:r w:rsidR="000C46AB" w:rsidRPr="003D2940">
        <w:t xml:space="preserve">per cent was the highest in the </w:t>
      </w:r>
      <w:r w:rsidR="0039747A" w:rsidRPr="003D2940">
        <w:t xml:space="preserve">South East Asia </w:t>
      </w:r>
      <w:r w:rsidR="000C46AB" w:rsidRPr="003D2940">
        <w:t xml:space="preserve">region in 2012 and the Philippines is on the point of graduating into upper-middle-income status. Based on </w:t>
      </w:r>
      <w:r w:rsidR="00A767EF">
        <w:t xml:space="preserve">its </w:t>
      </w:r>
      <w:r w:rsidR="000C46AB" w:rsidRPr="003D2940">
        <w:t>strong fiscal management</w:t>
      </w:r>
      <w:r w:rsidR="00A767EF">
        <w:t>,</w:t>
      </w:r>
      <w:r w:rsidR="000C46AB" w:rsidRPr="003D2940">
        <w:t xml:space="preserve"> the country secured investment-grade status for the first time in early 2013.</w:t>
      </w:r>
    </w:p>
    <w:p w14:paraId="2441BC1A" w14:textId="5892A526" w:rsidR="00BB786E" w:rsidRPr="00754A8F" w:rsidRDefault="000C46AB" w:rsidP="0080598D">
      <w:pPr>
        <w:pStyle w:val="BodyText"/>
      </w:pPr>
      <w:r w:rsidRPr="00754A8F">
        <w:t>The Philippines Development Plan 2011</w:t>
      </w:r>
      <w:r w:rsidR="00A20AF1">
        <w:t>–</w:t>
      </w:r>
      <w:r w:rsidRPr="00754A8F">
        <w:t xml:space="preserve">2016 presents the </w:t>
      </w:r>
      <w:r w:rsidR="008D6E83">
        <w:t xml:space="preserve">Philippine </w:t>
      </w:r>
      <w:r w:rsidR="006847AF">
        <w:t>G</w:t>
      </w:r>
      <w:r w:rsidRPr="00754A8F">
        <w:t xml:space="preserve">overnment’s development priorities. President Aquino’s </w:t>
      </w:r>
      <w:r w:rsidR="00247DF7" w:rsidRPr="00754A8F">
        <w:t>social c</w:t>
      </w:r>
      <w:r w:rsidRPr="00754A8F">
        <w:t xml:space="preserve">ontract with the Filipino people </w:t>
      </w:r>
      <w:r w:rsidR="004B0786">
        <w:t>identifies</w:t>
      </w:r>
      <w:r w:rsidR="004B0786" w:rsidRPr="00754A8F">
        <w:t xml:space="preserve"> </w:t>
      </w:r>
      <w:r w:rsidR="00746FC7">
        <w:t>1</w:t>
      </w:r>
      <w:r w:rsidR="007271D2">
        <w:t>6</w:t>
      </w:r>
      <w:r w:rsidRPr="00754A8F">
        <w:t xml:space="preserve"> priority development issues. </w:t>
      </w:r>
      <w:r w:rsidR="004B0786">
        <w:t>In these</w:t>
      </w:r>
      <w:r w:rsidR="00A20AF1">
        <w:t xml:space="preserve"> </w:t>
      </w:r>
      <w:r w:rsidRPr="00754A8F">
        <w:t>documents</w:t>
      </w:r>
      <w:r w:rsidR="004B0786">
        <w:t xml:space="preserve">, the </w:t>
      </w:r>
      <w:r w:rsidR="00247DF7">
        <w:t>government</w:t>
      </w:r>
      <w:r w:rsidR="00247DF7" w:rsidRPr="00754A8F">
        <w:t xml:space="preserve"> </w:t>
      </w:r>
      <w:r w:rsidR="00247DF7">
        <w:t>emphasises</w:t>
      </w:r>
      <w:r w:rsidR="00247DF7" w:rsidRPr="00754A8F">
        <w:t xml:space="preserve"> </w:t>
      </w:r>
      <w:r w:rsidRPr="00754A8F">
        <w:t xml:space="preserve">the importance of addressing poor governance and pervasive corruption as top priorities. </w:t>
      </w:r>
      <w:r w:rsidR="00BB786E" w:rsidRPr="00754A8F">
        <w:t xml:space="preserve">The 2013 national budget </w:t>
      </w:r>
      <w:r w:rsidR="00177023">
        <w:t>(</w:t>
      </w:r>
      <w:r w:rsidR="00BB786E" w:rsidRPr="00754A8F">
        <w:t xml:space="preserve">the </w:t>
      </w:r>
      <w:r w:rsidR="00247DF7">
        <w:t>a</w:t>
      </w:r>
      <w:r w:rsidR="00247DF7" w:rsidRPr="00754A8F">
        <w:t xml:space="preserve">dministration’s </w:t>
      </w:r>
      <w:r w:rsidR="00BB786E" w:rsidRPr="00754A8F">
        <w:t>third</w:t>
      </w:r>
      <w:r w:rsidR="00177023">
        <w:t>)</w:t>
      </w:r>
      <w:r w:rsidR="00BB786E" w:rsidRPr="00754A8F">
        <w:t xml:space="preserve">, </w:t>
      </w:r>
      <w:r w:rsidR="004B0786">
        <w:t>also</w:t>
      </w:r>
      <w:r w:rsidR="00BB786E" w:rsidRPr="00754A8F">
        <w:t xml:space="preserve"> support</w:t>
      </w:r>
      <w:r w:rsidR="004B0786">
        <w:t>s</w:t>
      </w:r>
      <w:r w:rsidR="00BB786E" w:rsidRPr="00754A8F">
        <w:t xml:space="preserve"> these priorities, along with transparency, empowering the poor and generating more inclusive growth and jobs. The government </w:t>
      </w:r>
      <w:r w:rsidR="00A767EF">
        <w:t xml:space="preserve">has </w:t>
      </w:r>
      <w:r w:rsidR="0048376A">
        <w:t xml:space="preserve">focused on these priorities </w:t>
      </w:r>
      <w:r w:rsidR="00746FC7">
        <w:t xml:space="preserve">and </w:t>
      </w:r>
      <w:r w:rsidR="00BB786E" w:rsidRPr="00754A8F">
        <w:t>was able</w:t>
      </w:r>
      <w:r w:rsidR="00746FC7">
        <w:t xml:space="preserve"> </w:t>
      </w:r>
      <w:r w:rsidR="00BB786E" w:rsidRPr="00754A8F">
        <w:t>to improve the execution of its public investments in 2012, with overall spending increasing by 14 per cent.</w:t>
      </w:r>
    </w:p>
    <w:p w14:paraId="08DA0392" w14:textId="0CD67D79" w:rsidR="000C46AB" w:rsidRPr="00754A8F" w:rsidRDefault="000C46AB" w:rsidP="0080598D">
      <w:pPr>
        <w:pStyle w:val="BodyText"/>
      </w:pPr>
      <w:r w:rsidRPr="00754A8F">
        <w:t>To demonstrate its commitment to greater transparency, effectiveness and accountability</w:t>
      </w:r>
      <w:r w:rsidR="007271D2">
        <w:t>,</w:t>
      </w:r>
      <w:r w:rsidRPr="00754A8F">
        <w:t xml:space="preserve"> the </w:t>
      </w:r>
      <w:r w:rsidR="00177023">
        <w:t>Philippine</w:t>
      </w:r>
      <w:r w:rsidRPr="00754A8F">
        <w:t xml:space="preserve"> Government was one of the founding members of </w:t>
      </w:r>
      <w:r w:rsidR="007B012E">
        <w:t xml:space="preserve">the </w:t>
      </w:r>
      <w:r w:rsidRPr="00754A8F">
        <w:t>Open Government Partnership. The administration’s focus on enhancing governance to improve economic and social outcomes is yielding some positive results. T</w:t>
      </w:r>
      <w:r w:rsidR="00BB786E" w:rsidRPr="00754A8F">
        <w:t>he Philippines climbed 24</w:t>
      </w:r>
      <w:r w:rsidRPr="00754A8F">
        <w:t xml:space="preserve"> places in Transparency International’s Corruption Perceptions Index in 2012</w:t>
      </w:r>
      <w:r w:rsidR="00247DF7">
        <w:t>,</w:t>
      </w:r>
      <w:r w:rsidR="007271D2">
        <w:rPr>
          <w:rStyle w:val="FootnoteReference"/>
        </w:rPr>
        <w:footnoteReference w:id="3"/>
      </w:r>
      <w:r w:rsidRPr="00754A8F">
        <w:t xml:space="preserve"> ranking 105</w:t>
      </w:r>
      <w:r w:rsidR="004E47E8" w:rsidRPr="004E47E8">
        <w:rPr>
          <w:vertAlign w:val="superscript"/>
        </w:rPr>
        <w:t>th</w:t>
      </w:r>
      <w:r w:rsidR="004E47E8">
        <w:t xml:space="preserve"> </w:t>
      </w:r>
      <w:r w:rsidRPr="00754A8F">
        <w:t xml:space="preserve">out of 174 countries, </w:t>
      </w:r>
      <w:r w:rsidR="00247DF7">
        <w:t xml:space="preserve">and </w:t>
      </w:r>
      <w:r w:rsidRPr="00754A8F">
        <w:t>overtaking Indonesia and Vietnam.</w:t>
      </w:r>
    </w:p>
    <w:p w14:paraId="2EC7AE83" w14:textId="4405050E" w:rsidR="003D2940" w:rsidRDefault="004B0786" w:rsidP="0080598D">
      <w:pPr>
        <w:pStyle w:val="BodyText"/>
      </w:pPr>
      <w:r>
        <w:t xml:space="preserve">The following </w:t>
      </w:r>
      <w:r w:rsidR="000C46AB" w:rsidRPr="00754A8F">
        <w:t xml:space="preserve">laws </w:t>
      </w:r>
      <w:r w:rsidR="002B4437">
        <w:t xml:space="preserve">enacted in 2012 are </w:t>
      </w:r>
      <w:r w:rsidR="007B012E">
        <w:t xml:space="preserve">critical to the </w:t>
      </w:r>
      <w:r w:rsidR="00177023">
        <w:t xml:space="preserve">sustainability of the </w:t>
      </w:r>
      <w:r w:rsidR="00247DF7">
        <w:t xml:space="preserve">government’s </w:t>
      </w:r>
      <w:r w:rsidR="007B012E">
        <w:t>reform agenda</w:t>
      </w:r>
      <w:r>
        <w:t>:</w:t>
      </w:r>
      <w:r w:rsidR="003D2940">
        <w:t xml:space="preserve"> </w:t>
      </w:r>
    </w:p>
    <w:p w14:paraId="3D7EB374" w14:textId="56753FF8" w:rsidR="003D2940" w:rsidRDefault="00247DF7" w:rsidP="0080598D">
      <w:pPr>
        <w:pStyle w:val="ListBullet"/>
      </w:pPr>
      <w:proofErr w:type="gramStart"/>
      <w:r>
        <w:t>t</w:t>
      </w:r>
      <w:r w:rsidRPr="00754A8F">
        <w:t>he</w:t>
      </w:r>
      <w:proofErr w:type="gramEnd"/>
      <w:r w:rsidRPr="00754A8F">
        <w:t xml:space="preserve"> </w:t>
      </w:r>
      <w:r w:rsidR="000C46AB" w:rsidRPr="00754A8F">
        <w:t xml:space="preserve">Excise Tax Reform </w:t>
      </w:r>
      <w:r w:rsidR="00514336" w:rsidRPr="00754A8F">
        <w:t>Act</w:t>
      </w:r>
      <w:r>
        <w:t>, which</w:t>
      </w:r>
      <w:r w:rsidR="00514336" w:rsidRPr="00754A8F">
        <w:t xml:space="preserve"> </w:t>
      </w:r>
      <w:r w:rsidR="00514336">
        <w:t>improves</w:t>
      </w:r>
      <w:r w:rsidR="000C46AB" w:rsidRPr="00754A8F">
        <w:t xml:space="preserve"> fiscal sustainability by raising taxes on tobacco and alcohol. </w:t>
      </w:r>
      <w:r w:rsidR="00EC0EE5" w:rsidRPr="00754A8F">
        <w:t xml:space="preserve">The law is expected to deliver </w:t>
      </w:r>
      <w:r w:rsidR="00EC0EE5">
        <w:t xml:space="preserve">substantial annual revenue to the </w:t>
      </w:r>
      <w:r>
        <w:t>government</w:t>
      </w:r>
      <w:r w:rsidR="00EC0EE5" w:rsidRPr="00754A8F">
        <w:t>, which will be allocated to cover universal health care costs</w:t>
      </w:r>
    </w:p>
    <w:p w14:paraId="40B73724" w14:textId="44AF8FA5" w:rsidR="003D2940" w:rsidRDefault="00247DF7" w:rsidP="0080598D">
      <w:pPr>
        <w:pStyle w:val="ListBullet"/>
      </w:pPr>
      <w:r>
        <w:t>t</w:t>
      </w:r>
      <w:r w:rsidRPr="00754A8F">
        <w:t xml:space="preserve">he </w:t>
      </w:r>
      <w:r w:rsidR="0082739F">
        <w:t xml:space="preserve">Enhanced Basic Education </w:t>
      </w:r>
      <w:r w:rsidR="000C46AB" w:rsidRPr="00754A8F">
        <w:t>Act</w:t>
      </w:r>
      <w:r>
        <w:t>, which has</w:t>
      </w:r>
      <w:r w:rsidR="002B4437">
        <w:t xml:space="preserve"> </w:t>
      </w:r>
      <w:r w:rsidR="000C46AB" w:rsidRPr="00754A8F">
        <w:t>lock</w:t>
      </w:r>
      <w:r>
        <w:t>ed</w:t>
      </w:r>
      <w:r w:rsidR="000C46AB" w:rsidRPr="00754A8F">
        <w:t xml:space="preserve"> in the administration’s </w:t>
      </w:r>
      <w:r w:rsidR="003760CB">
        <w:t xml:space="preserve">kindergarten </w:t>
      </w:r>
      <w:r w:rsidR="0082739F">
        <w:t>to</w:t>
      </w:r>
      <w:r w:rsidR="003760CB">
        <w:t xml:space="preserve"> </w:t>
      </w:r>
      <w:r w:rsidR="001E5904">
        <w:t>grade</w:t>
      </w:r>
      <w:r w:rsidR="0082739F">
        <w:t xml:space="preserve"> 12 </w:t>
      </w:r>
      <w:r w:rsidR="000C46AB" w:rsidRPr="00754A8F">
        <w:t>education policy</w:t>
      </w:r>
    </w:p>
    <w:p w14:paraId="4FCB3D4A" w14:textId="311DEF9D" w:rsidR="0039747A" w:rsidRPr="00754A8F" w:rsidRDefault="00247DF7" w:rsidP="0080598D">
      <w:pPr>
        <w:pStyle w:val="ListBullet"/>
      </w:pPr>
      <w:proofErr w:type="gramStart"/>
      <w:r>
        <w:lastRenderedPageBreak/>
        <w:t>t</w:t>
      </w:r>
      <w:r w:rsidRPr="001E5904">
        <w:t>he</w:t>
      </w:r>
      <w:proofErr w:type="gramEnd"/>
      <w:r w:rsidRPr="001E5904">
        <w:t xml:space="preserve"> </w:t>
      </w:r>
      <w:r w:rsidR="000C2517" w:rsidRPr="001E5904">
        <w:t xml:space="preserve">Reproductive Health </w:t>
      </w:r>
      <w:r w:rsidR="000C46AB" w:rsidRPr="001E5904">
        <w:t>Act</w:t>
      </w:r>
      <w:r>
        <w:t xml:space="preserve">, which </w:t>
      </w:r>
      <w:r w:rsidR="00754A8F" w:rsidRPr="001E5904">
        <w:t>address</w:t>
      </w:r>
      <w:r>
        <w:t>es</w:t>
      </w:r>
      <w:r w:rsidR="00754A8F" w:rsidRPr="001E5904">
        <w:t xml:space="preserve"> maternal and child mortality and rapid</w:t>
      </w:r>
      <w:r w:rsidR="00754A8F" w:rsidRPr="00754A8F">
        <w:t xml:space="preserve"> population growth that is exacerbating poverty in the poorest and most vulnerable communities</w:t>
      </w:r>
      <w:r w:rsidR="003D2940">
        <w:t>.</w:t>
      </w:r>
    </w:p>
    <w:p w14:paraId="42FB1839" w14:textId="72A8F0B8" w:rsidR="007E4324" w:rsidRPr="00754A8F" w:rsidRDefault="007E4324" w:rsidP="0080598D">
      <w:pPr>
        <w:pStyle w:val="BodyText"/>
      </w:pPr>
      <w:r w:rsidRPr="00754A8F">
        <w:t xml:space="preserve">In October 2012, the Framework Agreement on the Bangsamoro, an important preliminary step towards resolving decades of armed conflict in central and western Mindanao, was signed by the </w:t>
      </w:r>
      <w:r w:rsidR="00247DF7">
        <w:t>g</w:t>
      </w:r>
      <w:r w:rsidR="00247DF7" w:rsidRPr="00754A8F">
        <w:t xml:space="preserve">overnment </w:t>
      </w:r>
      <w:r w:rsidRPr="00754A8F">
        <w:t xml:space="preserve">and the Moro Islamic Liberation Front. The agreement calls for the Bangsamoro </w:t>
      </w:r>
      <w:r w:rsidR="00247DF7">
        <w:t>to be</w:t>
      </w:r>
      <w:r w:rsidR="00247DF7" w:rsidRPr="00754A8F">
        <w:t xml:space="preserve"> establish</w:t>
      </w:r>
      <w:r w:rsidR="00247DF7">
        <w:t xml:space="preserve">ed </w:t>
      </w:r>
      <w:r w:rsidRPr="00754A8F">
        <w:t xml:space="preserve">as a new regional political entity to replace </w:t>
      </w:r>
      <w:r w:rsidR="00247DF7">
        <w:t>ARMM.</w:t>
      </w:r>
      <w:r w:rsidR="00247DF7" w:rsidRPr="00754A8F">
        <w:t xml:space="preserve"> </w:t>
      </w:r>
    </w:p>
    <w:p w14:paraId="35DD2277" w14:textId="455849ED" w:rsidR="000C46AB" w:rsidRPr="00754A8F" w:rsidRDefault="000C46AB" w:rsidP="0080598D">
      <w:pPr>
        <w:pStyle w:val="BodyText"/>
      </w:pPr>
      <w:r w:rsidRPr="00754A8F">
        <w:t xml:space="preserve">These positive developments contrast with other results that have been mixed. </w:t>
      </w:r>
      <w:r w:rsidR="009A0453">
        <w:t xml:space="preserve">Since 2006 </w:t>
      </w:r>
      <w:r w:rsidR="00C23F8F">
        <w:t>t</w:t>
      </w:r>
      <w:r w:rsidRPr="00754A8F">
        <w:t xml:space="preserve">he number </w:t>
      </w:r>
      <w:r w:rsidR="00B776A1">
        <w:t xml:space="preserve">(39 </w:t>
      </w:r>
      <w:r w:rsidRPr="00754A8F">
        <w:t>m</w:t>
      </w:r>
      <w:r w:rsidR="000C2517" w:rsidRPr="00754A8F">
        <w:t>illion</w:t>
      </w:r>
      <w:r w:rsidRPr="00754A8F">
        <w:t xml:space="preserve">) and percentage (44 per cent) of the population living on less than </w:t>
      </w:r>
      <w:r w:rsidR="00BE5645">
        <w:t>US</w:t>
      </w:r>
      <w:r w:rsidR="00247DF7">
        <w:t>D</w:t>
      </w:r>
      <w:r w:rsidRPr="00754A8F">
        <w:t xml:space="preserve">2 </w:t>
      </w:r>
      <w:r w:rsidR="00247DF7">
        <w:t>a</w:t>
      </w:r>
      <w:r w:rsidR="00247DF7" w:rsidRPr="00754A8F">
        <w:t xml:space="preserve"> </w:t>
      </w:r>
      <w:r w:rsidRPr="00754A8F">
        <w:t xml:space="preserve">day </w:t>
      </w:r>
      <w:r w:rsidR="009A0453">
        <w:t xml:space="preserve">has </w:t>
      </w:r>
      <w:r w:rsidR="00514336" w:rsidRPr="00754A8F">
        <w:t>remained</w:t>
      </w:r>
      <w:r w:rsidRPr="00754A8F">
        <w:t xml:space="preserve"> </w:t>
      </w:r>
      <w:r w:rsidR="009A0453">
        <w:t xml:space="preserve">largely </w:t>
      </w:r>
      <w:r w:rsidRPr="00754A8F">
        <w:t>unchanged highlight</w:t>
      </w:r>
      <w:r w:rsidR="00C23F8F">
        <w:t>ing</w:t>
      </w:r>
      <w:r w:rsidRPr="00754A8F">
        <w:t xml:space="preserve"> the depth of entrenched regional dispa</w:t>
      </w:r>
      <w:r w:rsidR="00C25134" w:rsidRPr="00754A8F">
        <w:t>rities and social inequalities.</w:t>
      </w:r>
    </w:p>
    <w:p w14:paraId="7F800E50" w14:textId="6C7D8BBA" w:rsidR="000C46AB" w:rsidRPr="00754A8F" w:rsidRDefault="000C46AB" w:rsidP="0080598D">
      <w:pPr>
        <w:pStyle w:val="BodyText"/>
      </w:pPr>
      <w:r w:rsidRPr="00754A8F">
        <w:t>The U</w:t>
      </w:r>
      <w:r w:rsidR="00247DF7">
        <w:t xml:space="preserve">nited </w:t>
      </w:r>
      <w:r w:rsidRPr="00754A8F">
        <w:t>N</w:t>
      </w:r>
      <w:r w:rsidR="00247DF7">
        <w:t>ations</w:t>
      </w:r>
      <w:r w:rsidRPr="00754A8F">
        <w:t xml:space="preserve"> Human Development Report 2013</w:t>
      </w:r>
      <w:r w:rsidRPr="00754A8F">
        <w:rPr>
          <w:rStyle w:val="FootnoteReference"/>
        </w:rPr>
        <w:footnoteReference w:id="4"/>
      </w:r>
      <w:r w:rsidRPr="00754A8F">
        <w:t xml:space="preserve"> ranks the Philippines at 114</w:t>
      </w:r>
      <w:r w:rsidR="004E47E8">
        <w:t xml:space="preserve"> </w:t>
      </w:r>
      <w:r w:rsidR="00C23F8F">
        <w:t xml:space="preserve">out of </w:t>
      </w:r>
      <w:r w:rsidR="001E5904">
        <w:t>186</w:t>
      </w:r>
      <w:r w:rsidR="00D028E1">
        <w:t xml:space="preserve"> </w:t>
      </w:r>
      <w:r w:rsidR="000D23DB">
        <w:t>countries</w:t>
      </w:r>
      <w:r w:rsidR="00C23F8F">
        <w:t xml:space="preserve"> </w:t>
      </w:r>
      <w:r w:rsidRPr="00754A8F">
        <w:t>on the Human Develo</w:t>
      </w:r>
      <w:r w:rsidR="000C2517" w:rsidRPr="00754A8F">
        <w:t>pment Index which is a drop of two</w:t>
      </w:r>
      <w:r w:rsidRPr="00754A8F">
        <w:t xml:space="preserve"> places on the previous year. The country is currently unlikely to achieve the Millennium Development Goal targets for </w:t>
      </w:r>
      <w:r w:rsidR="008A559F" w:rsidRPr="00754A8F">
        <w:t xml:space="preserve">poverty reduction, </w:t>
      </w:r>
      <w:r w:rsidRPr="00754A8F">
        <w:t>education and maternal health. Current data for achieving universal primary education shows that three out of five indicators have a low probability of being achieved. For example, current indicators show that almost 30 per cent of school age children will not complete primary school. And three of the six indicators for measuring improvements in maternal health are off track</w:t>
      </w:r>
      <w:r w:rsidR="0048376A">
        <w:t>.</w:t>
      </w:r>
      <w:r w:rsidR="00BB786E" w:rsidRPr="00754A8F">
        <w:rPr>
          <w:rStyle w:val="FootnoteReference"/>
        </w:rPr>
        <w:footnoteReference w:id="5"/>
      </w:r>
    </w:p>
    <w:p w14:paraId="6EB20028" w14:textId="054AF820" w:rsidR="000C46AB" w:rsidRPr="00754A8F" w:rsidRDefault="000C46AB" w:rsidP="0080598D">
      <w:pPr>
        <w:pStyle w:val="BodyText"/>
      </w:pPr>
      <w:r w:rsidRPr="00754A8F">
        <w:t xml:space="preserve">The January 2013 </w:t>
      </w:r>
      <w:r w:rsidR="00247DF7" w:rsidRPr="00754A8F">
        <w:t>labour force survey</w:t>
      </w:r>
      <w:r w:rsidR="00B776A1">
        <w:rPr>
          <w:rStyle w:val="FootnoteReference"/>
        </w:rPr>
        <w:footnoteReference w:id="6"/>
      </w:r>
      <w:r w:rsidRPr="00754A8F">
        <w:t xml:space="preserve"> showed a lower unemployment rate of 7.1 per cent from last year’s 7.3 per cent, and a net gain of 606</w:t>
      </w:r>
      <w:r w:rsidR="00247DF7">
        <w:t xml:space="preserve"> </w:t>
      </w:r>
      <w:r w:rsidRPr="00754A8F">
        <w:t>000 new jobs. However, the underemployment rate—the percentage of those who have work but feel the need to work more to make ends meet—increased from 18.8</w:t>
      </w:r>
      <w:r w:rsidR="00BE5645">
        <w:t xml:space="preserve"> per cent</w:t>
      </w:r>
      <w:r w:rsidRPr="00754A8F">
        <w:t xml:space="preserve"> last year to 20.9 per cent</w:t>
      </w:r>
      <w:r w:rsidR="006E29A1" w:rsidRPr="00754A8F">
        <w:t xml:space="preserve"> </w:t>
      </w:r>
      <w:r w:rsidR="008D6E83">
        <w:t>in 2012</w:t>
      </w:r>
      <w:r w:rsidRPr="00754A8F">
        <w:t xml:space="preserve">. </w:t>
      </w:r>
    </w:p>
    <w:p w14:paraId="3DBCEA5B" w14:textId="2E210695" w:rsidR="000C46AB" w:rsidRPr="00754A8F" w:rsidRDefault="000C46AB" w:rsidP="0080598D">
      <w:pPr>
        <w:pStyle w:val="BodyText"/>
      </w:pPr>
      <w:r w:rsidRPr="00754A8F">
        <w:t>Despite a net migration rate of -1.27 per cent, annual population growth remains comparatively high at 1.7 per cent</w:t>
      </w:r>
      <w:r w:rsidR="00D103D2">
        <w:t xml:space="preserve">. With a </w:t>
      </w:r>
      <w:r w:rsidRPr="00754A8F">
        <w:t>population of 95 million</w:t>
      </w:r>
      <w:r w:rsidR="00D103D2">
        <w:t>, the Philippines is se</w:t>
      </w:r>
      <w:r w:rsidR="00746FC7">
        <w:t>c</w:t>
      </w:r>
      <w:r w:rsidR="00D103D2">
        <w:t xml:space="preserve">ond only to Singapore in having the highest </w:t>
      </w:r>
      <w:r w:rsidR="003362B7">
        <w:t>population density in South-E</w:t>
      </w:r>
      <w:r w:rsidRPr="00754A8F">
        <w:t>ast Asia</w:t>
      </w:r>
      <w:r w:rsidR="003362B7">
        <w:t>,</w:t>
      </w:r>
      <w:r w:rsidRPr="00754A8F">
        <w:t xml:space="preserve"> placing stress on government services and the natural resource base</w:t>
      </w:r>
      <w:r w:rsidR="00A2730A" w:rsidRPr="00754A8F">
        <w:t xml:space="preserve">. </w:t>
      </w:r>
    </w:p>
    <w:p w14:paraId="13776739" w14:textId="10C4E2EF" w:rsidR="000C46AB" w:rsidRPr="00754A8F" w:rsidRDefault="003362B7" w:rsidP="0080598D">
      <w:pPr>
        <w:pStyle w:val="BodyText"/>
      </w:pPr>
      <w:r w:rsidRPr="003362B7">
        <w:t>The Philippines is the third most vulnerable country globally to natural disasters</w:t>
      </w:r>
      <w:r>
        <w:t xml:space="preserve"> and t</w:t>
      </w:r>
      <w:r w:rsidR="000C46AB" w:rsidRPr="00754A8F">
        <w:t>he country continue</w:t>
      </w:r>
      <w:r w:rsidR="00FC6DC3">
        <w:t xml:space="preserve">s </w:t>
      </w:r>
      <w:r w:rsidR="000C46AB" w:rsidRPr="00754A8F">
        <w:t xml:space="preserve">to be heavily affected by adverse weather events. Typhoon </w:t>
      </w:r>
      <w:proofErr w:type="spellStart"/>
      <w:r w:rsidR="000C46AB" w:rsidRPr="00754A8F">
        <w:t>Bopha</w:t>
      </w:r>
      <w:proofErr w:type="spellEnd"/>
      <w:r w:rsidR="00177023">
        <w:t xml:space="preserve"> was</w:t>
      </w:r>
      <w:r w:rsidR="000C46AB" w:rsidRPr="00754A8F">
        <w:t xml:space="preserve"> the </w:t>
      </w:r>
      <w:r w:rsidR="00247DF7">
        <w:t>16</w:t>
      </w:r>
      <w:r w:rsidR="00247DF7" w:rsidRPr="006D43FD">
        <w:rPr>
          <w:vertAlign w:val="superscript"/>
        </w:rPr>
        <w:t>th</w:t>
      </w:r>
      <w:r w:rsidR="00247DF7">
        <w:t xml:space="preserve"> </w:t>
      </w:r>
      <w:r w:rsidR="001E5904">
        <w:t xml:space="preserve">and </w:t>
      </w:r>
      <w:r w:rsidR="000C46AB" w:rsidRPr="00754A8F">
        <w:t>most powerful storm recorded in the Philippines</w:t>
      </w:r>
      <w:r w:rsidR="001E5904">
        <w:t xml:space="preserve"> in 2012</w:t>
      </w:r>
      <w:r w:rsidR="00177023">
        <w:t xml:space="preserve">. </w:t>
      </w:r>
      <w:proofErr w:type="spellStart"/>
      <w:r w:rsidR="00D103D2">
        <w:t>Bopha</w:t>
      </w:r>
      <w:proofErr w:type="spellEnd"/>
      <w:r w:rsidR="00177023">
        <w:t xml:space="preserve"> </w:t>
      </w:r>
      <w:r w:rsidR="000C46AB" w:rsidRPr="00754A8F">
        <w:t>affected large parts of Mindanao in December 2012,</w:t>
      </w:r>
      <w:r w:rsidR="000C2517" w:rsidRPr="00754A8F">
        <w:t xml:space="preserve"> killing more than 1000 people. In August 2012 </w:t>
      </w:r>
      <w:r w:rsidR="000C46AB" w:rsidRPr="00754A8F">
        <w:t xml:space="preserve">there was severe </w:t>
      </w:r>
      <w:r w:rsidR="000C2517" w:rsidRPr="00754A8F">
        <w:t>flooding in Luzon</w:t>
      </w:r>
      <w:r w:rsidR="000C46AB" w:rsidRPr="00754A8F">
        <w:t xml:space="preserve"> affecting more than </w:t>
      </w:r>
      <w:r w:rsidR="00D103D2">
        <w:t>four</w:t>
      </w:r>
      <w:r w:rsidR="000C46AB" w:rsidRPr="00754A8F">
        <w:t xml:space="preserve"> million people. </w:t>
      </w:r>
    </w:p>
    <w:p w14:paraId="66BFB817" w14:textId="1B9F7714" w:rsidR="000C46AB" w:rsidRPr="00754A8F" w:rsidRDefault="000C46AB" w:rsidP="0080598D">
      <w:pPr>
        <w:pStyle w:val="BodyText"/>
      </w:pPr>
      <w:r w:rsidRPr="00754A8F">
        <w:t>Elections for all congressional and local government seats and half of the senate were held in May 2013. The elections were generally considered to be free and fair, though there were reports of irregularities and election-related violence continued to claim lives. The results present a mixed picture of support for President</w:t>
      </w:r>
      <w:r w:rsidR="00D103D2">
        <w:t xml:space="preserve"> Aquino</w:t>
      </w:r>
      <w:r w:rsidRPr="00754A8F">
        <w:t xml:space="preserve">’s Liberal Party. Nine of the loose coalition of 12 senate contestants won </w:t>
      </w:r>
      <w:r w:rsidR="00D103D2">
        <w:t xml:space="preserve">a place in the senate, </w:t>
      </w:r>
      <w:r w:rsidRPr="00754A8F">
        <w:t xml:space="preserve">some long-standing dynasties were </w:t>
      </w:r>
      <w:r w:rsidR="00D103D2">
        <w:t xml:space="preserve">also </w:t>
      </w:r>
      <w:r w:rsidRPr="00754A8F">
        <w:t>voted out</w:t>
      </w:r>
      <w:r w:rsidR="00D103D2">
        <w:t>. H</w:t>
      </w:r>
      <w:r w:rsidRPr="00754A8F">
        <w:t xml:space="preserve">owever, the </w:t>
      </w:r>
      <w:r w:rsidR="00D103D2">
        <w:t>Liberal P</w:t>
      </w:r>
      <w:r w:rsidRPr="00754A8F">
        <w:t xml:space="preserve">arty lost many of the local-level contests. While the </w:t>
      </w:r>
      <w:r w:rsidR="00621A01">
        <w:t>p</w:t>
      </w:r>
      <w:r w:rsidRPr="00754A8F">
        <w:t>resident continues to enjoy strong popular support</w:t>
      </w:r>
      <w:r w:rsidR="00D103D2">
        <w:t>,</w:t>
      </w:r>
      <w:r w:rsidRPr="00754A8F">
        <w:t xml:space="preserve"> it is likely that the administration’s ability to push through significant reforms will decline during the second-half of his six-year term as elected representatives begin to turn their attention to the 2016 presidential elections. Nevertheless, there remains considerable potential for institutionalising the </w:t>
      </w:r>
      <w:r w:rsidR="00247DF7">
        <w:t>g</w:t>
      </w:r>
      <w:r w:rsidR="00247DF7" w:rsidRPr="00754A8F">
        <w:t xml:space="preserve">overnment’s </w:t>
      </w:r>
      <w:r w:rsidRPr="00754A8F">
        <w:t>existing reform initiatives</w:t>
      </w:r>
      <w:r w:rsidR="00D103D2">
        <w:t>,</w:t>
      </w:r>
      <w:r w:rsidRPr="00754A8F">
        <w:t xml:space="preserve"> many of which are being supported by the Australian aid program.</w:t>
      </w:r>
    </w:p>
    <w:p w14:paraId="64064802" w14:textId="505895E4" w:rsidR="001F241B" w:rsidRPr="00754A8F" w:rsidRDefault="00A178EF" w:rsidP="0080598D">
      <w:pPr>
        <w:pStyle w:val="Heading3"/>
      </w:pPr>
      <w:r w:rsidRPr="00754A8F">
        <w:lastRenderedPageBreak/>
        <w:t xml:space="preserve">The Australian </w:t>
      </w:r>
      <w:r w:rsidR="00D103D2">
        <w:t>a</w:t>
      </w:r>
      <w:r w:rsidR="00A968C6" w:rsidRPr="00754A8F">
        <w:t>id</w:t>
      </w:r>
      <w:r w:rsidRPr="00754A8F">
        <w:t xml:space="preserve"> </w:t>
      </w:r>
      <w:r w:rsidR="00D103D2">
        <w:t>p</w:t>
      </w:r>
      <w:r w:rsidRPr="00754A8F">
        <w:t>rogram in the Philippines</w:t>
      </w:r>
    </w:p>
    <w:p w14:paraId="652DF723" w14:textId="4BF5E37B" w:rsidR="00247DF7" w:rsidRDefault="000C6EE0" w:rsidP="0080598D">
      <w:pPr>
        <w:pStyle w:val="BodyText"/>
      </w:pPr>
      <w:r w:rsidRPr="00754A8F">
        <w:t>The two strategic goals of the Australia</w:t>
      </w:r>
      <w:r>
        <w:t>–</w:t>
      </w:r>
      <w:r w:rsidRPr="00754A8F">
        <w:t xml:space="preserve">Philippines Development Cooperation Program </w:t>
      </w:r>
      <w:r>
        <w:t>2012–</w:t>
      </w:r>
      <w:r w:rsidR="007F082F">
        <w:t>20</w:t>
      </w:r>
      <w:r>
        <w:t xml:space="preserve">17 </w:t>
      </w:r>
      <w:r w:rsidRPr="00754A8F">
        <w:t>are</w:t>
      </w:r>
      <w:r w:rsidR="00247DF7">
        <w:t>:</w:t>
      </w:r>
      <w:r w:rsidRPr="00754A8F">
        <w:t xml:space="preserve"> </w:t>
      </w:r>
    </w:p>
    <w:p w14:paraId="0F5AB221" w14:textId="3601297D" w:rsidR="00247DF7" w:rsidRDefault="000C6EE0" w:rsidP="0080598D">
      <w:pPr>
        <w:pStyle w:val="ListNumber"/>
      </w:pPr>
      <w:r w:rsidRPr="00754A8F">
        <w:t xml:space="preserve">strengthen basic services for the poor </w:t>
      </w:r>
    </w:p>
    <w:p w14:paraId="24423B5D" w14:textId="65A168F0" w:rsidR="00247DF7" w:rsidRDefault="000C6EE0" w:rsidP="0080598D">
      <w:pPr>
        <w:pStyle w:val="ListNumber"/>
      </w:pPr>
      <w:proofErr w:type="gramStart"/>
      <w:r w:rsidRPr="00754A8F">
        <w:t>reduce</w:t>
      </w:r>
      <w:proofErr w:type="gramEnd"/>
      <w:r w:rsidRPr="00754A8F">
        <w:t xml:space="preserve"> vulnerabilities arising from climate change and conflict. </w:t>
      </w:r>
    </w:p>
    <w:p w14:paraId="60056604" w14:textId="7E3C4673" w:rsidR="008C1CB0" w:rsidRPr="00754A8F" w:rsidRDefault="008C1CB0" w:rsidP="0080598D">
      <w:pPr>
        <w:pStyle w:val="BodyText"/>
      </w:pPr>
      <w:r w:rsidRPr="00754A8F">
        <w:t xml:space="preserve">The </w:t>
      </w:r>
      <w:r w:rsidR="007F082F">
        <w:t>p</w:t>
      </w:r>
      <w:r w:rsidR="007F082F" w:rsidRPr="00754A8F">
        <w:t xml:space="preserve">rogram </w:t>
      </w:r>
      <w:r w:rsidR="007F082F">
        <w:t>s</w:t>
      </w:r>
      <w:r w:rsidR="007F082F" w:rsidRPr="00754A8F">
        <w:t>trategy</w:t>
      </w:r>
      <w:r w:rsidR="00A968C6" w:rsidRPr="00754A8F">
        <w:rPr>
          <w:rStyle w:val="FootnoteReference"/>
        </w:rPr>
        <w:footnoteReference w:id="7"/>
      </w:r>
      <w:r w:rsidRPr="00754A8F">
        <w:t xml:space="preserve"> reaffirms Australia’s commitment to achieving </w:t>
      </w:r>
      <w:r w:rsidR="00A968C6" w:rsidRPr="00754A8F">
        <w:t xml:space="preserve">these two goals </w:t>
      </w:r>
      <w:r w:rsidRPr="00754A8F">
        <w:t xml:space="preserve">through a more focused and consolidated program </w:t>
      </w:r>
      <w:r w:rsidR="00515B21" w:rsidRPr="00754A8F">
        <w:t>grounded in</w:t>
      </w:r>
      <w:r w:rsidRPr="00754A8F">
        <w:t xml:space="preserve"> four sectoral objectives</w:t>
      </w:r>
      <w:r w:rsidR="0048376A">
        <w:t xml:space="preserve"> and </w:t>
      </w:r>
      <w:r w:rsidRPr="00754A8F">
        <w:t xml:space="preserve">underpinned by a </w:t>
      </w:r>
      <w:r w:rsidR="00515B21" w:rsidRPr="00754A8F">
        <w:t xml:space="preserve">cross-cutting governance </w:t>
      </w:r>
      <w:r w:rsidRPr="00754A8F">
        <w:t xml:space="preserve">objective </w:t>
      </w:r>
      <w:r w:rsidR="008A784F" w:rsidRPr="00754A8F">
        <w:t>(</w:t>
      </w:r>
      <w:r w:rsidR="007F082F">
        <w:t>f</w:t>
      </w:r>
      <w:r w:rsidR="007F082F" w:rsidRPr="00754A8F">
        <w:t xml:space="preserve">igure </w:t>
      </w:r>
      <w:r w:rsidR="008A784F" w:rsidRPr="00754A8F">
        <w:t>1)</w:t>
      </w:r>
      <w:r w:rsidR="000C2517" w:rsidRPr="00754A8F">
        <w:t>.</w:t>
      </w:r>
      <w:r w:rsidR="0042194C">
        <w:t xml:space="preserve"> </w:t>
      </w:r>
    </w:p>
    <w:p w14:paraId="4A2799DE" w14:textId="3DB8476A" w:rsidR="000C2517" w:rsidRDefault="000C2517" w:rsidP="0080598D">
      <w:pPr>
        <w:pStyle w:val="BodyText"/>
      </w:pPr>
      <w:r w:rsidRPr="00754A8F">
        <w:t>Australia is the second la</w:t>
      </w:r>
      <w:r w:rsidR="00BB786E" w:rsidRPr="00754A8F">
        <w:t>rgest bilateral grant aid donor</w:t>
      </w:r>
      <w:r w:rsidRPr="00754A8F">
        <w:t xml:space="preserve"> to the Philippines</w:t>
      </w:r>
      <w:r w:rsidR="00E86525">
        <w:t xml:space="preserve"> behind the USA</w:t>
      </w:r>
      <w:r w:rsidRPr="00754A8F">
        <w:t>. However</w:t>
      </w:r>
      <w:r w:rsidRPr="000232E8">
        <w:t>,</w:t>
      </w:r>
      <w:r w:rsidRPr="00754A8F">
        <w:t xml:space="preserve"> </w:t>
      </w:r>
      <w:r w:rsidR="00A3227E">
        <w:t>with a dramatic increase in the</w:t>
      </w:r>
      <w:r w:rsidRPr="00754A8F">
        <w:t xml:space="preserve"> Philippines </w:t>
      </w:r>
      <w:r w:rsidR="00D103D2">
        <w:t>g</w:t>
      </w:r>
      <w:r w:rsidR="001B0A2B" w:rsidRPr="00754A8F">
        <w:t xml:space="preserve">ross </w:t>
      </w:r>
      <w:r w:rsidR="00D103D2">
        <w:t>n</w:t>
      </w:r>
      <w:r w:rsidR="001B0A2B" w:rsidRPr="00754A8F">
        <w:t xml:space="preserve">ational </w:t>
      </w:r>
      <w:r w:rsidR="00D103D2">
        <w:t>i</w:t>
      </w:r>
      <w:r w:rsidR="001B0A2B" w:rsidRPr="00754A8F">
        <w:t>ncome (GNI)</w:t>
      </w:r>
      <w:r w:rsidRPr="00754A8F">
        <w:t xml:space="preserve"> Australian aid forms less than 0.03 per cent of GNI. It makes sense </w:t>
      </w:r>
      <w:r w:rsidR="00621A01" w:rsidRPr="00754A8F">
        <w:t xml:space="preserve">therefore </w:t>
      </w:r>
      <w:r w:rsidRPr="00754A8F">
        <w:t xml:space="preserve">that Australia concentrates on a small number of sectors </w:t>
      </w:r>
      <w:r w:rsidR="001B0A2B" w:rsidRPr="00754A8F">
        <w:t>where we can make a difference.</w:t>
      </w:r>
    </w:p>
    <w:p w14:paraId="6C46C17F" w14:textId="005DFAD1" w:rsidR="00DF710A" w:rsidRPr="00767BD0" w:rsidRDefault="00DF710A" w:rsidP="0080598D">
      <w:pPr>
        <w:pStyle w:val="BodyText"/>
      </w:pPr>
      <w:r w:rsidRPr="003D5A83">
        <w:rPr>
          <w:b/>
          <w:i/>
        </w:rPr>
        <w:t>Objective 1: Improved education.</w:t>
      </w:r>
      <w:r w:rsidRPr="00767BD0">
        <w:t xml:space="preserve"> Australia promote</w:t>
      </w:r>
      <w:r>
        <w:t>s</w:t>
      </w:r>
      <w:r w:rsidRPr="00767BD0">
        <w:t xml:space="preserve"> opportunities for all by improving education outcomes and access and completion rates for elementary and secondary education. The </w:t>
      </w:r>
      <w:r w:rsidR="00D103D2">
        <w:t>Philippine’s</w:t>
      </w:r>
      <w:r w:rsidRPr="00767BD0">
        <w:t xml:space="preserve"> education bureaucracy </w:t>
      </w:r>
      <w:r>
        <w:t xml:space="preserve">is </w:t>
      </w:r>
      <w:r w:rsidRPr="00767BD0">
        <w:t>be</w:t>
      </w:r>
      <w:r>
        <w:t>ing</w:t>
      </w:r>
      <w:r w:rsidRPr="00767BD0">
        <w:t xml:space="preserve"> supported to deliver better policy, planning and delivery of programs </w:t>
      </w:r>
      <w:r>
        <w:t>aimed at</w:t>
      </w:r>
      <w:r w:rsidRPr="00767BD0">
        <w:t xml:space="preserve"> all boys and girls, including the most vulnerable such as indigenous children and children with disability.</w:t>
      </w:r>
    </w:p>
    <w:p w14:paraId="717A1BE5" w14:textId="77777777" w:rsidR="00DF710A" w:rsidRPr="00767BD0" w:rsidRDefault="00DF710A" w:rsidP="0080598D">
      <w:pPr>
        <w:pStyle w:val="BodyText"/>
      </w:pPr>
      <w:r w:rsidRPr="00A35DF3">
        <w:rPr>
          <w:b/>
          <w:i/>
        </w:rPr>
        <w:t>Objective 2: Improved local government capacity to deliver basic services</w:t>
      </w:r>
      <w:r w:rsidRPr="006D43FD">
        <w:rPr>
          <w:b/>
        </w:rPr>
        <w:t>.</w:t>
      </w:r>
      <w:r w:rsidRPr="00767BD0">
        <w:t xml:space="preserve"> Australia seeks to improve transparency and accountability of local governments so they can efficiently provide quality services, particularly road infrastructure which is essential to facilitate better access for people to other services such as health and education.</w:t>
      </w:r>
    </w:p>
    <w:p w14:paraId="748D1CA5" w14:textId="77777777" w:rsidR="00DF710A" w:rsidRPr="00767BD0" w:rsidRDefault="00DF710A" w:rsidP="0080598D">
      <w:pPr>
        <w:pStyle w:val="BodyText"/>
      </w:pPr>
      <w:r w:rsidRPr="00A35DF3">
        <w:rPr>
          <w:b/>
          <w:i/>
        </w:rPr>
        <w:t xml:space="preserve">Objective 3: Strengthened climate change adaptation and disaster risk </w:t>
      </w:r>
      <w:r w:rsidRPr="00A767EF">
        <w:rPr>
          <w:b/>
          <w:i/>
        </w:rPr>
        <w:t>management</w:t>
      </w:r>
      <w:r w:rsidRPr="006D43FD">
        <w:rPr>
          <w:b/>
        </w:rPr>
        <w:t>.</w:t>
      </w:r>
      <w:r w:rsidRPr="00767BD0">
        <w:t xml:space="preserve"> </w:t>
      </w:r>
      <w:r>
        <w:t>Australia</w:t>
      </w:r>
      <w:r w:rsidRPr="00767BD0">
        <w:t xml:space="preserve"> is working to ensure that the poorest and most vulnerable become more resilient to the impacts of disasters and climate change.</w:t>
      </w:r>
    </w:p>
    <w:p w14:paraId="6490DAE7" w14:textId="77777777" w:rsidR="00DF710A" w:rsidRPr="00767BD0" w:rsidRDefault="00DF710A" w:rsidP="0080598D">
      <w:pPr>
        <w:pStyle w:val="BodyText"/>
      </w:pPr>
      <w:r w:rsidRPr="00A35DF3">
        <w:rPr>
          <w:b/>
          <w:i/>
        </w:rPr>
        <w:t xml:space="preserve">Objective 4: Improved conditions for peace and </w:t>
      </w:r>
      <w:r w:rsidRPr="00A767EF">
        <w:rPr>
          <w:b/>
          <w:i/>
        </w:rPr>
        <w:t>security</w:t>
      </w:r>
      <w:r w:rsidRPr="006D43FD">
        <w:rPr>
          <w:b/>
        </w:rPr>
        <w:t>.</w:t>
      </w:r>
      <w:r w:rsidRPr="00767BD0">
        <w:t xml:space="preserve"> Australia is helping to create a more secure environment for social and economic development through a range of initiatives</w:t>
      </w:r>
      <w:r>
        <w:t xml:space="preserve"> in conflict-affected Mindanao</w:t>
      </w:r>
      <w:r w:rsidRPr="00767BD0">
        <w:t xml:space="preserve">. </w:t>
      </w:r>
    </w:p>
    <w:p w14:paraId="242ABE97" w14:textId="52FB1C13" w:rsidR="0082518A" w:rsidRPr="00754A8F" w:rsidRDefault="00DF710A" w:rsidP="0080598D">
      <w:pPr>
        <w:pStyle w:val="BodyText"/>
      </w:pPr>
      <w:r w:rsidRPr="00A35DF3">
        <w:rPr>
          <w:b/>
          <w:i/>
        </w:rPr>
        <w:t>Objective 5: Supporting the foundations for accountable, transparent, effective and inclusive governance</w:t>
      </w:r>
      <w:r w:rsidRPr="00767BD0">
        <w:t xml:space="preserve">. Australia </w:t>
      </w:r>
      <w:r>
        <w:t xml:space="preserve">is </w:t>
      </w:r>
      <w:r w:rsidRPr="00767BD0">
        <w:t>help</w:t>
      </w:r>
      <w:r>
        <w:t>ing to</w:t>
      </w:r>
      <w:r w:rsidRPr="00767BD0">
        <w:t xml:space="preserve"> improve governance by building capacity within </w:t>
      </w:r>
      <w:r>
        <w:t>public</w:t>
      </w:r>
      <w:r w:rsidRPr="00767BD0">
        <w:t xml:space="preserve"> institutions and facilitating partnerships between government and civil society to create stronger demand and a greater ability to provide accountability for change.</w:t>
      </w:r>
      <w:r w:rsidR="00D23568">
        <w:t xml:space="preserve"> </w:t>
      </w:r>
    </w:p>
    <w:p w14:paraId="16DE6533" w14:textId="77777777" w:rsidR="0082518A" w:rsidRPr="00754A8F" w:rsidRDefault="00CC2571" w:rsidP="00A86586">
      <w:pPr>
        <w:pStyle w:val="ListParagraph"/>
        <w:numPr>
          <w:ilvl w:val="0"/>
          <w:numId w:val="0"/>
        </w:numPr>
        <w:ind w:left="68"/>
      </w:pPr>
      <w:r w:rsidRPr="00754A8F">
        <w:rPr>
          <w:noProof/>
        </w:rPr>
        <w:lastRenderedPageBreak/>
        <mc:AlternateContent>
          <mc:Choice Requires="wps">
            <w:drawing>
              <wp:anchor distT="0" distB="0" distL="114300" distR="114300" simplePos="0" relativeHeight="251663360" behindDoc="0" locked="0" layoutInCell="1" allowOverlap="1" wp14:anchorId="0A79D7BF" wp14:editId="7F5669F6">
                <wp:simplePos x="0" y="0"/>
                <wp:positionH relativeFrom="column">
                  <wp:posOffset>-550311</wp:posOffset>
                </wp:positionH>
                <wp:positionV relativeFrom="paragraph">
                  <wp:posOffset>-188461</wp:posOffset>
                </wp:positionV>
                <wp:extent cx="6665495" cy="8566484"/>
                <wp:effectExtent l="0" t="0" r="2540" b="6350"/>
                <wp:wrapTopAndBottom/>
                <wp:docPr id="19" name="Text Box 19"/>
                <wp:cNvGraphicFramePr/>
                <a:graphic xmlns:a="http://schemas.openxmlformats.org/drawingml/2006/main">
                  <a:graphicData uri="http://schemas.microsoft.com/office/word/2010/wordprocessingShape">
                    <wps:wsp>
                      <wps:cNvSpPr txBox="1"/>
                      <wps:spPr>
                        <a:xfrm>
                          <a:off x="0" y="0"/>
                          <a:ext cx="6665495" cy="8566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06154" w14:textId="5B3E3B14" w:rsidR="004A3517" w:rsidRPr="0080598D" w:rsidRDefault="004A3517" w:rsidP="0080598D">
                            <w:pPr>
                              <w:pStyle w:val="Caption"/>
                            </w:pPr>
                            <w:r w:rsidRPr="0080598D">
                              <w:t xml:space="preserve">Figure </w:t>
                            </w:r>
                            <w:fldSimple w:instr=" SEQ Figure \* ARABIC ">
                              <w:r>
                                <w:rPr>
                                  <w:noProof/>
                                </w:rPr>
                                <w:t>1</w:t>
                              </w:r>
                            </w:fldSimple>
                            <w:r w:rsidRPr="0080598D">
                              <w:t>: Strategic goals and objectives for the Australian aid program to the Philippines</w:t>
                            </w:r>
                          </w:p>
                          <w:p w14:paraId="5132977A" w14:textId="77777777" w:rsidR="004A3517" w:rsidRDefault="004A3517" w:rsidP="00CC2571">
                            <w:r w:rsidRPr="00CC2571">
                              <w:rPr>
                                <w:noProof/>
                              </w:rPr>
                              <w:drawing>
                                <wp:inline distT="0" distB="0" distL="0" distR="0" wp14:anchorId="56B4AD73" wp14:editId="6C6EEB18">
                                  <wp:extent cx="8422105" cy="6482477"/>
                                  <wp:effectExtent l="0" t="1587"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417188" cy="6478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3.35pt;margin-top:-14.85pt;width:524.85pt;height:67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" fillcolor="white [3201]" stroked="f" strokeweight=".5pt">
                <v:textbox>
                  <w:txbxContent>
                    <w:p w14:paraId="2CD06154" w14:textId="5B3E3B14" w:rsidR="00667988" w:rsidRPr="0080598D" w:rsidRDefault="00667988" w:rsidP="0080598D">
                      <w:pPr>
                        <w:pStyle w:val="Caption"/>
                      </w:pPr>
                      <w:r w:rsidRPr="0080598D">
                        <w:t xml:space="preserve">Figure </w:t>
                      </w:r>
                      <w:r w:rsidR="00763D6F">
                        <w:fldChar w:fldCharType="begin"/>
                      </w:r>
                      <w:r w:rsidR="00763D6F">
                        <w:instrText xml:space="preserve"> SEQ Figure \* ARABIC </w:instrText>
                      </w:r>
                      <w:r w:rsidR="00763D6F">
                        <w:fldChar w:fldCharType="separate"/>
                      </w:r>
                      <w:r w:rsidR="00160FFD">
                        <w:rPr>
                          <w:noProof/>
                        </w:rPr>
                        <w:t>1</w:t>
                      </w:r>
                      <w:r w:rsidR="00763D6F">
                        <w:rPr>
                          <w:noProof/>
                        </w:rPr>
                        <w:fldChar w:fldCharType="end"/>
                      </w:r>
                      <w:r w:rsidRPr="0080598D">
                        <w:t>: Strategic goals and objectives for the Australian aid program to the Philippines</w:t>
                      </w:r>
                    </w:p>
                    <w:p w14:paraId="5132977A" w14:textId="77777777" w:rsidR="00667988" w:rsidRDefault="00667988" w:rsidP="00CC2571">
                      <w:r w:rsidRPr="00CC2571">
                        <w:rPr>
                          <w:noProof/>
                        </w:rPr>
                        <w:drawing>
                          <wp:inline distT="0" distB="0" distL="0" distR="0" wp14:anchorId="56B4AD73" wp14:editId="6C6EEB18">
                            <wp:extent cx="8422105" cy="6482477"/>
                            <wp:effectExtent l="0" t="1587"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417188" cy="6478692"/>
                                    </a:xfrm>
                                    <a:prstGeom prst="rect">
                                      <a:avLst/>
                                    </a:prstGeom>
                                    <a:noFill/>
                                    <a:ln>
                                      <a:noFill/>
                                    </a:ln>
                                  </pic:spPr>
                                </pic:pic>
                              </a:graphicData>
                            </a:graphic>
                          </wp:inline>
                        </w:drawing>
                      </w:r>
                    </w:p>
                  </w:txbxContent>
                </v:textbox>
                <w10:wrap type="topAndBottom"/>
              </v:shape>
            </w:pict>
          </mc:Fallback>
        </mc:AlternateContent>
      </w:r>
      <w:r w:rsidR="0082518A" w:rsidRPr="00754A8F">
        <w:br w:type="page"/>
      </w:r>
    </w:p>
    <w:p w14:paraId="6CDD0DCC" w14:textId="7D6D549D" w:rsidR="00411C9D" w:rsidRPr="008F6B31" w:rsidRDefault="00411C9D" w:rsidP="0080598D">
      <w:pPr>
        <w:pStyle w:val="Heading3"/>
      </w:pPr>
      <w:r w:rsidRPr="008F6B31">
        <w:lastRenderedPageBreak/>
        <w:t xml:space="preserve">Key </w:t>
      </w:r>
      <w:r w:rsidR="007F082F">
        <w:t>p</w:t>
      </w:r>
      <w:r w:rsidR="007F082F" w:rsidRPr="008F6B31">
        <w:t>artnerships</w:t>
      </w:r>
    </w:p>
    <w:p w14:paraId="12664C38" w14:textId="791E8A3A" w:rsidR="00A767EF" w:rsidRDefault="004748B5" w:rsidP="0080598D">
      <w:pPr>
        <w:pStyle w:val="BodyText"/>
      </w:pPr>
      <w:r>
        <w:t xml:space="preserve">Australia partners principally </w:t>
      </w:r>
      <w:r w:rsidR="00733902" w:rsidRPr="008F6B31">
        <w:t xml:space="preserve">with the </w:t>
      </w:r>
      <w:r w:rsidR="006A1013">
        <w:t>Philippine Government</w:t>
      </w:r>
      <w:r w:rsidR="000D23DB" w:rsidRPr="008F6B31">
        <w:t xml:space="preserve"> through</w:t>
      </w:r>
      <w:r>
        <w:t xml:space="preserve"> </w:t>
      </w:r>
      <w:r w:rsidR="00733902" w:rsidRPr="008F6B31">
        <w:t xml:space="preserve">long-standing </w:t>
      </w:r>
      <w:r w:rsidR="00754A8F" w:rsidRPr="008F6B31">
        <w:t>partnerships</w:t>
      </w:r>
      <w:r w:rsidR="00A3227E">
        <w:t xml:space="preserve"> </w:t>
      </w:r>
      <w:r w:rsidR="000C6EE0" w:rsidRPr="008F6B31">
        <w:t>w</w:t>
      </w:r>
      <w:r w:rsidR="000C6EE0">
        <w:t>ith</w:t>
      </w:r>
      <w:r w:rsidR="00A3227E">
        <w:t xml:space="preserve"> </w:t>
      </w:r>
      <w:r w:rsidR="00733902" w:rsidRPr="008F6B31">
        <w:t xml:space="preserve">government agencies in </w:t>
      </w:r>
      <w:r w:rsidR="00A3227E">
        <w:t xml:space="preserve">agreed </w:t>
      </w:r>
      <w:r w:rsidR="00733902" w:rsidRPr="008F6B31">
        <w:t>area</w:t>
      </w:r>
      <w:r w:rsidR="003362B7" w:rsidRPr="008F6B31">
        <w:t>s</w:t>
      </w:r>
      <w:r w:rsidR="00733902" w:rsidRPr="008F6B31">
        <w:t xml:space="preserve"> of </w:t>
      </w:r>
      <w:r w:rsidR="008F663C" w:rsidRPr="008F6B31">
        <w:t>strategic priority</w:t>
      </w:r>
      <w:r w:rsidR="00733902" w:rsidRPr="008F6B31">
        <w:t xml:space="preserve">. These </w:t>
      </w:r>
      <w:r w:rsidR="00754A8F" w:rsidRPr="008F6B31">
        <w:t>partnerships</w:t>
      </w:r>
      <w:r w:rsidR="00733902" w:rsidRPr="008F6B31">
        <w:t xml:space="preserve"> </w:t>
      </w:r>
      <w:r>
        <w:t xml:space="preserve">are </w:t>
      </w:r>
      <w:r w:rsidR="00733902" w:rsidRPr="008F6B31">
        <w:t xml:space="preserve">detailed later in the sections </w:t>
      </w:r>
      <w:r>
        <w:t xml:space="preserve">of </w:t>
      </w:r>
      <w:r w:rsidR="007F082F">
        <w:t xml:space="preserve">this report </w:t>
      </w:r>
      <w:r>
        <w:t xml:space="preserve">that </w:t>
      </w:r>
      <w:r w:rsidR="00733902" w:rsidRPr="008F6B31">
        <w:t>provid</w:t>
      </w:r>
      <w:r>
        <w:t>e</w:t>
      </w:r>
      <w:r w:rsidR="00733902" w:rsidRPr="008F6B31">
        <w:t xml:space="preserve"> </w:t>
      </w:r>
      <w:r w:rsidR="007F082F">
        <w:t xml:space="preserve">an </w:t>
      </w:r>
      <w:r w:rsidR="00733902" w:rsidRPr="008F6B31">
        <w:t>analysis of progress against objectives.</w:t>
      </w:r>
      <w:r w:rsidR="00A767EF">
        <w:t xml:space="preserve"> </w:t>
      </w:r>
    </w:p>
    <w:p w14:paraId="776734C1" w14:textId="409EC619" w:rsidR="00733902" w:rsidRPr="008F6B31" w:rsidRDefault="00A767EF" w:rsidP="0080598D">
      <w:pPr>
        <w:pStyle w:val="BodyText"/>
      </w:pPr>
      <w:r>
        <w:t>Complementing our government partnerships is</w:t>
      </w:r>
      <w:r w:rsidRPr="008F6B31">
        <w:t xml:space="preserve"> </w:t>
      </w:r>
      <w:r>
        <w:t xml:space="preserve">support to and </w:t>
      </w:r>
      <w:r w:rsidRPr="008F6B31">
        <w:t>partner</w:t>
      </w:r>
      <w:r>
        <w:t>ships</w:t>
      </w:r>
      <w:r w:rsidRPr="008F6B31">
        <w:t xml:space="preserve"> </w:t>
      </w:r>
      <w:r>
        <w:t xml:space="preserve">with a range of other organisations that have </w:t>
      </w:r>
      <w:r w:rsidRPr="008F6B31">
        <w:t xml:space="preserve">established </w:t>
      </w:r>
      <w:r>
        <w:t xml:space="preserve">reputations for </w:t>
      </w:r>
      <w:r w:rsidRPr="008F6B31">
        <w:t>delivering results</w:t>
      </w:r>
      <w:r>
        <w:t xml:space="preserve">. These </w:t>
      </w:r>
      <w:r w:rsidRPr="008F6B31">
        <w:t>includ</w:t>
      </w:r>
      <w:r>
        <w:t>e:</w:t>
      </w:r>
    </w:p>
    <w:p w14:paraId="74C589EE" w14:textId="7DB1E05A" w:rsidR="007F082F" w:rsidRDefault="000C6EE0" w:rsidP="0080598D">
      <w:pPr>
        <w:pStyle w:val="ListBullet"/>
      </w:pPr>
      <w:r w:rsidRPr="008F6B31">
        <w:t xml:space="preserve">multilateral organisations that are highly rated by </w:t>
      </w:r>
      <w:r w:rsidR="00381E77">
        <w:t>the Department of Foreign Affairs and Trade (DFAT)</w:t>
      </w:r>
      <w:r w:rsidRPr="008F6B31">
        <w:t>’s Australian Multilateral Assessment</w:t>
      </w:r>
      <w:r w:rsidR="007F082F">
        <w:t>, such as</w:t>
      </w:r>
      <w:r>
        <w:t xml:space="preserve"> the </w:t>
      </w:r>
      <w:r w:rsidRPr="008F6B31">
        <w:t>Asian Development Ba</w:t>
      </w:r>
      <w:r w:rsidR="007F082F">
        <w:t>nk</w:t>
      </w:r>
      <w:r w:rsidRPr="008F6B31">
        <w:t>, the World Ban</w:t>
      </w:r>
      <w:r>
        <w:t>k, U</w:t>
      </w:r>
      <w:r w:rsidR="007F082F">
        <w:t xml:space="preserve">nited </w:t>
      </w:r>
      <w:r>
        <w:t>N</w:t>
      </w:r>
      <w:r w:rsidR="007F082F">
        <w:t xml:space="preserve">ations </w:t>
      </w:r>
      <w:r>
        <w:t>C</w:t>
      </w:r>
      <w:r w:rsidR="007F082F">
        <w:t xml:space="preserve">hildren’s </w:t>
      </w:r>
      <w:r>
        <w:t>F</w:t>
      </w:r>
      <w:r w:rsidR="007F082F">
        <w:t>und</w:t>
      </w:r>
      <w:r>
        <w:t xml:space="preserve"> and </w:t>
      </w:r>
      <w:r w:rsidRPr="008F6B31">
        <w:t>U</w:t>
      </w:r>
      <w:r w:rsidR="007F082F">
        <w:t xml:space="preserve">nited </w:t>
      </w:r>
      <w:r w:rsidRPr="008F6B31">
        <w:t>N</w:t>
      </w:r>
      <w:r w:rsidR="007F082F">
        <w:t xml:space="preserve">ations </w:t>
      </w:r>
      <w:r w:rsidRPr="008F6B31">
        <w:t>D</w:t>
      </w:r>
      <w:r w:rsidR="007F082F">
        <w:t xml:space="preserve">evelopment </w:t>
      </w:r>
      <w:r w:rsidRPr="008F6B31">
        <w:t>P</w:t>
      </w:r>
      <w:r w:rsidR="007F082F">
        <w:t>rogramme</w:t>
      </w:r>
      <w:r>
        <w:t xml:space="preserve"> </w:t>
      </w:r>
    </w:p>
    <w:p w14:paraId="4D5FD4D0" w14:textId="43A2FB98" w:rsidR="00411C9D" w:rsidRPr="008F6B31" w:rsidRDefault="000C6EE0" w:rsidP="0080598D">
      <w:pPr>
        <w:pStyle w:val="ListBullet"/>
      </w:pPr>
      <w:r w:rsidRPr="008F6B31">
        <w:t xml:space="preserve">Australian </w:t>
      </w:r>
      <w:r w:rsidRPr="004E47E8">
        <w:t xml:space="preserve">and other international </w:t>
      </w:r>
      <w:r w:rsidR="007F082F">
        <w:t>non-government organisations</w:t>
      </w:r>
      <w:r>
        <w:t>,</w:t>
      </w:r>
      <w:r w:rsidRPr="004E47E8">
        <w:t xml:space="preserve"> </w:t>
      </w:r>
      <w:r w:rsidR="007F082F">
        <w:t>such as</w:t>
      </w:r>
      <w:r w:rsidRPr="004E47E8">
        <w:t xml:space="preserve"> </w:t>
      </w:r>
      <w:r w:rsidR="00411C9D" w:rsidRPr="004E47E8">
        <w:t xml:space="preserve">the Australian Red Cross, </w:t>
      </w:r>
      <w:r w:rsidR="007F082F" w:rsidRPr="00E10D8E">
        <w:t>The Asia Foundation</w:t>
      </w:r>
      <w:r w:rsidR="000E25BB" w:rsidRPr="004E47E8">
        <w:t xml:space="preserve">, </w:t>
      </w:r>
      <w:r w:rsidR="003760CB">
        <w:t xml:space="preserve">and </w:t>
      </w:r>
      <w:r w:rsidR="000E25BB" w:rsidRPr="004E47E8">
        <w:t xml:space="preserve">BRAC </w:t>
      </w:r>
      <w:r w:rsidR="004E47E8" w:rsidRPr="004E47E8">
        <w:t>(formerly Bangladesh Rural Advancement Committee</w:t>
      </w:r>
      <w:r w:rsidR="00CC3954" w:rsidRPr="004E47E8">
        <w:t>)</w:t>
      </w:r>
      <w:r w:rsidR="004E47E8">
        <w:t xml:space="preserve"> and </w:t>
      </w:r>
      <w:r w:rsidR="00411C9D" w:rsidRPr="004E47E8">
        <w:t xml:space="preserve">local </w:t>
      </w:r>
      <w:r w:rsidR="007F082F">
        <w:t>civil society organisations</w:t>
      </w:r>
      <w:r w:rsidR="00411C9D" w:rsidRPr="008F6B31">
        <w:t xml:space="preserve">. </w:t>
      </w:r>
    </w:p>
    <w:p w14:paraId="7073FD69" w14:textId="0E90F82C" w:rsidR="00914A16" w:rsidRPr="00AA06E8" w:rsidRDefault="00411C9D" w:rsidP="0080598D">
      <w:pPr>
        <w:pStyle w:val="BodyText"/>
      </w:pPr>
      <w:r w:rsidRPr="008F6B31">
        <w:t>The more selective focus of the 2012</w:t>
      </w:r>
      <w:r w:rsidR="00877BE8">
        <w:t>–</w:t>
      </w:r>
      <w:r w:rsidR="007F082F">
        <w:t>20</w:t>
      </w:r>
      <w:r w:rsidRPr="008F6B31">
        <w:t xml:space="preserve">17 aid </w:t>
      </w:r>
      <w:proofErr w:type="gramStart"/>
      <w:r w:rsidRPr="008F6B31">
        <w:t>program</w:t>
      </w:r>
      <w:proofErr w:type="gramEnd"/>
      <w:r w:rsidRPr="008F6B31">
        <w:t xml:space="preserve"> </w:t>
      </w:r>
      <w:r w:rsidR="000C6EE0" w:rsidRPr="008F6B31">
        <w:t>is</w:t>
      </w:r>
      <w:r w:rsidRPr="008F6B31">
        <w:t xml:space="preserve"> </w:t>
      </w:r>
      <w:r w:rsidR="004E47E8">
        <w:t>driving</w:t>
      </w:r>
      <w:r w:rsidRPr="008F6B31">
        <w:t xml:space="preserve"> us to develop deeper</w:t>
      </w:r>
      <w:r w:rsidR="00977C5C" w:rsidRPr="008F6B31">
        <w:t>,</w:t>
      </w:r>
      <w:r w:rsidRPr="008F6B31">
        <w:t xml:space="preserve"> more engaged and substantive partnerships</w:t>
      </w:r>
      <w:r w:rsidR="00985C69">
        <w:t xml:space="preserve">. This </w:t>
      </w:r>
      <w:r w:rsidR="003B6C0C">
        <w:t xml:space="preserve">is enabling </w:t>
      </w:r>
      <w:r w:rsidR="00985C69">
        <w:t xml:space="preserve">us to better </w:t>
      </w:r>
      <w:r w:rsidRPr="008F6B31">
        <w:t xml:space="preserve">coordinate </w:t>
      </w:r>
      <w:r w:rsidR="00985C69">
        <w:t xml:space="preserve">our respective </w:t>
      </w:r>
      <w:r w:rsidRPr="008F6B31">
        <w:t>development efforts, share resources, gain access to knowledge and analytical capacity and build trusted long-term relations</w:t>
      </w:r>
      <w:r w:rsidR="00CC6D6B" w:rsidRPr="008F6B31">
        <w:t xml:space="preserve">hips with other organisations. </w:t>
      </w:r>
      <w:r w:rsidR="003B6C0C">
        <w:t xml:space="preserve">For example, we partner with </w:t>
      </w:r>
      <w:r w:rsidR="00877BE8">
        <w:t>t</w:t>
      </w:r>
      <w:r w:rsidR="00877BE8" w:rsidRPr="008F6B31">
        <w:t xml:space="preserve">he </w:t>
      </w:r>
      <w:r w:rsidR="00721314" w:rsidRPr="008F6B31">
        <w:t>World Bank</w:t>
      </w:r>
      <w:r w:rsidR="003B6C0C">
        <w:t xml:space="preserve"> through the </w:t>
      </w:r>
      <w:r w:rsidR="00381E77">
        <w:t>DFAT</w:t>
      </w:r>
      <w:r w:rsidR="007F082F">
        <w:t>–</w:t>
      </w:r>
      <w:r w:rsidR="00721314" w:rsidRPr="008F6B31">
        <w:t>World Bank Philippines Development Trust Fund</w:t>
      </w:r>
      <w:r w:rsidR="00855402">
        <w:t xml:space="preserve"> </w:t>
      </w:r>
      <w:r w:rsidR="003B6C0C">
        <w:t xml:space="preserve">which supports </w:t>
      </w:r>
      <w:r w:rsidR="00721314" w:rsidRPr="008F6B31">
        <w:t xml:space="preserve">collaborative policy dialogue between the two institutions to determine thematic and sectoral priorities. </w:t>
      </w:r>
      <w:r w:rsidR="00381E77">
        <w:t>DFAT</w:t>
      </w:r>
      <w:r w:rsidR="00721314" w:rsidRPr="008F6B31">
        <w:t xml:space="preserve"> and World Bank </w:t>
      </w:r>
      <w:proofErr w:type="gramStart"/>
      <w:r w:rsidR="000C6EE0" w:rsidRPr="008F6B31">
        <w:t>staff consider</w:t>
      </w:r>
      <w:proofErr w:type="gramEnd"/>
      <w:r w:rsidR="00721314" w:rsidRPr="008F6B31">
        <w:t xml:space="preserve"> project concepts and designs together and a joint </w:t>
      </w:r>
      <w:r w:rsidR="007F082F">
        <w:t>s</w:t>
      </w:r>
      <w:r w:rsidR="007F082F" w:rsidRPr="008F6B31">
        <w:t xml:space="preserve">teering </w:t>
      </w:r>
      <w:r w:rsidR="007F082F">
        <w:t>c</w:t>
      </w:r>
      <w:r w:rsidR="007F082F" w:rsidRPr="008F6B31">
        <w:t xml:space="preserve">ommittee </w:t>
      </w:r>
      <w:r w:rsidR="003B6C0C">
        <w:t xml:space="preserve">is </w:t>
      </w:r>
      <w:r w:rsidR="00721314" w:rsidRPr="008F6B31">
        <w:t xml:space="preserve">responsible </w:t>
      </w:r>
      <w:r w:rsidR="007A1F20">
        <w:t>for</w:t>
      </w:r>
      <w:r w:rsidR="00721314" w:rsidRPr="008F6B31">
        <w:t xml:space="preserve"> project approvals</w:t>
      </w:r>
      <w:r w:rsidR="007A1F20">
        <w:t xml:space="preserve"> </w:t>
      </w:r>
      <w:r w:rsidR="00721314" w:rsidRPr="008F6B31">
        <w:t xml:space="preserve">and monitoring progress. An independent review of the </w:t>
      </w:r>
      <w:r w:rsidR="007F082F">
        <w:t>trust fund</w:t>
      </w:r>
      <w:r w:rsidR="00721314" w:rsidRPr="008F6B31">
        <w:rPr>
          <w:rStyle w:val="FootnoteReference"/>
        </w:rPr>
        <w:footnoteReference w:id="8"/>
      </w:r>
      <w:r w:rsidR="00721314" w:rsidRPr="008F6B31">
        <w:t xml:space="preserve"> conducted in 2012 </w:t>
      </w:r>
      <w:r w:rsidR="00721314" w:rsidRPr="00AA06E8">
        <w:t xml:space="preserve">found that </w:t>
      </w:r>
      <w:r w:rsidR="003B6C0C" w:rsidRPr="00AA06E8">
        <w:t xml:space="preserve">it </w:t>
      </w:r>
      <w:r w:rsidR="00AA06E8" w:rsidRPr="00AA06E8">
        <w:t xml:space="preserve">strengthened collaboration between </w:t>
      </w:r>
      <w:r w:rsidR="00381E77">
        <w:t>the Australian Government</w:t>
      </w:r>
      <w:r w:rsidR="00AA06E8" w:rsidRPr="00AA06E8">
        <w:t xml:space="preserve"> and the World Bank at both strategic and operational levels, leading to more effective policy dialogue with the </w:t>
      </w:r>
      <w:r w:rsidR="007F082F">
        <w:t>g</w:t>
      </w:r>
      <w:r w:rsidR="007F082F" w:rsidRPr="00AA06E8">
        <w:t>overnment</w:t>
      </w:r>
      <w:r w:rsidR="00721314" w:rsidRPr="00AA06E8">
        <w:t xml:space="preserve">. </w:t>
      </w:r>
      <w:r w:rsidR="00D148DD">
        <w:t xml:space="preserve">In other key partnerships, </w:t>
      </w:r>
      <w:r w:rsidR="003B6C0C" w:rsidRPr="00AA06E8">
        <w:t xml:space="preserve">Australia is playing a catalytic role in supporting the </w:t>
      </w:r>
      <w:r w:rsidR="006A1013">
        <w:t xml:space="preserve">Philippine </w:t>
      </w:r>
      <w:r w:rsidR="006847AF">
        <w:t>G</w:t>
      </w:r>
      <w:r w:rsidR="003B6C0C" w:rsidRPr="00AA06E8">
        <w:t xml:space="preserve">overnment’s </w:t>
      </w:r>
      <w:r w:rsidR="007F082F" w:rsidRPr="00AA06E8">
        <w:t xml:space="preserve">public-private partnerships </w:t>
      </w:r>
      <w:r w:rsidR="003B6C0C" w:rsidRPr="00AA06E8">
        <w:t xml:space="preserve">initiative through an agreement with the Asia Development Bank. </w:t>
      </w:r>
      <w:r w:rsidR="00177023">
        <w:t>A</w:t>
      </w:r>
      <w:r w:rsidR="003B6C0C" w:rsidRPr="00AA06E8">
        <w:t xml:space="preserve"> new partnership with </w:t>
      </w:r>
      <w:r w:rsidR="007F082F">
        <w:t xml:space="preserve">the </w:t>
      </w:r>
      <w:r w:rsidR="007F082F" w:rsidRPr="007F082F">
        <w:t>United Nations Children’s Fund</w:t>
      </w:r>
      <w:r w:rsidR="007F082F" w:rsidRPr="00AA06E8">
        <w:t xml:space="preserve"> </w:t>
      </w:r>
      <w:r w:rsidR="003B6C0C" w:rsidRPr="00AA06E8">
        <w:t xml:space="preserve">is </w:t>
      </w:r>
      <w:r w:rsidR="007A1F20">
        <w:t xml:space="preserve">allowing </w:t>
      </w:r>
      <w:r w:rsidR="003B6C0C" w:rsidRPr="00AA06E8">
        <w:t>us to strengthen the Philippine’s system of early childhood care and development</w:t>
      </w:r>
      <w:r w:rsidR="007A1F20">
        <w:t xml:space="preserve"> </w:t>
      </w:r>
      <w:r w:rsidR="003B6C0C" w:rsidRPr="00AA06E8">
        <w:t xml:space="preserve">and represents an important investment in better learning outcomes for </w:t>
      </w:r>
      <w:r w:rsidR="000D23DB" w:rsidRPr="00AA06E8">
        <w:t>Filipino</w:t>
      </w:r>
      <w:r w:rsidR="003B6C0C" w:rsidRPr="00AA06E8">
        <w:t xml:space="preserve"> children.</w:t>
      </w:r>
    </w:p>
    <w:p w14:paraId="2CCD9AC9" w14:textId="7CA3699B" w:rsidR="00411C9D" w:rsidRPr="008F6B31" w:rsidRDefault="002B7968" w:rsidP="0080598D">
      <w:pPr>
        <w:pStyle w:val="BodyText"/>
      </w:pPr>
      <w:r>
        <w:t xml:space="preserve">Australia is </w:t>
      </w:r>
      <w:r w:rsidR="003B6C0C">
        <w:t xml:space="preserve">also expanding </w:t>
      </w:r>
      <w:r w:rsidR="00653B7D">
        <w:t>our civil society partnerships. For example, we have established</w:t>
      </w:r>
      <w:r w:rsidR="003B6C0C">
        <w:t xml:space="preserve"> a</w:t>
      </w:r>
      <w:r w:rsidR="00411C9D" w:rsidRPr="008F6B31">
        <w:t xml:space="preserve"> country-level partnership with </w:t>
      </w:r>
      <w:r w:rsidR="007F082F" w:rsidRPr="00E10D8E">
        <w:t xml:space="preserve">The Asia Foundation </w:t>
      </w:r>
      <w:r w:rsidR="003B6C0C">
        <w:t xml:space="preserve">that </w:t>
      </w:r>
      <w:r w:rsidR="00411C9D" w:rsidRPr="008F6B31">
        <w:t>extend</w:t>
      </w:r>
      <w:r w:rsidR="003B6C0C">
        <w:t>s and builds on</w:t>
      </w:r>
      <w:r w:rsidR="00411C9D" w:rsidRPr="008F6B31">
        <w:t xml:space="preserve"> an existing relationship </w:t>
      </w:r>
      <w:r w:rsidR="007F082F">
        <w:t xml:space="preserve">and </w:t>
      </w:r>
      <w:r w:rsidR="00411C9D" w:rsidRPr="008F6B31">
        <w:t>enabl</w:t>
      </w:r>
      <w:r w:rsidR="007F082F">
        <w:t xml:space="preserve">es </w:t>
      </w:r>
      <w:r w:rsidR="00411C9D" w:rsidRPr="008F6B31">
        <w:t xml:space="preserve">us to benefit from </w:t>
      </w:r>
      <w:r w:rsidR="007F082F">
        <w:t xml:space="preserve">the </w:t>
      </w:r>
      <w:proofErr w:type="gramStart"/>
      <w:r w:rsidR="007F082F">
        <w:t>foundation’s</w:t>
      </w:r>
      <w:proofErr w:type="gramEnd"/>
      <w:r w:rsidR="007F082F" w:rsidRPr="008F6B31">
        <w:t xml:space="preserve"> </w:t>
      </w:r>
      <w:r w:rsidR="00411C9D" w:rsidRPr="008F6B31">
        <w:t xml:space="preserve">extensive network of local civil society and private sector partners. </w:t>
      </w:r>
      <w:r w:rsidR="003B6C0C">
        <w:t>W</w:t>
      </w:r>
      <w:r w:rsidR="00411C9D" w:rsidRPr="008F6B31">
        <w:t xml:space="preserve">e have </w:t>
      </w:r>
      <w:r w:rsidR="000440F3">
        <w:t xml:space="preserve">also </w:t>
      </w:r>
      <w:r w:rsidR="00411C9D" w:rsidRPr="008F6B31">
        <w:t>entered into a partnership with the Philippine Business for Social Progress</w:t>
      </w:r>
      <w:r w:rsidR="00221570">
        <w:t>––</w:t>
      </w:r>
      <w:r w:rsidR="00411C9D" w:rsidRPr="008F6B31">
        <w:t>the largest corporate-led, non-profit social development foundation in the Philippines</w:t>
      </w:r>
      <w:r w:rsidR="00221570">
        <w:t>––</w:t>
      </w:r>
      <w:r w:rsidR="00411C9D" w:rsidRPr="008F6B31">
        <w:t xml:space="preserve">to support a classroom construction program by the private sector. </w:t>
      </w:r>
      <w:r w:rsidR="00D148DD">
        <w:t>Australia’s</w:t>
      </w:r>
      <w:r w:rsidR="00653B7D">
        <w:t xml:space="preserve"> Supporting Peace in Mindanao initiative is continuing to provide strategic support </w:t>
      </w:r>
      <w:r>
        <w:t>to</w:t>
      </w:r>
      <w:r w:rsidR="00653B7D">
        <w:t xml:space="preserve"> local </w:t>
      </w:r>
      <w:r w:rsidR="007F082F">
        <w:t xml:space="preserve">civil society organisations </w:t>
      </w:r>
      <w:r w:rsidR="00653B7D">
        <w:t xml:space="preserve">that are </w:t>
      </w:r>
      <w:r w:rsidR="000D23DB">
        <w:t>contributing</w:t>
      </w:r>
      <w:r w:rsidR="00653B7D">
        <w:t xml:space="preserve"> to building peace in Mindanao.</w:t>
      </w:r>
      <w:r w:rsidR="00855402">
        <w:t xml:space="preserve"> </w:t>
      </w:r>
    </w:p>
    <w:p w14:paraId="7A2D61CB" w14:textId="77777777" w:rsidR="0080598D" w:rsidRDefault="0080598D">
      <w:pPr>
        <w:spacing w:after="200" w:line="276" w:lineRule="auto"/>
        <w:rPr>
          <w:rFonts w:ascii="Franklin Gothic Demi" w:eastAsia="Times New Roman" w:hAnsi="Franklin Gothic Demi" w:cs="Arial"/>
          <w:color w:val="AD495D"/>
          <w:kern w:val="28"/>
          <w:sz w:val="24"/>
          <w:szCs w:val="28"/>
        </w:rPr>
      </w:pPr>
      <w:r>
        <w:br w:type="page"/>
      </w:r>
    </w:p>
    <w:p w14:paraId="66B7CB63" w14:textId="40E70812" w:rsidR="004A1EB9" w:rsidRPr="008F6B31" w:rsidRDefault="00411C9D" w:rsidP="0080598D">
      <w:pPr>
        <w:pStyle w:val="Heading1"/>
      </w:pPr>
      <w:r w:rsidRPr="008F6B31">
        <w:lastRenderedPageBreak/>
        <w:t>Expenditure</w:t>
      </w:r>
    </w:p>
    <w:p w14:paraId="340281E9" w14:textId="0150F025" w:rsidR="00411C9D" w:rsidRPr="008F6B31" w:rsidRDefault="00767BD0" w:rsidP="00411C9D">
      <w:pPr>
        <w:pStyle w:val="Caption"/>
      </w:pPr>
      <w:r w:rsidRPr="008F6B31">
        <w:t xml:space="preserve">Table </w:t>
      </w:r>
      <w:fldSimple w:instr=" SEQ Table \* ARABIC ">
        <w:r w:rsidR="00160FFD">
          <w:rPr>
            <w:noProof/>
          </w:rPr>
          <w:t>1</w:t>
        </w:r>
      </w:fldSimple>
      <w:r w:rsidRPr="008F6B31">
        <w:t>A</w:t>
      </w:r>
      <w:r w:rsidR="007F082F">
        <w:t>:</w:t>
      </w:r>
      <w:r w:rsidRPr="008F6B31">
        <w:t xml:space="preserve"> Expenditure 1 Jan</w:t>
      </w:r>
      <w:r w:rsidR="007F082F">
        <w:t>uary to</w:t>
      </w:r>
      <w:r w:rsidRPr="008F6B31">
        <w:t xml:space="preserve"> 30 Jun</w:t>
      </w:r>
      <w:r w:rsidR="007F082F">
        <w:t>e</w:t>
      </w:r>
      <w:r w:rsidRPr="008F6B31">
        <w:t xml:space="preserve"> 2012</w:t>
      </w:r>
    </w:p>
    <w:tbl>
      <w:tblPr>
        <w:tblStyle w:val="APPR"/>
        <w:tblpPr w:leftFromText="180" w:rightFromText="180" w:vertAnchor="text" w:tblpY="1"/>
        <w:tblW w:w="5000" w:type="pct"/>
        <w:tblLayout w:type="fixed"/>
        <w:tblLook w:val="0000" w:firstRow="0" w:lastRow="0" w:firstColumn="0" w:lastColumn="0" w:noHBand="0" w:noVBand="0"/>
      </w:tblPr>
      <w:tblGrid>
        <w:gridCol w:w="5746"/>
        <w:gridCol w:w="1405"/>
        <w:gridCol w:w="1455"/>
      </w:tblGrid>
      <w:tr w:rsidR="00411C9D" w:rsidRPr="008F6B31" w14:paraId="3BDC2DF9"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5F3EA587" w14:textId="77777777" w:rsidR="00411C9D" w:rsidRPr="0080598D" w:rsidRDefault="00411C9D" w:rsidP="0080598D">
            <w:pPr>
              <w:pStyle w:val="TableHeading1"/>
              <w:rPr>
                <w:b/>
              </w:rPr>
            </w:pPr>
            <w:r w:rsidRPr="0080598D">
              <w:rPr>
                <w:b/>
              </w:rPr>
              <w:t>Objective</w:t>
            </w:r>
          </w:p>
        </w:tc>
        <w:tc>
          <w:tcPr>
            <w:tcW w:w="1390" w:type="dxa"/>
          </w:tcPr>
          <w:p w14:paraId="01611CBD" w14:textId="191964A8" w:rsidR="00411C9D" w:rsidRPr="0080598D" w:rsidRDefault="00411C9D" w:rsidP="0080598D">
            <w:pPr>
              <w:pStyle w:val="TableHeading1"/>
              <w:rPr>
                <w:b/>
              </w:rPr>
            </w:pPr>
            <w:r w:rsidRPr="0080598D">
              <w:rPr>
                <w:b/>
              </w:rPr>
              <w:t>$ million</w:t>
            </w:r>
          </w:p>
        </w:tc>
        <w:tc>
          <w:tcPr>
            <w:tcW w:w="1426" w:type="dxa"/>
          </w:tcPr>
          <w:p w14:paraId="05983955" w14:textId="77777777" w:rsidR="00411C9D" w:rsidRPr="0080598D" w:rsidRDefault="00411C9D" w:rsidP="0080598D">
            <w:pPr>
              <w:pStyle w:val="TableHeading1"/>
              <w:rPr>
                <w:b/>
              </w:rPr>
            </w:pPr>
            <w:r w:rsidRPr="0080598D">
              <w:rPr>
                <w:b/>
              </w:rPr>
              <w:t>% of bilateral program</w:t>
            </w:r>
          </w:p>
        </w:tc>
      </w:tr>
      <w:tr w:rsidR="00411C9D" w:rsidRPr="008F6B31" w14:paraId="61BA7DA0"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08DC825C" w14:textId="77777777" w:rsidR="00411C9D" w:rsidRPr="0080598D" w:rsidRDefault="00411C9D" w:rsidP="0080598D">
            <w:pPr>
              <w:pStyle w:val="TableTextEntries"/>
            </w:pPr>
            <w:r w:rsidRPr="0080598D">
              <w:t>Objective 1 Improved education</w:t>
            </w:r>
          </w:p>
        </w:tc>
        <w:tc>
          <w:tcPr>
            <w:tcW w:w="1390" w:type="dxa"/>
          </w:tcPr>
          <w:p w14:paraId="0E81AFEF" w14:textId="265682DE" w:rsidR="00411C9D" w:rsidRPr="0080598D" w:rsidRDefault="00411C9D" w:rsidP="0080598D">
            <w:pPr>
              <w:pStyle w:val="TableTextEntries"/>
            </w:pPr>
            <w:r w:rsidRPr="0080598D">
              <w:t>52</w:t>
            </w:r>
            <w:r w:rsidR="007F082F" w:rsidRPr="0080598D">
              <w:t xml:space="preserve"> </w:t>
            </w:r>
            <w:r w:rsidRPr="0080598D">
              <w:t>968</w:t>
            </w:r>
            <w:r w:rsidR="007F082F" w:rsidRPr="0080598D">
              <w:t xml:space="preserve"> </w:t>
            </w:r>
            <w:r w:rsidRPr="0080598D">
              <w:t>91</w:t>
            </w:r>
            <w:r w:rsidR="001C0B0D" w:rsidRPr="0080598D">
              <w:t>6</w:t>
            </w:r>
          </w:p>
        </w:tc>
        <w:tc>
          <w:tcPr>
            <w:tcW w:w="1426" w:type="dxa"/>
          </w:tcPr>
          <w:p w14:paraId="20471342" w14:textId="77777777" w:rsidR="00411C9D" w:rsidRPr="0080598D" w:rsidRDefault="00411C9D" w:rsidP="0080598D">
            <w:pPr>
              <w:pStyle w:val="TableTextEntries"/>
            </w:pPr>
            <w:r w:rsidRPr="0080598D">
              <w:t>59</w:t>
            </w:r>
          </w:p>
        </w:tc>
      </w:tr>
      <w:tr w:rsidR="00411C9D" w:rsidRPr="008F6B31" w14:paraId="120CF658"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4A725B3C" w14:textId="77777777" w:rsidR="00411C9D" w:rsidRPr="0080598D" w:rsidRDefault="00411C9D" w:rsidP="0080598D">
            <w:pPr>
              <w:pStyle w:val="TableTextEntries"/>
            </w:pPr>
            <w:r w:rsidRPr="0080598D">
              <w:t>Objective 2 Improved local government capacity to deliver basic services</w:t>
            </w:r>
          </w:p>
        </w:tc>
        <w:tc>
          <w:tcPr>
            <w:tcW w:w="1390" w:type="dxa"/>
          </w:tcPr>
          <w:p w14:paraId="2022ED28" w14:textId="47BF1627" w:rsidR="00411C9D" w:rsidRPr="0080598D" w:rsidRDefault="001C0B0D" w:rsidP="0080598D">
            <w:pPr>
              <w:pStyle w:val="TableTextEntries"/>
            </w:pPr>
            <w:r w:rsidRPr="0080598D">
              <w:t>7</w:t>
            </w:r>
            <w:r w:rsidR="007F082F" w:rsidRPr="0080598D">
              <w:t xml:space="preserve"> </w:t>
            </w:r>
            <w:r w:rsidRPr="0080598D">
              <w:t>268</w:t>
            </w:r>
            <w:r w:rsidR="007F082F" w:rsidRPr="0080598D">
              <w:t xml:space="preserve"> </w:t>
            </w:r>
            <w:r w:rsidRPr="0080598D">
              <w:t>344</w:t>
            </w:r>
          </w:p>
        </w:tc>
        <w:tc>
          <w:tcPr>
            <w:tcW w:w="1426" w:type="dxa"/>
          </w:tcPr>
          <w:p w14:paraId="76F0E1A2" w14:textId="77777777" w:rsidR="00411C9D" w:rsidRPr="0080598D" w:rsidRDefault="00411C9D" w:rsidP="0080598D">
            <w:pPr>
              <w:pStyle w:val="TableTextEntries"/>
            </w:pPr>
            <w:r w:rsidRPr="0080598D">
              <w:t>8</w:t>
            </w:r>
          </w:p>
        </w:tc>
      </w:tr>
      <w:tr w:rsidR="00411C9D" w:rsidRPr="008F6B31" w14:paraId="355C4B9A"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1653566D" w14:textId="77777777" w:rsidR="00411C9D" w:rsidRPr="0080598D" w:rsidRDefault="00411C9D" w:rsidP="0080598D">
            <w:pPr>
              <w:pStyle w:val="TableTextEntries"/>
            </w:pPr>
            <w:r w:rsidRPr="0080598D">
              <w:t>Objective 3 Strengthened climate change adaptation and disaster risk management</w:t>
            </w:r>
          </w:p>
        </w:tc>
        <w:tc>
          <w:tcPr>
            <w:tcW w:w="1390" w:type="dxa"/>
          </w:tcPr>
          <w:p w14:paraId="16275FE1" w14:textId="0A814348" w:rsidR="00411C9D" w:rsidRPr="0080598D" w:rsidRDefault="001C0B0D" w:rsidP="0080598D">
            <w:pPr>
              <w:pStyle w:val="TableTextEntries"/>
            </w:pPr>
            <w:r w:rsidRPr="0080598D">
              <w:t>7</w:t>
            </w:r>
            <w:r w:rsidR="007F082F" w:rsidRPr="0080598D">
              <w:t xml:space="preserve"> </w:t>
            </w:r>
            <w:r w:rsidRPr="0080598D">
              <w:t>575</w:t>
            </w:r>
            <w:r w:rsidR="007F082F" w:rsidRPr="0080598D">
              <w:t xml:space="preserve"> </w:t>
            </w:r>
            <w:r w:rsidRPr="0080598D">
              <w:t>136</w:t>
            </w:r>
          </w:p>
        </w:tc>
        <w:tc>
          <w:tcPr>
            <w:tcW w:w="1426" w:type="dxa"/>
          </w:tcPr>
          <w:p w14:paraId="7F95EAC4" w14:textId="77777777" w:rsidR="00411C9D" w:rsidRPr="0080598D" w:rsidRDefault="00411C9D" w:rsidP="0080598D">
            <w:pPr>
              <w:pStyle w:val="TableTextEntries"/>
            </w:pPr>
            <w:r w:rsidRPr="0080598D">
              <w:t>8</w:t>
            </w:r>
          </w:p>
        </w:tc>
      </w:tr>
      <w:tr w:rsidR="00411C9D" w:rsidRPr="008F6B31" w14:paraId="741BDC39"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30CD2A17" w14:textId="77777777" w:rsidR="00411C9D" w:rsidRPr="0080598D" w:rsidRDefault="00411C9D" w:rsidP="0080598D">
            <w:pPr>
              <w:pStyle w:val="TableTextEntries"/>
            </w:pPr>
            <w:r w:rsidRPr="0080598D">
              <w:t>Objective 4 Improved conditions for peace and security</w:t>
            </w:r>
          </w:p>
        </w:tc>
        <w:tc>
          <w:tcPr>
            <w:tcW w:w="1390" w:type="dxa"/>
          </w:tcPr>
          <w:p w14:paraId="49D47159" w14:textId="18C02D14" w:rsidR="00411C9D" w:rsidRPr="0080598D" w:rsidRDefault="001C0B0D" w:rsidP="0080598D">
            <w:pPr>
              <w:pStyle w:val="TableTextEntries"/>
            </w:pPr>
            <w:r w:rsidRPr="0080598D">
              <w:t>2</w:t>
            </w:r>
            <w:r w:rsidR="007F082F" w:rsidRPr="0080598D">
              <w:t xml:space="preserve"> </w:t>
            </w:r>
            <w:r w:rsidRPr="0080598D">
              <w:t>088</w:t>
            </w:r>
            <w:r w:rsidR="007F082F" w:rsidRPr="0080598D">
              <w:t xml:space="preserve"> </w:t>
            </w:r>
            <w:r w:rsidRPr="0080598D">
              <w:t>534</w:t>
            </w:r>
          </w:p>
        </w:tc>
        <w:tc>
          <w:tcPr>
            <w:tcW w:w="1426" w:type="dxa"/>
          </w:tcPr>
          <w:p w14:paraId="760D37A0" w14:textId="77777777" w:rsidR="00411C9D" w:rsidRPr="0080598D" w:rsidRDefault="00411C9D" w:rsidP="0080598D">
            <w:pPr>
              <w:pStyle w:val="TableTextEntries"/>
            </w:pPr>
            <w:r w:rsidRPr="0080598D">
              <w:t>2</w:t>
            </w:r>
          </w:p>
        </w:tc>
      </w:tr>
      <w:tr w:rsidR="00411C9D" w:rsidRPr="008F6B31" w14:paraId="212BD96D" w14:textId="77777777" w:rsidTr="0080598D">
        <w:trPr>
          <w:cnfStyle w:val="000000010000" w:firstRow="0" w:lastRow="0" w:firstColumn="0" w:lastColumn="0" w:oddVBand="0" w:evenVBand="0" w:oddHBand="0" w:evenHBand="1" w:firstRowFirstColumn="0" w:firstRowLastColumn="0" w:lastRowFirstColumn="0" w:lastRowLastColumn="0"/>
        </w:trPr>
        <w:tc>
          <w:tcPr>
            <w:tcW w:w="5764" w:type="dxa"/>
          </w:tcPr>
          <w:p w14:paraId="6BDC7482" w14:textId="77777777" w:rsidR="00411C9D" w:rsidRPr="0080598D" w:rsidRDefault="00411C9D" w:rsidP="0080598D">
            <w:pPr>
              <w:pStyle w:val="TableTextEntries"/>
            </w:pPr>
            <w:r w:rsidRPr="0080598D">
              <w:t>Objective 5 Supporting the foundations for accountable, transparent, effective and inclusive governance</w:t>
            </w:r>
          </w:p>
        </w:tc>
        <w:tc>
          <w:tcPr>
            <w:tcW w:w="1390" w:type="dxa"/>
          </w:tcPr>
          <w:p w14:paraId="036E9E89" w14:textId="2BA3D8D0" w:rsidR="00411C9D" w:rsidRPr="0080598D" w:rsidRDefault="001C0B0D" w:rsidP="0080598D">
            <w:pPr>
              <w:pStyle w:val="TableTextEntries"/>
            </w:pPr>
            <w:r w:rsidRPr="0080598D">
              <w:t>20</w:t>
            </w:r>
            <w:r w:rsidR="007F082F" w:rsidRPr="0080598D">
              <w:t xml:space="preserve"> </w:t>
            </w:r>
            <w:r w:rsidRPr="0080598D">
              <w:t>072</w:t>
            </w:r>
            <w:r w:rsidR="007F082F" w:rsidRPr="0080598D">
              <w:t xml:space="preserve"> </w:t>
            </w:r>
            <w:r w:rsidRPr="0080598D">
              <w:t>310</w:t>
            </w:r>
          </w:p>
        </w:tc>
        <w:tc>
          <w:tcPr>
            <w:tcW w:w="1426" w:type="dxa"/>
          </w:tcPr>
          <w:p w14:paraId="45C49242" w14:textId="77777777" w:rsidR="00411C9D" w:rsidRPr="0080598D" w:rsidRDefault="00411C9D" w:rsidP="0080598D">
            <w:pPr>
              <w:pStyle w:val="TableTextEntries"/>
            </w:pPr>
            <w:r w:rsidRPr="0080598D">
              <w:t>22</w:t>
            </w:r>
          </w:p>
        </w:tc>
      </w:tr>
    </w:tbl>
    <w:p w14:paraId="2A40F035" w14:textId="46DE8469" w:rsidR="00411C9D" w:rsidRPr="008F6B31" w:rsidRDefault="00411C9D" w:rsidP="006A5D17">
      <w:pPr>
        <w:pStyle w:val="Note"/>
      </w:pPr>
      <w:r w:rsidRPr="008F6B31">
        <w:t xml:space="preserve">Source: </w:t>
      </w:r>
      <w:proofErr w:type="spellStart"/>
      <w:r w:rsidRPr="008F6B31">
        <w:t>Aid</w:t>
      </w:r>
      <w:r w:rsidR="00621A01">
        <w:t>w</w:t>
      </w:r>
      <w:r w:rsidRPr="008F6B31">
        <w:t>orks</w:t>
      </w:r>
      <w:proofErr w:type="spellEnd"/>
      <w:r w:rsidRPr="008F6B31">
        <w:t xml:space="preserve">. </w:t>
      </w:r>
    </w:p>
    <w:p w14:paraId="184BF148" w14:textId="77777777" w:rsidR="00411C9D" w:rsidRPr="008F6B31" w:rsidRDefault="00411C9D" w:rsidP="0080598D">
      <w:pPr>
        <w:pStyle w:val="BodyText"/>
      </w:pPr>
    </w:p>
    <w:p w14:paraId="34740A55" w14:textId="616852F4" w:rsidR="00411C9D" w:rsidRPr="008F6B31" w:rsidRDefault="00411C9D" w:rsidP="00411C9D">
      <w:pPr>
        <w:pStyle w:val="Caption"/>
      </w:pPr>
      <w:r w:rsidRPr="008F6B31">
        <w:t>Table 1B</w:t>
      </w:r>
      <w:r w:rsidR="007F082F">
        <w:t>:</w:t>
      </w:r>
      <w:r w:rsidRPr="008F6B31">
        <w:t xml:space="preserve"> Estimated expenditure in 2012</w:t>
      </w:r>
      <w:r w:rsidR="007F082F">
        <w:t>–</w:t>
      </w:r>
      <w:r w:rsidRPr="008F6B31">
        <w:t>13</w:t>
      </w:r>
    </w:p>
    <w:tbl>
      <w:tblPr>
        <w:tblStyle w:val="APPR"/>
        <w:tblpPr w:leftFromText="180" w:rightFromText="180" w:vertAnchor="text" w:tblpY="1"/>
        <w:tblW w:w="5000" w:type="pct"/>
        <w:tblLayout w:type="fixed"/>
        <w:tblLook w:val="0000" w:firstRow="0" w:lastRow="0" w:firstColumn="0" w:lastColumn="0" w:noHBand="0" w:noVBand="0"/>
      </w:tblPr>
      <w:tblGrid>
        <w:gridCol w:w="5787"/>
        <w:gridCol w:w="1385"/>
        <w:gridCol w:w="1434"/>
      </w:tblGrid>
      <w:tr w:rsidR="00411C9D" w:rsidRPr="008F6B31" w14:paraId="5E14CD7A"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62BD3B0A" w14:textId="77777777" w:rsidR="00411C9D" w:rsidRPr="0080598D" w:rsidRDefault="00411C9D" w:rsidP="0080598D">
            <w:pPr>
              <w:pStyle w:val="TableHeading1"/>
              <w:rPr>
                <w:b/>
              </w:rPr>
            </w:pPr>
            <w:r w:rsidRPr="0080598D">
              <w:rPr>
                <w:b/>
              </w:rPr>
              <w:t>Objective</w:t>
            </w:r>
          </w:p>
        </w:tc>
        <w:tc>
          <w:tcPr>
            <w:tcW w:w="1390" w:type="dxa"/>
          </w:tcPr>
          <w:p w14:paraId="108ED882" w14:textId="7A43584B" w:rsidR="00411C9D" w:rsidRPr="0080598D" w:rsidRDefault="00411C9D" w:rsidP="0080598D">
            <w:pPr>
              <w:pStyle w:val="TableHeading1"/>
              <w:rPr>
                <w:b/>
              </w:rPr>
            </w:pPr>
            <w:r w:rsidRPr="0080598D">
              <w:rPr>
                <w:b/>
              </w:rPr>
              <w:t>$ million</w:t>
            </w:r>
          </w:p>
        </w:tc>
        <w:tc>
          <w:tcPr>
            <w:tcW w:w="1426" w:type="dxa"/>
          </w:tcPr>
          <w:p w14:paraId="5314BFF4" w14:textId="77777777" w:rsidR="00411C9D" w:rsidRPr="0080598D" w:rsidRDefault="00411C9D" w:rsidP="0080598D">
            <w:pPr>
              <w:pStyle w:val="TableHeading1"/>
              <w:rPr>
                <w:b/>
              </w:rPr>
            </w:pPr>
            <w:r w:rsidRPr="0080598D">
              <w:rPr>
                <w:b/>
              </w:rPr>
              <w:t>% of bilateral program</w:t>
            </w:r>
          </w:p>
        </w:tc>
      </w:tr>
      <w:tr w:rsidR="00411C9D" w:rsidRPr="008F6B31" w14:paraId="42DC8D1E"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5F1BB95B" w14:textId="77777777" w:rsidR="00411C9D" w:rsidRPr="0080598D" w:rsidRDefault="00411C9D" w:rsidP="0080598D">
            <w:pPr>
              <w:pStyle w:val="TableTextEntries"/>
            </w:pPr>
            <w:r w:rsidRPr="0080598D">
              <w:t>Objective 1 Improved education</w:t>
            </w:r>
          </w:p>
        </w:tc>
        <w:tc>
          <w:tcPr>
            <w:tcW w:w="1390" w:type="dxa"/>
          </w:tcPr>
          <w:p w14:paraId="45A2B173" w14:textId="69FE52D3" w:rsidR="00411C9D" w:rsidRPr="0080598D" w:rsidRDefault="006421E3" w:rsidP="002A748C">
            <w:pPr>
              <w:pStyle w:val="TableTextEntries"/>
            </w:pPr>
            <w:r w:rsidRPr="006421E3">
              <w:t>44</w:t>
            </w:r>
            <w:r>
              <w:t xml:space="preserve"> </w:t>
            </w:r>
            <w:r w:rsidRPr="006421E3">
              <w:t>358</w:t>
            </w:r>
            <w:r>
              <w:t xml:space="preserve"> </w:t>
            </w:r>
            <w:r w:rsidRPr="006421E3">
              <w:t>65</w:t>
            </w:r>
            <w:r w:rsidR="002A748C">
              <w:t>2</w:t>
            </w:r>
          </w:p>
        </w:tc>
        <w:tc>
          <w:tcPr>
            <w:tcW w:w="1426" w:type="dxa"/>
          </w:tcPr>
          <w:p w14:paraId="0D7E5702" w14:textId="25F2B3C3" w:rsidR="00411C9D" w:rsidRPr="0080598D" w:rsidRDefault="00411C9D" w:rsidP="006421E3">
            <w:pPr>
              <w:pStyle w:val="TableTextEntries"/>
            </w:pPr>
            <w:r w:rsidRPr="0080598D">
              <w:t>4</w:t>
            </w:r>
            <w:r w:rsidR="006421E3">
              <w:t>5</w:t>
            </w:r>
          </w:p>
        </w:tc>
      </w:tr>
      <w:tr w:rsidR="00411C9D" w:rsidRPr="008F6B31" w14:paraId="7B42C6C7"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221E83E1" w14:textId="77777777" w:rsidR="00411C9D" w:rsidRPr="0080598D" w:rsidRDefault="00411C9D" w:rsidP="0080598D">
            <w:pPr>
              <w:pStyle w:val="TableTextEntries"/>
            </w:pPr>
            <w:r w:rsidRPr="0080598D">
              <w:t>Objective 2 Improved local government capacity to deliver basic services</w:t>
            </w:r>
          </w:p>
        </w:tc>
        <w:tc>
          <w:tcPr>
            <w:tcW w:w="1390" w:type="dxa"/>
          </w:tcPr>
          <w:p w14:paraId="07B60943" w14:textId="7147E02C" w:rsidR="00411C9D" w:rsidRPr="0080598D" w:rsidRDefault="006421E3" w:rsidP="002A748C">
            <w:pPr>
              <w:pStyle w:val="TableTextEntries"/>
            </w:pPr>
            <w:r w:rsidRPr="006421E3">
              <w:t>13</w:t>
            </w:r>
            <w:r>
              <w:t xml:space="preserve"> </w:t>
            </w:r>
            <w:r w:rsidRPr="006421E3">
              <w:t>330</w:t>
            </w:r>
            <w:r>
              <w:t xml:space="preserve"> </w:t>
            </w:r>
            <w:r w:rsidRPr="006421E3">
              <w:t>458</w:t>
            </w:r>
          </w:p>
        </w:tc>
        <w:tc>
          <w:tcPr>
            <w:tcW w:w="1426" w:type="dxa"/>
          </w:tcPr>
          <w:p w14:paraId="6D8DFD7E" w14:textId="77777777" w:rsidR="00411C9D" w:rsidRPr="0080598D" w:rsidRDefault="00411C9D" w:rsidP="0080598D">
            <w:pPr>
              <w:pStyle w:val="TableTextEntries"/>
            </w:pPr>
            <w:r w:rsidRPr="0080598D">
              <w:t>13</w:t>
            </w:r>
          </w:p>
        </w:tc>
      </w:tr>
      <w:tr w:rsidR="00411C9D" w:rsidRPr="008F6B31" w14:paraId="6C2A383A"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4BD0B1CF" w14:textId="77777777" w:rsidR="00411C9D" w:rsidRPr="0080598D" w:rsidRDefault="00411C9D" w:rsidP="0080598D">
            <w:pPr>
              <w:pStyle w:val="TableTextEntries"/>
            </w:pPr>
            <w:r w:rsidRPr="0080598D">
              <w:t>Objective 3 Strengthened climate change adaptation and disaster risk management</w:t>
            </w:r>
          </w:p>
        </w:tc>
        <w:tc>
          <w:tcPr>
            <w:tcW w:w="1390" w:type="dxa"/>
          </w:tcPr>
          <w:p w14:paraId="2042333C" w14:textId="4C61BF3E" w:rsidR="00411C9D" w:rsidRPr="0080598D" w:rsidRDefault="006421E3" w:rsidP="002A748C">
            <w:pPr>
              <w:pStyle w:val="TableTextEntries"/>
            </w:pPr>
            <w:r w:rsidRPr="006421E3">
              <w:t>11</w:t>
            </w:r>
            <w:r>
              <w:t xml:space="preserve"> </w:t>
            </w:r>
            <w:r w:rsidRPr="006421E3">
              <w:t>935</w:t>
            </w:r>
            <w:r>
              <w:t xml:space="preserve"> </w:t>
            </w:r>
            <w:r w:rsidRPr="006421E3">
              <w:t>718</w:t>
            </w:r>
          </w:p>
        </w:tc>
        <w:tc>
          <w:tcPr>
            <w:tcW w:w="1426" w:type="dxa"/>
          </w:tcPr>
          <w:p w14:paraId="26B440E4" w14:textId="3B923F42" w:rsidR="00411C9D" w:rsidRPr="0080598D" w:rsidRDefault="00411C9D" w:rsidP="006421E3">
            <w:pPr>
              <w:pStyle w:val="TableTextEntries"/>
            </w:pPr>
            <w:r w:rsidRPr="0080598D">
              <w:t>1</w:t>
            </w:r>
            <w:r w:rsidR="006421E3">
              <w:t>2</w:t>
            </w:r>
          </w:p>
        </w:tc>
      </w:tr>
      <w:tr w:rsidR="00411C9D" w:rsidRPr="008F6B31" w14:paraId="170B840E"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2ABBFB43" w14:textId="77777777" w:rsidR="00411C9D" w:rsidRPr="0080598D" w:rsidRDefault="00411C9D" w:rsidP="0080598D">
            <w:pPr>
              <w:pStyle w:val="TableTextEntries"/>
            </w:pPr>
            <w:r w:rsidRPr="0080598D">
              <w:t>Objective 4 Improved conditions for peace and security</w:t>
            </w:r>
          </w:p>
        </w:tc>
        <w:tc>
          <w:tcPr>
            <w:tcW w:w="1390" w:type="dxa"/>
          </w:tcPr>
          <w:p w14:paraId="08A30C4A" w14:textId="3AE3BA57" w:rsidR="00411C9D" w:rsidRPr="0080598D" w:rsidRDefault="006421E3" w:rsidP="002A748C">
            <w:pPr>
              <w:pStyle w:val="TableTextEntries"/>
            </w:pPr>
            <w:r>
              <w:t xml:space="preserve">  </w:t>
            </w:r>
            <w:r w:rsidRPr="006421E3">
              <w:t>6</w:t>
            </w:r>
            <w:r>
              <w:t xml:space="preserve"> </w:t>
            </w:r>
            <w:r w:rsidRPr="006421E3">
              <w:t>637</w:t>
            </w:r>
            <w:r>
              <w:t xml:space="preserve"> </w:t>
            </w:r>
            <w:r w:rsidRPr="006421E3">
              <w:t>585</w:t>
            </w:r>
          </w:p>
        </w:tc>
        <w:tc>
          <w:tcPr>
            <w:tcW w:w="1426" w:type="dxa"/>
          </w:tcPr>
          <w:p w14:paraId="721B2947" w14:textId="31C89001" w:rsidR="00411C9D" w:rsidRPr="0080598D" w:rsidRDefault="006421E3" w:rsidP="0080598D">
            <w:pPr>
              <w:pStyle w:val="TableTextEntries"/>
            </w:pPr>
            <w:r>
              <w:t xml:space="preserve">  7</w:t>
            </w:r>
          </w:p>
        </w:tc>
      </w:tr>
      <w:tr w:rsidR="00411C9D" w:rsidRPr="008F6B31" w14:paraId="6A1289BA" w14:textId="77777777" w:rsidTr="000325A4">
        <w:trPr>
          <w:cnfStyle w:val="000000010000" w:firstRow="0" w:lastRow="0" w:firstColumn="0" w:lastColumn="0" w:oddVBand="0" w:evenVBand="0" w:oddHBand="0" w:evenHBand="1" w:firstRowFirstColumn="0" w:firstRowLastColumn="0" w:lastRowFirstColumn="0" w:lastRowLastColumn="0"/>
        </w:trPr>
        <w:tc>
          <w:tcPr>
            <w:tcW w:w="5906" w:type="dxa"/>
          </w:tcPr>
          <w:p w14:paraId="2FD5B8EC" w14:textId="77777777" w:rsidR="00411C9D" w:rsidRPr="0080598D" w:rsidRDefault="00411C9D" w:rsidP="0080598D">
            <w:pPr>
              <w:pStyle w:val="TableTextEntries"/>
            </w:pPr>
            <w:r w:rsidRPr="0080598D">
              <w:t>Objective 5 Supporting the foundations for accountable, transparent, effective and inclusive governance</w:t>
            </w:r>
          </w:p>
        </w:tc>
        <w:tc>
          <w:tcPr>
            <w:tcW w:w="1390" w:type="dxa"/>
          </w:tcPr>
          <w:p w14:paraId="3523F32D" w14:textId="488EF366" w:rsidR="00411C9D" w:rsidRPr="0080598D" w:rsidRDefault="006421E3" w:rsidP="002A748C">
            <w:pPr>
              <w:pStyle w:val="TableTextEntries"/>
            </w:pPr>
            <w:r>
              <w:t xml:space="preserve">22 </w:t>
            </w:r>
            <w:r w:rsidRPr="006421E3">
              <w:t>910</w:t>
            </w:r>
            <w:r>
              <w:t xml:space="preserve"> </w:t>
            </w:r>
            <w:r w:rsidRPr="006421E3">
              <w:t>51</w:t>
            </w:r>
            <w:r w:rsidR="002A748C">
              <w:t>2</w:t>
            </w:r>
          </w:p>
        </w:tc>
        <w:tc>
          <w:tcPr>
            <w:tcW w:w="1426" w:type="dxa"/>
          </w:tcPr>
          <w:p w14:paraId="3F34DD17" w14:textId="77777777" w:rsidR="00411C9D" w:rsidRPr="0080598D" w:rsidRDefault="00411C9D" w:rsidP="0080598D">
            <w:pPr>
              <w:pStyle w:val="TableTextEntries"/>
            </w:pPr>
            <w:r w:rsidRPr="0080598D">
              <w:t>23</w:t>
            </w:r>
          </w:p>
        </w:tc>
      </w:tr>
    </w:tbl>
    <w:p w14:paraId="643AA49F" w14:textId="66FECE00" w:rsidR="00411C9D" w:rsidRPr="008F6B31" w:rsidRDefault="00411C9D" w:rsidP="006A5D17">
      <w:pPr>
        <w:pStyle w:val="Note"/>
      </w:pPr>
      <w:r w:rsidRPr="008F6B31">
        <w:t xml:space="preserve">Source: </w:t>
      </w:r>
      <w:proofErr w:type="spellStart"/>
      <w:r w:rsidR="00767BD0" w:rsidRPr="008F6B31">
        <w:t>Aid</w:t>
      </w:r>
      <w:r w:rsidR="00621A01">
        <w:t>w</w:t>
      </w:r>
      <w:r w:rsidR="00767BD0" w:rsidRPr="008F6B31">
        <w:t>orks</w:t>
      </w:r>
      <w:proofErr w:type="spellEnd"/>
      <w:r w:rsidR="002A748C">
        <w:t>.</w:t>
      </w:r>
    </w:p>
    <w:p w14:paraId="38CA51DC" w14:textId="77777777" w:rsidR="00411C9D" w:rsidRPr="0080598D" w:rsidRDefault="00411C9D" w:rsidP="0080598D">
      <w:pPr>
        <w:pStyle w:val="Heading1"/>
      </w:pPr>
      <w:r w:rsidRPr="0080598D">
        <w:t>Progress towards objectives</w:t>
      </w:r>
    </w:p>
    <w:p w14:paraId="44B3468E" w14:textId="5D2AE02C" w:rsidR="00411C9D" w:rsidRPr="008F6B31" w:rsidRDefault="00411C9D" w:rsidP="0080598D">
      <w:pPr>
        <w:pStyle w:val="BodyText"/>
      </w:pPr>
      <w:r w:rsidRPr="008F6B31">
        <w:t xml:space="preserve">During the initial 18 months </w:t>
      </w:r>
      <w:r w:rsidR="004A1EB9" w:rsidRPr="008F6B31">
        <w:t>of</w:t>
      </w:r>
      <w:r w:rsidRPr="008F6B31">
        <w:t xml:space="preserve"> implementi</w:t>
      </w:r>
      <w:r w:rsidR="004A1EB9" w:rsidRPr="008F6B31">
        <w:t>ng</w:t>
      </w:r>
      <w:r w:rsidRPr="008F6B31">
        <w:t xml:space="preserve"> the </w:t>
      </w:r>
      <w:r w:rsidR="00177023">
        <w:t>Australia–Philippines</w:t>
      </w:r>
      <w:r w:rsidRPr="008F6B31">
        <w:t xml:space="preserve"> </w:t>
      </w:r>
      <w:r w:rsidR="00D81B7A">
        <w:t>C</w:t>
      </w:r>
      <w:r w:rsidR="00D81B7A" w:rsidRPr="008F6B31">
        <w:t xml:space="preserve">ountry </w:t>
      </w:r>
      <w:r w:rsidR="00D81B7A">
        <w:t>S</w:t>
      </w:r>
      <w:r w:rsidR="00D81B7A" w:rsidRPr="008F6B31">
        <w:t xml:space="preserve">trategy </w:t>
      </w:r>
      <w:r w:rsidR="00177023">
        <w:t>2012–</w:t>
      </w:r>
      <w:r w:rsidR="007F082F">
        <w:t>20</w:t>
      </w:r>
      <w:r w:rsidR="00177023">
        <w:t>17</w:t>
      </w:r>
      <w:r w:rsidR="007826F5">
        <w:t>, Australia</w:t>
      </w:r>
      <w:r w:rsidRPr="008F6B31">
        <w:t xml:space="preserve"> made progress towards meeting </w:t>
      </w:r>
      <w:r w:rsidR="007826F5">
        <w:t xml:space="preserve">four of the </w:t>
      </w:r>
      <w:r w:rsidR="00221570" w:rsidRPr="008F6B31">
        <w:t xml:space="preserve">strategy’s </w:t>
      </w:r>
      <w:r w:rsidR="007826F5">
        <w:t xml:space="preserve">five </w:t>
      </w:r>
      <w:r w:rsidRPr="008F6B31">
        <w:t>objectives</w:t>
      </w:r>
      <w:r w:rsidR="00B144A9" w:rsidRPr="008F6B31">
        <w:t xml:space="preserve">. For </w:t>
      </w:r>
      <w:r w:rsidR="00345275">
        <w:t>o</w:t>
      </w:r>
      <w:r w:rsidR="00345275" w:rsidRPr="008F6B31">
        <w:t xml:space="preserve">bjective </w:t>
      </w:r>
      <w:r w:rsidR="00B144A9" w:rsidRPr="008F6B31">
        <w:t>2, progress is less than expected for this point in time</w:t>
      </w:r>
      <w:r w:rsidR="00D148DD">
        <w:t>. R</w:t>
      </w:r>
      <w:r w:rsidR="00B144A9" w:rsidRPr="008F6B31">
        <w:t xml:space="preserve">estorative action </w:t>
      </w:r>
      <w:r w:rsidR="007826F5">
        <w:t>is</w:t>
      </w:r>
      <w:r w:rsidR="00B144A9" w:rsidRPr="008F6B31">
        <w:t xml:space="preserve"> necessary if </w:t>
      </w:r>
      <w:r w:rsidR="00221570">
        <w:t>it</w:t>
      </w:r>
      <w:r w:rsidR="00B144A9" w:rsidRPr="008F6B31">
        <w:t xml:space="preserve"> is to be achieved. This </w:t>
      </w:r>
      <w:r w:rsidR="007826F5">
        <w:t>remediation</w:t>
      </w:r>
      <w:r w:rsidR="00B144A9" w:rsidRPr="008F6B31">
        <w:t xml:space="preserve"> </w:t>
      </w:r>
      <w:r w:rsidR="003760CB">
        <w:t xml:space="preserve">is in train and </w:t>
      </w:r>
      <w:r w:rsidR="00B144A9" w:rsidRPr="008F6B31">
        <w:t xml:space="preserve">is outlined in the narrative on </w:t>
      </w:r>
      <w:r w:rsidR="00345275">
        <w:t>o</w:t>
      </w:r>
      <w:r w:rsidR="00345275" w:rsidRPr="008F6B31">
        <w:t xml:space="preserve">bjective </w:t>
      </w:r>
      <w:r w:rsidR="00B144A9" w:rsidRPr="008F6B31">
        <w:t xml:space="preserve">2 and in the management actions. For all other objectives, progress is as expected and it is </w:t>
      </w:r>
      <w:r w:rsidR="00221570">
        <w:t>anticipated</w:t>
      </w:r>
      <w:r w:rsidR="00221570" w:rsidRPr="008F6B31">
        <w:t xml:space="preserve"> </w:t>
      </w:r>
      <w:r w:rsidR="00B144A9" w:rsidRPr="008F6B31">
        <w:t xml:space="preserve">that the objectives will be achieved </w:t>
      </w:r>
      <w:r w:rsidRPr="008F6B31">
        <w:t>within the timeframe of the strategy (</w:t>
      </w:r>
      <w:r w:rsidR="000B0995" w:rsidRPr="008F6B31">
        <w:t xml:space="preserve">see </w:t>
      </w:r>
      <w:r w:rsidR="00345275">
        <w:t>t</w:t>
      </w:r>
      <w:r w:rsidR="00345275" w:rsidRPr="008F6B31">
        <w:t xml:space="preserve">able </w:t>
      </w:r>
      <w:r w:rsidRPr="008F6B31">
        <w:t>2).</w:t>
      </w:r>
    </w:p>
    <w:p w14:paraId="251FDFD8" w14:textId="77777777" w:rsidR="00541B3F" w:rsidRDefault="00541B3F">
      <w:pPr>
        <w:spacing w:after="200" w:line="276" w:lineRule="auto"/>
        <w:rPr>
          <w:rFonts w:ascii="Arial" w:eastAsia="Times New Roman" w:hAnsi="Arial" w:cs="Arial"/>
          <w:color w:val="7E6D5F"/>
          <w:szCs w:val="19"/>
        </w:rPr>
      </w:pPr>
      <w:r>
        <w:br w:type="page"/>
      </w:r>
    </w:p>
    <w:p w14:paraId="2CA68310" w14:textId="31690635" w:rsidR="00411C9D" w:rsidRPr="008F6B31" w:rsidRDefault="00411C9D" w:rsidP="0080598D">
      <w:pPr>
        <w:pStyle w:val="Caption"/>
      </w:pPr>
      <w:r w:rsidRPr="008F6B31">
        <w:lastRenderedPageBreak/>
        <w:t xml:space="preserve">Table </w:t>
      </w:r>
      <w:fldSimple w:instr=" SEQ Table \* ARABIC ">
        <w:r w:rsidR="00160FFD">
          <w:rPr>
            <w:noProof/>
          </w:rPr>
          <w:t>2</w:t>
        </w:r>
      </w:fldSimple>
      <w:r w:rsidR="00345275">
        <w:rPr>
          <w:noProof/>
        </w:rPr>
        <w:t>:</w:t>
      </w:r>
      <w:r w:rsidRPr="008F6B31">
        <w:t xml:space="preserve"> Rating of the </w:t>
      </w:r>
      <w:r w:rsidR="008F6B31" w:rsidRPr="008F6B31">
        <w:t>program’s</w:t>
      </w:r>
      <w:r w:rsidRPr="008F6B31">
        <w:t xml:space="preserve"> progress towards the objectives</w:t>
      </w:r>
    </w:p>
    <w:tbl>
      <w:tblPr>
        <w:tblStyle w:val="APPR"/>
        <w:tblW w:w="5000" w:type="pct"/>
        <w:tblLook w:val="0000" w:firstRow="0" w:lastRow="0" w:firstColumn="0" w:lastColumn="0" w:noHBand="0" w:noVBand="0"/>
      </w:tblPr>
      <w:tblGrid>
        <w:gridCol w:w="6193"/>
        <w:gridCol w:w="1291"/>
        <w:gridCol w:w="1122"/>
      </w:tblGrid>
      <w:tr w:rsidR="0080598D" w:rsidRPr="008F6B31" w14:paraId="0412893A" w14:textId="77777777" w:rsidTr="0080598D">
        <w:trPr>
          <w:cnfStyle w:val="000000010000" w:firstRow="0" w:lastRow="0" w:firstColumn="0" w:lastColumn="0" w:oddVBand="0" w:evenVBand="0" w:oddHBand="0" w:evenHBand="1" w:firstRowFirstColumn="0" w:firstRowLastColumn="0" w:lastRowFirstColumn="0" w:lastRowLastColumn="0"/>
          <w:trHeight w:val="651"/>
        </w:trPr>
        <w:tc>
          <w:tcPr>
            <w:tcW w:w="5814" w:type="dxa"/>
          </w:tcPr>
          <w:p w14:paraId="0AFECF9D" w14:textId="77777777" w:rsidR="0080598D" w:rsidRPr="0080598D" w:rsidRDefault="0080598D" w:rsidP="0080598D">
            <w:pPr>
              <w:pStyle w:val="TableHeading1"/>
              <w:rPr>
                <w:b/>
              </w:rPr>
            </w:pPr>
            <w:r w:rsidRPr="0080598D">
              <w:rPr>
                <w:b/>
                <w:noProof/>
                <w:lang w:eastAsia="en-AU"/>
              </w:rPr>
              <w:drawing>
                <wp:anchor distT="0" distB="0" distL="114300" distR="114300" simplePos="0" relativeHeight="251669504" behindDoc="0" locked="0" layoutInCell="1" allowOverlap="1" wp14:anchorId="48005FE9" wp14:editId="516C5951">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98D">
              <w:rPr>
                <w:b/>
              </w:rPr>
              <w:t>Objective</w:t>
            </w:r>
          </w:p>
        </w:tc>
        <w:tc>
          <w:tcPr>
            <w:tcW w:w="1194" w:type="dxa"/>
          </w:tcPr>
          <w:p w14:paraId="6C6F627E" w14:textId="50E6D139" w:rsidR="0080598D" w:rsidRPr="0080598D" w:rsidRDefault="0080598D" w:rsidP="0080598D">
            <w:pPr>
              <w:pStyle w:val="TableHeading1"/>
              <w:rPr>
                <w:b/>
              </w:rPr>
            </w:pPr>
            <w:r w:rsidRPr="0080598D">
              <w:rPr>
                <w:b/>
              </w:rPr>
              <w:t>Current rating</w:t>
            </w:r>
          </w:p>
        </w:tc>
        <w:tc>
          <w:tcPr>
            <w:tcW w:w="1021" w:type="dxa"/>
          </w:tcPr>
          <w:p w14:paraId="2E7971E1" w14:textId="41F55E5C" w:rsidR="0080598D" w:rsidRPr="0080598D" w:rsidRDefault="0080598D" w:rsidP="0080598D">
            <w:pPr>
              <w:pStyle w:val="TableHeading1"/>
              <w:rPr>
                <w:b/>
              </w:rPr>
            </w:pPr>
            <w:r w:rsidRPr="0080598D">
              <w:rPr>
                <w:b/>
              </w:rPr>
              <w:t>Previous rating</w:t>
            </w:r>
          </w:p>
        </w:tc>
      </w:tr>
      <w:tr w:rsidR="0080598D" w:rsidRPr="008F6B31" w14:paraId="11CCF7D6" w14:textId="77777777" w:rsidTr="0080598D">
        <w:trPr>
          <w:cnfStyle w:val="000000010000" w:firstRow="0" w:lastRow="0" w:firstColumn="0" w:lastColumn="0" w:oddVBand="0" w:evenVBand="0" w:oddHBand="0" w:evenHBand="1" w:firstRowFirstColumn="0" w:firstRowLastColumn="0" w:lastRowFirstColumn="0" w:lastRowLastColumn="0"/>
        </w:trPr>
        <w:tc>
          <w:tcPr>
            <w:tcW w:w="5814" w:type="dxa"/>
          </w:tcPr>
          <w:p w14:paraId="56272A4B" w14:textId="77777777" w:rsidR="0080598D" w:rsidRPr="0080598D" w:rsidRDefault="0080598D" w:rsidP="0080598D">
            <w:pPr>
              <w:pStyle w:val="TableTextEntries"/>
            </w:pPr>
            <w:r w:rsidRPr="0080598D">
              <w:t>Objective 1 Improved education</w:t>
            </w:r>
          </w:p>
        </w:tc>
        <w:tc>
          <w:tcPr>
            <w:tcW w:w="1194" w:type="dxa"/>
            <w:shd w:val="clear" w:color="auto" w:fill="92D050"/>
            <w:noWrap/>
          </w:tcPr>
          <w:p w14:paraId="378E703D" w14:textId="77777777" w:rsidR="0080598D" w:rsidRPr="0080598D" w:rsidRDefault="0080598D" w:rsidP="0080598D">
            <w:pPr>
              <w:pStyle w:val="TableTextEntries"/>
            </w:pPr>
            <w:r w:rsidRPr="0080598D">
              <w:t>Green</w:t>
            </w:r>
          </w:p>
        </w:tc>
        <w:tc>
          <w:tcPr>
            <w:tcW w:w="1021" w:type="dxa"/>
            <w:shd w:val="clear" w:color="auto" w:fill="92D050"/>
            <w:noWrap/>
          </w:tcPr>
          <w:p w14:paraId="0CC58D5E" w14:textId="77777777" w:rsidR="0080598D" w:rsidRPr="0080598D" w:rsidRDefault="0080598D" w:rsidP="0080598D">
            <w:pPr>
              <w:pStyle w:val="TableTextEntries"/>
            </w:pPr>
            <w:r w:rsidRPr="0080598D">
              <w:t>Green</w:t>
            </w:r>
          </w:p>
        </w:tc>
      </w:tr>
      <w:tr w:rsidR="0080598D" w:rsidRPr="008F6B31" w14:paraId="0395AA7F" w14:textId="77777777" w:rsidTr="0080598D">
        <w:trPr>
          <w:cnfStyle w:val="000000010000" w:firstRow="0" w:lastRow="0" w:firstColumn="0" w:lastColumn="0" w:oddVBand="0" w:evenVBand="0" w:oddHBand="0" w:evenHBand="1" w:firstRowFirstColumn="0" w:firstRowLastColumn="0" w:lastRowFirstColumn="0" w:lastRowLastColumn="0"/>
        </w:trPr>
        <w:tc>
          <w:tcPr>
            <w:tcW w:w="5814" w:type="dxa"/>
          </w:tcPr>
          <w:p w14:paraId="7F4C986B" w14:textId="77777777" w:rsidR="0080598D" w:rsidRPr="0080598D" w:rsidRDefault="0080598D" w:rsidP="0080598D">
            <w:pPr>
              <w:pStyle w:val="TableTextEntries"/>
            </w:pPr>
            <w:r w:rsidRPr="0080598D">
              <w:t>Objective 2 Improved local government capacity to deliver basic services</w:t>
            </w:r>
          </w:p>
        </w:tc>
        <w:tc>
          <w:tcPr>
            <w:tcW w:w="1194" w:type="dxa"/>
            <w:shd w:val="clear" w:color="auto" w:fill="F79646" w:themeFill="accent6"/>
            <w:noWrap/>
          </w:tcPr>
          <w:p w14:paraId="38802C3E" w14:textId="77777777" w:rsidR="0080598D" w:rsidRPr="0080598D" w:rsidRDefault="0080598D" w:rsidP="0080598D">
            <w:pPr>
              <w:pStyle w:val="TableTextEntries"/>
            </w:pPr>
            <w:r w:rsidRPr="0080598D">
              <w:t>Amber</w:t>
            </w:r>
          </w:p>
        </w:tc>
        <w:tc>
          <w:tcPr>
            <w:tcW w:w="1021" w:type="dxa"/>
            <w:shd w:val="clear" w:color="auto" w:fill="92D050"/>
            <w:noWrap/>
          </w:tcPr>
          <w:p w14:paraId="0E4B8E10" w14:textId="77777777" w:rsidR="0080598D" w:rsidRPr="0080598D" w:rsidRDefault="0080598D" w:rsidP="0080598D">
            <w:pPr>
              <w:pStyle w:val="TableTextEntries"/>
            </w:pPr>
            <w:r w:rsidRPr="0080598D">
              <w:t>Green</w:t>
            </w:r>
          </w:p>
        </w:tc>
      </w:tr>
      <w:tr w:rsidR="0080598D" w:rsidRPr="008F6B31" w14:paraId="7064DA93" w14:textId="77777777" w:rsidTr="0080598D">
        <w:trPr>
          <w:cnfStyle w:val="000000010000" w:firstRow="0" w:lastRow="0" w:firstColumn="0" w:lastColumn="0" w:oddVBand="0" w:evenVBand="0" w:oddHBand="0" w:evenHBand="1" w:firstRowFirstColumn="0" w:firstRowLastColumn="0" w:lastRowFirstColumn="0" w:lastRowLastColumn="0"/>
        </w:trPr>
        <w:tc>
          <w:tcPr>
            <w:tcW w:w="5814" w:type="dxa"/>
          </w:tcPr>
          <w:p w14:paraId="1FBA83D5" w14:textId="77777777" w:rsidR="0080598D" w:rsidRPr="0080598D" w:rsidRDefault="0080598D" w:rsidP="0080598D">
            <w:pPr>
              <w:pStyle w:val="TableTextEntries"/>
            </w:pPr>
            <w:r w:rsidRPr="0080598D">
              <w:t>Objective 3 Strengthened climate change adaptation and disaster risk management</w:t>
            </w:r>
          </w:p>
        </w:tc>
        <w:tc>
          <w:tcPr>
            <w:tcW w:w="1194" w:type="dxa"/>
            <w:shd w:val="clear" w:color="auto" w:fill="92D050"/>
            <w:noWrap/>
          </w:tcPr>
          <w:p w14:paraId="516056F9" w14:textId="77777777" w:rsidR="0080598D" w:rsidRPr="0080598D" w:rsidRDefault="0080598D" w:rsidP="0080598D">
            <w:pPr>
              <w:pStyle w:val="TableTextEntries"/>
            </w:pPr>
            <w:r w:rsidRPr="0080598D">
              <w:t>Green</w:t>
            </w:r>
          </w:p>
        </w:tc>
        <w:tc>
          <w:tcPr>
            <w:tcW w:w="1021" w:type="dxa"/>
            <w:shd w:val="clear" w:color="auto" w:fill="92D050"/>
            <w:noWrap/>
          </w:tcPr>
          <w:p w14:paraId="1D195880" w14:textId="77777777" w:rsidR="0080598D" w:rsidRPr="0080598D" w:rsidRDefault="0080598D" w:rsidP="0080598D">
            <w:pPr>
              <w:pStyle w:val="TableTextEntries"/>
            </w:pPr>
            <w:r w:rsidRPr="0080598D">
              <w:t>Green</w:t>
            </w:r>
          </w:p>
        </w:tc>
      </w:tr>
      <w:tr w:rsidR="0080598D" w:rsidRPr="008F6B31" w14:paraId="6689D0D9" w14:textId="77777777" w:rsidTr="0080598D">
        <w:trPr>
          <w:cnfStyle w:val="000000010000" w:firstRow="0" w:lastRow="0" w:firstColumn="0" w:lastColumn="0" w:oddVBand="0" w:evenVBand="0" w:oddHBand="0" w:evenHBand="1" w:firstRowFirstColumn="0" w:firstRowLastColumn="0" w:lastRowFirstColumn="0" w:lastRowLastColumn="0"/>
        </w:trPr>
        <w:tc>
          <w:tcPr>
            <w:tcW w:w="5814" w:type="dxa"/>
          </w:tcPr>
          <w:p w14:paraId="68221C75" w14:textId="77777777" w:rsidR="0080598D" w:rsidRPr="0080598D" w:rsidRDefault="0080598D" w:rsidP="0080598D">
            <w:pPr>
              <w:pStyle w:val="TableTextEntries"/>
            </w:pPr>
            <w:r w:rsidRPr="0080598D">
              <w:t>Objective 4 Improved conditions for peace and security</w:t>
            </w:r>
          </w:p>
        </w:tc>
        <w:tc>
          <w:tcPr>
            <w:tcW w:w="1194" w:type="dxa"/>
            <w:shd w:val="clear" w:color="auto" w:fill="92D050"/>
            <w:noWrap/>
          </w:tcPr>
          <w:p w14:paraId="7FAA936F" w14:textId="77777777" w:rsidR="0080598D" w:rsidRPr="0080598D" w:rsidRDefault="0080598D" w:rsidP="0080598D">
            <w:pPr>
              <w:pStyle w:val="TableTextEntries"/>
            </w:pPr>
            <w:r w:rsidRPr="0080598D">
              <w:t>Green</w:t>
            </w:r>
          </w:p>
        </w:tc>
        <w:tc>
          <w:tcPr>
            <w:tcW w:w="1021" w:type="dxa"/>
            <w:shd w:val="clear" w:color="auto" w:fill="92D050"/>
            <w:noWrap/>
          </w:tcPr>
          <w:p w14:paraId="343168AF" w14:textId="77777777" w:rsidR="0080598D" w:rsidRPr="0080598D" w:rsidRDefault="0080598D" w:rsidP="0080598D">
            <w:pPr>
              <w:pStyle w:val="TableTextEntries"/>
            </w:pPr>
            <w:r w:rsidRPr="0080598D">
              <w:t>Green</w:t>
            </w:r>
          </w:p>
        </w:tc>
      </w:tr>
      <w:tr w:rsidR="0080598D" w:rsidRPr="008F6B31" w14:paraId="33D71455" w14:textId="77777777" w:rsidTr="0080598D">
        <w:trPr>
          <w:cnfStyle w:val="000000010000" w:firstRow="0" w:lastRow="0" w:firstColumn="0" w:lastColumn="0" w:oddVBand="0" w:evenVBand="0" w:oddHBand="0" w:evenHBand="1" w:firstRowFirstColumn="0" w:firstRowLastColumn="0" w:lastRowFirstColumn="0" w:lastRowLastColumn="0"/>
        </w:trPr>
        <w:tc>
          <w:tcPr>
            <w:tcW w:w="5814" w:type="dxa"/>
          </w:tcPr>
          <w:p w14:paraId="501DF56A" w14:textId="77777777" w:rsidR="0080598D" w:rsidRPr="0080598D" w:rsidRDefault="0080598D" w:rsidP="0080598D">
            <w:pPr>
              <w:pStyle w:val="TableTextEntries"/>
            </w:pPr>
            <w:r w:rsidRPr="0080598D">
              <w:t>Objective 5 Supporting the foundations for accountable, transparent, effective and inclusive governance</w:t>
            </w:r>
          </w:p>
        </w:tc>
        <w:tc>
          <w:tcPr>
            <w:tcW w:w="1194" w:type="dxa"/>
            <w:shd w:val="clear" w:color="auto" w:fill="92D050"/>
            <w:noWrap/>
          </w:tcPr>
          <w:p w14:paraId="285CC285" w14:textId="77777777" w:rsidR="0080598D" w:rsidRPr="0080598D" w:rsidRDefault="0080598D" w:rsidP="0080598D">
            <w:pPr>
              <w:pStyle w:val="TableTextEntries"/>
            </w:pPr>
            <w:r w:rsidRPr="0080598D">
              <w:t>Green</w:t>
            </w:r>
          </w:p>
        </w:tc>
        <w:tc>
          <w:tcPr>
            <w:tcW w:w="1021" w:type="dxa"/>
            <w:shd w:val="clear" w:color="auto" w:fill="92D050"/>
            <w:noWrap/>
          </w:tcPr>
          <w:p w14:paraId="39D17736" w14:textId="77777777" w:rsidR="0080598D" w:rsidRPr="0080598D" w:rsidRDefault="0080598D" w:rsidP="0080598D">
            <w:pPr>
              <w:pStyle w:val="TableTextEntries"/>
            </w:pPr>
            <w:r w:rsidRPr="0080598D">
              <w:t>Green</w:t>
            </w:r>
          </w:p>
        </w:tc>
      </w:tr>
    </w:tbl>
    <w:p w14:paraId="5D33BFD1" w14:textId="77777777" w:rsidR="00411C9D" w:rsidRPr="008F6B31" w:rsidRDefault="00411C9D" w:rsidP="006A5D17">
      <w:pPr>
        <w:pStyle w:val="Note"/>
      </w:pPr>
      <w:r w:rsidRPr="008F6B31">
        <w:t xml:space="preserve">Note: </w:t>
      </w:r>
    </w:p>
    <w:p w14:paraId="2552A4F2" w14:textId="77777777" w:rsidR="00411C9D" w:rsidRPr="008F6B31" w:rsidRDefault="00411C9D" w:rsidP="006A5D17">
      <w:pPr>
        <w:pStyle w:val="Note"/>
      </w:pPr>
      <w:r w:rsidRPr="008F6B31">
        <w:rPr>
          <w:color w:val="92D050"/>
        </w:rPr>
        <w:sym w:font="Webdings" w:char="F067"/>
      </w:r>
      <w:r w:rsidRPr="008F6B31">
        <w:t xml:space="preserve"> </w:t>
      </w:r>
      <w:proofErr w:type="gramStart"/>
      <w:r w:rsidRPr="008F6B31">
        <w:t>Green.</w:t>
      </w:r>
      <w:proofErr w:type="gramEnd"/>
      <w:r w:rsidRPr="008F6B31">
        <w:t xml:space="preserve"> Progress is as expected for this point in time and it is likely that the objective will be achieved. Standard program management practices are sufficient.</w:t>
      </w:r>
    </w:p>
    <w:p w14:paraId="6E8EA098" w14:textId="77777777" w:rsidR="00411C9D" w:rsidRPr="008F6B31" w:rsidRDefault="00411C9D" w:rsidP="006A5D17">
      <w:pPr>
        <w:pStyle w:val="Note"/>
      </w:pPr>
      <w:r w:rsidRPr="008F6B31">
        <w:rPr>
          <w:color w:val="F79646" w:themeColor="accent6"/>
        </w:rPr>
        <w:sym w:font="Webdings" w:char="F067"/>
      </w:r>
      <w:r w:rsidRPr="008F6B31">
        <w:t xml:space="preserve"> Amber. Progress is somewhat less than expected for this point in time and restorative action will be necessary if the objective is to be achieved. Close performance monitoring is recommended.</w:t>
      </w:r>
    </w:p>
    <w:p w14:paraId="3C1BE186" w14:textId="44EE2B93" w:rsidR="00AC2FE8" w:rsidRDefault="00411C9D" w:rsidP="0080598D">
      <w:pPr>
        <w:pStyle w:val="Note"/>
      </w:pPr>
      <w:r w:rsidRPr="008F6B31">
        <w:rPr>
          <w:color w:val="FF0000"/>
        </w:rPr>
        <w:sym w:font="Webdings" w:char="F067"/>
      </w:r>
      <w:r w:rsidRPr="008F6B31">
        <w:t xml:space="preserve"> </w:t>
      </w:r>
      <w:proofErr w:type="gramStart"/>
      <w:r w:rsidRPr="008F6B31">
        <w:t>Red.</w:t>
      </w:r>
      <w:proofErr w:type="gramEnd"/>
      <w:r w:rsidRPr="008F6B31">
        <w:t xml:space="preserve"> Progress is significantly less than expected for this point in time and the objective is not likely to be met given available resources and priorities. Recasting the objective may be required. </w:t>
      </w:r>
    </w:p>
    <w:p w14:paraId="14A79DE2" w14:textId="7D31C36A" w:rsidR="0015166C" w:rsidRPr="0080598D" w:rsidRDefault="0015166C" w:rsidP="0080598D">
      <w:pPr>
        <w:pStyle w:val="Heading2"/>
      </w:pPr>
      <w:r w:rsidRPr="0080598D">
        <w:t xml:space="preserve">Objective 1: Improved </w:t>
      </w:r>
      <w:r w:rsidR="00345275" w:rsidRPr="0080598D">
        <w:t>education</w:t>
      </w:r>
    </w:p>
    <w:p w14:paraId="4EDF42DF" w14:textId="77777777" w:rsidR="00345275" w:rsidRDefault="00302F75" w:rsidP="0080598D">
      <w:pPr>
        <w:pStyle w:val="BodyText"/>
      </w:pPr>
      <w:r w:rsidRPr="000440F3">
        <w:t xml:space="preserve">Progress towards this objective has been rated </w:t>
      </w:r>
      <w:r w:rsidR="00070254">
        <w:t>g</w:t>
      </w:r>
      <w:r w:rsidRPr="00302F75">
        <w:t>reen</w:t>
      </w:r>
      <w:r w:rsidRPr="000440F3">
        <w:t>. Solid progress has been made in increasing access, demonstrated by</w:t>
      </w:r>
      <w:r w:rsidR="00345275">
        <w:t>:</w:t>
      </w:r>
    </w:p>
    <w:p w14:paraId="6917F6AD" w14:textId="325B122B" w:rsidR="00345275" w:rsidRDefault="00302F75" w:rsidP="0080598D">
      <w:pPr>
        <w:pStyle w:val="ListBullet"/>
      </w:pPr>
      <w:r w:rsidRPr="000440F3">
        <w:t>the number of children attending school who previously had no access to schooling</w:t>
      </w:r>
    </w:p>
    <w:p w14:paraId="7F1C5DA0" w14:textId="4FFEE405" w:rsidR="00345275" w:rsidRDefault="00345275" w:rsidP="0080598D">
      <w:pPr>
        <w:pStyle w:val="ListBullet"/>
      </w:pPr>
      <w:r>
        <w:t>a</w:t>
      </w:r>
      <w:r w:rsidRPr="000440F3">
        <w:t xml:space="preserve"> </w:t>
      </w:r>
      <w:r w:rsidR="00302F75" w:rsidRPr="000440F3">
        <w:t>reduc</w:t>
      </w:r>
      <w:r>
        <w:t xml:space="preserve">tion </w:t>
      </w:r>
      <w:r w:rsidR="00302F75" w:rsidRPr="000440F3">
        <w:t xml:space="preserve">in the shortfall </w:t>
      </w:r>
      <w:r w:rsidR="00221570">
        <w:t>of</w:t>
      </w:r>
      <w:r w:rsidR="00221570" w:rsidRPr="000440F3">
        <w:t xml:space="preserve"> </w:t>
      </w:r>
      <w:r w:rsidR="00302F75" w:rsidRPr="000440F3">
        <w:t>classrooms affecting both access and learning quality</w:t>
      </w:r>
    </w:p>
    <w:p w14:paraId="17DF0459" w14:textId="7B5DDE10" w:rsidR="00345275" w:rsidRDefault="00302F75" w:rsidP="0080598D">
      <w:pPr>
        <w:pStyle w:val="ListBullet"/>
      </w:pPr>
      <w:r w:rsidRPr="000440F3">
        <w:t>improv</w:t>
      </w:r>
      <w:r w:rsidR="00345275">
        <w:t xml:space="preserve">ed </w:t>
      </w:r>
      <w:r w:rsidRPr="000440F3">
        <w:t xml:space="preserve">learning outcomes </w:t>
      </w:r>
      <w:r w:rsidR="00345275">
        <w:t>achieved through</w:t>
      </w:r>
      <w:r w:rsidR="00345275" w:rsidRPr="000440F3">
        <w:t xml:space="preserve"> </w:t>
      </w:r>
      <w:r w:rsidRPr="000440F3">
        <w:t>training teachers and administrators</w:t>
      </w:r>
    </w:p>
    <w:p w14:paraId="602D8EE5" w14:textId="47C62E39" w:rsidR="00345275" w:rsidRDefault="00550D65" w:rsidP="0080598D">
      <w:pPr>
        <w:pStyle w:val="ListBullet"/>
      </w:pPr>
      <w:proofErr w:type="gramStart"/>
      <w:r>
        <w:t>organisation</w:t>
      </w:r>
      <w:r w:rsidR="00221570">
        <w:t>al</w:t>
      </w:r>
      <w:proofErr w:type="gramEnd"/>
      <w:r>
        <w:t xml:space="preserve"> reforms and </w:t>
      </w:r>
      <w:r w:rsidR="00302F75" w:rsidRPr="000440F3">
        <w:t xml:space="preserve">the introduction of better management systems in the Department of Education. </w:t>
      </w:r>
    </w:p>
    <w:p w14:paraId="7D60B686" w14:textId="4ECFD137" w:rsidR="00302F75" w:rsidRPr="000440F3" w:rsidRDefault="00302F75" w:rsidP="0080598D">
      <w:pPr>
        <w:pStyle w:val="BodyText"/>
      </w:pPr>
      <w:r w:rsidRPr="00302F75">
        <w:t>Delays</w:t>
      </w:r>
      <w:r w:rsidRPr="000440F3">
        <w:t xml:space="preserve"> in some areas</w:t>
      </w:r>
      <w:r w:rsidR="000440F3">
        <w:t xml:space="preserve"> </w:t>
      </w:r>
      <w:r w:rsidRPr="000440F3">
        <w:t xml:space="preserve">result from a very challenging reform agenda but have been adequately managed so that overall progress towards </w:t>
      </w:r>
      <w:r w:rsidR="000440F3">
        <w:t xml:space="preserve">this </w:t>
      </w:r>
      <w:r w:rsidRPr="00302F75">
        <w:t>objective</w:t>
      </w:r>
      <w:r w:rsidRPr="000440F3">
        <w:t xml:space="preserve"> remains on track.</w:t>
      </w:r>
    </w:p>
    <w:p w14:paraId="02472134" w14:textId="5AB99A07" w:rsidR="00810801" w:rsidRPr="00810801" w:rsidRDefault="00810801" w:rsidP="0080598D">
      <w:pPr>
        <w:pStyle w:val="BodyText"/>
      </w:pPr>
      <w:r w:rsidRPr="00810801">
        <w:t>In 2012</w:t>
      </w:r>
      <w:r w:rsidR="00177023">
        <w:t>–</w:t>
      </w:r>
      <w:r w:rsidRPr="00810801">
        <w:t xml:space="preserve">13 the Philippine </w:t>
      </w:r>
      <w:r w:rsidR="006847AF">
        <w:t>G</w:t>
      </w:r>
      <w:r w:rsidRPr="00810801">
        <w:t>overnment reaffirmed its commitment to making education the central strategy for reducing poverty and building national competitiveness</w:t>
      </w:r>
      <w:r w:rsidR="00D81B7A">
        <w:t>.</w:t>
      </w:r>
      <w:r w:rsidRPr="00810801">
        <w:t xml:space="preserve"> To realise this goal the </w:t>
      </w:r>
      <w:r w:rsidR="00345275">
        <w:t>g</w:t>
      </w:r>
      <w:r w:rsidR="00345275" w:rsidRPr="00810801">
        <w:t xml:space="preserve">overnment </w:t>
      </w:r>
      <w:r w:rsidRPr="00810801">
        <w:t>has embarked on the challenge of fixing a</w:t>
      </w:r>
      <w:r w:rsidR="00177023">
        <w:t>n education</w:t>
      </w:r>
      <w:r w:rsidRPr="00810801">
        <w:t xml:space="preserve"> system that has been under stress and under-resourced for more than two decades</w:t>
      </w:r>
      <w:r w:rsidR="00177023">
        <w:t>,</w:t>
      </w:r>
      <w:r w:rsidRPr="00810801">
        <w:t xml:space="preserve"> while moving to an international standard </w:t>
      </w:r>
      <w:r w:rsidR="00345275" w:rsidRPr="00810801">
        <w:t>13</w:t>
      </w:r>
      <w:r w:rsidR="00345275">
        <w:t>-</w:t>
      </w:r>
      <w:r w:rsidRPr="00810801">
        <w:t xml:space="preserve">year </w:t>
      </w:r>
      <w:r w:rsidR="00D81B7A">
        <w:t xml:space="preserve">education </w:t>
      </w:r>
      <w:r w:rsidRPr="00810801">
        <w:t xml:space="preserve">cycle. This entails a </w:t>
      </w:r>
      <w:r w:rsidR="000878C2">
        <w:t>large</w:t>
      </w:r>
      <w:r w:rsidRPr="00810801">
        <w:t xml:space="preserve"> </w:t>
      </w:r>
      <w:r w:rsidR="000878C2">
        <w:t xml:space="preserve">financial </w:t>
      </w:r>
      <w:r w:rsidRPr="00810801">
        <w:t>investment a</w:t>
      </w:r>
      <w:r w:rsidR="000878C2">
        <w:t xml:space="preserve">s well as </w:t>
      </w:r>
      <w:r w:rsidRPr="00810801">
        <w:t>change</w:t>
      </w:r>
      <w:r w:rsidR="000878C2">
        <w:t>s</w:t>
      </w:r>
      <w:r w:rsidRPr="00810801">
        <w:t xml:space="preserve"> in curriculum, assessment, teacher development</w:t>
      </w:r>
      <w:r w:rsidR="000878C2">
        <w:t>,</w:t>
      </w:r>
      <w:r w:rsidRPr="00810801">
        <w:t xml:space="preserve"> and information and management systems. The </w:t>
      </w:r>
      <w:r w:rsidR="00345275">
        <w:t>g</w:t>
      </w:r>
      <w:r w:rsidRPr="00810801">
        <w:t xml:space="preserve">overnment has substantially increased resources for education over the last two years, but significant shortfalls in funding and technical capacity to meet the needs of the Kindergarten to </w:t>
      </w:r>
      <w:r w:rsidR="00345275">
        <w:t>Y</w:t>
      </w:r>
      <w:r w:rsidR="00345275" w:rsidRPr="00810801">
        <w:t xml:space="preserve">ear </w:t>
      </w:r>
      <w:r w:rsidRPr="00810801">
        <w:t xml:space="preserve">12 reform remain. </w:t>
      </w:r>
    </w:p>
    <w:p w14:paraId="140491C4" w14:textId="385C84D6" w:rsidR="00345275" w:rsidRDefault="00810801" w:rsidP="0080598D">
      <w:pPr>
        <w:pStyle w:val="BodyText"/>
      </w:pPr>
      <w:r w:rsidRPr="00810801">
        <w:t xml:space="preserve">In this context Australia is responding to the Philippine Government’s education and poverty reduction agenda. We work primarily with the </w:t>
      </w:r>
      <w:r w:rsidR="00345275">
        <w:t>d</w:t>
      </w:r>
      <w:r w:rsidR="00345275" w:rsidRPr="00810801">
        <w:t xml:space="preserve">epartments </w:t>
      </w:r>
      <w:r w:rsidRPr="00810801">
        <w:t>of Education and Social Welfare and Development where our partnerships contribute to</w:t>
      </w:r>
      <w:r w:rsidR="00345275">
        <w:t>:</w:t>
      </w:r>
    </w:p>
    <w:p w14:paraId="44E548B8" w14:textId="4DDE99E3" w:rsidR="00345275" w:rsidRDefault="00810801" w:rsidP="0080598D">
      <w:pPr>
        <w:pStyle w:val="ListBullet"/>
      </w:pPr>
      <w:r w:rsidRPr="00810801">
        <w:t xml:space="preserve">donor harmonisation and </w:t>
      </w:r>
      <w:r w:rsidR="00345275" w:rsidRPr="00810801">
        <w:t>whole</w:t>
      </w:r>
      <w:r w:rsidR="00345275">
        <w:t>-</w:t>
      </w:r>
      <w:r w:rsidR="00345275" w:rsidRPr="00810801">
        <w:t>of</w:t>
      </w:r>
      <w:r w:rsidR="00345275">
        <w:t>-</w:t>
      </w:r>
      <w:r w:rsidRPr="00810801">
        <w:t>government cooperation</w:t>
      </w:r>
    </w:p>
    <w:p w14:paraId="2D139A35" w14:textId="15633FC1" w:rsidR="00345275" w:rsidRDefault="00810801" w:rsidP="0080598D">
      <w:pPr>
        <w:pStyle w:val="ListBullet"/>
      </w:pPr>
      <w:r w:rsidRPr="00810801">
        <w:t>more responsive, transparent and accountable systems</w:t>
      </w:r>
    </w:p>
    <w:p w14:paraId="4AD61364" w14:textId="1B919E51" w:rsidR="00345275" w:rsidRDefault="00810801" w:rsidP="0080598D">
      <w:pPr>
        <w:pStyle w:val="ListBullet"/>
      </w:pPr>
      <w:r w:rsidRPr="00810801">
        <w:t xml:space="preserve">better school readiness of pre-school children </w:t>
      </w:r>
    </w:p>
    <w:p w14:paraId="1542574B" w14:textId="64B7F9BA" w:rsidR="00345275" w:rsidRDefault="00810801" w:rsidP="0080598D">
      <w:pPr>
        <w:pStyle w:val="ListBullet"/>
      </w:pPr>
      <w:r w:rsidRPr="00810801">
        <w:t>increased demand for</w:t>
      </w:r>
      <w:r w:rsidR="00221570">
        <w:t>,</w:t>
      </w:r>
      <w:r w:rsidRPr="00810801">
        <w:t xml:space="preserve"> and access to</w:t>
      </w:r>
      <w:r w:rsidR="00221570">
        <w:t>,</w:t>
      </w:r>
      <w:r w:rsidRPr="00810801">
        <w:t xml:space="preserve"> quality education</w:t>
      </w:r>
    </w:p>
    <w:p w14:paraId="7DD1785E" w14:textId="3C733CAD" w:rsidR="00810801" w:rsidRPr="00810801" w:rsidRDefault="00810801" w:rsidP="0080598D">
      <w:pPr>
        <w:pStyle w:val="ListBullet"/>
      </w:pPr>
      <w:proofErr w:type="gramStart"/>
      <w:r w:rsidRPr="00810801">
        <w:t>improved</w:t>
      </w:r>
      <w:proofErr w:type="gramEnd"/>
      <w:r w:rsidRPr="00810801">
        <w:t xml:space="preserve"> access to basic education including by the most disadvantaged and marginalised children and communities in the Philippines.</w:t>
      </w:r>
    </w:p>
    <w:p w14:paraId="6D845B21" w14:textId="32325ECB" w:rsidR="00810801" w:rsidRPr="00810801" w:rsidRDefault="00810801" w:rsidP="0080598D">
      <w:pPr>
        <w:pStyle w:val="BodyText"/>
      </w:pPr>
      <w:r w:rsidRPr="00810801">
        <w:lastRenderedPageBreak/>
        <w:t>The principal goals of our investment</w:t>
      </w:r>
      <w:r w:rsidR="00C43B39">
        <w:t xml:space="preserve"> </w:t>
      </w:r>
      <w:r w:rsidRPr="00810801">
        <w:t xml:space="preserve">in education are to: </w:t>
      </w:r>
    </w:p>
    <w:p w14:paraId="09A8E47F" w14:textId="2BEB9BFB" w:rsidR="00810801" w:rsidRPr="00810801" w:rsidRDefault="00810801" w:rsidP="0080598D">
      <w:pPr>
        <w:pStyle w:val="ListBullet"/>
      </w:pPr>
      <w:r w:rsidRPr="00810801">
        <w:t>increase access</w:t>
      </w:r>
      <w:r w:rsidR="008F3463">
        <w:t xml:space="preserve">, </w:t>
      </w:r>
      <w:r w:rsidRPr="00810801">
        <w:t xml:space="preserve">participation </w:t>
      </w:r>
      <w:r w:rsidR="008F3463">
        <w:t xml:space="preserve">and completion </w:t>
      </w:r>
      <w:r w:rsidRPr="00810801">
        <w:t xml:space="preserve">rates </w:t>
      </w:r>
      <w:r w:rsidR="008F3463">
        <w:t>for</w:t>
      </w:r>
      <w:r w:rsidRPr="00810801">
        <w:t xml:space="preserve"> </w:t>
      </w:r>
      <w:r>
        <w:t xml:space="preserve">elementary and secondary </w:t>
      </w:r>
      <w:r w:rsidR="008F3463">
        <w:t>education</w:t>
      </w:r>
    </w:p>
    <w:p w14:paraId="2F529801" w14:textId="08CBAB94" w:rsidR="00810801" w:rsidRPr="00810801" w:rsidRDefault="00810801" w:rsidP="0080598D">
      <w:pPr>
        <w:pStyle w:val="ListBullet"/>
      </w:pPr>
      <w:r w:rsidRPr="00810801">
        <w:t xml:space="preserve">improve learning </w:t>
      </w:r>
      <w:r w:rsidR="008F3463">
        <w:t>outcomes in</w:t>
      </w:r>
      <w:r w:rsidR="00CC0FE0">
        <w:t xml:space="preserve"> </w:t>
      </w:r>
      <w:r w:rsidRPr="00810801">
        <w:t>English, mathematics and science</w:t>
      </w:r>
    </w:p>
    <w:p w14:paraId="0E9E3D3A" w14:textId="0881F382" w:rsidR="00810801" w:rsidRPr="00810801" w:rsidRDefault="008F3463" w:rsidP="0080598D">
      <w:pPr>
        <w:pStyle w:val="ListBullet"/>
      </w:pPr>
      <w:proofErr w:type="gramStart"/>
      <w:r>
        <w:t>strengthen</w:t>
      </w:r>
      <w:proofErr w:type="gramEnd"/>
      <w:r>
        <w:t xml:space="preserve"> management and information systems for evidence</w:t>
      </w:r>
      <w:r w:rsidR="005026B3">
        <w:t>-</w:t>
      </w:r>
      <w:r>
        <w:t xml:space="preserve">based </w:t>
      </w:r>
      <w:r w:rsidR="00221570">
        <w:t xml:space="preserve">decision </w:t>
      </w:r>
      <w:r>
        <w:t>making in policy, planning, operations and bu</w:t>
      </w:r>
      <w:r w:rsidR="005026B3">
        <w:t>dget execution</w:t>
      </w:r>
      <w:r w:rsidR="00596971">
        <w:t>.</w:t>
      </w:r>
      <w:r w:rsidR="005026B3">
        <w:t xml:space="preserve"> </w:t>
      </w:r>
    </w:p>
    <w:p w14:paraId="679F8BE5" w14:textId="5B280BAB" w:rsidR="00810801" w:rsidRPr="00810801" w:rsidRDefault="00C43B39" w:rsidP="0080598D">
      <w:pPr>
        <w:pStyle w:val="BodyText"/>
      </w:pPr>
      <w:r>
        <w:t>T</w:t>
      </w:r>
      <w:r w:rsidR="00810801" w:rsidRPr="00810801">
        <w:t>he</w:t>
      </w:r>
      <w:r>
        <w:t xml:space="preserve"> </w:t>
      </w:r>
      <w:r w:rsidR="004D6FF0">
        <w:t xml:space="preserve">draft </w:t>
      </w:r>
      <w:r w:rsidR="00810801" w:rsidRPr="00D94918">
        <w:rPr>
          <w:i/>
        </w:rPr>
        <w:t xml:space="preserve">Education </w:t>
      </w:r>
      <w:r w:rsidR="00621A01" w:rsidRPr="00D94918">
        <w:rPr>
          <w:i/>
        </w:rPr>
        <w:t>D</w:t>
      </w:r>
      <w:r w:rsidR="00221570" w:rsidRPr="00D94918">
        <w:rPr>
          <w:i/>
        </w:rPr>
        <w:t xml:space="preserve">elivery </w:t>
      </w:r>
      <w:r w:rsidR="00621A01" w:rsidRPr="00D94918">
        <w:rPr>
          <w:i/>
        </w:rPr>
        <w:t>S</w:t>
      </w:r>
      <w:r w:rsidR="00221570" w:rsidRPr="00D94918">
        <w:rPr>
          <w:i/>
        </w:rPr>
        <w:t xml:space="preserve">trategy </w:t>
      </w:r>
      <w:r w:rsidR="00810801" w:rsidRPr="00D94918">
        <w:rPr>
          <w:i/>
        </w:rPr>
        <w:t>2012</w:t>
      </w:r>
      <w:r w:rsidR="00177023" w:rsidRPr="00D94918">
        <w:rPr>
          <w:i/>
        </w:rPr>
        <w:t>–</w:t>
      </w:r>
      <w:r w:rsidR="00810801" w:rsidRPr="00D94918">
        <w:rPr>
          <w:i/>
        </w:rPr>
        <w:t>2017</w:t>
      </w:r>
      <w:r w:rsidR="005026B3">
        <w:t xml:space="preserve">, to be finalised in 2013, </w:t>
      </w:r>
      <w:r w:rsidR="008E2B1B">
        <w:t xml:space="preserve">will </w:t>
      </w:r>
      <w:r w:rsidR="005026B3">
        <w:t xml:space="preserve">outline how </w:t>
      </w:r>
      <w:r w:rsidR="00177023">
        <w:t xml:space="preserve">Australia’s </w:t>
      </w:r>
      <w:r w:rsidR="005026B3">
        <w:t>investment</w:t>
      </w:r>
      <w:r w:rsidR="00D148DD">
        <w:t xml:space="preserve">s in education in </w:t>
      </w:r>
      <w:r w:rsidR="00177023">
        <w:t>the Philippines</w:t>
      </w:r>
      <w:r w:rsidR="005026B3">
        <w:t xml:space="preserve"> </w:t>
      </w:r>
      <w:r w:rsidR="00810801" w:rsidRPr="00810801">
        <w:t xml:space="preserve">have been consolidated into three main initiatives: </w:t>
      </w:r>
      <w:r w:rsidR="005026B3">
        <w:t>t</w:t>
      </w:r>
      <w:r w:rsidR="005026B3" w:rsidRPr="00810801">
        <w:t xml:space="preserve">he </w:t>
      </w:r>
      <w:r w:rsidR="00810801" w:rsidRPr="00810801">
        <w:t xml:space="preserve">Basic Education Sector Transformation program </w:t>
      </w:r>
      <w:r w:rsidR="005026B3">
        <w:t xml:space="preserve">which </w:t>
      </w:r>
      <w:r w:rsidR="00810801" w:rsidRPr="00810801">
        <w:t xml:space="preserve">supports the national implementation of the </w:t>
      </w:r>
      <w:r w:rsidR="00345275" w:rsidRPr="00810801">
        <w:t xml:space="preserve">Kindergarten to </w:t>
      </w:r>
      <w:r w:rsidR="00345275">
        <w:t>Y</w:t>
      </w:r>
      <w:r w:rsidR="00345275" w:rsidRPr="00810801">
        <w:t xml:space="preserve">ear 12 </w:t>
      </w:r>
      <w:r w:rsidR="005026B3">
        <w:t>reform</w:t>
      </w:r>
      <w:r w:rsidR="005026B3" w:rsidRPr="00810801">
        <w:t xml:space="preserve"> </w:t>
      </w:r>
      <w:r w:rsidR="005026B3">
        <w:t>(</w:t>
      </w:r>
      <w:r w:rsidR="00810801" w:rsidRPr="00810801">
        <w:t>to be launched in late 2013</w:t>
      </w:r>
      <w:r w:rsidR="00345275">
        <w:t xml:space="preserve">), </w:t>
      </w:r>
      <w:r w:rsidR="00177023">
        <w:t>t</w:t>
      </w:r>
      <w:r w:rsidR="00810801" w:rsidRPr="00810801">
        <w:t xml:space="preserve">he Basic Education Assistance for </w:t>
      </w:r>
      <w:r w:rsidR="00E73354">
        <w:t xml:space="preserve">Muslim </w:t>
      </w:r>
      <w:r w:rsidR="00810801" w:rsidRPr="00810801">
        <w:t xml:space="preserve">Mindanao </w:t>
      </w:r>
      <w:r>
        <w:t xml:space="preserve">program </w:t>
      </w:r>
      <w:r w:rsidR="005026B3">
        <w:t xml:space="preserve">to </w:t>
      </w:r>
      <w:r w:rsidR="00810801" w:rsidRPr="00810801">
        <w:t>meet the demands in conflict affected areas</w:t>
      </w:r>
      <w:r w:rsidR="005026B3">
        <w:t xml:space="preserve"> (</w:t>
      </w:r>
      <w:r w:rsidR="005026B3" w:rsidRPr="00810801">
        <w:t>launched in November 2012</w:t>
      </w:r>
      <w:r w:rsidR="00345275">
        <w:t>),</w:t>
      </w:r>
      <w:r w:rsidR="00345275" w:rsidRPr="00810801">
        <w:t xml:space="preserve"> </w:t>
      </w:r>
      <w:r w:rsidR="00810801" w:rsidRPr="00810801">
        <w:t xml:space="preserve">and the </w:t>
      </w:r>
      <w:r w:rsidR="00345275">
        <w:t>ongoing</w:t>
      </w:r>
      <w:r w:rsidR="00345275" w:rsidRPr="00810801">
        <w:t xml:space="preserve"> </w:t>
      </w:r>
      <w:r w:rsidR="00810801" w:rsidRPr="00810801">
        <w:t>Social Protection</w:t>
      </w:r>
      <w:r w:rsidR="000878C2">
        <w:t xml:space="preserve"> </w:t>
      </w:r>
      <w:r w:rsidR="00810801" w:rsidRPr="00810801">
        <w:t xml:space="preserve">and Early Childhood Care </w:t>
      </w:r>
      <w:r w:rsidR="000878C2">
        <w:t xml:space="preserve">and </w:t>
      </w:r>
      <w:r w:rsidR="00810801" w:rsidRPr="00810801">
        <w:t>Development</w:t>
      </w:r>
      <w:r>
        <w:t xml:space="preserve"> </w:t>
      </w:r>
      <w:r w:rsidR="0047637C">
        <w:t>program</w:t>
      </w:r>
      <w:r w:rsidR="00810801" w:rsidRPr="00810801">
        <w:t>.</w:t>
      </w:r>
      <w:r w:rsidR="00081321">
        <w:t xml:space="preserve"> </w:t>
      </w:r>
    </w:p>
    <w:p w14:paraId="2DB32833" w14:textId="77777777" w:rsidR="00C43B39" w:rsidRPr="00733D7D" w:rsidRDefault="008E2B1B" w:rsidP="0080598D">
      <w:pPr>
        <w:pStyle w:val="Heading3"/>
      </w:pPr>
      <w:r w:rsidRPr="00733D7D">
        <w:t>Strengthened management and information systems for evidence-based decision making in policy, planning, operations and budget execution</w:t>
      </w:r>
    </w:p>
    <w:p w14:paraId="5B01F233" w14:textId="078E3E1D" w:rsidR="00810801" w:rsidRPr="006D43FD" w:rsidRDefault="00810801" w:rsidP="0080598D">
      <w:pPr>
        <w:pStyle w:val="BodyText"/>
        <w:rPr>
          <w:lang w:val="en-US"/>
        </w:rPr>
      </w:pPr>
      <w:r w:rsidRPr="006D43FD">
        <w:t xml:space="preserve">The </w:t>
      </w:r>
      <w:r w:rsidR="008E2B1B" w:rsidRPr="006D43FD">
        <w:t>strength of management and information systems</w:t>
      </w:r>
      <w:r w:rsidRPr="006D43FD">
        <w:t xml:space="preserve"> in the Department of Education has been increased as a result of </w:t>
      </w:r>
      <w:r w:rsidR="00D148DD" w:rsidRPr="006D43FD">
        <w:t xml:space="preserve">Australian </w:t>
      </w:r>
      <w:r w:rsidRPr="006D43FD">
        <w:t xml:space="preserve">support in </w:t>
      </w:r>
      <w:r w:rsidR="00BF5B1C" w:rsidRPr="006D43FD">
        <w:t>f</w:t>
      </w:r>
      <w:r w:rsidR="00EE122D" w:rsidRPr="006D43FD">
        <w:t>ive</w:t>
      </w:r>
      <w:r w:rsidRPr="006D43FD">
        <w:t xml:space="preserve"> areas. </w:t>
      </w:r>
      <w:r w:rsidR="00621A01">
        <w:t>The f</w:t>
      </w:r>
      <w:r w:rsidRPr="006D43FD">
        <w:t>irst</w:t>
      </w:r>
      <w:r w:rsidR="00621A01">
        <w:t xml:space="preserve"> </w:t>
      </w:r>
      <w:r w:rsidRPr="006D43FD">
        <w:t>support</w:t>
      </w:r>
      <w:r w:rsidR="00621A01">
        <w:t>s</w:t>
      </w:r>
      <w:r w:rsidRPr="006D43FD">
        <w:t xml:space="preserve"> a</w:t>
      </w:r>
      <w:r w:rsidR="00BC51BC" w:rsidRPr="006D43FD">
        <w:t>n</w:t>
      </w:r>
      <w:r w:rsidRPr="006D43FD">
        <w:t xml:space="preserve"> organisation</w:t>
      </w:r>
      <w:r w:rsidR="00221570">
        <w:t>al</w:t>
      </w:r>
      <w:r w:rsidRPr="006D43FD">
        <w:t xml:space="preserve"> and workforce restructuring plan linked directly to a staff performance improvement program</w:t>
      </w:r>
      <w:r w:rsidR="008E2B1B" w:rsidRPr="006D43FD">
        <w:t xml:space="preserve"> </w:t>
      </w:r>
      <w:r w:rsidR="00BC51BC" w:rsidRPr="006D43FD">
        <w:t>across</w:t>
      </w:r>
      <w:r w:rsidRPr="006D43FD">
        <w:t xml:space="preserve"> </w:t>
      </w:r>
      <w:r w:rsidR="00345275" w:rsidRPr="006D43FD">
        <w:t>the department</w:t>
      </w:r>
      <w:r w:rsidR="008E2B1B" w:rsidRPr="006D43FD">
        <w:t>. Th</w:t>
      </w:r>
      <w:r w:rsidR="00BC51BC" w:rsidRPr="006D43FD">
        <w:t xml:space="preserve">is </w:t>
      </w:r>
      <w:r w:rsidRPr="006D43FD">
        <w:t>restructuring plan is an important step in decentralis</w:t>
      </w:r>
      <w:r w:rsidR="008E2B1B" w:rsidRPr="006D43FD">
        <w:t xml:space="preserve">ing </w:t>
      </w:r>
      <w:r w:rsidR="00345275" w:rsidRPr="006D43FD">
        <w:t xml:space="preserve">the department’s </w:t>
      </w:r>
      <w:r w:rsidRPr="006D43FD">
        <w:t>implement</w:t>
      </w:r>
      <w:r w:rsidR="00BC51BC" w:rsidRPr="006D43FD">
        <w:t>ation of</w:t>
      </w:r>
      <w:r w:rsidRPr="006D43FD">
        <w:t xml:space="preserve"> the </w:t>
      </w:r>
      <w:r w:rsidR="00345275" w:rsidRPr="006D43FD">
        <w:rPr>
          <w:lang w:val="en-US"/>
        </w:rPr>
        <w:t xml:space="preserve">Kindergarten to Year 12 </w:t>
      </w:r>
      <w:r w:rsidRPr="006D43FD">
        <w:t xml:space="preserve">reform. </w:t>
      </w:r>
      <w:r w:rsidR="00D148DD" w:rsidRPr="006D43FD">
        <w:t>Australia’s</w:t>
      </w:r>
      <w:r w:rsidRPr="006D43FD">
        <w:t xml:space="preserve"> partnership with </w:t>
      </w:r>
      <w:r w:rsidR="00345275" w:rsidRPr="006D43FD">
        <w:t xml:space="preserve">the department </w:t>
      </w:r>
      <w:r w:rsidRPr="006D43FD">
        <w:t xml:space="preserve">helped to progress this contentious and highly political restructure </w:t>
      </w:r>
      <w:r w:rsidR="00BC51BC" w:rsidRPr="006D43FD">
        <w:t xml:space="preserve">with a high level of government ownership after it </w:t>
      </w:r>
      <w:r w:rsidRPr="006D43FD">
        <w:t>had been stalled for many years.</w:t>
      </w:r>
      <w:r w:rsidR="00BC51BC" w:rsidRPr="006D43FD">
        <w:t xml:space="preserve"> </w:t>
      </w:r>
    </w:p>
    <w:p w14:paraId="70618995" w14:textId="21B92EF6" w:rsidR="00BF5B1C" w:rsidRDefault="00810801" w:rsidP="0080598D">
      <w:pPr>
        <w:pStyle w:val="BodyText"/>
      </w:pPr>
      <w:r w:rsidRPr="00810801">
        <w:t xml:space="preserve">Second, </w:t>
      </w:r>
      <w:r w:rsidR="00D148DD">
        <w:t xml:space="preserve">technical assistance provided by Australia has improved </w:t>
      </w:r>
      <w:r w:rsidR="00BC51BC" w:rsidRPr="00810801">
        <w:t>evidenc</w:t>
      </w:r>
      <w:r w:rsidR="00BC51BC">
        <w:t>e-</w:t>
      </w:r>
      <w:r w:rsidRPr="00810801">
        <w:t xml:space="preserve">based decision making </w:t>
      </w:r>
      <w:r w:rsidR="00BF5B1C">
        <w:t xml:space="preserve">in </w:t>
      </w:r>
      <w:r w:rsidR="00345275">
        <w:t xml:space="preserve">the department’s </w:t>
      </w:r>
      <w:r w:rsidR="00BF5B1C" w:rsidRPr="00810801">
        <w:t>planning and budget formulation processes</w:t>
      </w:r>
      <w:r w:rsidRPr="00810801">
        <w:t xml:space="preserve">. </w:t>
      </w:r>
    </w:p>
    <w:p w14:paraId="74B57AF2" w14:textId="5E6795EB" w:rsidR="00810801" w:rsidRDefault="00BF5B1C" w:rsidP="0080598D">
      <w:pPr>
        <w:pStyle w:val="BodyText"/>
      </w:pPr>
      <w:r>
        <w:t>Third,</w:t>
      </w:r>
      <w:r w:rsidR="00810801" w:rsidRPr="00810801">
        <w:t xml:space="preserve"> </w:t>
      </w:r>
      <w:r w:rsidR="00810801">
        <w:t>t</w:t>
      </w:r>
      <w:r w:rsidR="00810801" w:rsidRPr="008F6B31">
        <w:t xml:space="preserve">he national implementation of </w:t>
      </w:r>
      <w:r w:rsidR="009C6CEA" w:rsidRPr="008F6B31">
        <w:t xml:space="preserve">an </w:t>
      </w:r>
      <w:r w:rsidR="009C6CEA">
        <w:t>enhanced</w:t>
      </w:r>
      <w:r w:rsidR="00810801">
        <w:t xml:space="preserve"> </w:t>
      </w:r>
      <w:r w:rsidR="000878C2">
        <w:t>B</w:t>
      </w:r>
      <w:r w:rsidR="00810801" w:rsidRPr="008F6B31">
        <w:t xml:space="preserve">asic </w:t>
      </w:r>
      <w:r w:rsidR="000878C2">
        <w:t>E</w:t>
      </w:r>
      <w:r w:rsidR="00810801" w:rsidRPr="008F6B31">
        <w:t xml:space="preserve">ducation </w:t>
      </w:r>
      <w:r w:rsidR="000878C2">
        <w:t>I</w:t>
      </w:r>
      <w:r w:rsidR="00810801" w:rsidRPr="008F6B31">
        <w:t xml:space="preserve">nformation </w:t>
      </w:r>
      <w:r w:rsidR="000878C2">
        <w:t>S</w:t>
      </w:r>
      <w:r w:rsidR="00810801" w:rsidRPr="008F6B31">
        <w:t>ystem (</w:t>
      </w:r>
      <w:proofErr w:type="spellStart"/>
      <w:r w:rsidR="00810801" w:rsidRPr="008F6B31">
        <w:t>eBEIS</w:t>
      </w:r>
      <w:proofErr w:type="spellEnd"/>
      <w:r w:rsidR="00B20605">
        <w:t xml:space="preserve">) </w:t>
      </w:r>
      <w:r w:rsidR="00810801" w:rsidRPr="008F6B31">
        <w:t>provides management with real time, rather than historical data</w:t>
      </w:r>
      <w:r>
        <w:t>,</w:t>
      </w:r>
      <w:r w:rsidR="00810801" w:rsidRPr="008F6B31">
        <w:t xml:space="preserve"> and has reduced </w:t>
      </w:r>
      <w:r w:rsidRPr="008F6B31">
        <w:t xml:space="preserve">the </w:t>
      </w:r>
      <w:r>
        <w:t xml:space="preserve">time taken for the </w:t>
      </w:r>
      <w:r w:rsidRPr="008F6B31">
        <w:t xml:space="preserve">budget planning cycle </w:t>
      </w:r>
      <w:r w:rsidR="00810801" w:rsidRPr="008F6B31">
        <w:t xml:space="preserve">from </w:t>
      </w:r>
      <w:r w:rsidR="00345275">
        <w:t>10</w:t>
      </w:r>
      <w:r w:rsidR="00345275" w:rsidRPr="008F6B31">
        <w:t xml:space="preserve"> </w:t>
      </w:r>
      <w:r w:rsidR="00810801" w:rsidRPr="008F6B31">
        <w:t xml:space="preserve">to </w:t>
      </w:r>
      <w:r>
        <w:t>three</w:t>
      </w:r>
      <w:r w:rsidR="00810801" w:rsidRPr="008F6B31">
        <w:t xml:space="preserve"> months. The </w:t>
      </w:r>
      <w:proofErr w:type="spellStart"/>
      <w:r w:rsidR="00810801">
        <w:t>eBEIS</w:t>
      </w:r>
      <w:proofErr w:type="spellEnd"/>
      <w:r w:rsidR="00810801" w:rsidRPr="008F6B31">
        <w:t xml:space="preserve"> is an important component of the planned Unified Management Information System, a key deliverable for Australia’s support to the education reform. </w:t>
      </w:r>
    </w:p>
    <w:p w14:paraId="53CCF1BC" w14:textId="561E72E0" w:rsidR="00EE122D" w:rsidRPr="006D43FD" w:rsidRDefault="008B6835" w:rsidP="0080598D">
      <w:pPr>
        <w:pStyle w:val="BodyText"/>
        <w:rPr>
          <w:lang w:val="en-US"/>
        </w:rPr>
      </w:pPr>
      <w:r w:rsidRPr="006D43FD">
        <w:t>Fo</w:t>
      </w:r>
      <w:r w:rsidR="00EE122D" w:rsidRPr="006D43FD">
        <w:t>u</w:t>
      </w:r>
      <w:r w:rsidRPr="006D43FD">
        <w:t>rth</w:t>
      </w:r>
      <w:r w:rsidR="009C6CEA" w:rsidRPr="006D43FD">
        <w:t>, the delivery</w:t>
      </w:r>
      <w:r w:rsidR="00810801" w:rsidRPr="006D43FD">
        <w:t xml:space="preserve"> of </w:t>
      </w:r>
      <w:r w:rsidRPr="006D43FD">
        <w:t xml:space="preserve">education </w:t>
      </w:r>
      <w:r w:rsidR="00810801" w:rsidRPr="006D43FD">
        <w:t>reso</w:t>
      </w:r>
      <w:r w:rsidR="009C6CEA" w:rsidRPr="006D43FD">
        <w:t xml:space="preserve">urces to schools improved </w:t>
      </w:r>
      <w:r w:rsidRPr="006D43FD">
        <w:t xml:space="preserve">when the </w:t>
      </w:r>
      <w:r w:rsidR="00277879" w:rsidRPr="006D43FD">
        <w:t>Australia</w:t>
      </w:r>
      <w:r w:rsidR="00810801" w:rsidRPr="006D43FD">
        <w:t xml:space="preserve"> suppor</w:t>
      </w:r>
      <w:r w:rsidR="001A7794" w:rsidRPr="006D43FD">
        <w:t>t</w:t>
      </w:r>
      <w:r w:rsidRPr="006D43FD">
        <w:t>ed</w:t>
      </w:r>
      <w:r w:rsidR="00810801" w:rsidRPr="006D43FD">
        <w:t xml:space="preserve"> Learning Reso</w:t>
      </w:r>
      <w:r w:rsidR="009C6CEA" w:rsidRPr="006D43FD">
        <w:t xml:space="preserve">urce portal </w:t>
      </w:r>
      <w:r w:rsidR="00EE122D" w:rsidRPr="006D43FD">
        <w:t>went</w:t>
      </w:r>
      <w:r w:rsidR="009C6CEA" w:rsidRPr="006D43FD">
        <w:t xml:space="preserve"> live o</w:t>
      </w:r>
      <w:r w:rsidR="00810801" w:rsidRPr="006D43FD">
        <w:t xml:space="preserve">n the </w:t>
      </w:r>
      <w:r w:rsidR="00345275" w:rsidRPr="006D43FD">
        <w:t xml:space="preserve">department’s </w:t>
      </w:r>
      <w:r w:rsidR="00810801" w:rsidRPr="006D43FD">
        <w:t>website.</w:t>
      </w:r>
      <w:r w:rsidR="00081321" w:rsidRPr="006D43FD">
        <w:t xml:space="preserve"> </w:t>
      </w:r>
      <w:r w:rsidR="00810801" w:rsidRPr="006D43FD">
        <w:t>This portal provide</w:t>
      </w:r>
      <w:r w:rsidRPr="006D43FD">
        <w:t>s</w:t>
      </w:r>
      <w:r w:rsidR="00810801" w:rsidRPr="006D43FD">
        <w:t xml:space="preserve"> teachers, school heads and regional office</w:t>
      </w:r>
      <w:r w:rsidR="000878C2" w:rsidRPr="006D43FD">
        <w:t>s</w:t>
      </w:r>
      <w:r w:rsidR="00810801" w:rsidRPr="006D43FD">
        <w:t xml:space="preserve"> with </w:t>
      </w:r>
      <w:r w:rsidR="00221570" w:rsidRPr="00DD502F">
        <w:t xml:space="preserve">timely </w:t>
      </w:r>
      <w:r w:rsidR="009C6CEA" w:rsidRPr="006D43FD">
        <w:t>access</w:t>
      </w:r>
      <w:r w:rsidR="00810801" w:rsidRPr="006D43FD">
        <w:t xml:space="preserve"> to quality </w:t>
      </w:r>
      <w:r w:rsidR="00345275" w:rsidRPr="006D43FD">
        <w:rPr>
          <w:lang w:val="en-US"/>
        </w:rPr>
        <w:t xml:space="preserve">Kindergarten to Year 12 </w:t>
      </w:r>
      <w:r w:rsidR="00810801" w:rsidRPr="006D43FD">
        <w:t xml:space="preserve">learning, teaching and professional development resources. </w:t>
      </w:r>
    </w:p>
    <w:p w14:paraId="713A8FBF" w14:textId="6929E360" w:rsidR="00810801" w:rsidRPr="00733D7D" w:rsidRDefault="00EE122D" w:rsidP="0080598D">
      <w:pPr>
        <w:pStyle w:val="BodyText"/>
      </w:pPr>
      <w:r>
        <w:t>Finally</w:t>
      </w:r>
      <w:r w:rsidR="0037624A">
        <w:t>,</w:t>
      </w:r>
      <w:r>
        <w:t xml:space="preserve"> </w:t>
      </w:r>
      <w:r w:rsidR="00277879">
        <w:t>Australia</w:t>
      </w:r>
      <w:r>
        <w:t xml:space="preserve"> </w:t>
      </w:r>
      <w:r w:rsidR="00810801" w:rsidRPr="004B0931">
        <w:t xml:space="preserve">also </w:t>
      </w:r>
      <w:r w:rsidR="0037624A">
        <w:t>c</w:t>
      </w:r>
      <w:r w:rsidR="00810801" w:rsidRPr="004B0931">
        <w:t>ontributed to standardis</w:t>
      </w:r>
      <w:r>
        <w:t xml:space="preserve">ing </w:t>
      </w:r>
      <w:r w:rsidR="00810801" w:rsidRPr="004B0931">
        <w:t>classroom construction business process</w:t>
      </w:r>
      <w:r>
        <w:t xml:space="preserve">es, </w:t>
      </w:r>
      <w:r w:rsidR="000C6EE0">
        <w:t>including</w:t>
      </w:r>
      <w:r w:rsidR="001D1DB0">
        <w:t xml:space="preserve"> </w:t>
      </w:r>
      <w:r w:rsidR="00810801" w:rsidRPr="004B0931">
        <w:t>procurement, contract management, financial management</w:t>
      </w:r>
      <w:r>
        <w:t xml:space="preserve">, </w:t>
      </w:r>
      <w:r w:rsidR="009C6CEA" w:rsidRPr="004B0931">
        <w:t>construction</w:t>
      </w:r>
      <w:r>
        <w:t xml:space="preserve">, </w:t>
      </w:r>
      <w:r w:rsidR="00810801" w:rsidRPr="004B0931">
        <w:t>consideration of environmental impact and use of disaster resilient materials</w:t>
      </w:r>
      <w:r w:rsidR="00251BCF">
        <w:t xml:space="preserve">. Better systems, procedures and guidelines have been introduced along with a manual providing guidance on planning and procurement for classroom construction. This will </w:t>
      </w:r>
      <w:r w:rsidR="00810801" w:rsidRPr="004B0931">
        <w:t>improve</w:t>
      </w:r>
      <w:r w:rsidR="0037624A">
        <w:t xml:space="preserve"> the </w:t>
      </w:r>
      <w:r w:rsidR="00810801" w:rsidRPr="004B0931">
        <w:t xml:space="preserve">timeliness and quality of </w:t>
      </w:r>
      <w:r w:rsidR="0037624A">
        <w:t>the c</w:t>
      </w:r>
      <w:r w:rsidR="00810801" w:rsidRPr="004B0931">
        <w:t>onstruction</w:t>
      </w:r>
      <w:r w:rsidR="0037624A">
        <w:t>,</w:t>
      </w:r>
      <w:r w:rsidR="00810801" w:rsidRPr="004B0931">
        <w:t xml:space="preserve"> which in the past ha</w:t>
      </w:r>
      <w:r w:rsidR="0037624A">
        <w:t>s</w:t>
      </w:r>
      <w:r w:rsidR="00810801" w:rsidRPr="004B0931">
        <w:t xml:space="preserve"> been hampered </w:t>
      </w:r>
      <w:r w:rsidR="00810801" w:rsidRPr="00733D7D">
        <w:t>by failed bids and poor quality.</w:t>
      </w:r>
    </w:p>
    <w:p w14:paraId="744371FA" w14:textId="77777777" w:rsidR="0086750B" w:rsidRPr="00733D7D" w:rsidRDefault="00EE122D" w:rsidP="0080598D">
      <w:pPr>
        <w:pStyle w:val="Heading3"/>
      </w:pPr>
      <w:r w:rsidRPr="00733D7D">
        <w:t xml:space="preserve">Increased access, participation and completion rates for elementary and secondary education </w:t>
      </w:r>
    </w:p>
    <w:p w14:paraId="76AF2789" w14:textId="22F4EBCE" w:rsidR="007B012E" w:rsidRPr="008F6B31" w:rsidRDefault="00C139EC" w:rsidP="0080598D">
      <w:pPr>
        <w:pStyle w:val="BodyText"/>
      </w:pPr>
      <w:r>
        <w:t xml:space="preserve">The </w:t>
      </w:r>
      <w:r w:rsidRPr="008F6B31">
        <w:t>Department of Education</w:t>
      </w:r>
      <w:r>
        <w:t xml:space="preserve"> </w:t>
      </w:r>
      <w:r w:rsidR="007B012E" w:rsidRPr="008F6B31">
        <w:t>has increased its reach to marginalised and disadvantaged children, including those in conflict</w:t>
      </w:r>
      <w:r w:rsidR="00D90FF9">
        <w:t>-</w:t>
      </w:r>
      <w:r w:rsidR="007B012E" w:rsidRPr="008F6B31">
        <w:t>affected communities</w:t>
      </w:r>
      <w:r>
        <w:t>,</w:t>
      </w:r>
      <w:r w:rsidR="007B012E" w:rsidRPr="008F6B31">
        <w:t xml:space="preserve"> </w:t>
      </w:r>
      <w:r w:rsidR="00221570">
        <w:t>by using</w:t>
      </w:r>
      <w:r w:rsidR="00221570" w:rsidRPr="008F6B31">
        <w:t xml:space="preserve"> </w:t>
      </w:r>
      <w:r w:rsidR="00D90FF9" w:rsidRPr="008F6B31">
        <w:t xml:space="preserve">community and non-government organisations </w:t>
      </w:r>
      <w:r w:rsidR="00221570">
        <w:t xml:space="preserve">to deliver </w:t>
      </w:r>
      <w:r w:rsidR="00D90FF9">
        <w:t xml:space="preserve">basic </w:t>
      </w:r>
      <w:r w:rsidR="007B012E" w:rsidRPr="008F6B31">
        <w:t xml:space="preserve">education </w:t>
      </w:r>
      <w:r w:rsidR="00D90FF9">
        <w:t xml:space="preserve">services </w:t>
      </w:r>
      <w:r w:rsidR="007B012E" w:rsidRPr="008F6B31">
        <w:t>and develop</w:t>
      </w:r>
      <w:r w:rsidR="00221570">
        <w:t xml:space="preserve"> </w:t>
      </w:r>
      <w:r w:rsidR="007B012E" w:rsidRPr="008F6B31">
        <w:t>culturally</w:t>
      </w:r>
      <w:r w:rsidR="00241165">
        <w:t>-</w:t>
      </w:r>
      <w:r w:rsidR="007B012E" w:rsidRPr="008F6B31">
        <w:t xml:space="preserve">sensitive curriculum and teacher training for </w:t>
      </w:r>
      <w:r w:rsidR="008F6B31" w:rsidRPr="008F6B31">
        <w:t>Muslim</w:t>
      </w:r>
      <w:r w:rsidR="007B012E" w:rsidRPr="008F6B31">
        <w:t xml:space="preserve"> and indigenous communities. </w:t>
      </w:r>
    </w:p>
    <w:p w14:paraId="388CACAE" w14:textId="5869F5B6" w:rsidR="007B012E" w:rsidRPr="008F6B31" w:rsidRDefault="00C139EC" w:rsidP="0080598D">
      <w:pPr>
        <w:pStyle w:val="BodyText"/>
      </w:pPr>
      <w:r>
        <w:lastRenderedPageBreak/>
        <w:t xml:space="preserve">The </w:t>
      </w:r>
      <w:r w:rsidR="00E84EBD">
        <w:t xml:space="preserve">education </w:t>
      </w:r>
      <w:r>
        <w:t xml:space="preserve">department’s </w:t>
      </w:r>
      <w:r w:rsidR="007B012E" w:rsidRPr="008F6B31">
        <w:t xml:space="preserve">recognition </w:t>
      </w:r>
      <w:r w:rsidR="00B0176A">
        <w:t>of non</w:t>
      </w:r>
      <w:r w:rsidR="00D90FF9">
        <w:t>-</w:t>
      </w:r>
      <w:r w:rsidR="00B0176A">
        <w:t xml:space="preserve">formal education options </w:t>
      </w:r>
      <w:r w:rsidR="00FF4330">
        <w:t xml:space="preserve">now </w:t>
      </w:r>
      <w:r w:rsidR="007B012E" w:rsidRPr="008F6B31">
        <w:t xml:space="preserve">offers </w:t>
      </w:r>
      <w:r w:rsidR="00E73354">
        <w:t xml:space="preserve">alternative </w:t>
      </w:r>
      <w:r w:rsidR="007B012E" w:rsidRPr="008F6B31">
        <w:t xml:space="preserve">legitimate pathways into the formal </w:t>
      </w:r>
      <w:r w:rsidRPr="00810801">
        <w:t xml:space="preserve">Kindergarten to </w:t>
      </w:r>
      <w:r>
        <w:t>Y</w:t>
      </w:r>
      <w:r w:rsidRPr="00810801">
        <w:t>ear 12</w:t>
      </w:r>
      <w:r>
        <w:t xml:space="preserve"> </w:t>
      </w:r>
      <w:r w:rsidR="007B012E" w:rsidRPr="008F6B31">
        <w:t xml:space="preserve">basic education </w:t>
      </w:r>
      <w:proofErr w:type="spellStart"/>
      <w:r w:rsidR="007B012E" w:rsidRPr="008F6B31">
        <w:t>system</w:t>
      </w:r>
      <w:r w:rsidR="003F1A57" w:rsidRPr="008F6B31">
        <w:t>.</w:t>
      </w:r>
      <w:r w:rsidR="003F1A57">
        <w:t>The</w:t>
      </w:r>
      <w:proofErr w:type="spellEnd"/>
      <w:r w:rsidR="003F1A57">
        <w:t xml:space="preserve"> Australian aid program </w:t>
      </w:r>
      <w:r w:rsidR="007B012E" w:rsidRPr="008F6B31">
        <w:t xml:space="preserve"> was instrumental in </w:t>
      </w:r>
      <w:r w:rsidR="00B0176A">
        <w:t>securing this recognition through our</w:t>
      </w:r>
      <w:r w:rsidR="007B012E" w:rsidRPr="008F6B31">
        <w:t xml:space="preserve"> </w:t>
      </w:r>
      <w:r w:rsidR="00D90FF9">
        <w:t xml:space="preserve">support </w:t>
      </w:r>
      <w:r>
        <w:t xml:space="preserve">to </w:t>
      </w:r>
      <w:r w:rsidR="00D90FF9">
        <w:t xml:space="preserve">bring the Bangladeshi </w:t>
      </w:r>
      <w:r>
        <w:t>non-government organisation</w:t>
      </w:r>
      <w:r w:rsidR="00D90FF9">
        <w:t xml:space="preserve"> </w:t>
      </w:r>
      <w:r w:rsidR="007B012E" w:rsidRPr="008F6B31">
        <w:t>BRAC</w:t>
      </w:r>
      <w:r w:rsidR="001E409E">
        <w:t>—</w:t>
      </w:r>
      <w:r w:rsidR="00D90FF9">
        <w:t xml:space="preserve">which has a globally-recognised </w:t>
      </w:r>
      <w:r w:rsidR="001E409E">
        <w:t xml:space="preserve">track-record in providing community-based, non-formal </w:t>
      </w:r>
      <w:r w:rsidR="000D23DB">
        <w:t>education</w:t>
      </w:r>
      <w:r w:rsidR="001E409E">
        <w:t>—to the Philippines</w:t>
      </w:r>
      <w:r w:rsidR="007B012E" w:rsidRPr="008F6B31">
        <w:t xml:space="preserve"> and </w:t>
      </w:r>
      <w:r w:rsidR="001E409E">
        <w:t xml:space="preserve">through a continued partnership with </w:t>
      </w:r>
      <w:r>
        <w:t>the United Nations Children’s Fund</w:t>
      </w:r>
      <w:r w:rsidRPr="008F6B31">
        <w:t xml:space="preserve"> </w:t>
      </w:r>
      <w:r w:rsidR="001E409E">
        <w:t xml:space="preserve">on </w:t>
      </w:r>
      <w:r w:rsidR="007B012E" w:rsidRPr="008F6B31">
        <w:t xml:space="preserve">community </w:t>
      </w:r>
      <w:r w:rsidR="00103E0C">
        <w:t xml:space="preserve">preschool </w:t>
      </w:r>
      <w:r w:rsidR="007B012E" w:rsidRPr="008F6B31">
        <w:t>education in</w:t>
      </w:r>
      <w:r w:rsidR="00103E0C">
        <w:t xml:space="preserve"> conflict</w:t>
      </w:r>
      <w:r w:rsidR="001E409E">
        <w:t>-</w:t>
      </w:r>
      <w:r w:rsidR="00103E0C">
        <w:t>affected Mindanao.</w:t>
      </w:r>
      <w:r w:rsidR="0037624A">
        <w:t xml:space="preserve"> </w:t>
      </w:r>
      <w:r w:rsidR="00103E0C">
        <w:t xml:space="preserve">Both of these </w:t>
      </w:r>
      <w:r w:rsidR="000D23DB">
        <w:t>initiatives</w:t>
      </w:r>
      <w:r w:rsidR="00103E0C">
        <w:t xml:space="preserve"> are components of the recently launched Basic Education Assistance program for Muslim </w:t>
      </w:r>
      <w:r w:rsidR="000D23DB">
        <w:t>Mindanao</w:t>
      </w:r>
      <w:r w:rsidR="00103E0C">
        <w:t>.</w:t>
      </w:r>
    </w:p>
    <w:p w14:paraId="07C95712" w14:textId="67A8223D" w:rsidR="006B1CF1" w:rsidRDefault="006B1CF1" w:rsidP="0080598D">
      <w:pPr>
        <w:pStyle w:val="BodyText"/>
      </w:pPr>
      <w:r>
        <w:t xml:space="preserve">The BRAC </w:t>
      </w:r>
      <w:r w:rsidR="00C139EC">
        <w:t xml:space="preserve">alternative delivery model of education </w:t>
      </w:r>
      <w:r>
        <w:t xml:space="preserve">complements the </w:t>
      </w:r>
      <w:r w:rsidR="00C139EC">
        <w:t>g</w:t>
      </w:r>
      <w:r>
        <w:t xml:space="preserve">overnment’s education </w:t>
      </w:r>
      <w:r w:rsidR="00221570">
        <w:t xml:space="preserve">provision </w:t>
      </w:r>
      <w:r>
        <w:t>in areas without public elementary schools.</w:t>
      </w:r>
      <w:r w:rsidR="00855402">
        <w:t xml:space="preserve"> </w:t>
      </w:r>
      <w:r>
        <w:t xml:space="preserve">In just a year of operation, 410 </w:t>
      </w:r>
      <w:r w:rsidR="00C139EC">
        <w:t xml:space="preserve">community learning centres </w:t>
      </w:r>
      <w:r>
        <w:t xml:space="preserve">were established, </w:t>
      </w:r>
      <w:r w:rsidR="000C6EE0" w:rsidRPr="00AC030C">
        <w:t>providing</w:t>
      </w:r>
      <w:r w:rsidRPr="00AC030C">
        <w:t xml:space="preserve"> access </w:t>
      </w:r>
      <w:r w:rsidR="00C139EC">
        <w:t>for</w:t>
      </w:r>
      <w:r w:rsidR="00C139EC" w:rsidRPr="00AC030C">
        <w:t xml:space="preserve"> </w:t>
      </w:r>
      <w:r w:rsidR="00514336" w:rsidRPr="00AC030C">
        <w:t>over</w:t>
      </w:r>
      <w:r w:rsidR="00C139EC">
        <w:t xml:space="preserve"> </w:t>
      </w:r>
      <w:r w:rsidR="00514336" w:rsidRPr="00AC030C">
        <w:t>age</w:t>
      </w:r>
      <w:r w:rsidRPr="00AC030C">
        <w:t xml:space="preserve"> children, out of school children, children </w:t>
      </w:r>
      <w:r w:rsidR="00365E59" w:rsidRPr="00AC030C">
        <w:t>in conflict</w:t>
      </w:r>
      <w:r w:rsidR="00200FDE">
        <w:t>-</w:t>
      </w:r>
      <w:r w:rsidR="00365E59" w:rsidRPr="00AC030C">
        <w:t xml:space="preserve">affected </w:t>
      </w:r>
      <w:r w:rsidR="00200FDE">
        <w:t>areas</w:t>
      </w:r>
      <w:r w:rsidR="00365E59" w:rsidRPr="00AC030C">
        <w:t xml:space="preserve"> and marginalised communities.</w:t>
      </w:r>
      <w:r w:rsidR="00855402" w:rsidRPr="00AC030C">
        <w:t xml:space="preserve"> </w:t>
      </w:r>
    </w:p>
    <w:p w14:paraId="521E086F" w14:textId="196D3792" w:rsidR="00C21D3F" w:rsidRDefault="00BF1983" w:rsidP="0080598D">
      <w:pPr>
        <w:pStyle w:val="BodyText"/>
      </w:pPr>
      <w:r>
        <w:t>Australia’s</w:t>
      </w:r>
      <w:r w:rsidR="001E409E">
        <w:t xml:space="preserve"> support </w:t>
      </w:r>
      <w:r w:rsidR="004822F6">
        <w:t xml:space="preserve">to education </w:t>
      </w:r>
      <w:r w:rsidR="004C73F5">
        <w:t>also</w:t>
      </w:r>
      <w:r w:rsidR="004822F6">
        <w:t xml:space="preserve"> address</w:t>
      </w:r>
      <w:r w:rsidR="004C73F5">
        <w:t>es</w:t>
      </w:r>
      <w:r w:rsidR="004822F6">
        <w:t xml:space="preserve"> demand-side constraints.</w:t>
      </w:r>
      <w:r w:rsidR="00855402">
        <w:t xml:space="preserve"> </w:t>
      </w:r>
      <w:r w:rsidR="00200FDE">
        <w:t>T</w:t>
      </w:r>
      <w:r w:rsidR="00C21D3F">
        <w:t xml:space="preserve">echnical assistance </w:t>
      </w:r>
      <w:r w:rsidR="00200FDE">
        <w:t xml:space="preserve">provided </w:t>
      </w:r>
      <w:r w:rsidR="00C21D3F">
        <w:t xml:space="preserve">to the </w:t>
      </w:r>
      <w:r w:rsidR="00C139EC">
        <w:t>Department</w:t>
      </w:r>
      <w:r w:rsidR="00C139EC" w:rsidRPr="00810801">
        <w:t xml:space="preserve"> of Social Welfare and Development </w:t>
      </w:r>
      <w:r w:rsidR="00200FDE">
        <w:t xml:space="preserve">has </w:t>
      </w:r>
      <w:r>
        <w:t>helped</w:t>
      </w:r>
      <w:r w:rsidR="00277879">
        <w:t xml:space="preserve"> </w:t>
      </w:r>
      <w:r w:rsidR="00C139EC">
        <w:t xml:space="preserve">it </w:t>
      </w:r>
      <w:r>
        <w:t xml:space="preserve">implement core social protection and poverty reduction programs. </w:t>
      </w:r>
      <w:r w:rsidR="001D1DB0">
        <w:t>T</w:t>
      </w:r>
      <w:r>
        <w:t xml:space="preserve">he </w:t>
      </w:r>
      <w:r w:rsidR="00277879">
        <w:t>Philippine’s</w:t>
      </w:r>
      <w:r w:rsidR="00C21D3F">
        <w:t xml:space="preserve"> </w:t>
      </w:r>
      <w:proofErr w:type="spellStart"/>
      <w:r w:rsidR="00C21D3F">
        <w:t>Pantawid</w:t>
      </w:r>
      <w:proofErr w:type="spellEnd"/>
      <w:r w:rsidR="00C21D3F">
        <w:t xml:space="preserve"> </w:t>
      </w:r>
      <w:proofErr w:type="spellStart"/>
      <w:r w:rsidR="00C21D3F">
        <w:t>Pamilya</w:t>
      </w:r>
      <w:proofErr w:type="spellEnd"/>
      <w:r w:rsidR="00C21D3F">
        <w:t xml:space="preserve"> Conditional Cash Transfer</w:t>
      </w:r>
      <w:r w:rsidR="001E409E">
        <w:t xml:space="preserve"> program contributed to </w:t>
      </w:r>
      <w:r w:rsidR="00C21D3F">
        <w:t>a 10</w:t>
      </w:r>
      <w:r w:rsidR="00596971">
        <w:t xml:space="preserve"> </w:t>
      </w:r>
      <w:r w:rsidR="00650823">
        <w:t>per cent</w:t>
      </w:r>
      <w:r w:rsidR="00C21D3F">
        <w:t xml:space="preserve"> increase in enrolment</w:t>
      </w:r>
      <w:r>
        <w:t xml:space="preserve"> rates of three to five </w:t>
      </w:r>
      <w:r w:rsidR="00C21D3F">
        <w:t>year old children and 4.5</w:t>
      </w:r>
      <w:r w:rsidR="00596971">
        <w:t xml:space="preserve"> </w:t>
      </w:r>
      <w:r w:rsidR="00650823">
        <w:t>per cent</w:t>
      </w:r>
      <w:r w:rsidR="00C21D3F">
        <w:t xml:space="preserve"> </w:t>
      </w:r>
      <w:r>
        <w:t xml:space="preserve">increase of six to </w:t>
      </w:r>
      <w:r w:rsidR="00596971">
        <w:t>11</w:t>
      </w:r>
      <w:r w:rsidR="00C21D3F">
        <w:t xml:space="preserve"> year old children of beneficiary households.</w:t>
      </w:r>
    </w:p>
    <w:p w14:paraId="65365B52" w14:textId="10B8406C" w:rsidR="00C21D3F" w:rsidRDefault="00C21D3F" w:rsidP="0080598D">
      <w:pPr>
        <w:pStyle w:val="BodyText"/>
      </w:pPr>
      <w:r>
        <w:t xml:space="preserve">Australia is taking the lead in donor coordination by working closely with the World Bank and the </w:t>
      </w:r>
      <w:r w:rsidR="00D81B7A">
        <w:t>A</w:t>
      </w:r>
      <w:r w:rsidR="00C139EC">
        <w:t xml:space="preserve">sian </w:t>
      </w:r>
      <w:r w:rsidR="00D81B7A">
        <w:t>D</w:t>
      </w:r>
      <w:r w:rsidR="00C139EC">
        <w:t xml:space="preserve">evelopment </w:t>
      </w:r>
      <w:r w:rsidR="00D81B7A">
        <w:t>B</w:t>
      </w:r>
      <w:r w:rsidR="00C139EC">
        <w:t>ank</w:t>
      </w:r>
      <w:r>
        <w:t>.</w:t>
      </w:r>
      <w:r w:rsidR="00855402">
        <w:t xml:space="preserve"> </w:t>
      </w:r>
      <w:r w:rsidR="00277879">
        <w:t>Australian aid is</w:t>
      </w:r>
      <w:r>
        <w:t xml:space="preserve"> leveraging more than </w:t>
      </w:r>
      <w:r w:rsidR="00596971">
        <w:t>US</w:t>
      </w:r>
      <w:r w:rsidR="00C139EC">
        <w:t>D</w:t>
      </w:r>
      <w:r>
        <w:t xml:space="preserve">800 million in </w:t>
      </w:r>
      <w:proofErr w:type="gramStart"/>
      <w:r>
        <w:t>loan</w:t>
      </w:r>
      <w:proofErr w:type="gramEnd"/>
      <w:r>
        <w:t xml:space="preserve"> financing from </w:t>
      </w:r>
      <w:r w:rsidR="00C139EC">
        <w:t>the b</w:t>
      </w:r>
      <w:r w:rsidR="00FF4330">
        <w:t>ank</w:t>
      </w:r>
      <w:r w:rsidR="00C139EC">
        <w:t>s,</w:t>
      </w:r>
      <w:r>
        <w:t xml:space="preserve"> as well as the Philippine </w:t>
      </w:r>
      <w:r w:rsidR="00BF1983">
        <w:t>G</w:t>
      </w:r>
      <w:r w:rsidR="00035C2E">
        <w:t>overnment</w:t>
      </w:r>
      <w:r>
        <w:t xml:space="preserve">’s considerable investments in this </w:t>
      </w:r>
      <w:r w:rsidR="00277879">
        <w:t>conditional cash transfer</w:t>
      </w:r>
      <w:r>
        <w:t xml:space="preserve"> program, focusing our grant support on flexible technical assistance and analytical work</w:t>
      </w:r>
      <w:r w:rsidR="00D80E84">
        <w:t xml:space="preserve"> to influence policy dialogue on social protection.</w:t>
      </w:r>
    </w:p>
    <w:p w14:paraId="3E603DD5" w14:textId="740425D3" w:rsidR="00D80E84" w:rsidRDefault="00D80E84" w:rsidP="0080598D">
      <w:pPr>
        <w:pStyle w:val="BodyText"/>
      </w:pPr>
      <w:r>
        <w:t xml:space="preserve">Australia </w:t>
      </w:r>
      <w:r w:rsidR="005A2F76">
        <w:t xml:space="preserve">continues to support </w:t>
      </w:r>
      <w:r>
        <w:t xml:space="preserve">the </w:t>
      </w:r>
      <w:r w:rsidR="00277879">
        <w:t xml:space="preserve">Philippine’s </w:t>
      </w:r>
      <w:r>
        <w:t xml:space="preserve">KALAHI CIDSS </w:t>
      </w:r>
      <w:r w:rsidR="00C139EC">
        <w:t xml:space="preserve">development </w:t>
      </w:r>
      <w:r>
        <w:t>project</w:t>
      </w:r>
      <w:r w:rsidR="005A2F76">
        <w:t xml:space="preserve"> which is </w:t>
      </w:r>
      <w:r w:rsidR="00C139EC">
        <w:t xml:space="preserve">using community-driven development </w:t>
      </w:r>
      <w:r>
        <w:t>approach</w:t>
      </w:r>
      <w:r w:rsidR="005A2F76">
        <w:t>es</w:t>
      </w:r>
      <w:r>
        <w:t xml:space="preserve"> to </w:t>
      </w:r>
      <w:r w:rsidR="005A2F76">
        <w:t>meet community needs</w:t>
      </w:r>
      <w:r w:rsidR="00C139EC">
        <w:t>,</w:t>
      </w:r>
      <w:r w:rsidR="005A2F76">
        <w:t xml:space="preserve"> including through </w:t>
      </w:r>
      <w:r>
        <w:t>build</w:t>
      </w:r>
      <w:r w:rsidR="005A2F76">
        <w:t>ing</w:t>
      </w:r>
      <w:r>
        <w:t xml:space="preserve"> classrooms and early learning facilities in poor communities where service delivery continues to lag.</w:t>
      </w:r>
    </w:p>
    <w:p w14:paraId="11B3632E" w14:textId="2F32E298" w:rsidR="007F7D64" w:rsidRDefault="007F7D64" w:rsidP="0080598D">
      <w:pPr>
        <w:pStyle w:val="BodyText"/>
      </w:pPr>
      <w:r>
        <w:t xml:space="preserve">We are also contributing to improved access and better learning outcomes through our </w:t>
      </w:r>
      <w:r w:rsidRPr="008F6B31">
        <w:t xml:space="preserve">classroom construction </w:t>
      </w:r>
      <w:r>
        <w:t xml:space="preserve">initiative. This </w:t>
      </w:r>
      <w:r w:rsidR="004E6B27">
        <w:t xml:space="preserve">is </w:t>
      </w:r>
      <w:r>
        <w:t xml:space="preserve">contributing to </w:t>
      </w:r>
      <w:r w:rsidR="00C139EC">
        <w:t xml:space="preserve">the </w:t>
      </w:r>
      <w:r w:rsidR="00C139EC" w:rsidRPr="008F6B31">
        <w:t>Department of Education</w:t>
      </w:r>
      <w:r w:rsidR="00C139EC">
        <w:t>’s</w:t>
      </w:r>
      <w:r w:rsidR="00C139EC" w:rsidRPr="008F6B31">
        <w:t xml:space="preserve"> </w:t>
      </w:r>
      <w:r>
        <w:t>commitment to eradicate a long-standing classroom gap and i</w:t>
      </w:r>
      <w:r w:rsidR="00596971">
        <w:t>s</w:t>
      </w:r>
      <w:r>
        <w:t xml:space="preserve"> testing private-sector-led and community-managed models for classroom construction. As well as improving the efficiency and effectiveness of construction</w:t>
      </w:r>
      <w:r w:rsidR="00C139EC">
        <w:t>,</w:t>
      </w:r>
      <w:r>
        <w:t xml:space="preserve"> </w:t>
      </w:r>
      <w:r w:rsidR="004A3517">
        <w:t>Australia</w:t>
      </w:r>
      <w:r>
        <w:t xml:space="preserve"> is working with </w:t>
      </w:r>
      <w:r w:rsidR="00C139EC">
        <w:t xml:space="preserve">the </w:t>
      </w:r>
      <w:r w:rsidR="00C139EC" w:rsidRPr="008F6B31">
        <w:t>Department of Education</w:t>
      </w:r>
      <w:r w:rsidR="00C139EC">
        <w:t xml:space="preserve"> </w:t>
      </w:r>
      <w:r>
        <w:t xml:space="preserve">to </w:t>
      </w:r>
      <w:r w:rsidRPr="008F6B31">
        <w:t xml:space="preserve">improve the quality, safety and accessibility of </w:t>
      </w:r>
      <w:r w:rsidR="00C139EC">
        <w:t xml:space="preserve">its </w:t>
      </w:r>
      <w:r w:rsidRPr="008F6B31">
        <w:t>classroom design</w:t>
      </w:r>
      <w:r>
        <w:t xml:space="preserve">s </w:t>
      </w:r>
      <w:r w:rsidRPr="00810801">
        <w:t xml:space="preserve">using </w:t>
      </w:r>
      <w:proofErr w:type="gramStart"/>
      <w:r w:rsidRPr="00810801">
        <w:t>the</w:t>
      </w:r>
      <w:r w:rsidR="003F1A57">
        <w:t>ir</w:t>
      </w:r>
      <w:r w:rsidRPr="00810801">
        <w:t xml:space="preserve">  Accessibility</w:t>
      </w:r>
      <w:proofErr w:type="gramEnd"/>
      <w:r w:rsidRPr="00810801">
        <w:t xml:space="preserve"> Design Guidelines</w:t>
      </w:r>
      <w:r w:rsidRPr="008F6B31">
        <w:t xml:space="preserve">. </w:t>
      </w:r>
    </w:p>
    <w:p w14:paraId="715A4030" w14:textId="0384E489" w:rsidR="007B012E" w:rsidRPr="008F6B31" w:rsidRDefault="00B0176A" w:rsidP="0080598D">
      <w:pPr>
        <w:pStyle w:val="BodyText"/>
      </w:pPr>
      <w:r>
        <w:t xml:space="preserve">Under the </w:t>
      </w:r>
      <w:r w:rsidR="00653B7D">
        <w:t>e</w:t>
      </w:r>
      <w:r>
        <w:t>ducation o</w:t>
      </w:r>
      <w:r w:rsidR="007B012E" w:rsidRPr="008F6B31">
        <w:t>bjective</w:t>
      </w:r>
      <w:r w:rsidR="00C139EC">
        <w:t>,</w:t>
      </w:r>
      <w:r w:rsidR="007B012E" w:rsidRPr="008F6B31">
        <w:t xml:space="preserve"> </w:t>
      </w:r>
      <w:r w:rsidR="00FF4330">
        <w:t xml:space="preserve">our </w:t>
      </w:r>
      <w:r w:rsidR="007B012E" w:rsidRPr="008F6B31">
        <w:t xml:space="preserve">program designs clearly set out strategies addressing gender and disability issues and </w:t>
      </w:r>
      <w:r w:rsidR="00353C47">
        <w:t xml:space="preserve">are also reflected in </w:t>
      </w:r>
      <w:r w:rsidR="007B012E" w:rsidRPr="008F6B31">
        <w:t xml:space="preserve">monitoring and evaluation frameworks. In the Philippines Response to Indigenous and Muslim Education </w:t>
      </w:r>
      <w:r w:rsidR="00277879">
        <w:t>project</w:t>
      </w:r>
      <w:r w:rsidR="007B012E" w:rsidRPr="008F6B31">
        <w:t xml:space="preserve">, a </w:t>
      </w:r>
      <w:r w:rsidR="00277879">
        <w:t>g</w:t>
      </w:r>
      <w:r w:rsidR="007B012E" w:rsidRPr="008F6B31">
        <w:t xml:space="preserve">ender, </w:t>
      </w:r>
      <w:r w:rsidR="00277879">
        <w:t>p</w:t>
      </w:r>
      <w:r w:rsidR="007B012E" w:rsidRPr="008F6B31">
        <w:t xml:space="preserve">overty </w:t>
      </w:r>
      <w:r w:rsidR="00277879">
        <w:t>i</w:t>
      </w:r>
      <w:r w:rsidR="007B012E" w:rsidRPr="008F6B31">
        <w:t xml:space="preserve">nclusion and </w:t>
      </w:r>
      <w:r w:rsidR="00277879">
        <w:t>d</w:t>
      </w:r>
      <w:r w:rsidR="007B012E" w:rsidRPr="008F6B31">
        <w:t xml:space="preserve">isability </w:t>
      </w:r>
      <w:r w:rsidR="00277879">
        <w:t>a</w:t>
      </w:r>
      <w:r w:rsidR="007B012E" w:rsidRPr="008F6B31">
        <w:t xml:space="preserve">wareness </w:t>
      </w:r>
      <w:r w:rsidR="00277879">
        <w:t>s</w:t>
      </w:r>
      <w:r w:rsidR="007B012E" w:rsidRPr="008F6B31">
        <w:t xml:space="preserve">trategy ensures gender equality and disability inclusion goals </w:t>
      </w:r>
      <w:r w:rsidR="00277879">
        <w:t>were</w:t>
      </w:r>
      <w:r w:rsidR="007B012E" w:rsidRPr="008F6B31">
        <w:t xml:space="preserve"> given serious attention and consideration. </w:t>
      </w:r>
    </w:p>
    <w:p w14:paraId="2E5D64C1" w14:textId="2626C5AE" w:rsidR="00653B7D" w:rsidRPr="00733D7D" w:rsidRDefault="00181B34" w:rsidP="0080598D">
      <w:pPr>
        <w:pStyle w:val="Heading3"/>
      </w:pPr>
      <w:r w:rsidRPr="00733D7D">
        <w:t>Improved learning outcomes in English, mathematics and science</w:t>
      </w:r>
    </w:p>
    <w:p w14:paraId="4CE71B8B" w14:textId="3353A76A" w:rsidR="00550D65" w:rsidRDefault="00550D65" w:rsidP="0080598D">
      <w:pPr>
        <w:pStyle w:val="BodyText"/>
      </w:pPr>
      <w:r w:rsidRPr="00550D65">
        <w:t xml:space="preserve">By including curriculum, assessment and teacher quality research on the senior executive committee agenda, </w:t>
      </w:r>
      <w:r w:rsidR="00C139EC">
        <w:t xml:space="preserve">the </w:t>
      </w:r>
      <w:r w:rsidR="00C139EC" w:rsidRPr="008F6B31">
        <w:t>Department of Education</w:t>
      </w:r>
      <w:r w:rsidR="00C139EC" w:rsidRPr="00550D65">
        <w:t xml:space="preserve"> </w:t>
      </w:r>
      <w:r w:rsidR="00C139EC">
        <w:t>has</w:t>
      </w:r>
      <w:r w:rsidR="00C139EC" w:rsidRPr="00550D65">
        <w:t xml:space="preserve"> </w:t>
      </w:r>
      <w:r w:rsidRPr="00550D65">
        <w:t xml:space="preserve">ensured that </w:t>
      </w:r>
      <w:r w:rsidR="00C139EC">
        <w:t>its</w:t>
      </w:r>
      <w:r w:rsidR="00C139EC" w:rsidRPr="00550D65">
        <w:t xml:space="preserve"> </w:t>
      </w:r>
      <w:r w:rsidRPr="00550D65">
        <w:t xml:space="preserve">policies and strategies to improve curriculum and teacher quality are informed by evidence. The </w:t>
      </w:r>
      <w:r w:rsidR="00C139EC">
        <w:t>department’s s</w:t>
      </w:r>
      <w:r w:rsidRPr="00550D65">
        <w:t xml:space="preserve">ecretary and </w:t>
      </w:r>
      <w:r w:rsidR="00C139EC">
        <w:t>c</w:t>
      </w:r>
      <w:r w:rsidR="00C139EC" w:rsidRPr="00550D65">
        <w:t xml:space="preserve">hairperson </w:t>
      </w:r>
      <w:r w:rsidRPr="00550D65">
        <w:t xml:space="preserve">of the Commission on Higher Education agreed to become members of the joint </w:t>
      </w:r>
      <w:r w:rsidR="00C139EC">
        <w:t>a</w:t>
      </w:r>
      <w:r w:rsidR="00C139EC" w:rsidRPr="00550D65">
        <w:t xml:space="preserve">dvisory </w:t>
      </w:r>
      <w:r w:rsidR="00C139EC">
        <w:t>b</w:t>
      </w:r>
      <w:r w:rsidR="00C139EC" w:rsidRPr="00550D65">
        <w:t xml:space="preserve">oard </w:t>
      </w:r>
      <w:r w:rsidRPr="00550D65">
        <w:t xml:space="preserve">of the recently established research centres on teacher quality, curriculum and assessment. The </w:t>
      </w:r>
      <w:r w:rsidR="00C139EC">
        <w:t>c</w:t>
      </w:r>
      <w:r w:rsidR="00C139EC" w:rsidRPr="00550D65">
        <w:t xml:space="preserve">entres </w:t>
      </w:r>
      <w:r w:rsidRPr="00550D65">
        <w:t xml:space="preserve">will provide the government with high quality research products that will guide the implementation of the </w:t>
      </w:r>
      <w:r w:rsidR="00C139EC" w:rsidRPr="00810801">
        <w:t xml:space="preserve">Kindergarten to </w:t>
      </w:r>
      <w:r w:rsidR="00C139EC">
        <w:t>Y</w:t>
      </w:r>
      <w:r w:rsidR="00C139EC" w:rsidRPr="00810801">
        <w:t>ear 12</w:t>
      </w:r>
      <w:r w:rsidR="00C139EC">
        <w:t xml:space="preserve"> </w:t>
      </w:r>
      <w:r w:rsidRPr="00550D65">
        <w:t xml:space="preserve">agenda. With commitment </w:t>
      </w:r>
      <w:r w:rsidR="00C139EC">
        <w:t>by</w:t>
      </w:r>
      <w:r w:rsidR="00C139EC" w:rsidRPr="00550D65">
        <w:t xml:space="preserve"> </w:t>
      </w:r>
      <w:r w:rsidRPr="00550D65">
        <w:t xml:space="preserve">the highest officials of </w:t>
      </w:r>
      <w:r w:rsidR="00C139EC">
        <w:t>the department</w:t>
      </w:r>
      <w:r w:rsidR="00C139EC" w:rsidRPr="00550D65">
        <w:t xml:space="preserve"> </w:t>
      </w:r>
      <w:r w:rsidRPr="00550D65">
        <w:t xml:space="preserve">and </w:t>
      </w:r>
      <w:r w:rsidR="00C139EC">
        <w:t>commission</w:t>
      </w:r>
      <w:r w:rsidR="00C139EC" w:rsidRPr="00550D65">
        <w:t xml:space="preserve"> </w:t>
      </w:r>
      <w:r w:rsidRPr="00550D65">
        <w:t xml:space="preserve">to the research centres, they will be </w:t>
      </w:r>
      <w:r w:rsidRPr="00550D65">
        <w:lastRenderedPageBreak/>
        <w:t xml:space="preserve">able to inform and influence policy and programming decisions. The new research centres are being established by Australian and Philippine </w:t>
      </w:r>
      <w:r w:rsidR="00C139EC">
        <w:t>u</w:t>
      </w:r>
      <w:r w:rsidR="00C139EC" w:rsidRPr="00550D65">
        <w:t>niversities</w:t>
      </w:r>
      <w:r w:rsidRPr="00550D65">
        <w:t xml:space="preserve">: </w:t>
      </w:r>
      <w:r w:rsidR="00C139EC">
        <w:t>t</w:t>
      </w:r>
      <w:r w:rsidR="00C139EC" w:rsidRPr="00550D65">
        <w:t xml:space="preserve">he </w:t>
      </w:r>
      <w:r w:rsidRPr="00550D65">
        <w:t xml:space="preserve">Research </w:t>
      </w:r>
      <w:proofErr w:type="spellStart"/>
      <w:r w:rsidRPr="00550D65">
        <w:t>Center</w:t>
      </w:r>
      <w:proofErr w:type="spellEnd"/>
      <w:r w:rsidRPr="00550D65">
        <w:t xml:space="preserve"> for Teacher Quality is a partnership between the University of New England and the Philippine Normal University</w:t>
      </w:r>
      <w:r w:rsidR="00C139EC">
        <w:t>, while</w:t>
      </w:r>
      <w:r w:rsidRPr="00550D65">
        <w:t xml:space="preserve"> the Assessment, Curriculum and Technology Research </w:t>
      </w:r>
      <w:proofErr w:type="spellStart"/>
      <w:r w:rsidRPr="00550D65">
        <w:t>Center</w:t>
      </w:r>
      <w:proofErr w:type="spellEnd"/>
      <w:r w:rsidRPr="00550D65">
        <w:t xml:space="preserve"> </w:t>
      </w:r>
      <w:proofErr w:type="gramStart"/>
      <w:r w:rsidRPr="00550D65">
        <w:t>is</w:t>
      </w:r>
      <w:proofErr w:type="gramEnd"/>
      <w:r w:rsidRPr="00550D65">
        <w:t xml:space="preserve"> a partnership between </w:t>
      </w:r>
      <w:r w:rsidR="00C139EC">
        <w:t xml:space="preserve">the </w:t>
      </w:r>
      <w:r w:rsidRPr="00550D65">
        <w:t xml:space="preserve">University of Melbourne and University of the Philippines. </w:t>
      </w:r>
    </w:p>
    <w:p w14:paraId="4FF51AD1" w14:textId="4A2F7916" w:rsidR="00760539" w:rsidRDefault="007B012E" w:rsidP="0080598D">
      <w:pPr>
        <w:pStyle w:val="BodyText"/>
      </w:pPr>
      <w:r w:rsidRPr="008F6B31">
        <w:t>While we have made g</w:t>
      </w:r>
      <w:r w:rsidR="00103E0C">
        <w:t>ood p</w:t>
      </w:r>
      <w:r w:rsidR="00054344">
        <w:t xml:space="preserve">rogress </w:t>
      </w:r>
      <w:r w:rsidR="00306393">
        <w:t>i</w:t>
      </w:r>
      <w:r w:rsidR="00054344">
        <w:t>n improving access, progress has been substantially slower in</w:t>
      </w:r>
      <w:r w:rsidR="00C139EC">
        <w:t>:</w:t>
      </w:r>
    </w:p>
    <w:p w14:paraId="0912AE54" w14:textId="3E1AFFA5" w:rsidR="00760539" w:rsidRDefault="007B012E" w:rsidP="0080598D">
      <w:pPr>
        <w:pStyle w:val="ListBullet"/>
      </w:pPr>
      <w:proofErr w:type="gramStart"/>
      <w:r w:rsidRPr="008F6B31">
        <w:t>implementing</w:t>
      </w:r>
      <w:proofErr w:type="gramEnd"/>
      <w:r w:rsidRPr="008F6B31">
        <w:t xml:space="preserve"> organisation and system reforms at the national level</w:t>
      </w:r>
      <w:r w:rsidR="00103E0C">
        <w:t>.</w:t>
      </w:r>
      <w:r w:rsidR="00855402">
        <w:t xml:space="preserve"> </w:t>
      </w:r>
      <w:r w:rsidR="00103E0C">
        <w:t>T</w:t>
      </w:r>
      <w:r w:rsidRPr="008F6B31">
        <w:t xml:space="preserve">he pace </w:t>
      </w:r>
      <w:r w:rsidR="003224C9">
        <w:t xml:space="preserve">has been slower than expected because current </w:t>
      </w:r>
      <w:r w:rsidR="00103E0C">
        <w:t xml:space="preserve">departmental </w:t>
      </w:r>
      <w:r w:rsidR="003224C9">
        <w:t xml:space="preserve">structures </w:t>
      </w:r>
      <w:r w:rsidR="00103E0C">
        <w:t xml:space="preserve">and workforce capabilities </w:t>
      </w:r>
      <w:r w:rsidR="00F9190E">
        <w:t>have not yet been fully re</w:t>
      </w:r>
      <w:r w:rsidR="003224C9">
        <w:t xml:space="preserve">aligned with the needs of the </w:t>
      </w:r>
      <w:r w:rsidR="00C139EC" w:rsidRPr="00810801">
        <w:t xml:space="preserve">Kindergarten to </w:t>
      </w:r>
      <w:r w:rsidR="00C139EC">
        <w:t>Y</w:t>
      </w:r>
      <w:r w:rsidR="00C139EC" w:rsidRPr="00810801">
        <w:t>ear 12</w:t>
      </w:r>
      <w:r w:rsidR="00C139EC">
        <w:t xml:space="preserve"> </w:t>
      </w:r>
      <w:r w:rsidR="003224C9">
        <w:t>reform</w:t>
      </w:r>
    </w:p>
    <w:p w14:paraId="2CB67D4C" w14:textId="0ADFA81F" w:rsidR="00760539" w:rsidRDefault="005026E5" w:rsidP="0080598D">
      <w:pPr>
        <w:pStyle w:val="ListBullet"/>
      </w:pPr>
      <w:proofErr w:type="gramStart"/>
      <w:r>
        <w:t>securing</w:t>
      </w:r>
      <w:proofErr w:type="gramEnd"/>
      <w:r>
        <w:t xml:space="preserve"> </w:t>
      </w:r>
      <w:r w:rsidR="00C139EC" w:rsidRPr="008F6B31">
        <w:t>Department of Education</w:t>
      </w:r>
      <w:r w:rsidR="001E6BC9">
        <w:t xml:space="preserve"> and</w:t>
      </w:r>
      <w:r w:rsidR="00C139EC" w:rsidRPr="008F6B31">
        <w:t xml:space="preserve"> </w:t>
      </w:r>
      <w:r w:rsidR="00760539">
        <w:t xml:space="preserve">ARMM </w:t>
      </w:r>
      <w:r w:rsidR="007B012E" w:rsidRPr="008F6B31">
        <w:t xml:space="preserve">personnel to take up positions in the </w:t>
      </w:r>
      <w:r w:rsidR="00C139EC" w:rsidRPr="008F6B31">
        <w:t>Department of Educat</w:t>
      </w:r>
      <w:r w:rsidR="00C139EC">
        <w:t>ion</w:t>
      </w:r>
      <w:r w:rsidR="007B012E" w:rsidRPr="008F6B31">
        <w:t>/</w:t>
      </w:r>
      <w:r w:rsidR="004E6B27" w:rsidRPr="00810801">
        <w:t xml:space="preserve">Basic Education Assistance for </w:t>
      </w:r>
      <w:r w:rsidR="004E6B27">
        <w:t xml:space="preserve">Muslim </w:t>
      </w:r>
      <w:r w:rsidR="004E6B27" w:rsidRPr="00810801">
        <w:t xml:space="preserve">Mindanao </w:t>
      </w:r>
      <w:r w:rsidR="007B012E" w:rsidRPr="008F6B31">
        <w:t>program management office</w:t>
      </w:r>
      <w:r w:rsidR="00760539">
        <w:t>. This</w:t>
      </w:r>
      <w:r w:rsidR="007B012E" w:rsidRPr="008F6B31">
        <w:t xml:space="preserve"> has delayed implementation of </w:t>
      </w:r>
      <w:r w:rsidR="00B56CFD">
        <w:t xml:space="preserve">the technical vocational training, classroom construction and </w:t>
      </w:r>
      <w:r w:rsidR="003224C9">
        <w:t>b</w:t>
      </w:r>
      <w:r w:rsidR="0098390C">
        <w:t xml:space="preserve">asic education </w:t>
      </w:r>
      <w:r w:rsidR="003224C9">
        <w:t>i</w:t>
      </w:r>
      <w:r w:rsidR="0098390C">
        <w:t>mprovement</w:t>
      </w:r>
      <w:r w:rsidR="00B56CFD">
        <w:t xml:space="preserve"> components of the program</w:t>
      </w:r>
    </w:p>
    <w:p w14:paraId="6FF18999" w14:textId="03013248" w:rsidR="003224C9" w:rsidRDefault="00103E0C" w:rsidP="0080598D">
      <w:pPr>
        <w:pStyle w:val="ListBullet"/>
      </w:pPr>
      <w:proofErr w:type="gramStart"/>
      <w:r>
        <w:t>c</w:t>
      </w:r>
      <w:r w:rsidR="00760539">
        <w:t>onsolidating</w:t>
      </w:r>
      <w:proofErr w:type="gramEnd"/>
      <w:r w:rsidR="00760539">
        <w:t xml:space="preserve"> the individual component</w:t>
      </w:r>
      <w:r w:rsidR="00054344">
        <w:t>s</w:t>
      </w:r>
      <w:r w:rsidR="005026E5">
        <w:t xml:space="preserve"> </w:t>
      </w:r>
      <w:r w:rsidR="00054344">
        <w:t xml:space="preserve">of the </w:t>
      </w:r>
      <w:r w:rsidR="004E6B27" w:rsidRPr="00810801">
        <w:t xml:space="preserve">Basic Education Assistance for </w:t>
      </w:r>
      <w:r w:rsidR="004E6B27">
        <w:t xml:space="preserve">Muslim </w:t>
      </w:r>
      <w:r w:rsidR="004E6B27" w:rsidRPr="00810801">
        <w:t xml:space="preserve">Mindanao </w:t>
      </w:r>
      <w:r w:rsidR="00054344">
        <w:t xml:space="preserve">program </w:t>
      </w:r>
      <w:r w:rsidR="00C1662E">
        <w:t xml:space="preserve">due </w:t>
      </w:r>
      <w:r w:rsidR="005026E5">
        <w:t>to separate operating mandates of the implementing partners</w:t>
      </w:r>
      <w:r w:rsidR="001D1DB0">
        <w:t xml:space="preserve">, </w:t>
      </w:r>
      <w:r w:rsidR="005026E5">
        <w:t xml:space="preserve">the lack of a </w:t>
      </w:r>
      <w:r w:rsidR="00760539">
        <w:t xml:space="preserve">unified </w:t>
      </w:r>
      <w:r w:rsidR="005026E5">
        <w:t>program communication strategy</w:t>
      </w:r>
      <w:r w:rsidR="001D1DB0">
        <w:t xml:space="preserve"> and absence of a unified monitoring and evaluation system</w:t>
      </w:r>
      <w:r w:rsidR="005026E5">
        <w:t>.</w:t>
      </w:r>
      <w:r w:rsidR="00855402">
        <w:t xml:space="preserve"> </w:t>
      </w:r>
    </w:p>
    <w:p w14:paraId="2038AD3E" w14:textId="77777777" w:rsidR="00806A06" w:rsidRPr="0080598D" w:rsidRDefault="00806A06" w:rsidP="0080598D">
      <w:pPr>
        <w:pStyle w:val="Heading2"/>
      </w:pPr>
      <w:r w:rsidRPr="0080598D">
        <w:t>Objective 2: Improved local government capacity to deliver basic services</w:t>
      </w:r>
    </w:p>
    <w:p w14:paraId="395AE456" w14:textId="122DC4D5" w:rsidR="00302F75" w:rsidRPr="0042232A" w:rsidRDefault="00302F75" w:rsidP="0080598D">
      <w:pPr>
        <w:pStyle w:val="BodyText"/>
      </w:pPr>
      <w:r w:rsidRPr="00306393">
        <w:t xml:space="preserve">Progress towards objective 2 has </w:t>
      </w:r>
      <w:r w:rsidRPr="0042232A">
        <w:t xml:space="preserve">been rated amber. </w:t>
      </w:r>
      <w:r w:rsidR="006E14D8" w:rsidRPr="0042232A">
        <w:t>Progress is less than expected and the</w:t>
      </w:r>
      <w:r w:rsidRPr="0042232A">
        <w:t xml:space="preserve"> required</w:t>
      </w:r>
      <w:r w:rsidR="006E14D8" w:rsidRPr="0042232A">
        <w:t xml:space="preserve"> </w:t>
      </w:r>
      <w:r w:rsidR="000C6EE0" w:rsidRPr="0042232A">
        <w:t>restorative</w:t>
      </w:r>
      <w:r w:rsidR="006E14D8" w:rsidRPr="0042232A">
        <w:t xml:space="preserve"> action is </w:t>
      </w:r>
      <w:r w:rsidRPr="0042232A">
        <w:t xml:space="preserve">in train to overcome implementation problems </w:t>
      </w:r>
      <w:r w:rsidR="006E14D8" w:rsidRPr="0042232A">
        <w:t>of</w:t>
      </w:r>
      <w:r w:rsidRPr="0042232A">
        <w:t xml:space="preserve"> one large program</w:t>
      </w:r>
      <w:r w:rsidR="004E6B27">
        <w:t>––</w:t>
      </w:r>
      <w:r w:rsidRPr="0042232A">
        <w:t xml:space="preserve">the Provincial Road Management Facility. The resources </w:t>
      </w:r>
      <w:r w:rsidR="00EC48B0">
        <w:t xml:space="preserve">that </w:t>
      </w:r>
      <w:r w:rsidRPr="0042232A">
        <w:t xml:space="preserve">the Philippines program has committed are expected to put </w:t>
      </w:r>
      <w:r w:rsidR="003A4ADB">
        <w:t>this</w:t>
      </w:r>
      <w:r w:rsidR="003A4ADB" w:rsidRPr="0042232A">
        <w:t xml:space="preserve"> </w:t>
      </w:r>
      <w:r w:rsidRPr="0042232A">
        <w:t>back on track within the timeframe of the strategy. Development of other initiatives to strengthen local government effectiveness, transparency and accountability will be accelerated.</w:t>
      </w:r>
    </w:p>
    <w:p w14:paraId="5F86EB78" w14:textId="3037F1DD" w:rsidR="003E1B97" w:rsidRPr="00810801" w:rsidRDefault="00983C78" w:rsidP="0080598D">
      <w:pPr>
        <w:pStyle w:val="BodyText"/>
      </w:pPr>
      <w:r w:rsidRPr="008F6B31">
        <w:t xml:space="preserve">Australia supports improved local government transparency and accountability for better service delivery to the poor through the </w:t>
      </w:r>
      <w:r w:rsidR="003A4ADB" w:rsidRPr="0042232A">
        <w:t>Provincial Road Management Facility</w:t>
      </w:r>
      <w:r w:rsidRPr="008F6B31">
        <w:t xml:space="preserve">. </w:t>
      </w:r>
      <w:r w:rsidR="003A4ADB">
        <w:t>We are</w:t>
      </w:r>
      <w:r w:rsidRPr="008F6B31">
        <w:t xml:space="preserve"> developing a number of other complimentary investments in partnership with the Philippine </w:t>
      </w:r>
      <w:r w:rsidR="003E1B97">
        <w:t>G</w:t>
      </w:r>
      <w:r w:rsidRPr="008F6B31">
        <w:t xml:space="preserve">overnment to influence policy as it applies to local government service delivery responsibilities and to leverage our relatively small funding to maximise impact. </w:t>
      </w:r>
      <w:r w:rsidR="00424517">
        <w:t>T</w:t>
      </w:r>
      <w:r w:rsidR="00424517" w:rsidRPr="008F6B31">
        <w:t>he Department of the Interior and Local Government</w:t>
      </w:r>
      <w:r w:rsidR="00424517">
        <w:t xml:space="preserve"> is our key national partner and</w:t>
      </w:r>
      <w:r w:rsidR="00FB7611">
        <w:t xml:space="preserve"> </w:t>
      </w:r>
      <w:r w:rsidR="00424517">
        <w:t xml:space="preserve">as the sections that follow demonstrate, we have established strong relationships with its senior leadership </w:t>
      </w:r>
      <w:r w:rsidR="003A4ADB">
        <w:t xml:space="preserve">to </w:t>
      </w:r>
      <w:r w:rsidR="00424517">
        <w:t>inform national policy direction and at the operational level</w:t>
      </w:r>
      <w:r w:rsidR="003A4ADB">
        <w:t>,</w:t>
      </w:r>
      <w:r w:rsidR="00424517">
        <w:t xml:space="preserve"> impact on </w:t>
      </w:r>
      <w:r w:rsidR="003A4ADB">
        <w:t xml:space="preserve">the </w:t>
      </w:r>
      <w:r w:rsidR="00035C2E">
        <w:t>government</w:t>
      </w:r>
      <w:r w:rsidR="003A4ADB">
        <w:t>’s</w:t>
      </w:r>
      <w:r w:rsidR="00424517">
        <w:t xml:space="preserve"> subnational program implementation.</w:t>
      </w:r>
      <w:r w:rsidR="00855402">
        <w:t xml:space="preserve"> </w:t>
      </w:r>
      <w:r w:rsidR="003E1B97" w:rsidRPr="00810801">
        <w:t xml:space="preserve">The </w:t>
      </w:r>
      <w:r w:rsidR="003E1B97">
        <w:t>expected outcomes</w:t>
      </w:r>
      <w:r w:rsidR="003E1B97" w:rsidRPr="00810801">
        <w:t xml:space="preserve"> </w:t>
      </w:r>
      <w:r w:rsidR="008F6E3F">
        <w:t xml:space="preserve">of this objective </w:t>
      </w:r>
      <w:r w:rsidR="003E1B97" w:rsidRPr="00810801">
        <w:t xml:space="preserve">are: </w:t>
      </w:r>
    </w:p>
    <w:p w14:paraId="56044717" w14:textId="6D466D25" w:rsidR="003E1B97" w:rsidRDefault="008F6E3F" w:rsidP="0080598D">
      <w:pPr>
        <w:pStyle w:val="ListBullet"/>
      </w:pPr>
      <w:r>
        <w:t>g</w:t>
      </w:r>
      <w:r w:rsidR="003E1B97">
        <w:t>reater transparency and accountability to enable local government t</w:t>
      </w:r>
      <w:r>
        <w:t>o</w:t>
      </w:r>
      <w:r w:rsidR="003E1B97">
        <w:t xml:space="preserve"> be more responsive to the </w:t>
      </w:r>
      <w:r w:rsidR="000C6EE0">
        <w:t>needs</w:t>
      </w:r>
      <w:r w:rsidR="003E1B97">
        <w:t xml:space="preserve"> of citizens, especially the poor</w:t>
      </w:r>
    </w:p>
    <w:p w14:paraId="7D2817CA" w14:textId="41D617AE" w:rsidR="003E1B97" w:rsidRDefault="008F6E3F" w:rsidP="0080598D">
      <w:pPr>
        <w:pStyle w:val="ListBullet"/>
      </w:pPr>
      <w:r>
        <w:t>g</w:t>
      </w:r>
      <w:r w:rsidR="003E1B97">
        <w:t>reater people’s participation</w:t>
      </w:r>
      <w:r w:rsidR="008904F6">
        <w:t xml:space="preserve"> </w:t>
      </w:r>
      <w:r w:rsidR="003E1B97">
        <w:t>(from the pr</w:t>
      </w:r>
      <w:r w:rsidR="008904F6">
        <w:t>i</w:t>
      </w:r>
      <w:r w:rsidR="003E1B97">
        <w:t>vate sector, civil soc</w:t>
      </w:r>
      <w:r w:rsidR="008904F6">
        <w:t>iety</w:t>
      </w:r>
      <w:r w:rsidR="003E1B97">
        <w:t xml:space="preserve">, </w:t>
      </w:r>
      <w:r w:rsidR="000C6EE0">
        <w:t>general</w:t>
      </w:r>
      <w:r w:rsidR="003E1B97">
        <w:t xml:space="preserve"> public) in local governance decision-making and </w:t>
      </w:r>
      <w:r w:rsidR="000C6EE0">
        <w:t>implementation</w:t>
      </w:r>
      <w:r w:rsidR="003E1B97">
        <w:t xml:space="preserve"> processes</w:t>
      </w:r>
    </w:p>
    <w:p w14:paraId="0625A9CE" w14:textId="44829B15" w:rsidR="003E1B97" w:rsidRPr="008F6B31" w:rsidRDefault="008F6E3F" w:rsidP="0080598D">
      <w:pPr>
        <w:pStyle w:val="ListBullet"/>
      </w:pPr>
      <w:proofErr w:type="gramStart"/>
      <w:r>
        <w:t>g</w:t>
      </w:r>
      <w:r w:rsidR="003E1B97">
        <w:t>reater</w:t>
      </w:r>
      <w:proofErr w:type="gramEnd"/>
      <w:r w:rsidR="003E1B97">
        <w:t xml:space="preserve"> local government effectiveness in provision of services for the poor including road infrastructure</w:t>
      </w:r>
      <w:r w:rsidR="00EC48B0">
        <w:t>.</w:t>
      </w:r>
    </w:p>
    <w:p w14:paraId="04D7FC6A" w14:textId="15EBF3FD" w:rsidR="00653B7D" w:rsidRPr="00733D7D" w:rsidRDefault="003E1B97" w:rsidP="0080598D">
      <w:pPr>
        <w:pStyle w:val="Heading3"/>
      </w:pPr>
      <w:r w:rsidRPr="00733D7D">
        <w:t>Greater local government effectiveness in provision of services for the poo</w:t>
      </w:r>
      <w:r w:rsidR="00596971">
        <w:t>r including road infrastructure</w:t>
      </w:r>
    </w:p>
    <w:p w14:paraId="5ABCB488" w14:textId="00D185B0" w:rsidR="00A56AB8" w:rsidRDefault="003A4ADB" w:rsidP="0080598D">
      <w:pPr>
        <w:pStyle w:val="BodyText"/>
      </w:pPr>
      <w:r>
        <w:t xml:space="preserve">The </w:t>
      </w:r>
      <w:r w:rsidRPr="0042232A">
        <w:t>Provincial Road Management Facility</w:t>
      </w:r>
      <w:r w:rsidRPr="008F6B31">
        <w:t xml:space="preserve"> </w:t>
      </w:r>
      <w:r w:rsidR="00983C78" w:rsidRPr="008F6B31">
        <w:t xml:space="preserve">responds to </w:t>
      </w:r>
      <w:r w:rsidR="008F6E3F">
        <w:t>t</w:t>
      </w:r>
      <w:r w:rsidR="00983C78" w:rsidRPr="008F6B31">
        <w:t>he Philippines Development Plan 2011</w:t>
      </w:r>
      <w:r w:rsidR="001A7794">
        <w:t>–</w:t>
      </w:r>
      <w:r>
        <w:t>20</w:t>
      </w:r>
      <w:r w:rsidR="00983C78" w:rsidRPr="008F6B31">
        <w:t xml:space="preserve">16 which highlights inadequate infrastructure, weak institutions and governance failures as major constraints to inclusive growth. </w:t>
      </w:r>
      <w:r>
        <w:t>The facility</w:t>
      </w:r>
      <w:r w:rsidRPr="008F6B31">
        <w:t xml:space="preserve"> </w:t>
      </w:r>
      <w:r w:rsidR="00983C78" w:rsidRPr="008F6B31">
        <w:t xml:space="preserve">is also aligned with the Aquino </w:t>
      </w:r>
      <w:r w:rsidR="00983C78" w:rsidRPr="008F6B31">
        <w:lastRenderedPageBreak/>
        <w:t>administration’s reform agenda that promotes transparency and accountability for better service delivery.</w:t>
      </w:r>
      <w:r w:rsidR="0047637C">
        <w:t xml:space="preserve"> </w:t>
      </w:r>
      <w:r w:rsidR="00983C78" w:rsidRPr="008F6B31">
        <w:t>During 2012</w:t>
      </w:r>
      <w:r>
        <w:t>–</w:t>
      </w:r>
      <w:r w:rsidR="00983C78" w:rsidRPr="008F6B31">
        <w:t xml:space="preserve">13, </w:t>
      </w:r>
      <w:r>
        <w:t>the facility</w:t>
      </w:r>
      <w:r w:rsidRPr="008F6B31">
        <w:t xml:space="preserve"> </w:t>
      </w:r>
      <w:r w:rsidR="00983C78" w:rsidRPr="008F6B31">
        <w:t xml:space="preserve">financed the maintenance and rehabilitation of 182 kilometres of provincial roads facilitating </w:t>
      </w:r>
      <w:r w:rsidR="00C362A8">
        <w:t>better access</w:t>
      </w:r>
      <w:r w:rsidR="00983C78" w:rsidRPr="008F6B31">
        <w:t xml:space="preserve"> by households in targeted communities to markets, public utilities, health, education, and basic social services</w:t>
      </w:r>
      <w:r w:rsidR="00EC48B0">
        <w:t>.</w:t>
      </w:r>
      <w:r w:rsidR="00983C78" w:rsidRPr="008F6B31">
        <w:rPr>
          <w:rStyle w:val="FootnoteReference"/>
        </w:rPr>
        <w:footnoteReference w:id="9"/>
      </w:r>
    </w:p>
    <w:p w14:paraId="646C205C" w14:textId="3F7D43FA" w:rsidR="00A8727D" w:rsidRPr="00754A8F" w:rsidRDefault="00A8727D" w:rsidP="0080598D">
      <w:pPr>
        <w:pStyle w:val="BodyText"/>
      </w:pPr>
      <w:r w:rsidRPr="00754A8F">
        <w:t>Based on a qualitative assessment conducted in seven communities</w:t>
      </w:r>
      <w:r w:rsidRPr="00754A8F">
        <w:rPr>
          <w:rStyle w:val="FootnoteReference"/>
        </w:rPr>
        <w:footnoteReference w:id="10"/>
      </w:r>
      <w:r w:rsidRPr="00754A8F">
        <w:t xml:space="preserve"> adjacent to roads upgraded, </w:t>
      </w:r>
      <w:r w:rsidR="003A4ADB">
        <w:t xml:space="preserve">the </w:t>
      </w:r>
      <w:r w:rsidR="003A4ADB" w:rsidRPr="0042232A">
        <w:t>Provincial Road Management Facility</w:t>
      </w:r>
      <w:r w:rsidR="003A4ADB" w:rsidRPr="00754A8F">
        <w:t xml:space="preserve"> </w:t>
      </w:r>
      <w:r w:rsidRPr="00754A8F">
        <w:t>has helped 51</w:t>
      </w:r>
      <w:r w:rsidR="003A4ADB">
        <w:t xml:space="preserve"> </w:t>
      </w:r>
      <w:r w:rsidRPr="00754A8F">
        <w:t>000 families living in road-side communities save on travel costs and time. The same study found vehicle operating costs were reduced by between 20</w:t>
      </w:r>
      <w:r w:rsidR="00EC48B0">
        <w:t xml:space="preserve"> to</w:t>
      </w:r>
      <w:r w:rsidR="003A4ADB">
        <w:t xml:space="preserve"> </w:t>
      </w:r>
      <w:r w:rsidRPr="00754A8F">
        <w:t>50 per cent on upgraded roads</w:t>
      </w:r>
      <w:r w:rsidR="003A4ADB">
        <w:t>,</w:t>
      </w:r>
      <w:r w:rsidRPr="00754A8F">
        <w:t xml:space="preserve"> benefiting approximately 13</w:t>
      </w:r>
      <w:r w:rsidR="003A4ADB">
        <w:t xml:space="preserve"> </w:t>
      </w:r>
      <w:r w:rsidRPr="00754A8F">
        <w:t xml:space="preserve">000 public utility vehicle operators, drivers and their assistants. </w:t>
      </w:r>
    </w:p>
    <w:p w14:paraId="6DC3BACA" w14:textId="1315E2AE" w:rsidR="008904F6" w:rsidRPr="00733D7D" w:rsidRDefault="008904F6" w:rsidP="0080598D">
      <w:pPr>
        <w:pStyle w:val="Heading3"/>
      </w:pPr>
      <w:r w:rsidRPr="00733D7D">
        <w:t xml:space="preserve">Greater transparency and accountability to enable local government </w:t>
      </w:r>
      <w:r w:rsidR="000C6EE0" w:rsidRPr="00733D7D">
        <w:t>to</w:t>
      </w:r>
      <w:r w:rsidRPr="00733D7D">
        <w:t xml:space="preserve"> be more responsive to the </w:t>
      </w:r>
      <w:r w:rsidR="000C6EE0" w:rsidRPr="00733D7D">
        <w:t>needs</w:t>
      </w:r>
      <w:r w:rsidRPr="00733D7D">
        <w:t xml:space="preserve"> o</w:t>
      </w:r>
      <w:r w:rsidR="00596971">
        <w:t>f citizens, especially the poor</w:t>
      </w:r>
    </w:p>
    <w:p w14:paraId="7BD7753F" w14:textId="6E58F905" w:rsidR="00983C78" w:rsidRPr="008F6B31" w:rsidRDefault="00983C78" w:rsidP="0080598D">
      <w:pPr>
        <w:pStyle w:val="BodyText"/>
      </w:pPr>
      <w:r w:rsidRPr="008F6B31">
        <w:t xml:space="preserve">Beyond the basic maintenance and rehabilitation of roads, </w:t>
      </w:r>
      <w:r w:rsidR="003A4ADB">
        <w:t xml:space="preserve">the </w:t>
      </w:r>
      <w:r w:rsidR="003A4ADB" w:rsidRPr="0042232A">
        <w:t>Provincial Road Management Facility</w:t>
      </w:r>
      <w:r w:rsidR="003A4ADB" w:rsidRPr="008F6B31">
        <w:t xml:space="preserve"> </w:t>
      </w:r>
      <w:r w:rsidRPr="008F6B31">
        <w:t xml:space="preserve">has also </w:t>
      </w:r>
      <w:r w:rsidR="003A4ADB">
        <w:t>helped</w:t>
      </w:r>
      <w:r w:rsidRPr="008F6B31">
        <w:t xml:space="preserve"> enhanc</w:t>
      </w:r>
      <w:r w:rsidR="003A4ADB">
        <w:t>e</w:t>
      </w:r>
      <w:r w:rsidRPr="008F6B31">
        <w:t xml:space="preserve"> local government transparency and accountability in these key reform areas</w:t>
      </w:r>
      <w:r w:rsidR="00EC48B0">
        <w:t>:</w:t>
      </w:r>
    </w:p>
    <w:p w14:paraId="13B9EF65" w14:textId="1FD9EAE4" w:rsidR="00983C78" w:rsidRPr="008F6B31" w:rsidRDefault="00EC48B0" w:rsidP="0080598D">
      <w:pPr>
        <w:pStyle w:val="ListBullet"/>
      </w:pPr>
      <w:r>
        <w:t>a</w:t>
      </w:r>
      <w:r w:rsidRPr="008F6B31">
        <w:t xml:space="preserve">ll </w:t>
      </w:r>
      <w:r w:rsidR="00D60E88">
        <w:t xml:space="preserve">10 </w:t>
      </w:r>
      <w:r w:rsidR="00983C78" w:rsidRPr="008F6B31">
        <w:t>provincial governments are spending more of their own funds on maintaining core provincial roads with increased spending averaging over 35 per cent</w:t>
      </w:r>
    </w:p>
    <w:p w14:paraId="5F21B2C2" w14:textId="0F280869" w:rsidR="00983C78" w:rsidRPr="008F6B31" w:rsidRDefault="00EC48B0" w:rsidP="0080598D">
      <w:pPr>
        <w:pStyle w:val="ListBullet"/>
      </w:pPr>
      <w:r>
        <w:t>p</w:t>
      </w:r>
      <w:r w:rsidRPr="008F6B31">
        <w:t xml:space="preserve">rocurement </w:t>
      </w:r>
      <w:r w:rsidR="00983C78" w:rsidRPr="008F6B31">
        <w:t>structures</w:t>
      </w:r>
      <w:r w:rsidR="00D60E88">
        <w:t xml:space="preserve"> and </w:t>
      </w:r>
      <w:r w:rsidR="00983C78" w:rsidRPr="008F6B31">
        <w:t xml:space="preserve">systems have been put in place in all </w:t>
      </w:r>
      <w:r w:rsidR="003A4ADB">
        <w:t>10</w:t>
      </w:r>
      <w:r w:rsidR="003A4ADB" w:rsidRPr="008F6B31">
        <w:t xml:space="preserve"> </w:t>
      </w:r>
      <w:r w:rsidR="00983C78" w:rsidRPr="008F6B31">
        <w:t xml:space="preserve">provinces that comply with Philippine </w:t>
      </w:r>
      <w:r w:rsidR="00D60E88">
        <w:t xml:space="preserve">Government </w:t>
      </w:r>
      <w:r w:rsidR="00983C78" w:rsidRPr="008F6B31">
        <w:t>procurement</w:t>
      </w:r>
      <w:r w:rsidR="00D9185E">
        <w:t xml:space="preserve"> law</w:t>
      </w:r>
    </w:p>
    <w:p w14:paraId="2AD397BE" w14:textId="0DD75800" w:rsidR="00983C78" w:rsidRPr="008F6B31" w:rsidRDefault="00EC48B0" w:rsidP="0080598D">
      <w:pPr>
        <w:pStyle w:val="ListBullet"/>
      </w:pPr>
      <w:r>
        <w:t xml:space="preserve">provinces </w:t>
      </w:r>
      <w:r w:rsidR="008F6E3F">
        <w:t>h</w:t>
      </w:r>
      <w:r w:rsidR="00983C78" w:rsidRPr="008F6B31">
        <w:t>ave developed and implemented multi-year human resource management and development plans to support local road service delivery</w:t>
      </w:r>
      <w:r w:rsidR="00D60E88">
        <w:t>,</w:t>
      </w:r>
      <w:r w:rsidR="007F1DAF">
        <w:t xml:space="preserve"> and </w:t>
      </w:r>
      <w:r w:rsidR="00983C78" w:rsidRPr="008F6B31">
        <w:t>improved the efficiency and accuracy of human resource transaction processing</w:t>
      </w:r>
    </w:p>
    <w:p w14:paraId="127110A5" w14:textId="19579FCA" w:rsidR="00983C78" w:rsidRPr="008F6B31" w:rsidRDefault="00EC48B0" w:rsidP="0080598D">
      <w:pPr>
        <w:pStyle w:val="ListBullet"/>
      </w:pPr>
      <w:proofErr w:type="gramStart"/>
      <w:r>
        <w:t>s</w:t>
      </w:r>
      <w:r w:rsidRPr="008F6B31">
        <w:t>ix</w:t>
      </w:r>
      <w:proofErr w:type="gramEnd"/>
      <w:r w:rsidRPr="008F6B31">
        <w:t xml:space="preserve"> </w:t>
      </w:r>
      <w:r w:rsidR="00983C78" w:rsidRPr="008F6B31">
        <w:t xml:space="preserve">of the seven original </w:t>
      </w:r>
      <w:r w:rsidR="00D60E88">
        <w:t>p</w:t>
      </w:r>
      <w:r w:rsidR="00D60E88" w:rsidRPr="008F6B31">
        <w:t xml:space="preserve">rovinces </w:t>
      </w:r>
      <w:r w:rsidR="00983C78" w:rsidRPr="008F6B31">
        <w:t>have consistently improved local revenue collection, with an average increase of 21 per cent.</w:t>
      </w:r>
      <w:r w:rsidR="00983C78" w:rsidRPr="008F6B31">
        <w:rPr>
          <w:rStyle w:val="FootnoteReference"/>
        </w:rPr>
        <w:footnoteReference w:id="11"/>
      </w:r>
    </w:p>
    <w:p w14:paraId="668BCBBB" w14:textId="2315AB02" w:rsidR="00556FAF" w:rsidRDefault="000C4BDB" w:rsidP="0080598D">
      <w:pPr>
        <w:pStyle w:val="BodyText"/>
      </w:pPr>
      <w:r w:rsidRPr="008F6B31">
        <w:t xml:space="preserve">Challenges with the overall management of the </w:t>
      </w:r>
      <w:r w:rsidR="00D60E88" w:rsidRPr="0042232A">
        <w:t xml:space="preserve">Provincial Road Management Facility </w:t>
      </w:r>
      <w:r w:rsidRPr="008F6B31">
        <w:t xml:space="preserve">have delayed implementation. </w:t>
      </w:r>
      <w:r w:rsidR="00D9185E">
        <w:t xml:space="preserve">The </w:t>
      </w:r>
      <w:r w:rsidR="00D9185E" w:rsidRPr="008F6B31">
        <w:t>rehabilitat</w:t>
      </w:r>
      <w:r w:rsidR="00D9185E">
        <w:t>ion and maintenance of</w:t>
      </w:r>
      <w:r w:rsidR="00D9185E" w:rsidRPr="008F6B31">
        <w:t xml:space="preserve"> r</w:t>
      </w:r>
      <w:r w:rsidR="00D9185E">
        <w:t xml:space="preserve">oads is off track. </w:t>
      </w:r>
      <w:r w:rsidRPr="008F6B31">
        <w:t xml:space="preserve">Following the exit of the previous managing contractor, plans to transition to a new firm were disrupted by corporate developments with the firm. </w:t>
      </w:r>
      <w:r w:rsidR="007F1DAF">
        <w:t>U</w:t>
      </w:r>
      <w:r w:rsidRPr="008F6B31">
        <w:t xml:space="preserve">nder a transitional arrangement, </w:t>
      </w:r>
      <w:r w:rsidR="00A86B79">
        <w:t>the Australian Government</w:t>
      </w:r>
      <w:r w:rsidRPr="008F6B31">
        <w:t xml:space="preserve"> has been directly managing </w:t>
      </w:r>
      <w:r w:rsidR="00D60E88">
        <w:t xml:space="preserve">the </w:t>
      </w:r>
      <w:r w:rsidR="004E6B27">
        <w:t>f</w:t>
      </w:r>
      <w:r w:rsidR="00D60E88" w:rsidRPr="0042232A">
        <w:t xml:space="preserve">acility </w:t>
      </w:r>
      <w:r w:rsidRPr="008F6B31">
        <w:t>since October 2012</w:t>
      </w:r>
      <w:r w:rsidR="00D60E88">
        <w:t xml:space="preserve"> and has </w:t>
      </w:r>
      <w:r w:rsidR="00477F41" w:rsidRPr="00477F41">
        <w:t>a robus</w:t>
      </w:r>
      <w:r w:rsidR="00842BCF">
        <w:t xml:space="preserve">t performance management </w:t>
      </w:r>
      <w:r w:rsidR="007F1DAF">
        <w:t xml:space="preserve">framework </w:t>
      </w:r>
      <w:r w:rsidR="00477F41" w:rsidRPr="00477F41">
        <w:t xml:space="preserve">in place. </w:t>
      </w:r>
      <w:r w:rsidR="003F1A57">
        <w:t xml:space="preserve">Australian </w:t>
      </w:r>
      <w:proofErr w:type="gramStart"/>
      <w:r w:rsidR="003F1A57">
        <w:t xml:space="preserve">Government </w:t>
      </w:r>
      <w:r w:rsidR="00477F41" w:rsidRPr="00477F41">
        <w:t xml:space="preserve"> officers</w:t>
      </w:r>
      <w:proofErr w:type="gramEnd"/>
      <w:r w:rsidR="00477F41" w:rsidRPr="00477F41">
        <w:t xml:space="preserve"> </w:t>
      </w:r>
      <w:r w:rsidR="004E6B27">
        <w:t xml:space="preserve">are </w:t>
      </w:r>
      <w:r w:rsidR="00477F41" w:rsidRPr="00477F41">
        <w:t xml:space="preserve">embedded as </w:t>
      </w:r>
      <w:r w:rsidR="00842BCF">
        <w:t>s</w:t>
      </w:r>
      <w:r w:rsidR="00477F41" w:rsidRPr="00477F41">
        <w:t xml:space="preserve">enior </w:t>
      </w:r>
      <w:r w:rsidR="00D60E88" w:rsidRPr="0042232A">
        <w:t xml:space="preserve">Provincial Road Management Facility </w:t>
      </w:r>
      <w:r w:rsidR="00477F41" w:rsidRPr="00477F41">
        <w:t>management</w:t>
      </w:r>
      <w:r w:rsidR="00D60E88">
        <w:t>––</w:t>
      </w:r>
      <w:r w:rsidR="00477F41" w:rsidRPr="00477F41">
        <w:t xml:space="preserve">led by a </w:t>
      </w:r>
      <w:r w:rsidR="00D60E88">
        <w:t>c</w:t>
      </w:r>
      <w:r w:rsidR="00D60E88" w:rsidRPr="00477F41">
        <w:t xml:space="preserve">ounsellor </w:t>
      </w:r>
      <w:r w:rsidR="000273AE">
        <w:t xml:space="preserve">working as a </w:t>
      </w:r>
      <w:r w:rsidR="00D60E88">
        <w:t>f</w:t>
      </w:r>
      <w:r w:rsidR="00D60E88" w:rsidRPr="00477F41">
        <w:t xml:space="preserve">acility </w:t>
      </w:r>
      <w:r w:rsidR="00D60E88">
        <w:t>d</w:t>
      </w:r>
      <w:r w:rsidR="00D60E88" w:rsidRPr="00477F41">
        <w:t>irector</w:t>
      </w:r>
      <w:r w:rsidR="00D60E88">
        <w:t>––</w:t>
      </w:r>
      <w:r w:rsidR="004E6B27">
        <w:t xml:space="preserve">and </w:t>
      </w:r>
      <w:r w:rsidR="00842BCF">
        <w:t>constantly monitor</w:t>
      </w:r>
      <w:r w:rsidR="00CB1D0A">
        <w:t xml:space="preserve"> program performance</w:t>
      </w:r>
      <w:r w:rsidR="000273AE">
        <w:t>. F</w:t>
      </w:r>
      <w:r w:rsidR="00CB1D0A">
        <w:t xml:space="preserve">urther performance </w:t>
      </w:r>
      <w:r w:rsidR="00842BCF">
        <w:t xml:space="preserve">oversight </w:t>
      </w:r>
      <w:r w:rsidR="000273AE">
        <w:t xml:space="preserve">is </w:t>
      </w:r>
      <w:r w:rsidR="00CB1D0A">
        <w:t xml:space="preserve">provided </w:t>
      </w:r>
      <w:r w:rsidR="00842BCF">
        <w:t xml:space="preserve">by the </w:t>
      </w:r>
      <w:r w:rsidR="00D60E88">
        <w:t>facility’s</w:t>
      </w:r>
      <w:r w:rsidR="00D60E88" w:rsidRPr="00477F41">
        <w:t xml:space="preserve"> </w:t>
      </w:r>
      <w:r w:rsidR="00D60E88">
        <w:t>s</w:t>
      </w:r>
      <w:r w:rsidR="00477F41" w:rsidRPr="00477F41">
        <w:t xml:space="preserve">teering </w:t>
      </w:r>
      <w:r w:rsidR="00D60E88">
        <w:t>c</w:t>
      </w:r>
      <w:r w:rsidR="00477F41" w:rsidRPr="00477F41">
        <w:t xml:space="preserve">ommittee </w:t>
      </w:r>
      <w:r w:rsidR="00D60E88">
        <w:t xml:space="preserve">which is </w:t>
      </w:r>
      <w:r w:rsidR="00842BCF">
        <w:t xml:space="preserve">co-chaired by </w:t>
      </w:r>
      <w:r w:rsidR="003F1A57">
        <w:t>Australian Government</w:t>
      </w:r>
      <w:r w:rsidR="00477F41" w:rsidRPr="00477F41">
        <w:t xml:space="preserve"> and </w:t>
      </w:r>
      <w:r w:rsidR="00D60E88">
        <w:t xml:space="preserve">the </w:t>
      </w:r>
      <w:r w:rsidR="00D60E88" w:rsidRPr="008F6B31">
        <w:t>Department of the Interior and Local Government</w:t>
      </w:r>
      <w:r w:rsidR="00D60E88">
        <w:t>,</w:t>
      </w:r>
      <w:r w:rsidR="00842BCF">
        <w:t xml:space="preserve"> and m</w:t>
      </w:r>
      <w:r w:rsidR="00842BCF" w:rsidRPr="00477F41">
        <w:t xml:space="preserve">onthly </w:t>
      </w:r>
      <w:r w:rsidR="00842BCF">
        <w:t xml:space="preserve">performance </w:t>
      </w:r>
      <w:r w:rsidR="00842BCF" w:rsidRPr="00477F41">
        <w:t xml:space="preserve">reporting to the </w:t>
      </w:r>
      <w:r w:rsidR="003F1A57">
        <w:t xml:space="preserve">Australian Government aid </w:t>
      </w:r>
      <w:proofErr w:type="gramStart"/>
      <w:r w:rsidR="003F1A57">
        <w:t xml:space="preserve">program </w:t>
      </w:r>
      <w:r w:rsidR="00842BCF" w:rsidRPr="00477F41">
        <w:t xml:space="preserve"> </w:t>
      </w:r>
      <w:r w:rsidR="00D60E88">
        <w:t>e</w:t>
      </w:r>
      <w:r w:rsidR="00D60E88" w:rsidRPr="00477F41">
        <w:t>xecutive</w:t>
      </w:r>
      <w:proofErr w:type="gramEnd"/>
      <w:r w:rsidR="00477F41" w:rsidRPr="00477F41">
        <w:t>.</w:t>
      </w:r>
      <w:r w:rsidR="00B364BD">
        <w:t xml:space="preserve"> </w:t>
      </w:r>
      <w:r w:rsidRPr="008F6B31">
        <w:t xml:space="preserve">A public tender process is currently underway to engage a new contractor by August 2013. </w:t>
      </w:r>
    </w:p>
    <w:p w14:paraId="411C99D7" w14:textId="114E3349" w:rsidR="00983C78" w:rsidRPr="008F6B31" w:rsidRDefault="00983C78" w:rsidP="0080598D">
      <w:pPr>
        <w:pStyle w:val="BodyText"/>
      </w:pPr>
      <w:r w:rsidRPr="008F6B31">
        <w:t>An independent review</w:t>
      </w:r>
      <w:r w:rsidRPr="008F6B31">
        <w:rPr>
          <w:rStyle w:val="FootnoteReference"/>
        </w:rPr>
        <w:footnoteReference w:id="12"/>
      </w:r>
      <w:r w:rsidRPr="008F6B31">
        <w:t xml:space="preserve"> carried out in July 2012 affirmed </w:t>
      </w:r>
      <w:r w:rsidR="00D60E88">
        <w:t xml:space="preserve">the </w:t>
      </w:r>
      <w:r w:rsidR="00D60E88" w:rsidRPr="0042232A">
        <w:t>Provincial Road Management Facility</w:t>
      </w:r>
      <w:r w:rsidR="00D60E88">
        <w:t>’s</w:t>
      </w:r>
      <w:r w:rsidR="00D60E88" w:rsidRPr="0042232A">
        <w:t xml:space="preserve"> </w:t>
      </w:r>
      <w:r w:rsidRPr="008F6B31">
        <w:t xml:space="preserve">relevance and alignment with the </w:t>
      </w:r>
      <w:r w:rsidR="000273AE">
        <w:t>Philippine</w:t>
      </w:r>
      <w:r w:rsidR="000273AE" w:rsidRPr="008F6B31">
        <w:t xml:space="preserve"> </w:t>
      </w:r>
      <w:r w:rsidR="000273AE">
        <w:t>G</w:t>
      </w:r>
      <w:r w:rsidRPr="008F6B31">
        <w:t>overnment’s reform agenda</w:t>
      </w:r>
      <w:r w:rsidR="00D60E88">
        <w:t>,</w:t>
      </w:r>
      <w:r w:rsidRPr="008F6B31">
        <w:t xml:space="preserve"> but recommended changes to </w:t>
      </w:r>
      <w:r w:rsidR="004E6B27">
        <w:t>its</w:t>
      </w:r>
      <w:r w:rsidR="004E6B27" w:rsidRPr="008F6B31">
        <w:t xml:space="preserve"> </w:t>
      </w:r>
      <w:r w:rsidRPr="008F6B31">
        <w:t xml:space="preserve">implementation to </w:t>
      </w:r>
      <w:r w:rsidR="00217EFC">
        <w:t>improve</w:t>
      </w:r>
      <w:r w:rsidRPr="008F6B31">
        <w:t xml:space="preserve"> </w:t>
      </w:r>
      <w:r w:rsidR="000C6EE0" w:rsidRPr="008F6B31">
        <w:t>effectiv</w:t>
      </w:r>
      <w:r w:rsidR="000C6EE0">
        <w:t>eness</w:t>
      </w:r>
      <w:r w:rsidRPr="008F6B31">
        <w:t xml:space="preserve"> and sustainab</w:t>
      </w:r>
      <w:r w:rsidR="00217EFC">
        <w:t>ility</w:t>
      </w:r>
      <w:r w:rsidRPr="008F6B31">
        <w:t xml:space="preserve">. </w:t>
      </w:r>
      <w:r w:rsidR="00513058">
        <w:t>Response to the findings of the review</w:t>
      </w:r>
      <w:r w:rsidRPr="008F6B31">
        <w:t xml:space="preserve"> resulted in </w:t>
      </w:r>
      <w:r w:rsidR="00D60E88">
        <w:t>greater</w:t>
      </w:r>
      <w:r w:rsidRPr="008F6B31">
        <w:t xml:space="preserve"> efforts </w:t>
      </w:r>
      <w:r w:rsidR="00513058">
        <w:t xml:space="preserve">by </w:t>
      </w:r>
      <w:r w:rsidR="00D60E88">
        <w:t xml:space="preserve">the </w:t>
      </w:r>
      <w:r w:rsidR="00D60E88" w:rsidRPr="008F6B31">
        <w:t>Department of the Interior and Local Government</w:t>
      </w:r>
      <w:r w:rsidR="00D60E88">
        <w:t xml:space="preserve"> </w:t>
      </w:r>
      <w:r w:rsidRPr="008F6B31">
        <w:t xml:space="preserve">to assume </w:t>
      </w:r>
      <w:r w:rsidR="00F02B08">
        <w:t>more</w:t>
      </w:r>
      <w:r w:rsidRPr="008F6B31">
        <w:t xml:space="preserve"> responsibility for leading the initiative. </w:t>
      </w:r>
      <w:r w:rsidR="00513058">
        <w:t xml:space="preserve">As a result </w:t>
      </w:r>
      <w:r w:rsidR="00D60E88">
        <w:t xml:space="preserve">the department </w:t>
      </w:r>
      <w:r w:rsidR="00513058">
        <w:t xml:space="preserve">is now </w:t>
      </w:r>
      <w:r w:rsidRPr="008F6B31">
        <w:t xml:space="preserve">the procuring entity. Under </w:t>
      </w:r>
      <w:r w:rsidR="00217EFC">
        <w:t>the</w:t>
      </w:r>
      <w:r w:rsidRPr="008F6B31">
        <w:t xml:space="preserve"> new management model, </w:t>
      </w:r>
      <w:r w:rsidR="00A86B79">
        <w:t>DFAT</w:t>
      </w:r>
      <w:r w:rsidRPr="008F6B31">
        <w:t xml:space="preserve"> </w:t>
      </w:r>
      <w:r w:rsidRPr="008F6B31">
        <w:lastRenderedPageBreak/>
        <w:t xml:space="preserve">and </w:t>
      </w:r>
      <w:r w:rsidR="00D60E88">
        <w:t xml:space="preserve">the </w:t>
      </w:r>
      <w:r w:rsidR="00D60E88" w:rsidRPr="008F6B31">
        <w:t>Department of t</w:t>
      </w:r>
      <w:r w:rsidR="00D60E88">
        <w:t>he Interior and Local Government</w:t>
      </w:r>
      <w:r w:rsidR="00D60E88" w:rsidRPr="008F6B31">
        <w:t xml:space="preserve"> </w:t>
      </w:r>
      <w:r w:rsidRPr="008F6B31">
        <w:t xml:space="preserve">will work in partnership to direct </w:t>
      </w:r>
      <w:r w:rsidR="00D60E88">
        <w:t>the facility’s</w:t>
      </w:r>
      <w:r w:rsidR="00D60E88" w:rsidRPr="008F6B31">
        <w:t xml:space="preserve"> </w:t>
      </w:r>
      <w:r w:rsidRPr="008F6B31">
        <w:t xml:space="preserve">strategy and operations through a Facility Management Group. </w:t>
      </w:r>
    </w:p>
    <w:p w14:paraId="2539F363" w14:textId="06BBAF55" w:rsidR="00983C78" w:rsidRPr="008F6B31" w:rsidRDefault="00983C78" w:rsidP="0080598D">
      <w:pPr>
        <w:pStyle w:val="BodyText"/>
      </w:pPr>
      <w:r w:rsidRPr="008F6B31">
        <w:t xml:space="preserve">In the next year, </w:t>
      </w:r>
      <w:r w:rsidR="00D60E88">
        <w:t>the department</w:t>
      </w:r>
      <w:r w:rsidR="00D60E88" w:rsidRPr="008F6B31">
        <w:t xml:space="preserve"> </w:t>
      </w:r>
      <w:r w:rsidRPr="008F6B31">
        <w:t xml:space="preserve">will seek funding to </w:t>
      </w:r>
      <w:r w:rsidR="00217EFC">
        <w:t xml:space="preserve">launch </w:t>
      </w:r>
      <w:r w:rsidRPr="008F6B31">
        <w:t xml:space="preserve">a national program for local roads management modelled on </w:t>
      </w:r>
      <w:r w:rsidR="00D60E88">
        <w:t xml:space="preserve">the </w:t>
      </w:r>
      <w:r w:rsidR="00D60E88" w:rsidRPr="0042232A">
        <w:t>Provincial Road Management Facility</w:t>
      </w:r>
      <w:r w:rsidRPr="008F6B31">
        <w:t>.</w:t>
      </w:r>
    </w:p>
    <w:p w14:paraId="01469138" w14:textId="77777777" w:rsidR="00265EEC" w:rsidRPr="00733D7D" w:rsidRDefault="00265EEC" w:rsidP="0080598D">
      <w:pPr>
        <w:pStyle w:val="Heading3"/>
      </w:pPr>
      <w:r w:rsidRPr="00733D7D">
        <w:t>Enhancing local governance</w:t>
      </w:r>
    </w:p>
    <w:p w14:paraId="0B3DC918" w14:textId="45026472" w:rsidR="009D02EC" w:rsidRPr="008F6B31" w:rsidRDefault="009D02EC" w:rsidP="0080598D">
      <w:pPr>
        <w:pStyle w:val="BodyText"/>
      </w:pPr>
      <w:r>
        <w:t xml:space="preserve">We are supporting </w:t>
      </w:r>
      <w:r w:rsidR="00D60E88">
        <w:t xml:space="preserve">the </w:t>
      </w:r>
      <w:r w:rsidR="00D60E88" w:rsidRPr="008F6B31">
        <w:t>Department of t</w:t>
      </w:r>
      <w:r w:rsidR="00D60E88">
        <w:t>he Interior and Local Government’s</w:t>
      </w:r>
      <w:r w:rsidR="00D60E88" w:rsidRPr="008F6B31">
        <w:t xml:space="preserve"> </w:t>
      </w:r>
      <w:r>
        <w:t xml:space="preserve">program to improve the performance of local governments through a </w:t>
      </w:r>
      <w:r w:rsidRPr="008F6B31">
        <w:t>performance and incentives facility</w:t>
      </w:r>
      <w:r w:rsidR="00CB77AB">
        <w:t xml:space="preserve"> </w:t>
      </w:r>
      <w:r>
        <w:t xml:space="preserve">that is planned </w:t>
      </w:r>
      <w:r w:rsidRPr="008F6B31">
        <w:t>to begin in 2013</w:t>
      </w:r>
      <w:r w:rsidR="00D60E88">
        <w:t>–</w:t>
      </w:r>
      <w:r w:rsidRPr="008F6B31">
        <w:t>14</w:t>
      </w:r>
      <w:r>
        <w:t>.</w:t>
      </w:r>
      <w:r w:rsidR="006F273A">
        <w:t xml:space="preserve"> This </w:t>
      </w:r>
      <w:r w:rsidR="00217EFC">
        <w:t>support involves</w:t>
      </w:r>
      <w:r w:rsidR="006F273A">
        <w:t xml:space="preserve"> technical assistance and capacity development </w:t>
      </w:r>
      <w:r w:rsidR="00217EFC">
        <w:t>to</w:t>
      </w:r>
      <w:r w:rsidR="006F273A">
        <w:t xml:space="preserve"> </w:t>
      </w:r>
      <w:r w:rsidR="00D60E88">
        <w:t>help</w:t>
      </w:r>
      <w:r w:rsidR="001D7BD6">
        <w:t xml:space="preserve"> expand </w:t>
      </w:r>
      <w:r w:rsidR="00D60E88">
        <w:t xml:space="preserve">its </w:t>
      </w:r>
      <w:r w:rsidR="001D7BD6">
        <w:t xml:space="preserve">successful </w:t>
      </w:r>
      <w:r w:rsidR="00514819">
        <w:t xml:space="preserve">Seal of Good Housekeeping </w:t>
      </w:r>
      <w:r w:rsidR="001D7BD6">
        <w:t xml:space="preserve">local governance transparency and accountability </w:t>
      </w:r>
      <w:r w:rsidR="00B53E37">
        <w:t>program</w:t>
      </w:r>
      <w:r w:rsidR="001D7BD6">
        <w:t>.</w:t>
      </w:r>
      <w:r w:rsidR="00855402">
        <w:t xml:space="preserve"> </w:t>
      </w:r>
      <w:r w:rsidR="001D7BD6">
        <w:t xml:space="preserve">It will also inform policy decisions in relation to the Performance Challenge incentive fund (tied to the </w:t>
      </w:r>
      <w:r w:rsidR="00D60E88">
        <w:t>seal</w:t>
      </w:r>
      <w:r w:rsidR="001D7BD6">
        <w:t xml:space="preserve">) and other unaligned incentive mechanisms in </w:t>
      </w:r>
      <w:r w:rsidR="00D60E88">
        <w:t xml:space="preserve">the department </w:t>
      </w:r>
      <w:r w:rsidR="001D7BD6">
        <w:t>and in other government agencies.</w:t>
      </w:r>
    </w:p>
    <w:p w14:paraId="2ABC6051" w14:textId="5A216D2E" w:rsidR="00D60E88" w:rsidRDefault="007239B7" w:rsidP="0080598D">
      <w:pPr>
        <w:pStyle w:val="BodyText"/>
      </w:pPr>
      <w:r>
        <w:t xml:space="preserve">Australia </w:t>
      </w:r>
      <w:r w:rsidR="000C6EE0">
        <w:t>is</w:t>
      </w:r>
      <w:r w:rsidR="000C6EE0" w:rsidRPr="008F6B31">
        <w:t xml:space="preserve"> also</w:t>
      </w:r>
      <w:r w:rsidR="009D02EC" w:rsidRPr="008F6B31">
        <w:t xml:space="preserve"> </w:t>
      </w:r>
      <w:r w:rsidR="00D60E88">
        <w:t>helping</w:t>
      </w:r>
      <w:r w:rsidR="00D60E88" w:rsidRPr="008F6B31">
        <w:t xml:space="preserve"> </w:t>
      </w:r>
      <w:r w:rsidR="009D02EC" w:rsidRPr="008F6B31">
        <w:t>to design and implement</w:t>
      </w:r>
      <w:r w:rsidR="00D60E88">
        <w:t xml:space="preserve"> </w:t>
      </w:r>
      <w:r w:rsidR="009D02EC" w:rsidRPr="008F6B31">
        <w:t xml:space="preserve">the National Community Driven Development Program, a $2 billion </w:t>
      </w:r>
      <w:r w:rsidR="00D60E88">
        <w:t>initiative</w:t>
      </w:r>
      <w:r w:rsidR="00D60E88" w:rsidRPr="008F6B31">
        <w:t xml:space="preserve"> </w:t>
      </w:r>
      <w:r w:rsidR="009D02EC" w:rsidRPr="008F6B31">
        <w:t xml:space="preserve">implemented by </w:t>
      </w:r>
      <w:r w:rsidR="00D60E88">
        <w:t>the Department</w:t>
      </w:r>
      <w:r w:rsidR="00D60E88" w:rsidRPr="00810801">
        <w:t xml:space="preserve"> of Social Welfare and Development</w:t>
      </w:r>
      <w:r w:rsidR="00D60E88" w:rsidRPr="008F6B31">
        <w:t xml:space="preserve"> </w:t>
      </w:r>
      <w:r w:rsidR="009D02EC" w:rsidRPr="008F6B31">
        <w:t xml:space="preserve">in </w:t>
      </w:r>
      <w:r w:rsidR="00D91938">
        <w:t xml:space="preserve">cooperation </w:t>
      </w:r>
      <w:r w:rsidR="009D02EC" w:rsidRPr="008F6B31">
        <w:t xml:space="preserve">with </w:t>
      </w:r>
      <w:r w:rsidR="00D60E88">
        <w:t xml:space="preserve">the </w:t>
      </w:r>
      <w:r w:rsidR="00D60E88" w:rsidRPr="008F6B31">
        <w:t>Department of the Interior and Local Government</w:t>
      </w:r>
      <w:r w:rsidR="00D60E88">
        <w:t>,</w:t>
      </w:r>
      <w:r w:rsidR="00D60E88" w:rsidRPr="008F6B31">
        <w:t xml:space="preserve"> </w:t>
      </w:r>
      <w:r w:rsidR="009D02EC" w:rsidRPr="008F6B31">
        <w:t xml:space="preserve">and jointly funded by the </w:t>
      </w:r>
      <w:r w:rsidR="00786411">
        <w:t>A</w:t>
      </w:r>
      <w:r w:rsidR="00D60E88">
        <w:t xml:space="preserve">sian </w:t>
      </w:r>
      <w:r w:rsidR="00786411">
        <w:t>D</w:t>
      </w:r>
      <w:r w:rsidR="00D60E88">
        <w:t xml:space="preserve">evelopment </w:t>
      </w:r>
      <w:r w:rsidR="00786411">
        <w:t>B</w:t>
      </w:r>
      <w:r w:rsidR="00D60E88">
        <w:t>ank</w:t>
      </w:r>
      <w:r w:rsidR="009D02EC" w:rsidRPr="008F6B31">
        <w:t xml:space="preserve"> and World Bank. The program seeks to empower communities in targeted poor municipalities to improve access to services</w:t>
      </w:r>
      <w:r w:rsidR="00B53E37">
        <w:t>, including education</w:t>
      </w:r>
      <w:r w:rsidR="00514336">
        <w:t xml:space="preserve">, </w:t>
      </w:r>
      <w:r w:rsidR="00514336" w:rsidRPr="008F6B31">
        <w:t>and</w:t>
      </w:r>
      <w:r w:rsidR="009D02EC" w:rsidRPr="008F6B31">
        <w:t xml:space="preserve"> participate in more inclusive local planning, budgeting and implementation. </w:t>
      </w:r>
    </w:p>
    <w:p w14:paraId="5C585697" w14:textId="5BC38543" w:rsidR="00983C78" w:rsidRPr="008F6B31" w:rsidRDefault="007239B7" w:rsidP="0080598D">
      <w:pPr>
        <w:pStyle w:val="BodyText"/>
      </w:pPr>
      <w:r>
        <w:t>Australia is</w:t>
      </w:r>
      <w:r w:rsidR="00D91938">
        <w:t xml:space="preserve"> also </w:t>
      </w:r>
      <w:r w:rsidR="00983C78" w:rsidRPr="008F6B31">
        <w:t xml:space="preserve">supporting </w:t>
      </w:r>
      <w:r w:rsidR="00D60E88">
        <w:t xml:space="preserve">the </w:t>
      </w:r>
      <w:r w:rsidR="00D60E88" w:rsidRPr="008F6B31">
        <w:t>Department of the Interior and Local Government</w:t>
      </w:r>
      <w:r w:rsidR="00D91938">
        <w:t>’s</w:t>
      </w:r>
      <w:r w:rsidR="00983C78" w:rsidRPr="008F6B31">
        <w:t xml:space="preserve"> new Empowerment Fund for Participatory Governance</w:t>
      </w:r>
      <w:r w:rsidR="00D60E88">
        <w:t>. This</w:t>
      </w:r>
      <w:r w:rsidR="00983C78" w:rsidRPr="008F6B31">
        <w:t xml:space="preserve"> </w:t>
      </w:r>
      <w:r w:rsidR="00D91938" w:rsidRPr="008F6B31">
        <w:t>provide</w:t>
      </w:r>
      <w:r w:rsidR="00D60E88">
        <w:t>s</w:t>
      </w:r>
      <w:r w:rsidR="00D91938" w:rsidRPr="008F6B31">
        <w:t xml:space="preserve"> small grants to </w:t>
      </w:r>
      <w:r w:rsidR="00D60E88">
        <w:t>civil society organisations</w:t>
      </w:r>
      <w:r w:rsidR="00D60E88" w:rsidRPr="008F6B31">
        <w:t xml:space="preserve"> </w:t>
      </w:r>
      <w:r w:rsidR="00D91938" w:rsidRPr="008F6B31">
        <w:t xml:space="preserve">for capacity building and community organising </w:t>
      </w:r>
      <w:r w:rsidR="000D0F1A">
        <w:t>to</w:t>
      </w:r>
      <w:r w:rsidR="00D91938" w:rsidRPr="008F6B31">
        <w:t xml:space="preserve"> empower citizens to more effectively engage in participatory governance processes</w:t>
      </w:r>
      <w:r w:rsidR="00983C78" w:rsidRPr="008F6B31">
        <w:t xml:space="preserve">. </w:t>
      </w:r>
      <w:r w:rsidR="00D91938">
        <w:t xml:space="preserve">At the </w:t>
      </w:r>
      <w:r w:rsidR="000D0F1A">
        <w:t xml:space="preserve">department’s </w:t>
      </w:r>
      <w:r w:rsidR="00D91938">
        <w:t xml:space="preserve">request, </w:t>
      </w:r>
      <w:r w:rsidR="00983C78" w:rsidRPr="008F6B31">
        <w:t xml:space="preserve">Australia helped coordinate interested parties in the </w:t>
      </w:r>
      <w:r w:rsidR="00D91938">
        <w:t xml:space="preserve">initial </w:t>
      </w:r>
      <w:r w:rsidR="00983C78" w:rsidRPr="008F6B31">
        <w:t>design and draft the program guid</w:t>
      </w:r>
      <w:r w:rsidR="00D91938">
        <w:t>elines</w:t>
      </w:r>
      <w:r w:rsidR="00983C78" w:rsidRPr="008F6B31">
        <w:t xml:space="preserve">. </w:t>
      </w:r>
    </w:p>
    <w:p w14:paraId="43FEBF07" w14:textId="6DDEC5A5" w:rsidR="00983C78" w:rsidRPr="008F6B31" w:rsidRDefault="009D02EC" w:rsidP="0080598D">
      <w:pPr>
        <w:pStyle w:val="BodyText"/>
      </w:pPr>
      <w:r>
        <w:t xml:space="preserve">Completion of the </w:t>
      </w:r>
      <w:r w:rsidR="001A7794">
        <w:rPr>
          <w:i/>
        </w:rPr>
        <w:t>Sub-</w:t>
      </w:r>
      <w:r w:rsidR="000D0F1A">
        <w:rPr>
          <w:i/>
        </w:rPr>
        <w:t>national</w:t>
      </w:r>
      <w:r w:rsidR="000D0F1A" w:rsidRPr="0073281D">
        <w:rPr>
          <w:i/>
        </w:rPr>
        <w:t xml:space="preserve"> </w:t>
      </w:r>
      <w:r w:rsidR="000D0F1A" w:rsidRPr="00CB77AB">
        <w:rPr>
          <w:i/>
        </w:rPr>
        <w:t>governance delivery strategy</w:t>
      </w:r>
      <w:r w:rsidR="00D91938">
        <w:t>—</w:t>
      </w:r>
      <w:r w:rsidR="006B088B">
        <w:t xml:space="preserve">which was not </w:t>
      </w:r>
      <w:r w:rsidR="000D0F1A">
        <w:t xml:space="preserve">undertaken </w:t>
      </w:r>
      <w:r w:rsidR="006B088B">
        <w:t>during 2012</w:t>
      </w:r>
      <w:r w:rsidR="001A7794">
        <w:t>–</w:t>
      </w:r>
      <w:r w:rsidR="000D23DB">
        <w:t>13 due</w:t>
      </w:r>
      <w:r w:rsidR="006B088B">
        <w:t xml:space="preserve"> to the significant </w:t>
      </w:r>
      <w:r w:rsidR="00D91938">
        <w:t xml:space="preserve">managerial </w:t>
      </w:r>
      <w:r w:rsidR="006B088B">
        <w:t xml:space="preserve">requirements </w:t>
      </w:r>
      <w:r w:rsidR="00D91938">
        <w:t xml:space="preserve">of </w:t>
      </w:r>
      <w:r w:rsidR="000D0F1A" w:rsidRPr="0042232A">
        <w:t>Prov</w:t>
      </w:r>
      <w:r w:rsidR="000D0F1A">
        <w:t>incial Road Management Facility</w:t>
      </w:r>
      <w:r w:rsidR="00D91938">
        <w:t>—</w:t>
      </w:r>
      <w:r>
        <w:t xml:space="preserve">will be a priority for </w:t>
      </w:r>
      <w:r w:rsidR="006B088B">
        <w:t xml:space="preserve">the year ahead. </w:t>
      </w:r>
    </w:p>
    <w:p w14:paraId="1EF33B5F" w14:textId="77777777" w:rsidR="00806A06" w:rsidRPr="0080598D" w:rsidRDefault="00806A06" w:rsidP="0080598D">
      <w:pPr>
        <w:pStyle w:val="Heading2"/>
      </w:pPr>
      <w:r w:rsidRPr="0080598D">
        <w:t>Objective 3: Strengthened climate change adaptation and disaster risk management</w:t>
      </w:r>
    </w:p>
    <w:p w14:paraId="74397E74" w14:textId="16514753" w:rsidR="001511F0" w:rsidRPr="00CB77AB" w:rsidRDefault="001511F0" w:rsidP="0080598D">
      <w:pPr>
        <w:pStyle w:val="BodyText"/>
      </w:pPr>
      <w:r w:rsidRPr="00CB77AB">
        <w:t xml:space="preserve">Progress against objective 3 has been rated </w:t>
      </w:r>
      <w:r w:rsidR="00070254">
        <w:t>g</w:t>
      </w:r>
      <w:r w:rsidRPr="00CB77AB">
        <w:t xml:space="preserve">reen. During the review period, progress has been made in strengthening climate change adaptation, disaster preparedness and disaster risk management in the Philippines. The effective </w:t>
      </w:r>
      <w:r w:rsidR="000D0F1A">
        <w:t>g</w:t>
      </w:r>
      <w:r w:rsidR="000D0F1A" w:rsidRPr="00CB77AB">
        <w:t>overnment</w:t>
      </w:r>
      <w:r w:rsidRPr="00CB77AB">
        <w:t xml:space="preserve">-led response to Typhoon </w:t>
      </w:r>
      <w:proofErr w:type="spellStart"/>
      <w:r w:rsidRPr="00CB77AB">
        <w:t>Bopha</w:t>
      </w:r>
      <w:proofErr w:type="spellEnd"/>
      <w:r w:rsidRPr="00CB77AB">
        <w:t xml:space="preserve"> and collaborative policy work on resettlement of informal settlers in flood-prone urban areas demonstrate gains made in preparedness, planning and disaster response since Typhoon </w:t>
      </w:r>
      <w:proofErr w:type="spellStart"/>
      <w:r w:rsidRPr="00CB77AB">
        <w:t>Washi</w:t>
      </w:r>
      <w:proofErr w:type="spellEnd"/>
      <w:r w:rsidRPr="00CB77AB">
        <w:t xml:space="preserve"> in 2011. </w:t>
      </w:r>
    </w:p>
    <w:p w14:paraId="5CB52B44" w14:textId="472A02B5" w:rsidR="006F273A" w:rsidRPr="002E031E" w:rsidRDefault="006F273A" w:rsidP="0080598D">
      <w:pPr>
        <w:pStyle w:val="BodyText"/>
      </w:pPr>
      <w:r w:rsidRPr="002E031E">
        <w:t xml:space="preserve">The Philippines is the third most vulnerable country globally to natural disasters and one of the top </w:t>
      </w:r>
      <w:r w:rsidR="00786411">
        <w:t>10</w:t>
      </w:r>
      <w:r w:rsidR="00786411" w:rsidRPr="002E031E">
        <w:t xml:space="preserve"> </w:t>
      </w:r>
      <w:r w:rsidRPr="002E031E">
        <w:t>at-risk o</w:t>
      </w:r>
      <w:r w:rsidR="00B53E37">
        <w:t>f</w:t>
      </w:r>
      <w:r w:rsidRPr="002E031E">
        <w:t xml:space="preserve"> climate change. Unplanned and unregulated urbanisation exacerbates the problem with the Philippines ranked as the fastest urbani</w:t>
      </w:r>
      <w:r w:rsidR="007239B7">
        <w:t>s</w:t>
      </w:r>
      <w:r w:rsidRPr="002E031E">
        <w:t xml:space="preserve">ing country in the region. Australia has a long-standing commitment to assist the government and communities reduce the vulnerabilities of Filipinos who are adversely affected by natural disasters. </w:t>
      </w:r>
    </w:p>
    <w:p w14:paraId="2D49A4C0" w14:textId="2805C379" w:rsidR="006F273A" w:rsidRPr="002E031E" w:rsidRDefault="006F273A" w:rsidP="0080598D">
      <w:pPr>
        <w:pStyle w:val="BodyText"/>
      </w:pPr>
      <w:r w:rsidRPr="002E031E">
        <w:t xml:space="preserve">In 2013, this commitment was further defined </w:t>
      </w:r>
      <w:r w:rsidR="00A6795E">
        <w:t>in</w:t>
      </w:r>
      <w:r w:rsidRPr="002E031E">
        <w:t xml:space="preserve"> </w:t>
      </w:r>
      <w:r w:rsidRPr="002E031E">
        <w:rPr>
          <w:i/>
        </w:rPr>
        <w:t xml:space="preserve">The Road to </w:t>
      </w:r>
      <w:r w:rsidR="000D0F1A" w:rsidRPr="002E031E">
        <w:rPr>
          <w:i/>
        </w:rPr>
        <w:t>urban r</w:t>
      </w:r>
      <w:r w:rsidRPr="002E031E">
        <w:rPr>
          <w:i/>
        </w:rPr>
        <w:t xml:space="preserve">esilience: Australia’s </w:t>
      </w:r>
      <w:r w:rsidR="000D0F1A" w:rsidRPr="002E031E">
        <w:rPr>
          <w:i/>
        </w:rPr>
        <w:t xml:space="preserve">delivery strategy for disaster risk reduction and climate change adaptation </w:t>
      </w:r>
      <w:r w:rsidRPr="002E031E">
        <w:rPr>
          <w:i/>
        </w:rPr>
        <w:t>in the Philippines</w:t>
      </w:r>
      <w:r w:rsidRPr="002E031E">
        <w:t>. The programs in place to support this strategy are expected to achieve two outcomes</w:t>
      </w:r>
      <w:r w:rsidR="00070254">
        <w:t xml:space="preserve">. </w:t>
      </w:r>
      <w:r w:rsidRPr="00070254">
        <w:t xml:space="preserve">First, </w:t>
      </w:r>
      <w:proofErr w:type="gramStart"/>
      <w:r w:rsidR="00F60DD3">
        <w:t xml:space="preserve">that </w:t>
      </w:r>
      <w:r w:rsidRPr="00070254">
        <w:t xml:space="preserve">local </w:t>
      </w:r>
      <w:r w:rsidRPr="002E031E">
        <w:t>governments</w:t>
      </w:r>
      <w:proofErr w:type="gramEnd"/>
      <w:r w:rsidRPr="00070254">
        <w:t>, working with stakeholders</w:t>
      </w:r>
      <w:r w:rsidR="00F60DD3">
        <w:t>,</w:t>
      </w:r>
      <w:r w:rsidRPr="00070254">
        <w:t xml:space="preserve"> collaboratively plan and implement disaster risk reduction and climate change strategies.</w:t>
      </w:r>
      <w:r w:rsidR="00855402" w:rsidRPr="00070254">
        <w:t xml:space="preserve"> </w:t>
      </w:r>
      <w:r w:rsidRPr="00070254">
        <w:t xml:space="preserve">Second, that </w:t>
      </w:r>
      <w:r w:rsidRPr="002E031E">
        <w:t>national</w:t>
      </w:r>
      <w:r w:rsidRPr="00070254">
        <w:t xml:space="preserve"> government provid</w:t>
      </w:r>
      <w:r w:rsidR="00F60DD3">
        <w:t xml:space="preserve">es </w:t>
      </w:r>
      <w:r w:rsidRPr="00070254">
        <w:t xml:space="preserve">strategic leadership and guidance to enable local </w:t>
      </w:r>
      <w:r w:rsidRPr="002E031E">
        <w:t>governments</w:t>
      </w:r>
      <w:r w:rsidRPr="00070254">
        <w:t xml:space="preserve"> to implement </w:t>
      </w:r>
      <w:r w:rsidR="000D0F1A">
        <w:t xml:space="preserve">disaster risk reduction </w:t>
      </w:r>
      <w:r w:rsidRPr="00070254">
        <w:t>action on the ground.</w:t>
      </w:r>
      <w:r w:rsidR="00855402" w:rsidRPr="00070254">
        <w:t xml:space="preserve"> </w:t>
      </w:r>
      <w:r w:rsidR="007239B7">
        <w:t>Australia</w:t>
      </w:r>
      <w:r w:rsidRPr="002E031E">
        <w:t xml:space="preserve"> will achieve these outcomes by assisting the </w:t>
      </w:r>
      <w:r w:rsidRPr="002E031E">
        <w:lastRenderedPageBreak/>
        <w:t xml:space="preserve">Philippines </w:t>
      </w:r>
      <w:r w:rsidR="00F60DD3">
        <w:t xml:space="preserve">to </w:t>
      </w:r>
      <w:r w:rsidRPr="002E031E">
        <w:t>develop and implement hazard and risk maps, community</w:t>
      </w:r>
      <w:r w:rsidR="00F02B08">
        <w:t>-</w:t>
      </w:r>
      <w:r w:rsidRPr="002E031E">
        <w:t xml:space="preserve">based disaster risk management and land use planning, and inform and guide the construction of safer settlements. </w:t>
      </w:r>
    </w:p>
    <w:p w14:paraId="7D421371" w14:textId="103C54BA" w:rsidR="006F273A" w:rsidRPr="002E031E" w:rsidRDefault="000C6EE0" w:rsidP="0080598D">
      <w:pPr>
        <w:pStyle w:val="BodyText"/>
      </w:pPr>
      <w:r w:rsidRPr="002E031E">
        <w:t>The theory</w:t>
      </w:r>
      <w:r w:rsidR="006F273A" w:rsidRPr="002E031E">
        <w:t xml:space="preserve"> of change assumes that local governments are best placed to put policy into practice.</w:t>
      </w:r>
      <w:r w:rsidR="00855402">
        <w:t xml:space="preserve"> </w:t>
      </w:r>
      <w:r w:rsidRPr="002E031E">
        <w:t xml:space="preserve">Australia’s grant funds will be used to experiment, modify and test better practice </w:t>
      </w:r>
      <w:r w:rsidR="000D0F1A">
        <w:t xml:space="preserve">disaster risk reduction </w:t>
      </w:r>
      <w:r w:rsidRPr="002E031E">
        <w:t>models.</w:t>
      </w:r>
      <w:r>
        <w:t xml:space="preserve"> </w:t>
      </w:r>
      <w:r w:rsidR="006F273A" w:rsidRPr="002E031E">
        <w:t>Subject to successful demonstration, the challenge becomes convincing other local government units to adopt the model, and for national government to adopt this as a performance measure of local governments.</w:t>
      </w:r>
    </w:p>
    <w:p w14:paraId="6AF0D101" w14:textId="623DD3D0" w:rsidR="006F273A" w:rsidRPr="002E031E" w:rsidRDefault="006F273A" w:rsidP="0080598D">
      <w:pPr>
        <w:pStyle w:val="BodyText"/>
      </w:pPr>
      <w:r w:rsidRPr="002E031E">
        <w:t xml:space="preserve">As part of this strategy, Australia is implementing the Building Resilience and Awareness of Metro Manila Communities </w:t>
      </w:r>
      <w:proofErr w:type="gramStart"/>
      <w:r w:rsidRPr="002E031E">
        <w:t>Against</w:t>
      </w:r>
      <w:proofErr w:type="gramEnd"/>
      <w:r w:rsidRPr="002E031E">
        <w:t xml:space="preserve"> the Impacts of Natural Disasters and Climate Change (BRACE) pilot program. </w:t>
      </w:r>
      <w:r w:rsidR="000D0F1A">
        <w:t>Its</w:t>
      </w:r>
      <w:r w:rsidR="000D0F1A" w:rsidRPr="002E031E">
        <w:t xml:space="preserve"> </w:t>
      </w:r>
      <w:r w:rsidRPr="002E031E">
        <w:t xml:space="preserve">aim is to promote greater urban resilience to disasters and climate change, and test local models for safer settlements to inform national policy and funding. BRACE includes activities with partners at the national and local levels, particularly </w:t>
      </w:r>
      <w:proofErr w:type="spellStart"/>
      <w:r w:rsidRPr="002E031E">
        <w:t>Taguig</w:t>
      </w:r>
      <w:proofErr w:type="spellEnd"/>
      <w:r w:rsidRPr="002E031E">
        <w:t xml:space="preserve"> City</w:t>
      </w:r>
      <w:r w:rsidR="00FF4330">
        <w:t xml:space="preserve"> in Metro Manila</w:t>
      </w:r>
      <w:r w:rsidRPr="002E031E">
        <w:t>. The program has four interrelated components</w:t>
      </w:r>
      <w:r w:rsidR="008C6086">
        <w:t>:</w:t>
      </w:r>
      <w:r w:rsidRPr="002E031E">
        <w:t xml:space="preserve"> risk analysis, community based disaster risk management, risk sensitive land use planning and building safer settlements. </w:t>
      </w:r>
    </w:p>
    <w:p w14:paraId="338F166A" w14:textId="7BD8F950" w:rsidR="006F273A" w:rsidRPr="002E031E" w:rsidRDefault="006F273A" w:rsidP="0080598D">
      <w:pPr>
        <w:pStyle w:val="BodyText"/>
      </w:pPr>
      <w:r w:rsidRPr="002E031E">
        <w:t xml:space="preserve">During the period of this </w:t>
      </w:r>
      <w:r w:rsidR="000D0F1A">
        <w:t>report</w:t>
      </w:r>
      <w:r w:rsidRPr="002E031E">
        <w:t>, Australia beg</w:t>
      </w:r>
      <w:r w:rsidR="000D0F1A">
        <w:t>a</w:t>
      </w:r>
      <w:r w:rsidRPr="002E031E">
        <w:t xml:space="preserve">n implementing the first three of the four </w:t>
      </w:r>
      <w:r w:rsidR="000D0F1A" w:rsidRPr="002E031E">
        <w:t xml:space="preserve">BRACE program </w:t>
      </w:r>
      <w:r w:rsidRPr="002E031E">
        <w:t xml:space="preserve">components. Construction for safer settlements has not started because of an unexpected dispute over land ownership in </w:t>
      </w:r>
      <w:proofErr w:type="spellStart"/>
      <w:r w:rsidRPr="002E031E">
        <w:t>Taguig</w:t>
      </w:r>
      <w:proofErr w:type="spellEnd"/>
      <w:r w:rsidRPr="002E031E">
        <w:t xml:space="preserve"> City and the challenge of ensuring resettlement risks are fully assessed and mitigated.</w:t>
      </w:r>
    </w:p>
    <w:p w14:paraId="135BAE83" w14:textId="53D8D710" w:rsidR="006F273A" w:rsidRPr="002E031E" w:rsidRDefault="006F273A" w:rsidP="0080598D">
      <w:pPr>
        <w:pStyle w:val="BodyText"/>
      </w:pPr>
      <w:r w:rsidRPr="002E031E">
        <w:t xml:space="preserve">The BRACE model of an integrated package of programs to address informal settlement in high risk disaster areas is already gaining ground. </w:t>
      </w:r>
      <w:r w:rsidR="00B53E37">
        <w:t xml:space="preserve">The </w:t>
      </w:r>
      <w:r w:rsidR="002838AC">
        <w:t>p</w:t>
      </w:r>
      <w:r w:rsidR="00B53E37">
        <w:t xml:space="preserve">resident made available PhP50 </w:t>
      </w:r>
      <w:r w:rsidR="00514336">
        <w:t>billion</w:t>
      </w:r>
      <w:r w:rsidR="00B53E37">
        <w:t xml:space="preserve"> to help informal settler families have access to safer homes. Currently, BRACE has shifted its safer settlement component from just piloting in </w:t>
      </w:r>
      <w:proofErr w:type="spellStart"/>
      <w:r w:rsidR="00B53E37">
        <w:t>Taguig</w:t>
      </w:r>
      <w:proofErr w:type="spellEnd"/>
      <w:r w:rsidR="00B53E37">
        <w:t xml:space="preserve"> City to </w:t>
      </w:r>
      <w:r w:rsidR="000D0F1A">
        <w:t xml:space="preserve">helping </w:t>
      </w:r>
      <w:r w:rsidR="00786411">
        <w:t xml:space="preserve">the </w:t>
      </w:r>
      <w:r w:rsidR="000D0F1A">
        <w:t xml:space="preserve">government </w:t>
      </w:r>
      <w:r w:rsidR="00B53E37">
        <w:t>deliver concrete action for the 20</w:t>
      </w:r>
      <w:r w:rsidR="000D0F1A">
        <w:t xml:space="preserve"> </w:t>
      </w:r>
      <w:r w:rsidR="00B53E37">
        <w:t xml:space="preserve">000 families living in </w:t>
      </w:r>
      <w:r w:rsidR="00FF4330">
        <w:t xml:space="preserve">the </w:t>
      </w:r>
      <w:r w:rsidR="00B53E37">
        <w:t xml:space="preserve">most dangerous areas across Metro Manila. Australia was able to respond quickly to this </w:t>
      </w:r>
      <w:r w:rsidR="002838AC">
        <w:t>p</w:t>
      </w:r>
      <w:r w:rsidR="00B53E37">
        <w:t>resident</w:t>
      </w:r>
      <w:r w:rsidR="00FF4330">
        <w:t>ial</w:t>
      </w:r>
      <w:r w:rsidR="00B53E37">
        <w:t xml:space="preserve"> priority. It was able to influence the emerging policy trends being developed by the Philippines on low-cost housing finance, green technology, and disaster risk information. The opportunity arose because BRACE was designed before </w:t>
      </w:r>
      <w:r w:rsidR="008C6086">
        <w:t xml:space="preserve">Philippine Government </w:t>
      </w:r>
      <w:r w:rsidR="00B53E37">
        <w:t>reforms began to take traction</w:t>
      </w:r>
      <w:r w:rsidR="000D0F1A">
        <w:t xml:space="preserve">, </w:t>
      </w:r>
      <w:r w:rsidR="00B53E37">
        <w:t xml:space="preserve">and before other donors started taking an interest in urban resilience. This has </w:t>
      </w:r>
      <w:r w:rsidR="008C6086">
        <w:t>confirmed</w:t>
      </w:r>
      <w:r w:rsidR="00B53E37">
        <w:t xml:space="preserve"> Australia’s lead in the sector.</w:t>
      </w:r>
      <w:r w:rsidRPr="002E031E">
        <w:t xml:space="preserve"> Australia is currently in discussions with </w:t>
      </w:r>
      <w:r w:rsidR="000D0F1A">
        <w:t xml:space="preserve">the </w:t>
      </w:r>
      <w:r w:rsidR="000D0F1A" w:rsidRPr="000D0F1A">
        <w:rPr>
          <w:lang w:val="en-US"/>
        </w:rPr>
        <w:t>Department of the Interior and Local Government</w:t>
      </w:r>
      <w:r w:rsidR="000D0F1A" w:rsidRPr="002E031E">
        <w:t xml:space="preserve"> </w:t>
      </w:r>
      <w:r w:rsidRPr="002E031E">
        <w:t>on the details of this program of support, which will be designed to create national policy and inform program implementation.</w:t>
      </w:r>
      <w:r w:rsidR="00855402">
        <w:t xml:space="preserve"> </w:t>
      </w:r>
    </w:p>
    <w:p w14:paraId="7D62C9C9" w14:textId="69C8ACAA" w:rsidR="00514819" w:rsidRDefault="006F273A" w:rsidP="0080598D">
      <w:pPr>
        <w:pStyle w:val="BodyText"/>
      </w:pPr>
      <w:r w:rsidRPr="002E031E">
        <w:t xml:space="preserve">Australia also works at the national level in partnership with Philippine </w:t>
      </w:r>
      <w:r w:rsidR="000D0F1A">
        <w:t>G</w:t>
      </w:r>
      <w:r w:rsidR="000D0F1A" w:rsidRPr="002E031E">
        <w:t xml:space="preserve">overnment </w:t>
      </w:r>
      <w:r w:rsidRPr="002E031E">
        <w:t xml:space="preserve">agencies to better understand the threat from disasters and climate change, reduce risks identified from assessed vulnerabilities and better prepare communities to respond to disaster. Australia’s support is informed by the fact that better data, knowledge sharing, research, planning and preparation is needed to inform policies, decision making and investments. Our current support builds on </w:t>
      </w:r>
      <w:r w:rsidR="000D0F1A">
        <w:t>the</w:t>
      </w:r>
      <w:r w:rsidR="000D0F1A" w:rsidRPr="002E031E">
        <w:t xml:space="preserve"> eight</w:t>
      </w:r>
      <w:r w:rsidR="000D0F1A">
        <w:t>-</w:t>
      </w:r>
      <w:r w:rsidRPr="002E031E">
        <w:t xml:space="preserve">year Disaster and Climate Risks Management initiative that started in 2006 and will soon end. A new initiative, the Technical and Policy Linkages program, will be designed in the coming year to build </w:t>
      </w:r>
      <w:r w:rsidR="00250DDA">
        <w:t>on</w:t>
      </w:r>
      <w:r w:rsidRPr="002E031E">
        <w:t xml:space="preserve"> the solid foundation of this initiative.</w:t>
      </w:r>
      <w:r w:rsidR="00855402">
        <w:t xml:space="preserve"> </w:t>
      </w:r>
    </w:p>
    <w:p w14:paraId="3F428E70" w14:textId="4D20C643" w:rsidR="006F273A" w:rsidRPr="002E031E" w:rsidRDefault="006F273A" w:rsidP="0080598D">
      <w:pPr>
        <w:pStyle w:val="BodyText"/>
      </w:pPr>
      <w:r w:rsidRPr="002E031E">
        <w:t xml:space="preserve">Major accomplishments achieved by this initiative during the period of this review include: </w:t>
      </w:r>
    </w:p>
    <w:p w14:paraId="775F3706" w14:textId="3FF33288" w:rsidR="00303738" w:rsidRPr="00AE3FC6" w:rsidRDefault="000D0F1A" w:rsidP="0080598D">
      <w:pPr>
        <w:pStyle w:val="ListBullet"/>
      </w:pPr>
      <w:proofErr w:type="gramStart"/>
      <w:r>
        <w:t>c</w:t>
      </w:r>
      <w:r w:rsidRPr="00AE3FC6">
        <w:t>ontinu</w:t>
      </w:r>
      <w:r>
        <w:t>ing</w:t>
      </w:r>
      <w:proofErr w:type="gramEnd"/>
      <w:r w:rsidRPr="00AE3FC6">
        <w:t xml:space="preserve"> </w:t>
      </w:r>
      <w:r w:rsidR="00303738" w:rsidRPr="00AE3FC6">
        <w:t xml:space="preserve">promotion with </w:t>
      </w:r>
      <w:r w:rsidR="00FF4330">
        <w:t>Philippine</w:t>
      </w:r>
      <w:r w:rsidR="008C6086">
        <w:t xml:space="preserve"> Government </w:t>
      </w:r>
      <w:r w:rsidR="00303738" w:rsidRPr="00AE3FC6">
        <w:t xml:space="preserve">partners of the multi-hazard approach in undertaking hazard and risk assessment and </w:t>
      </w:r>
      <w:r w:rsidRPr="00AE3FC6">
        <w:t>provid</w:t>
      </w:r>
      <w:r>
        <w:t>ing</w:t>
      </w:r>
      <w:r w:rsidRPr="00AE3FC6">
        <w:t xml:space="preserve"> </w:t>
      </w:r>
      <w:r w:rsidR="00303738" w:rsidRPr="00AE3FC6">
        <w:t>a venue for</w:t>
      </w:r>
      <w:r w:rsidR="004C0467">
        <w:t xml:space="preserve"> </w:t>
      </w:r>
      <w:r w:rsidR="008C6086">
        <w:t xml:space="preserve">Philippine Government </w:t>
      </w:r>
      <w:r w:rsidR="00303738" w:rsidRPr="00AE3FC6">
        <w:t>agencies</w:t>
      </w:r>
      <w:r>
        <w:t>,</w:t>
      </w:r>
      <w:r w:rsidR="00303738" w:rsidRPr="00AE3FC6">
        <w:t xml:space="preserve"> both technical and policy oriented</w:t>
      </w:r>
      <w:r>
        <w:t>,</w:t>
      </w:r>
      <w:r w:rsidR="00303738" w:rsidRPr="00AE3FC6">
        <w:t xml:space="preserve"> to collaborate and agree on methodologies.</w:t>
      </w:r>
      <w:r w:rsidR="00855402" w:rsidRPr="00AE3FC6">
        <w:t xml:space="preserve"> </w:t>
      </w:r>
      <w:r w:rsidR="00303738" w:rsidRPr="00AE3FC6">
        <w:t xml:space="preserve">This approach has been </w:t>
      </w:r>
      <w:r w:rsidR="00786411" w:rsidRPr="00AE3FC6">
        <w:t>institutionali</w:t>
      </w:r>
      <w:r w:rsidR="00786411">
        <w:t>s</w:t>
      </w:r>
      <w:r w:rsidR="00786411" w:rsidRPr="00AE3FC6">
        <w:t xml:space="preserve">ed </w:t>
      </w:r>
      <w:r w:rsidR="00514336" w:rsidRPr="00AE3FC6">
        <w:t>within</w:t>
      </w:r>
      <w:r w:rsidR="00786411">
        <w:t xml:space="preserve"> the</w:t>
      </w:r>
      <w:r w:rsidR="00514336" w:rsidRPr="00AE3FC6">
        <w:t xml:space="preserve"> </w:t>
      </w:r>
      <w:r w:rsidR="008C6086">
        <w:t>Philippine Government</w:t>
      </w:r>
      <w:r w:rsidR="00303738" w:rsidRPr="00AE3FC6">
        <w:t>.</w:t>
      </w:r>
      <w:r w:rsidR="00855402" w:rsidRPr="00AE3FC6">
        <w:t xml:space="preserve"> </w:t>
      </w:r>
      <w:r w:rsidR="00303738" w:rsidRPr="00AE3FC6">
        <w:t>The technical partnership has also led to the completion of multi-hazard maps for 27 vulnerable provinces which are now informing planning and investment decisions, as well as local disaster mitigation measures including those supported by other donors.</w:t>
      </w:r>
      <w:r w:rsidR="00855402" w:rsidRPr="00AE3FC6">
        <w:t xml:space="preserve"> </w:t>
      </w:r>
      <w:r w:rsidR="00303738" w:rsidRPr="00AE3FC6">
        <w:t xml:space="preserve">As a result, communities have accurate information </w:t>
      </w:r>
      <w:r w:rsidR="00FF4330">
        <w:t xml:space="preserve">on </w:t>
      </w:r>
      <w:r w:rsidR="00303738" w:rsidRPr="00AE3FC6">
        <w:t xml:space="preserve">which to base their disaster preparedness </w:t>
      </w:r>
      <w:r w:rsidR="00303738" w:rsidRPr="00AE3FC6">
        <w:lastRenderedPageBreak/>
        <w:t>and contingency measures.</w:t>
      </w:r>
      <w:r w:rsidR="00855402" w:rsidRPr="00AE3FC6">
        <w:t xml:space="preserve"> </w:t>
      </w:r>
      <w:r w:rsidR="00303738" w:rsidRPr="00AE3FC6">
        <w:t xml:space="preserve">The project has made a substantial contribution to the early learning and development of the </w:t>
      </w:r>
      <w:r w:rsidR="008C6086">
        <w:t xml:space="preserve">Philippine Government </w:t>
      </w:r>
      <w:r w:rsidR="00303738" w:rsidRPr="00AE3FC6">
        <w:t>regarding what works and what does not in promoting multi-stakeholder and multi-hazard approaches to disaster risk management</w:t>
      </w:r>
      <w:r w:rsidR="00AE3FC6">
        <w:rPr>
          <w:rStyle w:val="FootnoteReference"/>
        </w:rPr>
        <w:footnoteReference w:id="13"/>
      </w:r>
    </w:p>
    <w:p w14:paraId="1ACEE74E" w14:textId="2ECB19A3" w:rsidR="00303738" w:rsidRPr="00AE3FC6" w:rsidRDefault="000D0F1A" w:rsidP="0080598D">
      <w:pPr>
        <w:pStyle w:val="ListBullet"/>
      </w:pPr>
      <w:proofErr w:type="gramStart"/>
      <w:r>
        <w:t>e</w:t>
      </w:r>
      <w:r w:rsidRPr="00AE3FC6">
        <w:t>ngag</w:t>
      </w:r>
      <w:r>
        <w:t>ing</w:t>
      </w:r>
      <w:proofErr w:type="gramEnd"/>
      <w:r>
        <w:t xml:space="preserve"> </w:t>
      </w:r>
      <w:r w:rsidR="00303738" w:rsidRPr="00AE3FC6">
        <w:t xml:space="preserve">in policy dialogue with </w:t>
      </w:r>
      <w:r w:rsidR="00786411">
        <w:t xml:space="preserve">Philippine </w:t>
      </w:r>
      <w:r>
        <w:t>Government</w:t>
      </w:r>
      <w:r w:rsidRPr="00AE3FC6">
        <w:t xml:space="preserve"> </w:t>
      </w:r>
      <w:r w:rsidR="00303738" w:rsidRPr="00AE3FC6">
        <w:t>agencies</w:t>
      </w:r>
      <w:r>
        <w:t>,</w:t>
      </w:r>
      <w:r w:rsidR="00303738" w:rsidRPr="00AE3FC6">
        <w:t xml:space="preserve"> particularly in </w:t>
      </w:r>
      <w:r w:rsidR="00786411" w:rsidRPr="00AE3FC6">
        <w:t>harmoni</w:t>
      </w:r>
      <w:r w:rsidR="00786411">
        <w:t>s</w:t>
      </w:r>
      <w:r w:rsidR="00786411" w:rsidRPr="00AE3FC6">
        <w:t xml:space="preserve">ing </w:t>
      </w:r>
      <w:r w:rsidR="00303738" w:rsidRPr="00AE3FC6">
        <w:t xml:space="preserve">the interlocking yet separate policies on </w:t>
      </w:r>
      <w:r>
        <w:t xml:space="preserve">disaster risk reduction </w:t>
      </w:r>
      <w:r w:rsidR="000C6EE0" w:rsidRPr="00AE3FC6">
        <w:t>and</w:t>
      </w:r>
      <w:r w:rsidR="00303738" w:rsidRPr="00AE3FC6">
        <w:t xml:space="preserve"> </w:t>
      </w:r>
      <w:r>
        <w:t>climate change adaption</w:t>
      </w:r>
      <w:r w:rsidR="00303738" w:rsidRPr="00AE3FC6">
        <w:t>.</w:t>
      </w:r>
      <w:r w:rsidR="00855402" w:rsidRPr="00AE3FC6">
        <w:t xml:space="preserve"> </w:t>
      </w:r>
      <w:r w:rsidR="00303738" w:rsidRPr="00AE3FC6">
        <w:t xml:space="preserve">This guided the preparation of planning guidelines on </w:t>
      </w:r>
      <w:r w:rsidR="000C6EE0" w:rsidRPr="00AE3FC6">
        <w:t>integrating</w:t>
      </w:r>
      <w:r w:rsidR="000C6EE0">
        <w:t xml:space="preserve"> </w:t>
      </w:r>
      <w:r>
        <w:t>these two areas</w:t>
      </w:r>
      <w:r w:rsidR="00303738" w:rsidRPr="00AE3FC6">
        <w:t xml:space="preserve"> into provincial planning and local level land use planning processes.</w:t>
      </w:r>
      <w:r w:rsidR="00855402" w:rsidRPr="00AE3FC6">
        <w:t xml:space="preserve"> </w:t>
      </w:r>
      <w:r w:rsidR="00303738" w:rsidRPr="00AE3FC6">
        <w:t>This is complemented by capacity building of</w:t>
      </w:r>
      <w:r w:rsidR="00477F41">
        <w:t xml:space="preserve"> 155 </w:t>
      </w:r>
      <w:r w:rsidR="00303738" w:rsidRPr="00AE3FC6">
        <w:t>provincial and local planners and technical officers on risk informati</w:t>
      </w:r>
      <w:r w:rsidR="00477F41">
        <w:t>on and planning</w:t>
      </w:r>
      <w:r>
        <w:t>,</w:t>
      </w:r>
      <w:r w:rsidR="00477F41">
        <w:t xml:space="preserve"> which produced 81</w:t>
      </w:r>
      <w:r w:rsidR="00303738" w:rsidRPr="00AE3FC6">
        <w:t xml:space="preserve"> provincial disaster and vulnerability assessments</w:t>
      </w:r>
      <w:r>
        <w:t>. These</w:t>
      </w:r>
      <w:r w:rsidRPr="00AE3FC6">
        <w:t xml:space="preserve"> </w:t>
      </w:r>
      <w:r w:rsidR="00303738" w:rsidRPr="00AE3FC6">
        <w:t>are now the basis of planning policies and investment decisions to make localities more resilient</w:t>
      </w:r>
    </w:p>
    <w:p w14:paraId="0E8C5436" w14:textId="4C9EB67D" w:rsidR="00303738" w:rsidRPr="00AE3FC6" w:rsidRDefault="000D0F1A" w:rsidP="0080598D">
      <w:pPr>
        <w:pStyle w:val="ListBullet"/>
      </w:pPr>
      <w:proofErr w:type="gramStart"/>
      <w:r>
        <w:t>s</w:t>
      </w:r>
      <w:r w:rsidRPr="00AE3FC6">
        <w:t>upport</w:t>
      </w:r>
      <w:r>
        <w:t>ing</w:t>
      </w:r>
      <w:proofErr w:type="gramEnd"/>
      <w:r w:rsidRPr="00AE3FC6">
        <w:t xml:space="preserve"> </w:t>
      </w:r>
      <w:r w:rsidR="00303738" w:rsidRPr="00AE3FC6">
        <w:t xml:space="preserve">the development of a post-disaster and emergency disease surveillance system </w:t>
      </w:r>
      <w:r w:rsidR="00FF4330">
        <w:t xml:space="preserve">(SPEED) </w:t>
      </w:r>
      <w:r w:rsidR="00303738" w:rsidRPr="00AE3FC6">
        <w:t xml:space="preserve">which </w:t>
      </w:r>
      <w:r w:rsidR="00FF4330">
        <w:t xml:space="preserve">helped </w:t>
      </w:r>
      <w:r w:rsidR="00303738" w:rsidRPr="00AE3FC6">
        <w:t xml:space="preserve">prevent the outbreak of diseases after Tropical Storm </w:t>
      </w:r>
      <w:proofErr w:type="spellStart"/>
      <w:r w:rsidR="00303738" w:rsidRPr="00AE3FC6">
        <w:t>Washi</w:t>
      </w:r>
      <w:proofErr w:type="spellEnd"/>
      <w:r w:rsidR="004C0467">
        <w:t xml:space="preserve"> in 2011</w:t>
      </w:r>
      <w:r w:rsidR="00303738" w:rsidRPr="00AE3FC6">
        <w:t xml:space="preserve">, and </w:t>
      </w:r>
      <w:r w:rsidR="00B07434">
        <w:t xml:space="preserve">the </w:t>
      </w:r>
      <w:r w:rsidR="00303738" w:rsidRPr="00AE3FC6">
        <w:t xml:space="preserve">Southwest Monsoon and Typhoon </w:t>
      </w:r>
      <w:proofErr w:type="spellStart"/>
      <w:r w:rsidR="00303738" w:rsidRPr="00AE3FC6">
        <w:t>Bopha</w:t>
      </w:r>
      <w:proofErr w:type="spellEnd"/>
      <w:r w:rsidR="004C0467">
        <w:t xml:space="preserve"> in 2012</w:t>
      </w:r>
      <w:r w:rsidR="00303738" w:rsidRPr="00AE3FC6">
        <w:t>.</w:t>
      </w:r>
      <w:r w:rsidR="00855402" w:rsidRPr="00AE3FC6">
        <w:t xml:space="preserve"> </w:t>
      </w:r>
      <w:r w:rsidR="00303738" w:rsidRPr="00AE3FC6">
        <w:t>The system has been rolled out in all 17 regions and 81 provinces nationwide and was awarded the Philippines’ best health innovation for 2012.</w:t>
      </w:r>
      <w:r w:rsidR="00855402" w:rsidRPr="00AE3FC6">
        <w:t xml:space="preserve"> </w:t>
      </w:r>
      <w:r w:rsidR="00303738" w:rsidRPr="00AE3FC6">
        <w:t xml:space="preserve">Overall, SPEED is a remarkable accomplishment. Within the space of only </w:t>
      </w:r>
      <w:r w:rsidR="008C6086">
        <w:t>two-</w:t>
      </w:r>
      <w:r w:rsidR="00303738" w:rsidRPr="00AE3FC6">
        <w:t xml:space="preserve">years, a simple, inexpensive, and yet sophisticated surveillance tool has been developed, tested, refined and deployed </w:t>
      </w:r>
      <w:r w:rsidR="00514336" w:rsidRPr="00AE3FC6">
        <w:t>nation</w:t>
      </w:r>
      <w:r w:rsidR="0051044D">
        <w:t>ally</w:t>
      </w:r>
      <w:r w:rsidR="00514336" w:rsidRPr="00AE3FC6">
        <w:t>.</w:t>
      </w:r>
      <w:r w:rsidR="00AE3FC6">
        <w:rPr>
          <w:rStyle w:val="FootnoteReference"/>
        </w:rPr>
        <w:footnoteReference w:id="14"/>
      </w:r>
    </w:p>
    <w:p w14:paraId="7C3A4CD6" w14:textId="0A2186F7" w:rsidR="00363B72" w:rsidRDefault="006F273A" w:rsidP="0080598D">
      <w:pPr>
        <w:pStyle w:val="BodyText"/>
      </w:pPr>
      <w:r w:rsidRPr="002E031E">
        <w:t xml:space="preserve">Australia remains committed to assisting </w:t>
      </w:r>
      <w:r w:rsidR="007239B7">
        <w:t>g</w:t>
      </w:r>
      <w:r w:rsidRPr="002E031E">
        <w:t xml:space="preserve">overnment and communities when natural disasters strike and has continued to provide considerable response and post-disaster support to address immediate needs and help communities on the path to recovery. </w:t>
      </w:r>
      <w:r w:rsidR="0051044D">
        <w:t>After</w:t>
      </w:r>
      <w:r w:rsidRPr="002E031E">
        <w:t xml:space="preserve"> Typhoon </w:t>
      </w:r>
      <w:proofErr w:type="spellStart"/>
      <w:r w:rsidRPr="002E031E">
        <w:t>Bopha</w:t>
      </w:r>
      <w:proofErr w:type="spellEnd"/>
      <w:r w:rsidRPr="002E031E">
        <w:t>, Australia’s response included both immediate and life-saving interventions (food, water, hygiene kits, emergency shelter) and early recovery support (debris cleaning, food</w:t>
      </w:r>
      <w:r w:rsidR="00FF4330">
        <w:t xml:space="preserve"> </w:t>
      </w:r>
      <w:r w:rsidRPr="002E031E">
        <w:t>for</w:t>
      </w:r>
      <w:r w:rsidR="00FF4330">
        <w:t xml:space="preserve"> </w:t>
      </w:r>
      <w:r w:rsidRPr="002E031E">
        <w:t>work, cash</w:t>
      </w:r>
      <w:r w:rsidR="00FF4330">
        <w:t xml:space="preserve"> </w:t>
      </w:r>
      <w:r w:rsidRPr="002E031E">
        <w:t>for</w:t>
      </w:r>
      <w:r w:rsidR="00FF4330">
        <w:t xml:space="preserve"> </w:t>
      </w:r>
      <w:r w:rsidRPr="002E031E">
        <w:t>work, shelter and livelihood recovery) to help affected families and communities transition to longer-term recovery.</w:t>
      </w:r>
      <w:r w:rsidR="00855402">
        <w:t xml:space="preserve"> </w:t>
      </w:r>
      <w:r w:rsidRPr="002E031E">
        <w:t>Australia provided a total of $10.55 million in assistance helping more than 500</w:t>
      </w:r>
      <w:r w:rsidR="0051044D">
        <w:t xml:space="preserve"> </w:t>
      </w:r>
      <w:r w:rsidRPr="002E031E">
        <w:t xml:space="preserve">000 people affected by this devastating natural disaster. </w:t>
      </w:r>
    </w:p>
    <w:p w14:paraId="4B1361C6" w14:textId="7B8D1247" w:rsidR="00363B72" w:rsidRPr="002E031E" w:rsidRDefault="00363B72" w:rsidP="0080598D">
      <w:pPr>
        <w:pStyle w:val="BodyText"/>
      </w:pPr>
      <w:r>
        <w:t>Australia’s</w:t>
      </w:r>
      <w:r w:rsidRPr="002E031E">
        <w:t xml:space="preserve"> response contributed to the Typhoon </w:t>
      </w:r>
      <w:proofErr w:type="spellStart"/>
      <w:r w:rsidRPr="002E031E">
        <w:t>Bopha</w:t>
      </w:r>
      <w:proofErr w:type="spellEnd"/>
      <w:r w:rsidRPr="002E031E">
        <w:t xml:space="preserve"> Action Plan for Recovery</w:t>
      </w:r>
      <w:r w:rsidR="0051044D">
        <w:t xml:space="preserve">, which was </w:t>
      </w:r>
      <w:r w:rsidRPr="002E031E">
        <w:t xml:space="preserve">launched by </w:t>
      </w:r>
      <w:r>
        <w:t xml:space="preserve">the Philippine Government </w:t>
      </w:r>
      <w:r w:rsidRPr="002E031E">
        <w:t xml:space="preserve">and </w:t>
      </w:r>
      <w:r>
        <w:t xml:space="preserve">the </w:t>
      </w:r>
      <w:r w:rsidRPr="002E031E">
        <w:t>U</w:t>
      </w:r>
      <w:r>
        <w:t>nited Nations</w:t>
      </w:r>
      <w:r w:rsidR="0051044D">
        <w:t>,</w:t>
      </w:r>
      <w:r w:rsidR="0051044D" w:rsidRPr="002E031E">
        <w:t xml:space="preserve"> </w:t>
      </w:r>
      <w:r>
        <w:t>as well as</w:t>
      </w:r>
      <w:r w:rsidRPr="002E031E">
        <w:t xml:space="preserve"> better</w:t>
      </w:r>
      <w:r>
        <w:t xml:space="preserve"> donor</w:t>
      </w:r>
      <w:r w:rsidRPr="002E031E">
        <w:t xml:space="preserve"> coordination to ensure the most affected population and communities are served.</w:t>
      </w:r>
    </w:p>
    <w:p w14:paraId="388749EC" w14:textId="229CBE82" w:rsidR="006F273A" w:rsidRPr="002E031E" w:rsidRDefault="006F273A" w:rsidP="0080598D">
      <w:pPr>
        <w:pStyle w:val="BodyText"/>
      </w:pPr>
      <w:r w:rsidRPr="002E031E">
        <w:t xml:space="preserve">Through an innovative initiative, Australia prepositioned $2 million worth of emergency stocks with partners </w:t>
      </w:r>
      <w:r w:rsidR="0051044D">
        <w:t xml:space="preserve">including </w:t>
      </w:r>
      <w:r w:rsidR="00B92337">
        <w:t xml:space="preserve">the </w:t>
      </w:r>
      <w:r w:rsidRPr="002E031E">
        <w:t>Philippines Red Cross, World Food Program</w:t>
      </w:r>
      <w:r w:rsidR="0051044D">
        <w:t>me</w:t>
      </w:r>
      <w:r w:rsidRPr="002E031E">
        <w:t xml:space="preserve"> and the United Nations Population Fund</w:t>
      </w:r>
      <w:r w:rsidR="0051044D">
        <w:t>. This</w:t>
      </w:r>
      <w:r w:rsidRPr="002E031E">
        <w:t xml:space="preserve"> result</w:t>
      </w:r>
      <w:r w:rsidR="0051044D">
        <w:t xml:space="preserve">ed </w:t>
      </w:r>
      <w:r w:rsidRPr="002E031E">
        <w:t>in near immediate assistance to those in need when</w:t>
      </w:r>
      <w:r w:rsidR="00405A31">
        <w:t xml:space="preserve"> the</w:t>
      </w:r>
      <w:r w:rsidRPr="002E031E">
        <w:t xml:space="preserve"> </w:t>
      </w:r>
      <w:r w:rsidR="00405A31">
        <w:t>t</w:t>
      </w:r>
      <w:r w:rsidRPr="002E031E">
        <w:t>yphoon struck.</w:t>
      </w:r>
      <w:r w:rsidR="007239B7">
        <w:t xml:space="preserve"> </w:t>
      </w:r>
    </w:p>
    <w:p w14:paraId="392BC651" w14:textId="199A9361" w:rsidR="006F273A" w:rsidRPr="002E031E" w:rsidRDefault="006F273A" w:rsidP="0080598D">
      <w:pPr>
        <w:pStyle w:val="BodyText"/>
      </w:pPr>
      <w:r w:rsidRPr="002E031E">
        <w:t xml:space="preserve">Australia </w:t>
      </w:r>
      <w:r w:rsidR="007239B7">
        <w:t>also</w:t>
      </w:r>
      <w:r w:rsidRPr="002E031E">
        <w:t xml:space="preserve"> supported reproductive health services in response to Typhoon </w:t>
      </w:r>
      <w:proofErr w:type="spellStart"/>
      <w:r w:rsidRPr="002E031E">
        <w:t>Bopha</w:t>
      </w:r>
      <w:proofErr w:type="spellEnd"/>
      <w:r w:rsidRPr="002E031E">
        <w:t xml:space="preserve"> through the emergency relief work of </w:t>
      </w:r>
      <w:r w:rsidR="0051044D">
        <w:rPr>
          <w:rStyle w:val="st"/>
        </w:rPr>
        <w:t>United Nations Population Fund</w:t>
      </w:r>
      <w:r w:rsidRPr="002E031E">
        <w:t>: 25</w:t>
      </w:r>
      <w:r w:rsidR="0051044D">
        <w:t xml:space="preserve"> </w:t>
      </w:r>
      <w:r w:rsidRPr="002E031E">
        <w:t>669 women of reproductive age and 9522 pregnant and lactating women benefited from dignity and hygiene kits. In partnership with Handicap International, 2500</w:t>
      </w:r>
      <w:r w:rsidR="00FF4330">
        <w:t xml:space="preserve"> </w:t>
      </w:r>
      <w:r w:rsidRPr="002E031E">
        <w:t>vulnerable families</w:t>
      </w:r>
      <w:r w:rsidR="00FF4330">
        <w:t>,</w:t>
      </w:r>
      <w:r w:rsidRPr="002E031E" w:rsidDel="003C1E83">
        <w:t xml:space="preserve"> </w:t>
      </w:r>
      <w:r w:rsidRPr="002E031E">
        <w:t>particularly people with disabilit</w:t>
      </w:r>
      <w:r w:rsidR="0051044D">
        <w:t>y</w:t>
      </w:r>
      <w:r w:rsidR="00FF4330">
        <w:t>,</w:t>
      </w:r>
      <w:r w:rsidRPr="002E031E">
        <w:t xml:space="preserve"> were provided with access to emergency items and services after Typhoon </w:t>
      </w:r>
      <w:proofErr w:type="spellStart"/>
      <w:r w:rsidRPr="002E031E">
        <w:t>Bopha</w:t>
      </w:r>
      <w:proofErr w:type="spellEnd"/>
      <w:r w:rsidRPr="002E031E">
        <w:t>.</w:t>
      </w:r>
    </w:p>
    <w:p w14:paraId="5F63D443" w14:textId="09DD52C7" w:rsidR="006F273A" w:rsidRPr="002E031E" w:rsidRDefault="006F273A" w:rsidP="0080598D">
      <w:pPr>
        <w:pStyle w:val="BodyText"/>
      </w:pPr>
      <w:r w:rsidRPr="002E031E">
        <w:t xml:space="preserve">The ongoing partnership between Geoscience Australia and </w:t>
      </w:r>
      <w:r w:rsidR="008C6086">
        <w:t xml:space="preserve">Philippine Government </w:t>
      </w:r>
      <w:r w:rsidRPr="002E031E">
        <w:t xml:space="preserve">technical agencies has been integral to building the capacity of the Philippines on natural hazard risk information under the BRACE </w:t>
      </w:r>
      <w:r w:rsidR="0051044D">
        <w:t>p</w:t>
      </w:r>
      <w:r w:rsidR="0051044D" w:rsidRPr="002E031E">
        <w:t>rogram</w:t>
      </w:r>
      <w:r w:rsidRPr="002E031E">
        <w:t>.</w:t>
      </w:r>
      <w:r w:rsidR="00855402">
        <w:t xml:space="preserve"> </w:t>
      </w:r>
      <w:r w:rsidRPr="002E031E">
        <w:t>This</w:t>
      </w:r>
      <w:r w:rsidR="00035C2E">
        <w:t xml:space="preserve"> </w:t>
      </w:r>
      <w:r w:rsidRPr="002E031E">
        <w:t xml:space="preserve">partnership is expected to increase in the coming years as </w:t>
      </w:r>
      <w:r w:rsidR="007239B7">
        <w:t>the program</w:t>
      </w:r>
      <w:r w:rsidR="007239B7" w:rsidRPr="002E031E">
        <w:t xml:space="preserve"> </w:t>
      </w:r>
      <w:r w:rsidRPr="002E031E">
        <w:t>also engage</w:t>
      </w:r>
      <w:r w:rsidR="007239B7">
        <w:t>s</w:t>
      </w:r>
      <w:r w:rsidRPr="002E031E">
        <w:t xml:space="preserve"> the Australian Bureau of Meteorology, </w:t>
      </w:r>
      <w:r w:rsidR="0051044D">
        <w:t xml:space="preserve">the </w:t>
      </w:r>
      <w:r w:rsidRPr="002E031E">
        <w:t xml:space="preserve">CSIRO and counterpart Philippine </w:t>
      </w:r>
      <w:r w:rsidR="0051044D">
        <w:t>G</w:t>
      </w:r>
      <w:r w:rsidR="0051044D" w:rsidRPr="002E031E">
        <w:t xml:space="preserve">overnment </w:t>
      </w:r>
      <w:r w:rsidRPr="002E031E">
        <w:t xml:space="preserve">agencies to design a new technical linkages capacity </w:t>
      </w:r>
      <w:r w:rsidRPr="002E031E">
        <w:lastRenderedPageBreak/>
        <w:t xml:space="preserve">development program. This program will </w:t>
      </w:r>
      <w:r w:rsidR="0051044D">
        <w:t>help</w:t>
      </w:r>
      <w:r w:rsidR="0051044D" w:rsidRPr="002E031E">
        <w:t xml:space="preserve"> </w:t>
      </w:r>
      <w:r w:rsidRPr="002E031E">
        <w:t xml:space="preserve">the Philippine </w:t>
      </w:r>
      <w:r w:rsidR="008C6086">
        <w:t>G</w:t>
      </w:r>
      <w:r w:rsidR="00035C2E">
        <w:t>overnment</w:t>
      </w:r>
      <w:r w:rsidRPr="002E031E">
        <w:t xml:space="preserve"> to better forecast, prepare and respond to natural disasters through joint projects with counterpart Australian agencies.</w:t>
      </w:r>
    </w:p>
    <w:p w14:paraId="1528E535" w14:textId="00123CE8" w:rsidR="0051044D" w:rsidRDefault="006F273A" w:rsidP="0080598D">
      <w:pPr>
        <w:pStyle w:val="BodyText"/>
      </w:pPr>
      <w:r w:rsidRPr="002E031E">
        <w:t xml:space="preserve">The </w:t>
      </w:r>
      <w:r w:rsidR="00B07434">
        <w:t>OECD-DAC</w:t>
      </w:r>
      <w:r w:rsidRPr="002E031E">
        <w:t xml:space="preserve"> reviewed the Australian Aid program in 201</w:t>
      </w:r>
      <w:r w:rsidR="004C0467">
        <w:t>2</w:t>
      </w:r>
      <w:r w:rsidRPr="002E031E">
        <w:t xml:space="preserve"> and commented that</w:t>
      </w:r>
    </w:p>
    <w:p w14:paraId="13D2E915" w14:textId="3BA3E095" w:rsidR="00A01BB4" w:rsidRPr="00884F5D" w:rsidRDefault="006F273A" w:rsidP="0080598D">
      <w:pPr>
        <w:pStyle w:val="BodyText"/>
      </w:pPr>
      <w:r w:rsidRPr="00884F5D">
        <w:t xml:space="preserve">The Australia–Philippines Program Strategy has championed change in other </w:t>
      </w:r>
      <w:proofErr w:type="spellStart"/>
      <w:r w:rsidR="003F1A57">
        <w:t>Australian</w:t>
      </w:r>
      <w:r w:rsidR="00A86B79" w:rsidRPr="00884F5D">
        <w:t>aid</w:t>
      </w:r>
      <w:proofErr w:type="spellEnd"/>
      <w:r w:rsidR="00A86B79" w:rsidRPr="00884F5D">
        <w:t xml:space="preserve"> </w:t>
      </w:r>
      <w:r w:rsidRPr="00884F5D">
        <w:t>program countries and driven agency</w:t>
      </w:r>
      <w:r w:rsidRPr="00160FFD">
        <w:rPr>
          <w:i/>
        </w:rPr>
        <w:t>-</w:t>
      </w:r>
      <w:r w:rsidRPr="00884F5D">
        <w:t xml:space="preserve">wide strategies, for example by integrating disaster risk reduction, climate change and the environmental approaches in order to protect development gains in a high-risk country. Australia is widely appreciated as a proactive, rapid and flexible humanitarian and recovery donor in the Philippines, underlined by its comprehensive response to tropical storm </w:t>
      </w:r>
      <w:proofErr w:type="spellStart"/>
      <w:r w:rsidRPr="00884F5D">
        <w:t>Washi</w:t>
      </w:r>
      <w:proofErr w:type="spellEnd"/>
      <w:r w:rsidRPr="00884F5D">
        <w:t>.</w:t>
      </w:r>
    </w:p>
    <w:p w14:paraId="1D447CD5" w14:textId="77777777" w:rsidR="00D953AC" w:rsidRPr="0080598D" w:rsidRDefault="00D953AC" w:rsidP="0080598D">
      <w:pPr>
        <w:pStyle w:val="Heading2"/>
      </w:pPr>
      <w:r w:rsidRPr="0080598D">
        <w:t>Objective 4: Improved conditions for peace and security</w:t>
      </w:r>
    </w:p>
    <w:p w14:paraId="6775C5AD" w14:textId="788C5A7E" w:rsidR="005770FD" w:rsidRPr="004D41D2" w:rsidRDefault="005770FD" w:rsidP="0080598D">
      <w:pPr>
        <w:pStyle w:val="BodyText"/>
      </w:pPr>
      <w:r w:rsidRPr="004D41D2">
        <w:t xml:space="preserve">Progress towards this objective has been rated green. </w:t>
      </w:r>
      <w:r w:rsidR="00760ADA" w:rsidRPr="007048B3">
        <w:t>Australia</w:t>
      </w:r>
      <w:r w:rsidRPr="00B92337">
        <w:t xml:space="preserve"> </w:t>
      </w:r>
      <w:r w:rsidRPr="004D41D2">
        <w:t xml:space="preserve">made an early contribution through multilateral mechanisms to programs which have maintained support for the </w:t>
      </w:r>
      <w:r w:rsidRPr="00C91143">
        <w:t xml:space="preserve">Framework Agreement on Bangsamoro (peace agreement) on the ground. </w:t>
      </w:r>
      <w:r w:rsidR="00C02A39" w:rsidRPr="00C91143">
        <w:t xml:space="preserve">During the review period, progress has been made in </w:t>
      </w:r>
      <w:r w:rsidRPr="00C91143">
        <w:t>strengthen</w:t>
      </w:r>
      <w:r w:rsidR="00C02A39" w:rsidRPr="00C91143">
        <w:t>ing</w:t>
      </w:r>
      <w:r w:rsidRPr="00C91143">
        <w:t xml:space="preserve"> institutions, particularly better human resource and budget management in the ARMM</w:t>
      </w:r>
      <w:r w:rsidRPr="004D41D2">
        <w:t xml:space="preserve"> Department of Education. </w:t>
      </w:r>
      <w:r w:rsidR="00760ADA" w:rsidRPr="007048B3">
        <w:t xml:space="preserve">Australia </w:t>
      </w:r>
      <w:r w:rsidRPr="004D41D2">
        <w:t>supported voter registration and civilian monitoring of security sector reform. These relatively modest initiatives have helped improve conditions for peace and security</w:t>
      </w:r>
      <w:r w:rsidR="00B92337">
        <w:t>.</w:t>
      </w:r>
    </w:p>
    <w:p w14:paraId="2C2D76EF" w14:textId="088F8423" w:rsidR="00AA7802" w:rsidRPr="008F6B31" w:rsidRDefault="00AA7802" w:rsidP="0080598D">
      <w:pPr>
        <w:pStyle w:val="BodyText"/>
      </w:pPr>
      <w:r w:rsidRPr="008F6B31">
        <w:t xml:space="preserve">The key drivers for </w:t>
      </w:r>
      <w:r w:rsidR="00760ADA">
        <w:t>Australia’s</w:t>
      </w:r>
      <w:r w:rsidR="00760ADA" w:rsidRPr="008F6B31">
        <w:t xml:space="preserve"> </w:t>
      </w:r>
      <w:r w:rsidRPr="008F6B31">
        <w:t>focus on peace and security in Mindanao remain</w:t>
      </w:r>
      <w:r w:rsidR="00993F93">
        <w:t>.</w:t>
      </w:r>
      <w:r w:rsidRPr="008F6B31">
        <w:t xml:space="preserve"> </w:t>
      </w:r>
      <w:r w:rsidR="00993F93">
        <w:t>There are c</w:t>
      </w:r>
      <w:r w:rsidRPr="008F6B31">
        <w:t>ontinued high levels of poverty (especially in ARMM), poor availability of basic services</w:t>
      </w:r>
      <w:r w:rsidR="00760ADA">
        <w:t xml:space="preserve"> and</w:t>
      </w:r>
      <w:r w:rsidRPr="008F6B31">
        <w:t xml:space="preserve"> limited employment opportunities</w:t>
      </w:r>
      <w:r w:rsidR="00760ADA">
        <w:t xml:space="preserve">, all </w:t>
      </w:r>
      <w:r w:rsidRPr="008F6B31">
        <w:t xml:space="preserve">underpinned by ongoing local-level conflict and unresolved peace processes. This results in a cycle of conflict, poor governance and underdevelopment, which is both economically and socially damaging. </w:t>
      </w:r>
      <w:r w:rsidR="00FD5D8B">
        <w:t>T</w:t>
      </w:r>
      <w:r w:rsidRPr="008F6B31">
        <w:t>here are also many positive developments</w:t>
      </w:r>
      <w:r w:rsidR="00B92337">
        <w:t xml:space="preserve"> </w:t>
      </w:r>
      <w:r w:rsidR="00760ADA">
        <w:t>–</w:t>
      </w:r>
      <w:r w:rsidR="00B92337">
        <w:t xml:space="preserve"> </w:t>
      </w:r>
      <w:r w:rsidRPr="008F6B31">
        <w:t xml:space="preserve">the </w:t>
      </w:r>
      <w:r w:rsidR="00760ADA">
        <w:t>October 2012</w:t>
      </w:r>
      <w:r w:rsidRPr="008F6B31">
        <w:t xml:space="preserve"> signing of the Framework Agreement on the Bangsamoro, the improvements in the ARMM </w:t>
      </w:r>
      <w:r w:rsidR="002838AC">
        <w:t>Regional G</w:t>
      </w:r>
      <w:r w:rsidRPr="008F6B31">
        <w:t>overnment</w:t>
      </w:r>
      <w:r w:rsidR="00993F93">
        <w:t>,</w:t>
      </w:r>
      <w:r w:rsidRPr="008F6B31">
        <w:t xml:space="preserve"> particularly on transparency and accountability, </w:t>
      </w:r>
      <w:r w:rsidR="009923BB">
        <w:t xml:space="preserve">and </w:t>
      </w:r>
      <w:r w:rsidRPr="008F6B31">
        <w:t>reduced numbers of violent incidences in ARMM.</w:t>
      </w:r>
    </w:p>
    <w:p w14:paraId="673876AE" w14:textId="0E402AB3" w:rsidR="004C0467" w:rsidRDefault="009923BB" w:rsidP="0080598D">
      <w:pPr>
        <w:pStyle w:val="BodyText"/>
      </w:pPr>
      <w:r>
        <w:t>Beyond the wider benefits in Mindanao, t</w:t>
      </w:r>
      <w:r w:rsidR="00AA7802" w:rsidRPr="008F6B31">
        <w:t>he signing of the Framework Agreement on the Bangsamoro</w:t>
      </w:r>
      <w:r w:rsidR="002977B4" w:rsidRPr="008F6B31">
        <w:t xml:space="preserve"> </w:t>
      </w:r>
      <w:r w:rsidR="00763830" w:rsidRPr="008F6B31">
        <w:t>is a</w:t>
      </w:r>
      <w:r w:rsidR="00AA7802" w:rsidRPr="008F6B31">
        <w:t xml:space="preserve"> positive development for </w:t>
      </w:r>
      <w:r w:rsidR="008C6086">
        <w:t>Australia’s</w:t>
      </w:r>
      <w:r w:rsidR="008C6086" w:rsidRPr="008F6B31">
        <w:t xml:space="preserve"> </w:t>
      </w:r>
      <w:r w:rsidR="00AA7802" w:rsidRPr="008F6B31">
        <w:t xml:space="preserve">ongoing investments directed at improving conditions for peace and stability in Mindanao. </w:t>
      </w:r>
      <w:r w:rsidR="00760ADA">
        <w:t xml:space="preserve">In response to the </w:t>
      </w:r>
      <w:r w:rsidR="00993F93">
        <w:t>a</w:t>
      </w:r>
      <w:r w:rsidR="00760ADA">
        <w:t xml:space="preserve">greement, </w:t>
      </w:r>
      <w:r w:rsidR="008C6086">
        <w:t>Australia</w:t>
      </w:r>
      <w:r w:rsidR="00742E3A">
        <w:t xml:space="preserve"> provided an additional $2 million </w:t>
      </w:r>
      <w:r w:rsidR="00032309">
        <w:t>to support the overall momentum for peace in Mindanao</w:t>
      </w:r>
      <w:r w:rsidR="00760ADA">
        <w:t>. These funds have been channelled</w:t>
      </w:r>
      <w:r w:rsidR="00032309">
        <w:t xml:space="preserve"> </w:t>
      </w:r>
      <w:r w:rsidR="001C0DC2">
        <w:t>primarily</w:t>
      </w:r>
      <w:r w:rsidR="006A7351">
        <w:t xml:space="preserve"> t</w:t>
      </w:r>
      <w:r w:rsidR="000D23DB">
        <w:t>hrough</w:t>
      </w:r>
      <w:r w:rsidR="00032309">
        <w:t xml:space="preserve"> multilateral</w:t>
      </w:r>
      <w:r w:rsidR="004C0467">
        <w:t xml:space="preserve"> agencie</w:t>
      </w:r>
      <w:r w:rsidR="00032309">
        <w:t>s</w:t>
      </w:r>
      <w:r w:rsidR="00993F93">
        <w:t>:</w:t>
      </w:r>
      <w:r w:rsidR="00032309">
        <w:t xml:space="preserve"> </w:t>
      </w:r>
      <w:r>
        <w:t>the</w:t>
      </w:r>
      <w:r w:rsidR="000D23DB">
        <w:t xml:space="preserve"> Mindanao</w:t>
      </w:r>
      <w:r w:rsidR="00032309">
        <w:t xml:space="preserve"> Trust Fund and the Facility for Advisory Support for Transition Capacities.</w:t>
      </w:r>
      <w:r w:rsidR="00855402">
        <w:t xml:space="preserve"> </w:t>
      </w:r>
      <w:r w:rsidR="00032309">
        <w:t>These two mechanisms are complementary</w:t>
      </w:r>
      <w:r w:rsidR="00993F93">
        <w:t xml:space="preserve">––the trust fund </w:t>
      </w:r>
      <w:r w:rsidR="00032309">
        <w:t>will help deliver tangible results in basic services and livelihood assistance to conflict-affected communities in the short-term</w:t>
      </w:r>
      <w:r w:rsidR="00993F93">
        <w:t>,</w:t>
      </w:r>
      <w:r w:rsidR="00032309">
        <w:t xml:space="preserve"> while </w:t>
      </w:r>
      <w:r w:rsidR="00993F93">
        <w:t xml:space="preserve">the facility </w:t>
      </w:r>
      <w:r w:rsidR="00032309">
        <w:t xml:space="preserve">will focus on technical assistance to the Moro Islamic Liberation Front and the Bangsamoro Transition Commission to ensure an effective and timely completion of transition arrangements. </w:t>
      </w:r>
    </w:p>
    <w:p w14:paraId="74AFE246" w14:textId="4EB2D2B1" w:rsidR="00A6795E" w:rsidRPr="005E4A4A" w:rsidRDefault="00A6795E" w:rsidP="0080598D">
      <w:pPr>
        <w:pStyle w:val="BodyText"/>
        <w:rPr>
          <w:color w:val="000000" w:themeColor="text1"/>
          <w:szCs w:val="22"/>
        </w:rPr>
      </w:pPr>
      <w:r w:rsidRPr="005E4A4A">
        <w:rPr>
          <w:color w:val="000000" w:themeColor="text1"/>
          <w:szCs w:val="22"/>
        </w:rPr>
        <w:t xml:space="preserve">In 2013, </w:t>
      </w:r>
      <w:r w:rsidR="00CF3376">
        <w:rPr>
          <w:color w:val="000000" w:themeColor="text1"/>
          <w:szCs w:val="22"/>
        </w:rPr>
        <w:t>Australia’s</w:t>
      </w:r>
      <w:r w:rsidR="004360F9" w:rsidRPr="005E4A4A">
        <w:rPr>
          <w:color w:val="000000" w:themeColor="text1"/>
          <w:szCs w:val="22"/>
        </w:rPr>
        <w:t xml:space="preserve"> commitment to improve conditions to peace was outlined the </w:t>
      </w:r>
      <w:r w:rsidR="00624CBC" w:rsidRPr="005E4A4A">
        <w:rPr>
          <w:i/>
          <w:szCs w:val="22"/>
        </w:rPr>
        <w:t xml:space="preserve">Mindanao </w:t>
      </w:r>
      <w:r w:rsidR="00405A31" w:rsidRPr="005E4A4A">
        <w:rPr>
          <w:i/>
          <w:szCs w:val="22"/>
        </w:rPr>
        <w:t>conflict affected areas delivery strategy</w:t>
      </w:r>
      <w:r w:rsidR="004360F9" w:rsidRPr="005E4A4A">
        <w:rPr>
          <w:i/>
          <w:color w:val="000000" w:themeColor="text1"/>
          <w:szCs w:val="22"/>
        </w:rPr>
        <w:t xml:space="preserve">. </w:t>
      </w:r>
      <w:r w:rsidRPr="005E4A4A">
        <w:rPr>
          <w:color w:val="000000" w:themeColor="text1"/>
          <w:szCs w:val="22"/>
        </w:rPr>
        <w:t xml:space="preserve">The initiatives </w:t>
      </w:r>
      <w:r w:rsidR="004360F9" w:rsidRPr="005E4A4A">
        <w:rPr>
          <w:color w:val="000000" w:themeColor="text1"/>
          <w:szCs w:val="22"/>
        </w:rPr>
        <w:t xml:space="preserve">supporting </w:t>
      </w:r>
      <w:r w:rsidRPr="005E4A4A">
        <w:rPr>
          <w:color w:val="000000" w:themeColor="text1"/>
          <w:szCs w:val="22"/>
        </w:rPr>
        <w:t xml:space="preserve">this strategy are expected to achieve </w:t>
      </w:r>
      <w:r w:rsidR="004360F9" w:rsidRPr="005E4A4A">
        <w:rPr>
          <w:color w:val="000000" w:themeColor="text1"/>
          <w:szCs w:val="22"/>
        </w:rPr>
        <w:t>four</w:t>
      </w:r>
      <w:r w:rsidRPr="005E4A4A">
        <w:rPr>
          <w:color w:val="000000" w:themeColor="text1"/>
          <w:szCs w:val="22"/>
        </w:rPr>
        <w:t xml:space="preserve"> outcomes</w:t>
      </w:r>
      <w:r w:rsidR="00CF3376">
        <w:rPr>
          <w:color w:val="000000" w:themeColor="text1"/>
          <w:szCs w:val="22"/>
        </w:rPr>
        <w:t>:</w:t>
      </w:r>
    </w:p>
    <w:p w14:paraId="1A887A6A" w14:textId="3D49BCF3" w:rsidR="004360F9" w:rsidRPr="006A1013" w:rsidRDefault="00CF3376" w:rsidP="0080598D">
      <w:pPr>
        <w:pStyle w:val="ListBullet"/>
      </w:pPr>
      <w:r>
        <w:t>w</w:t>
      </w:r>
      <w:r w:rsidR="004360F9" w:rsidRPr="008D6E83">
        <w:t xml:space="preserve">orking to build more capable and </w:t>
      </w:r>
      <w:r w:rsidR="000C6EE0" w:rsidRPr="008D6E83">
        <w:t>legitimate</w:t>
      </w:r>
      <w:r w:rsidR="004360F9" w:rsidRPr="008D6E83">
        <w:t xml:space="preserve"> </w:t>
      </w:r>
      <w:r w:rsidR="000C6EE0" w:rsidRPr="008D6E83">
        <w:t>institutions</w:t>
      </w:r>
      <w:r w:rsidR="004360F9" w:rsidRPr="008D6E83">
        <w:t xml:space="preserve"> in conflict-affected areas</w:t>
      </w:r>
    </w:p>
    <w:p w14:paraId="00CCE60A" w14:textId="1B2D89B3" w:rsidR="004360F9" w:rsidRPr="0073281D" w:rsidRDefault="00CF3376" w:rsidP="0080598D">
      <w:pPr>
        <w:pStyle w:val="ListBullet"/>
      </w:pPr>
      <w:r>
        <w:t>e</w:t>
      </w:r>
      <w:r w:rsidR="004360F9" w:rsidRPr="006A1013">
        <w:t>xpanding economic opportunities for conflict-affected popul</w:t>
      </w:r>
      <w:r w:rsidR="004360F9" w:rsidRPr="00200FDE">
        <w:t>ations</w:t>
      </w:r>
    </w:p>
    <w:p w14:paraId="4FA1C395" w14:textId="3D085133" w:rsidR="004360F9" w:rsidRPr="0073281D" w:rsidRDefault="00CF3376" w:rsidP="0080598D">
      <w:pPr>
        <w:pStyle w:val="ListBullet"/>
      </w:pPr>
      <w:r>
        <w:t>s</w:t>
      </w:r>
      <w:r w:rsidR="004360F9" w:rsidRPr="0073281D">
        <w:t xml:space="preserve">trengthening foundations for a </w:t>
      </w:r>
      <w:r w:rsidR="000C6EE0" w:rsidRPr="0073281D">
        <w:t>negotiated</w:t>
      </w:r>
      <w:r w:rsidR="004360F9" w:rsidRPr="0073281D">
        <w:t xml:space="preserve"> peace</w:t>
      </w:r>
    </w:p>
    <w:p w14:paraId="0BD8FC95" w14:textId="722476FA" w:rsidR="004360F9" w:rsidRPr="00B300AE" w:rsidRDefault="00CF3376" w:rsidP="0080598D">
      <w:pPr>
        <w:pStyle w:val="ListBullet"/>
      </w:pPr>
      <w:proofErr w:type="gramStart"/>
      <w:r>
        <w:t>r</w:t>
      </w:r>
      <w:r w:rsidR="004360F9" w:rsidRPr="0073281D">
        <w:t>educing</w:t>
      </w:r>
      <w:proofErr w:type="gramEnd"/>
      <w:r w:rsidR="004360F9" w:rsidRPr="0073281D">
        <w:t xml:space="preserve"> vulnerabilities for conflict affected populations</w:t>
      </w:r>
      <w:r w:rsidR="00B92337">
        <w:t>.</w:t>
      </w:r>
    </w:p>
    <w:p w14:paraId="04F01698" w14:textId="0B5E2E1E" w:rsidR="00AA7802" w:rsidRPr="00733D7D" w:rsidRDefault="004360F9" w:rsidP="0080598D">
      <w:pPr>
        <w:pStyle w:val="Heading3"/>
      </w:pPr>
      <w:r w:rsidRPr="00733D7D">
        <w:lastRenderedPageBreak/>
        <w:t>Working to bu</w:t>
      </w:r>
      <w:r w:rsidR="00CF3376" w:rsidRPr="00733D7D">
        <w:t>ild</w:t>
      </w:r>
      <w:r w:rsidR="00AA7802" w:rsidRPr="00733D7D">
        <w:t xml:space="preserve"> more capable and legitimate institutions in conflict-affected areas</w:t>
      </w:r>
    </w:p>
    <w:p w14:paraId="099F8656" w14:textId="42B08298" w:rsidR="00AA7802" w:rsidRPr="008F6B31" w:rsidRDefault="00AA7802" w:rsidP="0080598D">
      <w:pPr>
        <w:pStyle w:val="BodyText"/>
      </w:pPr>
      <w:r w:rsidRPr="008F6B31">
        <w:t>The ARMM Regional Government</w:t>
      </w:r>
      <w:r w:rsidR="002838AC">
        <w:t>,</w:t>
      </w:r>
      <w:r w:rsidRPr="008F6B31">
        <w:t xml:space="preserve"> </w:t>
      </w:r>
      <w:r w:rsidR="006A7351">
        <w:t>appointed</w:t>
      </w:r>
      <w:r w:rsidRPr="008F6B31">
        <w:t xml:space="preserve"> by President Aquino </w:t>
      </w:r>
      <w:r w:rsidR="006A7351">
        <w:t>in 2011</w:t>
      </w:r>
      <w:r w:rsidR="002838AC">
        <w:t>,</w:t>
      </w:r>
      <w:r w:rsidR="006A7351">
        <w:t xml:space="preserve"> </w:t>
      </w:r>
      <w:r w:rsidR="00993F93">
        <w:t xml:space="preserve">is </w:t>
      </w:r>
      <w:r w:rsidRPr="008F6B31">
        <w:t xml:space="preserve">committed to reducing widespread fraud and corruption in </w:t>
      </w:r>
      <w:r w:rsidR="005A7F4C">
        <w:t>g</w:t>
      </w:r>
      <w:r w:rsidR="005A7F4C" w:rsidRPr="008F6B31">
        <w:t>overnment</w:t>
      </w:r>
      <w:r w:rsidRPr="008F6B31">
        <w:t>. Australia</w:t>
      </w:r>
      <w:r w:rsidR="00CF3376">
        <w:t>,</w:t>
      </w:r>
      <w:r w:rsidRPr="008F6B31">
        <w:t xml:space="preserve"> in partnership with the World Bank</w:t>
      </w:r>
      <w:r w:rsidR="00CF3376">
        <w:t>,</w:t>
      </w:r>
      <w:r w:rsidRPr="008F6B31">
        <w:t xml:space="preserve"> has supported th</w:t>
      </w:r>
      <w:r w:rsidR="006A7351">
        <w:t xml:space="preserve">is commitment </w:t>
      </w:r>
      <w:r w:rsidRPr="008F6B31">
        <w:t xml:space="preserve">by identifying weaknesses in the </w:t>
      </w:r>
      <w:r w:rsidR="005A7F4C" w:rsidRPr="008F6B31">
        <w:t xml:space="preserve">ARMM </w:t>
      </w:r>
      <w:r w:rsidRPr="008F6B31">
        <w:t>Department of Education</w:t>
      </w:r>
      <w:r w:rsidR="005A7F4C">
        <w:t>’s</w:t>
      </w:r>
      <w:r w:rsidRPr="008F6B31">
        <w:t xml:space="preserve"> financial management processes and planning that are potentially denying communities access to much needed resources. </w:t>
      </w:r>
    </w:p>
    <w:p w14:paraId="47F13ECC" w14:textId="2B0AE4BE" w:rsidR="00AA7802" w:rsidRPr="008F6B31" w:rsidRDefault="00AA7802" w:rsidP="0080598D">
      <w:pPr>
        <w:pStyle w:val="BodyText"/>
      </w:pPr>
      <w:r w:rsidRPr="008F6B31">
        <w:t xml:space="preserve">Australia supported </w:t>
      </w:r>
      <w:r w:rsidR="00405A31">
        <w:t xml:space="preserve">the </w:t>
      </w:r>
      <w:r w:rsidRPr="008F6B31">
        <w:t xml:space="preserve">development of a </w:t>
      </w:r>
      <w:r w:rsidR="005A7F4C" w:rsidRPr="008F6B31">
        <w:t xml:space="preserve">human resource information system </w:t>
      </w:r>
      <w:r w:rsidRPr="008F6B31">
        <w:t xml:space="preserve">database </w:t>
      </w:r>
      <w:r w:rsidR="006A7351">
        <w:t xml:space="preserve">which </w:t>
      </w:r>
      <w:r w:rsidRPr="008F6B31">
        <w:t xml:space="preserve">enabled ARMM officials to cross match payroll items with personnel data. </w:t>
      </w:r>
      <w:proofErr w:type="gramStart"/>
      <w:r w:rsidRPr="008F6B31">
        <w:t>In doing so</w:t>
      </w:r>
      <w:r w:rsidR="00B92337">
        <w:t>,</w:t>
      </w:r>
      <w:r w:rsidRPr="008F6B31">
        <w:t xml:space="preserve"> 500 ‘ghost teachers’ were identified and removed from the payroll</w:t>
      </w:r>
      <w:r w:rsidR="002977B4" w:rsidRPr="008F6B31">
        <w:t xml:space="preserve"> with significant savings in </w:t>
      </w:r>
      <w:r w:rsidRPr="008F6B31">
        <w:t>the personnel budget.</w:t>
      </w:r>
      <w:proofErr w:type="gramEnd"/>
      <w:r w:rsidRPr="008F6B31">
        <w:t xml:space="preserve"> As a result of </w:t>
      </w:r>
      <w:r w:rsidR="00CF3376">
        <w:t xml:space="preserve">Australian </w:t>
      </w:r>
      <w:r w:rsidRPr="008F6B31">
        <w:t xml:space="preserve">technical assistance, </w:t>
      </w:r>
      <w:r w:rsidR="00B2528B" w:rsidRPr="008F6B31">
        <w:t xml:space="preserve">the ARMM Department of </w:t>
      </w:r>
      <w:r w:rsidR="00B80B4F" w:rsidRPr="008F6B31">
        <w:t>Education has</w:t>
      </w:r>
      <w:r w:rsidR="002977B4" w:rsidRPr="008F6B31">
        <w:t xml:space="preserve"> been able to implement</w:t>
      </w:r>
      <w:r w:rsidRPr="008F6B31">
        <w:t xml:space="preserve"> a </w:t>
      </w:r>
      <w:r w:rsidR="006A7351">
        <w:t xml:space="preserve">new </w:t>
      </w:r>
      <w:r w:rsidRPr="008F6B31">
        <w:t xml:space="preserve">transparent process for teacher hiring and deployment which was </w:t>
      </w:r>
      <w:r w:rsidR="006A7351">
        <w:t xml:space="preserve">previously </w:t>
      </w:r>
      <w:r w:rsidRPr="008F6B31">
        <w:t>highly vulnerable to corruption.</w:t>
      </w:r>
      <w:r w:rsidR="00763830" w:rsidRPr="008F6B31">
        <w:t xml:space="preserve"> </w:t>
      </w:r>
      <w:r w:rsidR="00CF3376">
        <w:t>Australian</w:t>
      </w:r>
      <w:r w:rsidRPr="008F6B31">
        <w:t xml:space="preserve"> support has facilitated a significant improvement in the level of trust and the quality of budget dialogue among national agencies </w:t>
      </w:r>
      <w:r w:rsidR="005A7F4C">
        <w:t xml:space="preserve">including the </w:t>
      </w:r>
      <w:r w:rsidRPr="008F6B31">
        <w:t xml:space="preserve">Department of Budget and </w:t>
      </w:r>
      <w:r w:rsidR="00405A31">
        <w:t xml:space="preserve">the </w:t>
      </w:r>
      <w:r w:rsidRPr="008F6B31">
        <w:t xml:space="preserve">Department of Education, </w:t>
      </w:r>
      <w:r w:rsidR="005A7F4C">
        <w:t xml:space="preserve">as well as </w:t>
      </w:r>
      <w:r w:rsidR="005A7F4C" w:rsidRPr="008F6B31">
        <w:t>ARMM</w:t>
      </w:r>
      <w:r w:rsidR="00DA2143">
        <w:t xml:space="preserve"> </w:t>
      </w:r>
      <w:r w:rsidR="005A7F4C">
        <w:t xml:space="preserve">Regional Government </w:t>
      </w:r>
      <w:r w:rsidRPr="008F6B31">
        <w:t xml:space="preserve">and </w:t>
      </w:r>
      <w:r w:rsidR="005A7F4C" w:rsidRPr="008F6B31">
        <w:t>the ARMM Department of Education</w:t>
      </w:r>
      <w:r w:rsidRPr="008F6B31">
        <w:t>. Closing the long standing</w:t>
      </w:r>
      <w:r w:rsidR="0074500F" w:rsidRPr="008F6B31">
        <w:t xml:space="preserve"> </w:t>
      </w:r>
      <w:r w:rsidRPr="008F6B31">
        <w:t>trust gap</w:t>
      </w:r>
      <w:r w:rsidR="0074500F" w:rsidRPr="008F6B31">
        <w:t xml:space="preserve"> </w:t>
      </w:r>
      <w:r w:rsidR="009923BB">
        <w:t xml:space="preserve">has improved the </w:t>
      </w:r>
      <w:r w:rsidRPr="008F6B31">
        <w:t>release</w:t>
      </w:r>
      <w:r w:rsidR="009923BB">
        <w:t xml:space="preserve"> of fund</w:t>
      </w:r>
      <w:r w:rsidRPr="008F6B31">
        <w:t>s for education</w:t>
      </w:r>
      <w:r w:rsidR="00C777B9">
        <w:t xml:space="preserve"> in ARMM.</w:t>
      </w:r>
    </w:p>
    <w:p w14:paraId="0D0302BC" w14:textId="59E2CC59" w:rsidR="00AA7802" w:rsidRPr="008F6B31" w:rsidRDefault="00AA7802" w:rsidP="0080598D">
      <w:pPr>
        <w:pStyle w:val="BodyText"/>
      </w:pPr>
      <w:r w:rsidRPr="008F6B31">
        <w:t xml:space="preserve">A clean-up of the electoral role in ARMM resulted in </w:t>
      </w:r>
      <w:r w:rsidR="002977B4" w:rsidRPr="008F6B31">
        <w:t>477</w:t>
      </w:r>
      <w:r w:rsidR="005A7F4C">
        <w:t xml:space="preserve"> </w:t>
      </w:r>
      <w:r w:rsidR="002977B4" w:rsidRPr="008F6B31">
        <w:t>964</w:t>
      </w:r>
      <w:r w:rsidRPr="008F6B31">
        <w:t xml:space="preserve"> non-existent or ineligible voters being delisted from the area’s new list of voters</w:t>
      </w:r>
      <w:r w:rsidR="0006430D">
        <w:t xml:space="preserve">, </w:t>
      </w:r>
      <w:r w:rsidR="00A16FEA" w:rsidRPr="008F6B31">
        <w:t xml:space="preserve">a cut of 27 per cent. </w:t>
      </w:r>
      <w:r w:rsidR="00BD3B0E">
        <w:t>The Australian Government</w:t>
      </w:r>
      <w:r w:rsidR="003F1A57">
        <w:t xml:space="preserve"> aid program</w:t>
      </w:r>
      <w:r w:rsidRPr="008F6B31">
        <w:t xml:space="preserve">, through our partnership with </w:t>
      </w:r>
      <w:r w:rsidR="005A7F4C" w:rsidRPr="00E10D8E">
        <w:t>The Asia Foundation</w:t>
      </w:r>
      <w:r w:rsidRPr="008F6B31">
        <w:t>, funded the civil society oversight and monitoring of</w:t>
      </w:r>
      <w:r w:rsidR="006A7351">
        <w:t xml:space="preserve"> this</w:t>
      </w:r>
      <w:r w:rsidRPr="008F6B31">
        <w:t xml:space="preserve"> successful voter re-registration process. A civil society presence contributed greatly to the production of an audited book of voters for the first time in ARMM history</w:t>
      </w:r>
      <w:r w:rsidR="005A7F4C">
        <w:t>,</w:t>
      </w:r>
      <w:r w:rsidRPr="008F6B31">
        <w:t xml:space="preserve"> paving</w:t>
      </w:r>
      <w:r w:rsidR="0074500F" w:rsidRPr="008F6B31">
        <w:t xml:space="preserve"> </w:t>
      </w:r>
      <w:r w:rsidRPr="008F6B31">
        <w:t xml:space="preserve">the way for a more orderly, honest, peaceful, and credible elections. </w:t>
      </w:r>
      <w:r w:rsidR="00A16FEA" w:rsidRPr="008F6B31">
        <w:t xml:space="preserve">A clean list of voters will not </w:t>
      </w:r>
      <w:r w:rsidR="008F6B31" w:rsidRPr="008F6B31">
        <w:t>resolve all</w:t>
      </w:r>
      <w:r w:rsidR="00A16FEA" w:rsidRPr="008F6B31">
        <w:t xml:space="preserve"> the problems of ARMM, but it does remove a fertile source of corruption, and provides a useful baseline for future elections as well as a reference point for service delivery agencies to cross-check lists of beneficiaries. This reinforces the synergies between </w:t>
      </w:r>
      <w:r w:rsidR="003F1A57">
        <w:t xml:space="preserve">Australian </w:t>
      </w:r>
      <w:proofErr w:type="gramStart"/>
      <w:r w:rsidR="003F1A57">
        <w:t xml:space="preserve">aid </w:t>
      </w:r>
      <w:r w:rsidR="00A16FEA" w:rsidRPr="008F6B31">
        <w:t xml:space="preserve"> programs</w:t>
      </w:r>
      <w:proofErr w:type="gramEnd"/>
      <w:r w:rsidR="00A16FEA" w:rsidRPr="008F6B31">
        <w:t xml:space="preserve">, whereby our partnership with </w:t>
      </w:r>
      <w:r w:rsidR="005A7F4C" w:rsidRPr="00E10D8E">
        <w:t xml:space="preserve">The Asia Foundation </w:t>
      </w:r>
      <w:r w:rsidR="00A16FEA" w:rsidRPr="008F6B31">
        <w:t>enabled a more open and transparent voter registration to take place</w:t>
      </w:r>
      <w:r w:rsidR="005A7F4C">
        <w:t>,</w:t>
      </w:r>
      <w:r w:rsidR="00A16FEA" w:rsidRPr="008F6B31">
        <w:t xml:space="preserve"> supporting government reform and cleaning up a formerly corrupt system.</w:t>
      </w:r>
    </w:p>
    <w:p w14:paraId="478CABFB" w14:textId="77777777" w:rsidR="00AA7802" w:rsidRPr="00650823" w:rsidRDefault="00AA7802" w:rsidP="0080598D">
      <w:pPr>
        <w:pStyle w:val="Heading3"/>
      </w:pPr>
      <w:r w:rsidRPr="00650823">
        <w:t xml:space="preserve">Strengthening foundations for a negotiated peace </w:t>
      </w:r>
    </w:p>
    <w:p w14:paraId="7AAE932C" w14:textId="244C431A" w:rsidR="002977B4" w:rsidRPr="008F6B31" w:rsidRDefault="002977B4" w:rsidP="0080598D">
      <w:pPr>
        <w:pStyle w:val="BodyText"/>
      </w:pPr>
      <w:r w:rsidRPr="008F6B31">
        <w:t xml:space="preserve">As a result of </w:t>
      </w:r>
      <w:r w:rsidR="008C6086">
        <w:t>Australian</w:t>
      </w:r>
      <w:r w:rsidRPr="008F6B31">
        <w:t xml:space="preserve"> funded security-sector reform activities, the </w:t>
      </w:r>
      <w:r w:rsidR="005A7F4C" w:rsidRPr="008F6B31">
        <w:t xml:space="preserve">chief of staff </w:t>
      </w:r>
      <w:r w:rsidRPr="008F6B31">
        <w:t xml:space="preserve">of the Armed Forces of the Philippines issued a directive to establish a civilian monitoring mechanism for the implementation of the Internal Peace and Security Plan. This institutionalisation of civilian monitoring in security sector reform signalled a significant shift for the </w:t>
      </w:r>
      <w:r w:rsidR="005A7F4C">
        <w:t>armed forces––</w:t>
      </w:r>
      <w:r w:rsidRPr="008F6B31">
        <w:t xml:space="preserve">traditionally the relationship between the military and </w:t>
      </w:r>
      <w:r w:rsidR="005A7F4C">
        <w:t>civil society organisations</w:t>
      </w:r>
      <w:r w:rsidR="005A7F4C" w:rsidRPr="008F6B31">
        <w:t xml:space="preserve"> </w:t>
      </w:r>
      <w:r w:rsidRPr="008F6B31">
        <w:t xml:space="preserve">has been one of mutual mistrust, with limited opportunities to work together. </w:t>
      </w:r>
      <w:r w:rsidR="000C6EE0" w:rsidRPr="008F6B31">
        <w:t>Aus</w:t>
      </w:r>
      <w:r w:rsidR="000C6EE0">
        <w:t>trali</w:t>
      </w:r>
      <w:r w:rsidR="000C6EE0" w:rsidRPr="008F6B31">
        <w:t>a’s</w:t>
      </w:r>
      <w:r w:rsidRPr="008F6B31">
        <w:t xml:space="preserve"> funding for </w:t>
      </w:r>
      <w:r w:rsidR="000A0FA6" w:rsidRPr="008F6B31">
        <w:t xml:space="preserve">a </w:t>
      </w:r>
      <w:r w:rsidRPr="008F6B31">
        <w:t xml:space="preserve">network of </w:t>
      </w:r>
      <w:r w:rsidR="005A7F4C">
        <w:t>civil society organisations</w:t>
      </w:r>
      <w:r w:rsidR="005A7F4C" w:rsidRPr="008F6B31" w:rsidDel="005A7F4C">
        <w:t xml:space="preserve"> </w:t>
      </w:r>
      <w:r w:rsidRPr="008F6B31">
        <w:t xml:space="preserve">has strengthened the transparency and accountability in the </w:t>
      </w:r>
      <w:r w:rsidR="00B2528B" w:rsidRPr="008F6B31">
        <w:t>Armed Forces of the Philippines</w:t>
      </w:r>
      <w:r w:rsidRPr="008F6B31">
        <w:t xml:space="preserve">, as the </w:t>
      </w:r>
      <w:r w:rsidR="00B2528B">
        <w:t>civil society organisations</w:t>
      </w:r>
      <w:r w:rsidR="00B2528B" w:rsidRPr="008F6B31" w:rsidDel="005A7F4C">
        <w:t xml:space="preserve"> </w:t>
      </w:r>
      <w:r w:rsidRPr="008F6B31">
        <w:t>work together with the</w:t>
      </w:r>
      <w:r w:rsidR="00B2528B">
        <w:t>m</w:t>
      </w:r>
      <w:r w:rsidRPr="008F6B31">
        <w:t xml:space="preserve"> to observe, report and recommend actions to ensure the</w:t>
      </w:r>
      <w:r w:rsidR="00AD5280">
        <w:t xml:space="preserve"> </w:t>
      </w:r>
      <w:r w:rsidRPr="008F6B31">
        <w:t xml:space="preserve">reforms are followed through. The mechanism serves as a check and balance. Moreover, the continued presence of </w:t>
      </w:r>
      <w:r w:rsidR="005A7F4C">
        <w:t>civil society organisations</w:t>
      </w:r>
      <w:r w:rsidR="005A7F4C" w:rsidRPr="008F6B31">
        <w:t xml:space="preserve"> </w:t>
      </w:r>
      <w:r w:rsidR="000C6EE0" w:rsidRPr="008F6B31">
        <w:t>has</w:t>
      </w:r>
      <w:r w:rsidRPr="008F6B31">
        <w:t xml:space="preserve"> fostered confidence and trust between the </w:t>
      </w:r>
      <w:r w:rsidR="005A7F4C">
        <w:t>armed forces</w:t>
      </w:r>
      <w:r w:rsidR="005A7F4C" w:rsidRPr="008F6B31">
        <w:t xml:space="preserve"> </w:t>
      </w:r>
      <w:r w:rsidRPr="008F6B31">
        <w:t xml:space="preserve">and the community. This unprecedented approach enables </w:t>
      </w:r>
      <w:r w:rsidR="005A7F4C">
        <w:t xml:space="preserve">civil </w:t>
      </w:r>
      <w:r w:rsidR="00DA2143">
        <w:t>society</w:t>
      </w:r>
      <w:r w:rsidR="005A7F4C">
        <w:t xml:space="preserve"> organisations</w:t>
      </w:r>
      <w:r w:rsidR="005A7F4C" w:rsidRPr="008F6B31">
        <w:t xml:space="preserve"> </w:t>
      </w:r>
      <w:r w:rsidRPr="008F6B31">
        <w:t xml:space="preserve">to play an active role in what was once a closed </w:t>
      </w:r>
      <w:r w:rsidR="005A7F4C" w:rsidRPr="008F6B31">
        <w:t xml:space="preserve">Armed </w:t>
      </w:r>
      <w:proofErr w:type="gramStart"/>
      <w:r w:rsidR="005A7F4C" w:rsidRPr="008F6B31">
        <w:t>Forces</w:t>
      </w:r>
      <w:proofErr w:type="gramEnd"/>
      <w:r w:rsidR="005A7F4C" w:rsidRPr="008F6B31">
        <w:t xml:space="preserve"> of the Philippines </w:t>
      </w:r>
      <w:r w:rsidRPr="008F6B31">
        <w:t>domain.</w:t>
      </w:r>
      <w:r w:rsidR="000A0FA6" w:rsidRPr="008F6B31">
        <w:t xml:space="preserve"> </w:t>
      </w:r>
      <w:r w:rsidR="000D23DB">
        <w:t xml:space="preserve">The presence of </w:t>
      </w:r>
      <w:r w:rsidR="005A7F4C">
        <w:t xml:space="preserve">these </w:t>
      </w:r>
      <w:r w:rsidR="00B2528B">
        <w:t xml:space="preserve">civil society </w:t>
      </w:r>
      <w:r w:rsidR="005A7F4C">
        <w:t>organisations</w:t>
      </w:r>
      <w:r w:rsidR="005A7F4C" w:rsidRPr="008F6B31">
        <w:t xml:space="preserve"> </w:t>
      </w:r>
      <w:r w:rsidR="000D23DB" w:rsidRPr="008F6B31">
        <w:t>influence</w:t>
      </w:r>
      <w:r w:rsidR="005A7F4C">
        <w:t>s</w:t>
      </w:r>
      <w:r w:rsidR="000D23DB" w:rsidRPr="008F6B31">
        <w:t xml:space="preserve"> governance and security reforms in ARMM by ensuring that efforts towards peace </w:t>
      </w:r>
      <w:r w:rsidR="000C6EE0">
        <w:t>are</w:t>
      </w:r>
      <w:r w:rsidR="00C16084">
        <w:t xml:space="preserve"> more respectful </w:t>
      </w:r>
      <w:r w:rsidR="000D23DB" w:rsidRPr="008F6B31">
        <w:t>o</w:t>
      </w:r>
      <w:r w:rsidR="00C16084">
        <w:t>f</w:t>
      </w:r>
      <w:r w:rsidR="000D23DB" w:rsidRPr="008F6B31">
        <w:t xml:space="preserve"> the rights of civilians.</w:t>
      </w:r>
    </w:p>
    <w:p w14:paraId="1650FAC5" w14:textId="7974E502" w:rsidR="00742E3A" w:rsidRPr="008F6B31" w:rsidRDefault="00CF3376" w:rsidP="0080598D">
      <w:pPr>
        <w:pStyle w:val="BodyText"/>
      </w:pPr>
      <w:r>
        <w:t>Australian aid</w:t>
      </w:r>
      <w:r w:rsidR="002977B4" w:rsidRPr="008F6B31">
        <w:t xml:space="preserve"> activities have </w:t>
      </w:r>
      <w:r w:rsidR="00E62359">
        <w:t xml:space="preserve">also </w:t>
      </w:r>
      <w:r w:rsidR="002977B4" w:rsidRPr="008F6B31">
        <w:t>help</w:t>
      </w:r>
      <w:r w:rsidR="00E62359">
        <w:t>ed</w:t>
      </w:r>
      <w:r w:rsidR="002977B4" w:rsidRPr="008F6B31">
        <w:t xml:space="preserve"> women strengthen their voices in the peace process</w:t>
      </w:r>
      <w:r w:rsidR="00E62359">
        <w:t xml:space="preserve"> in Mindanao</w:t>
      </w:r>
      <w:r w:rsidR="002977B4" w:rsidRPr="008F6B31">
        <w:t>. Through the initiative</w:t>
      </w:r>
      <w:r w:rsidR="005A7F4C">
        <w:t>,</w:t>
      </w:r>
      <w:r w:rsidR="002977B4" w:rsidRPr="008F6B31">
        <w:t xml:space="preserve"> Another Mindanao is Possible</w:t>
      </w:r>
      <w:r w:rsidR="00B92337">
        <w:t>,</w:t>
      </w:r>
      <w:r w:rsidR="002977B4" w:rsidRPr="008F6B31">
        <w:t xml:space="preserve"> Australia is providing support to the Mindanao Commission on Women to </w:t>
      </w:r>
      <w:r w:rsidR="005A7F4C">
        <w:t>help</w:t>
      </w:r>
      <w:r w:rsidR="002977B4" w:rsidRPr="008F6B31">
        <w:t xml:space="preserve"> repair the torn social fabric through </w:t>
      </w:r>
      <w:r w:rsidR="002977B4" w:rsidRPr="008F6B31">
        <w:lastRenderedPageBreak/>
        <w:t xml:space="preserve">peace-making and peace-building. </w:t>
      </w:r>
      <w:r w:rsidR="005A7F4C">
        <w:t>The commission</w:t>
      </w:r>
      <w:r w:rsidR="005A7F4C" w:rsidRPr="008F6B31">
        <w:t xml:space="preserve"> </w:t>
      </w:r>
      <w:r w:rsidR="002977B4" w:rsidRPr="008F6B31">
        <w:t>u</w:t>
      </w:r>
      <w:r w:rsidR="005A7F4C">
        <w:t xml:space="preserve">ses </w:t>
      </w:r>
      <w:r w:rsidR="002977B4" w:rsidRPr="008F6B31">
        <w:t>a social entr</w:t>
      </w:r>
      <w:r w:rsidR="003637C6">
        <w:t>epreneurship model to organise peace c</w:t>
      </w:r>
      <w:r w:rsidR="002977B4" w:rsidRPr="008F6B31">
        <w:t xml:space="preserve">ircles through networks at national, regional, provincial and local levels, allowing women a substantive voice in the peace process. </w:t>
      </w:r>
    </w:p>
    <w:p w14:paraId="3BB10DBD" w14:textId="03B5A661" w:rsidR="006A7351" w:rsidRDefault="006A7351" w:rsidP="0080598D">
      <w:pPr>
        <w:pStyle w:val="BodyText"/>
      </w:pPr>
      <w:r>
        <w:t xml:space="preserve">Australia </w:t>
      </w:r>
      <w:r w:rsidR="00624CBC">
        <w:t xml:space="preserve">is </w:t>
      </w:r>
      <w:r>
        <w:t>a valu</w:t>
      </w:r>
      <w:r w:rsidR="00624CBC">
        <w:t xml:space="preserve">ed </w:t>
      </w:r>
      <w:r>
        <w:t>partner in development interventions in Mindanao</w:t>
      </w:r>
      <w:r w:rsidR="00CF3376">
        <w:t xml:space="preserve"> with </w:t>
      </w:r>
      <w:r>
        <w:t xml:space="preserve">wide-ranging and constructive working relationships </w:t>
      </w:r>
      <w:r w:rsidR="005A7F4C">
        <w:t xml:space="preserve">at </w:t>
      </w:r>
      <w:r>
        <w:t>all levels of government in conflict-affected areas</w:t>
      </w:r>
      <w:r w:rsidR="00CF3376">
        <w:t>. Australia has also</w:t>
      </w:r>
      <w:r>
        <w:t xml:space="preserve"> developed a relationship with the </w:t>
      </w:r>
      <w:r w:rsidR="005A7F4C">
        <w:t>Moro Islamic Liberation Front</w:t>
      </w:r>
      <w:r>
        <w:t xml:space="preserve">. </w:t>
      </w:r>
      <w:r w:rsidR="00CF3376">
        <w:t>P</w:t>
      </w:r>
      <w:r>
        <w:t>artner</w:t>
      </w:r>
      <w:r w:rsidR="00CF3376">
        <w:t>ships</w:t>
      </w:r>
      <w:r>
        <w:t xml:space="preserve"> </w:t>
      </w:r>
      <w:r w:rsidR="00CF3376">
        <w:t>have been developed</w:t>
      </w:r>
      <w:r>
        <w:t xml:space="preserve"> with strategic </w:t>
      </w:r>
      <w:r w:rsidR="005A7F4C">
        <w:t xml:space="preserve">civil society organisations </w:t>
      </w:r>
      <w:r w:rsidR="00CF3376">
        <w:t>addressing</w:t>
      </w:r>
      <w:r>
        <w:t xml:space="preserve"> current development challenges</w:t>
      </w:r>
      <w:r w:rsidR="00CF3376">
        <w:t xml:space="preserve">. These organisations </w:t>
      </w:r>
      <w:r>
        <w:t>will be important actors in the proposed transition to the Bangsamoro.</w:t>
      </w:r>
    </w:p>
    <w:p w14:paraId="1268F204" w14:textId="1AC28138" w:rsidR="00E0436A" w:rsidRPr="00E0436A" w:rsidRDefault="00E0436A" w:rsidP="0080598D">
      <w:pPr>
        <w:pStyle w:val="BodyText"/>
      </w:pPr>
      <w:r w:rsidRPr="00E0436A">
        <w:t>The Supporting Peace in Mindanao</w:t>
      </w:r>
      <w:r w:rsidR="00E62359">
        <w:t xml:space="preserve"> </w:t>
      </w:r>
      <w:r w:rsidRPr="00E0436A">
        <w:t xml:space="preserve">initiative is a deliberately flexible mechanism which supports key stakeholders to advance the peace agenda. However management of this initiative is administratively heavy for </w:t>
      </w:r>
      <w:r w:rsidR="003F1A57">
        <w:t>the Australi</w:t>
      </w:r>
      <w:r w:rsidR="00FC6CA4">
        <w:t>a</w:t>
      </w:r>
      <w:r w:rsidR="003F1A57">
        <w:t>n aid program</w:t>
      </w:r>
      <w:r w:rsidRPr="00E0436A">
        <w:t xml:space="preserve">. </w:t>
      </w:r>
      <w:r w:rsidR="005A7F4C">
        <w:t xml:space="preserve">To </w:t>
      </w:r>
      <w:r w:rsidR="00CF3376">
        <w:t>reduce th</w:t>
      </w:r>
      <w:r w:rsidR="003637C6">
        <w:t>is</w:t>
      </w:r>
      <w:r w:rsidR="00CF3376">
        <w:t xml:space="preserve"> administrative burden</w:t>
      </w:r>
      <w:r w:rsidR="00B92337">
        <w:t>,</w:t>
      </w:r>
      <w:r w:rsidR="00CF3376" w:rsidRPr="00E0436A">
        <w:t xml:space="preserve"> </w:t>
      </w:r>
      <w:r w:rsidR="005A7F4C">
        <w:t xml:space="preserve">in the coming year </w:t>
      </w:r>
      <w:r w:rsidR="00BD3B0E">
        <w:t>DFAT</w:t>
      </w:r>
      <w:r w:rsidR="00CF3376" w:rsidRPr="00E0436A">
        <w:t xml:space="preserve"> </w:t>
      </w:r>
      <w:r w:rsidR="003637C6">
        <w:t xml:space="preserve">will </w:t>
      </w:r>
      <w:r w:rsidRPr="00E0436A">
        <w:t xml:space="preserve">streamline peace and security work in line with the </w:t>
      </w:r>
      <w:r w:rsidRPr="00026FE8">
        <w:rPr>
          <w:i/>
        </w:rPr>
        <w:t xml:space="preserve">Mindanao </w:t>
      </w:r>
      <w:r w:rsidR="00CD6DBD" w:rsidRPr="00026FE8">
        <w:rPr>
          <w:i/>
        </w:rPr>
        <w:t>conflict affected areas delivery strategy</w:t>
      </w:r>
      <w:r w:rsidRPr="00E0436A">
        <w:t>.</w:t>
      </w:r>
    </w:p>
    <w:p w14:paraId="5F193B93" w14:textId="77777777" w:rsidR="00806A06" w:rsidRPr="0080598D" w:rsidRDefault="00806A06" w:rsidP="0080598D">
      <w:pPr>
        <w:pStyle w:val="Heading2"/>
      </w:pPr>
      <w:r w:rsidRPr="0080598D">
        <w:t>Objective 5: Supporting the foundations for accountable, transparent, effective and inclusive governance.</w:t>
      </w:r>
    </w:p>
    <w:p w14:paraId="660F521D" w14:textId="61913D70" w:rsidR="0076677C" w:rsidRPr="003637C6" w:rsidRDefault="0076677C" w:rsidP="0080598D">
      <w:pPr>
        <w:pStyle w:val="BodyText"/>
      </w:pPr>
      <w:r w:rsidRPr="003637C6">
        <w:t xml:space="preserve">Progress toward this objective was rated as green. Good progress was made over the review period in modernising public financial management systems and increasing civil society scrutiny with direct support from our </w:t>
      </w:r>
      <w:r w:rsidR="00D3473C" w:rsidRPr="003637C6">
        <w:t xml:space="preserve">public financial management </w:t>
      </w:r>
      <w:r w:rsidR="00D3473C">
        <w:t>p</w:t>
      </w:r>
      <w:r w:rsidRPr="003637C6">
        <w:t>rogram</w:t>
      </w:r>
      <w:r w:rsidRPr="0076677C">
        <w:t>.</w:t>
      </w:r>
      <w:r w:rsidRPr="003637C6">
        <w:t xml:space="preserve"> The Coalitions for Change </w:t>
      </w:r>
      <w:r w:rsidR="00CD6DBD">
        <w:t>p</w:t>
      </w:r>
      <w:r w:rsidR="00CD6DBD" w:rsidRPr="003637C6">
        <w:t xml:space="preserve">rogram </w:t>
      </w:r>
      <w:r w:rsidRPr="003637C6">
        <w:t xml:space="preserve">identified networks to support reform, which helped pass an important tax excise reform bill. Human resource and organisational development was advanced through the </w:t>
      </w:r>
      <w:r w:rsidRPr="00D12E87">
        <w:t xml:space="preserve">cross-cutting </w:t>
      </w:r>
      <w:r w:rsidR="00D12E87">
        <w:t>Human R</w:t>
      </w:r>
      <w:r w:rsidR="00CF3376" w:rsidRPr="00D12E87">
        <w:t xml:space="preserve">esource and </w:t>
      </w:r>
      <w:r w:rsidR="00D12E87">
        <w:t>Organisational D</w:t>
      </w:r>
      <w:r w:rsidR="00CF3376" w:rsidRPr="00D12E87">
        <w:t xml:space="preserve">evelopment </w:t>
      </w:r>
      <w:r w:rsidR="00D12E87">
        <w:t>F</w:t>
      </w:r>
      <w:r w:rsidRPr="00D12E87">
        <w:t>acility. An independent</w:t>
      </w:r>
      <w:r w:rsidRPr="003637C6">
        <w:t xml:space="preserve"> review of </w:t>
      </w:r>
      <w:r w:rsidR="00E2747C">
        <w:t>this</w:t>
      </w:r>
      <w:r w:rsidR="00E2747C" w:rsidRPr="003637C6">
        <w:t xml:space="preserve"> </w:t>
      </w:r>
      <w:r w:rsidRPr="003637C6">
        <w:t>found its successes to be a positive example for other programs.</w:t>
      </w:r>
    </w:p>
    <w:p w14:paraId="6391B8E2" w14:textId="7C1157FC" w:rsidR="00620CC2" w:rsidRDefault="005826CB" w:rsidP="0080598D">
      <w:pPr>
        <w:pStyle w:val="BodyText"/>
      </w:pPr>
      <w:r w:rsidRPr="008F6B31">
        <w:t xml:space="preserve">Recognising that weak governance places </w:t>
      </w:r>
      <w:r w:rsidR="00E62359">
        <w:t xml:space="preserve">restrictions </w:t>
      </w:r>
      <w:r w:rsidRPr="008F6B31">
        <w:t xml:space="preserve">on accelerating development and the priority given by the current administration to addressing governance constraints, </w:t>
      </w:r>
      <w:r w:rsidR="008C6086">
        <w:t>Australia has</w:t>
      </w:r>
      <w:r w:rsidRPr="008F6B31">
        <w:t xml:space="preserve"> established </w:t>
      </w:r>
      <w:r w:rsidR="008C5919">
        <w:t>a</w:t>
      </w:r>
      <w:r w:rsidR="00620CC2">
        <w:t xml:space="preserve"> </w:t>
      </w:r>
      <w:r w:rsidRPr="008F6B31">
        <w:t>cross-cutting governance objective</w:t>
      </w:r>
      <w:r w:rsidR="00620CC2">
        <w:t xml:space="preserve">. </w:t>
      </w:r>
      <w:r w:rsidR="008C5919">
        <w:rPr>
          <w:color w:val="000000" w:themeColor="text1"/>
        </w:rPr>
        <w:t>I</w:t>
      </w:r>
      <w:r w:rsidR="00620CC2" w:rsidRPr="002E031E">
        <w:rPr>
          <w:color w:val="000000" w:themeColor="text1"/>
        </w:rPr>
        <w:t>ni</w:t>
      </w:r>
      <w:r w:rsidR="00620CC2">
        <w:rPr>
          <w:color w:val="000000" w:themeColor="text1"/>
        </w:rPr>
        <w:t>ti</w:t>
      </w:r>
      <w:r w:rsidR="00620CC2" w:rsidRPr="002E031E">
        <w:rPr>
          <w:color w:val="000000" w:themeColor="text1"/>
        </w:rPr>
        <w:t xml:space="preserve">atives in place to support this strategy are expected to achieve </w:t>
      </w:r>
      <w:r w:rsidR="00620CC2">
        <w:rPr>
          <w:color w:val="000000" w:themeColor="text1"/>
        </w:rPr>
        <w:t>four</w:t>
      </w:r>
      <w:r w:rsidR="00620CC2" w:rsidRPr="002E031E">
        <w:rPr>
          <w:color w:val="000000" w:themeColor="text1"/>
        </w:rPr>
        <w:t xml:space="preserve"> outcomes</w:t>
      </w:r>
      <w:r w:rsidR="00620CC2">
        <w:rPr>
          <w:color w:val="000000" w:themeColor="text1"/>
        </w:rPr>
        <w:t>:</w:t>
      </w:r>
    </w:p>
    <w:p w14:paraId="1BC98055" w14:textId="34251EA7" w:rsidR="00620CC2" w:rsidRDefault="008C5919" w:rsidP="0080598D">
      <w:pPr>
        <w:pStyle w:val="ListBullet"/>
      </w:pPr>
      <w:r>
        <w:t>m</w:t>
      </w:r>
      <w:r w:rsidR="00620CC2">
        <w:t xml:space="preserve">ore transparent, efficient and effective </w:t>
      </w:r>
      <w:r w:rsidR="005826CB" w:rsidRPr="008F6B31">
        <w:t>public financial management</w:t>
      </w:r>
    </w:p>
    <w:p w14:paraId="1C4D00D7" w14:textId="7C00C12E" w:rsidR="00620CC2" w:rsidRDefault="00E2747C" w:rsidP="0080598D">
      <w:pPr>
        <w:pStyle w:val="ListBullet"/>
      </w:pPr>
      <w:r>
        <w:t xml:space="preserve">better </w:t>
      </w:r>
      <w:r w:rsidR="00620CC2">
        <w:t>civil society capacity to engage government in con</w:t>
      </w:r>
      <w:r w:rsidR="009511FE">
        <w:t>s</w:t>
      </w:r>
      <w:r w:rsidR="00620CC2">
        <w:t>t</w:t>
      </w:r>
      <w:r w:rsidR="009511FE">
        <w:t>r</w:t>
      </w:r>
      <w:r w:rsidR="00620CC2">
        <w:t>uctive partnerships for reform</w:t>
      </w:r>
    </w:p>
    <w:p w14:paraId="51260847" w14:textId="43FFEA89" w:rsidR="00620CC2" w:rsidRDefault="008C5919" w:rsidP="0080598D">
      <w:pPr>
        <w:pStyle w:val="ListBullet"/>
      </w:pPr>
      <w:r>
        <w:t>i</w:t>
      </w:r>
      <w:r w:rsidR="00620CC2">
        <w:t xml:space="preserve">mproved government capacity to pursue organisational and institutional change, and to partner with civil society, to improve the </w:t>
      </w:r>
      <w:r w:rsidR="000C6EE0">
        <w:t>accountability</w:t>
      </w:r>
      <w:r w:rsidR="00620CC2">
        <w:t xml:space="preserve"> and </w:t>
      </w:r>
      <w:r w:rsidR="000C6EE0">
        <w:t>transparency</w:t>
      </w:r>
      <w:r w:rsidR="00620CC2">
        <w:t xml:space="preserve"> of </w:t>
      </w:r>
      <w:r w:rsidR="000C6EE0">
        <w:t>government operations</w:t>
      </w:r>
    </w:p>
    <w:p w14:paraId="340AF1FD" w14:textId="00C51D97" w:rsidR="00620CC2" w:rsidRDefault="008C5919" w:rsidP="0080598D">
      <w:pPr>
        <w:pStyle w:val="ListBullet"/>
      </w:pPr>
      <w:proofErr w:type="gramStart"/>
      <w:r>
        <w:t>s</w:t>
      </w:r>
      <w:r w:rsidR="00620CC2">
        <w:t>olicited</w:t>
      </w:r>
      <w:proofErr w:type="gramEnd"/>
      <w:r w:rsidR="00620CC2">
        <w:t>, public-</w:t>
      </w:r>
      <w:r w:rsidR="000C6EE0">
        <w:t>private</w:t>
      </w:r>
      <w:r w:rsidR="00620CC2">
        <w:t xml:space="preserve"> partnerships to fund priority </w:t>
      </w:r>
      <w:r w:rsidR="000C6EE0">
        <w:t>infrastructure</w:t>
      </w:r>
      <w:r w:rsidR="00620CC2">
        <w:t xml:space="preserve"> projects through open, competitive bidding established as usual practice</w:t>
      </w:r>
      <w:r>
        <w:t>.</w:t>
      </w:r>
    </w:p>
    <w:p w14:paraId="1F3AAAD3" w14:textId="088EE3C1" w:rsidR="00241165" w:rsidRPr="00650823" w:rsidRDefault="00620CC2" w:rsidP="0080598D">
      <w:pPr>
        <w:pStyle w:val="Heading3"/>
      </w:pPr>
      <w:r w:rsidRPr="00650823">
        <w:t xml:space="preserve">More transparent, efficient and effective </w:t>
      </w:r>
      <w:r w:rsidR="00821EEE" w:rsidRPr="00650823">
        <w:t>public financial management</w:t>
      </w:r>
    </w:p>
    <w:p w14:paraId="28B81208" w14:textId="5AB37A43" w:rsidR="005826CB" w:rsidRPr="008F6B31" w:rsidRDefault="005826CB" w:rsidP="0080598D">
      <w:pPr>
        <w:pStyle w:val="BodyText"/>
      </w:pPr>
      <w:r w:rsidRPr="008F6B31">
        <w:t>The Philippines</w:t>
      </w:r>
      <w:r w:rsidR="008C6086">
        <w:t>–</w:t>
      </w:r>
      <w:r w:rsidRPr="008F6B31">
        <w:t xml:space="preserve">Australia Public Financial Management Program works closely with central finance agencies and large spending departments to implement the Philippine Public Financial Management Reform Roadmap and improve the quality and accountability of public spending. </w:t>
      </w:r>
      <w:r w:rsidRPr="008F6B31">
        <w:rPr>
          <w:rFonts w:cs="Arial"/>
          <w:szCs w:val="16"/>
        </w:rPr>
        <w:t xml:space="preserve">This comprehensive </w:t>
      </w:r>
      <w:r w:rsidR="00E2747C" w:rsidRPr="008F6B31">
        <w:rPr>
          <w:rFonts w:cs="Arial"/>
          <w:szCs w:val="16"/>
        </w:rPr>
        <w:t>p</w:t>
      </w:r>
      <w:r w:rsidR="00E2747C">
        <w:rPr>
          <w:rFonts w:cs="Arial"/>
          <w:szCs w:val="16"/>
        </w:rPr>
        <w:t xml:space="preserve">ublic </w:t>
      </w:r>
      <w:r w:rsidR="00E2747C" w:rsidRPr="008F6B31">
        <w:rPr>
          <w:rFonts w:cs="Arial"/>
          <w:szCs w:val="16"/>
        </w:rPr>
        <w:t>f</w:t>
      </w:r>
      <w:r w:rsidR="00E2747C">
        <w:rPr>
          <w:rFonts w:cs="Arial"/>
          <w:szCs w:val="16"/>
        </w:rPr>
        <w:t xml:space="preserve">inancial </w:t>
      </w:r>
      <w:r w:rsidR="00E2747C" w:rsidRPr="008F6B31">
        <w:rPr>
          <w:rFonts w:cs="Arial"/>
          <w:szCs w:val="16"/>
        </w:rPr>
        <w:t>m</w:t>
      </w:r>
      <w:r w:rsidR="00E2747C">
        <w:rPr>
          <w:rFonts w:cs="Arial"/>
          <w:szCs w:val="16"/>
        </w:rPr>
        <w:t xml:space="preserve">anagement </w:t>
      </w:r>
      <w:r w:rsidRPr="008F6B31">
        <w:rPr>
          <w:rFonts w:cs="Arial"/>
          <w:szCs w:val="16"/>
        </w:rPr>
        <w:t>reform agenda aims to simplify, improve and harmonise the financial management processes and information systems of the Philippines’ bureaucracy.</w:t>
      </w:r>
      <w:r w:rsidR="000A0FA6" w:rsidRPr="008F6B31">
        <w:rPr>
          <w:rFonts w:cs="Arial"/>
          <w:szCs w:val="16"/>
        </w:rPr>
        <w:t xml:space="preserve"> </w:t>
      </w:r>
      <w:r w:rsidRPr="008F6B31">
        <w:t xml:space="preserve">Australia, through the </w:t>
      </w:r>
      <w:r w:rsidR="00CD6DBD">
        <w:t>p</w:t>
      </w:r>
      <w:r w:rsidR="00E2747C">
        <w:t>rogram</w:t>
      </w:r>
      <w:r w:rsidRPr="008F6B31">
        <w:t>, is the lead donor supporting budgeting and expenditure management reforms. With Australia</w:t>
      </w:r>
      <w:r w:rsidR="008C5919">
        <w:t>n</w:t>
      </w:r>
      <w:r w:rsidRPr="008F6B31">
        <w:t xml:space="preserve"> support, the </w:t>
      </w:r>
      <w:r w:rsidR="008C5919">
        <w:t>Philippine</w:t>
      </w:r>
      <w:r w:rsidRPr="008F6B31">
        <w:t xml:space="preserve"> Government made headway in 2012 to modernise its </w:t>
      </w:r>
      <w:r w:rsidR="00E2747C" w:rsidRPr="008F6B31">
        <w:rPr>
          <w:rFonts w:cs="Arial"/>
          <w:szCs w:val="16"/>
        </w:rPr>
        <w:t>p</w:t>
      </w:r>
      <w:r w:rsidR="00E2747C">
        <w:rPr>
          <w:rFonts w:cs="Arial"/>
          <w:szCs w:val="16"/>
        </w:rPr>
        <w:t xml:space="preserve">ublic </w:t>
      </w:r>
      <w:r w:rsidR="00E2747C" w:rsidRPr="008F6B31">
        <w:rPr>
          <w:rFonts w:cs="Arial"/>
          <w:szCs w:val="16"/>
        </w:rPr>
        <w:t>f</w:t>
      </w:r>
      <w:r w:rsidR="00E2747C">
        <w:rPr>
          <w:rFonts w:cs="Arial"/>
          <w:szCs w:val="16"/>
        </w:rPr>
        <w:t xml:space="preserve">inancial </w:t>
      </w:r>
      <w:r w:rsidR="00E2747C" w:rsidRPr="008F6B31">
        <w:rPr>
          <w:rFonts w:cs="Arial"/>
          <w:szCs w:val="16"/>
        </w:rPr>
        <w:t>m</w:t>
      </w:r>
      <w:r w:rsidR="00E2747C">
        <w:rPr>
          <w:rFonts w:cs="Arial"/>
          <w:szCs w:val="16"/>
        </w:rPr>
        <w:t xml:space="preserve">anagement </w:t>
      </w:r>
      <w:r w:rsidRPr="008F6B31">
        <w:t xml:space="preserve">systems. </w:t>
      </w:r>
    </w:p>
    <w:p w14:paraId="38988B48" w14:textId="7AAA107C" w:rsidR="005826CB" w:rsidRPr="008F6B31" w:rsidRDefault="005826CB" w:rsidP="0080598D">
      <w:pPr>
        <w:pStyle w:val="BodyText"/>
      </w:pPr>
      <w:r w:rsidRPr="008F6B31">
        <w:t xml:space="preserve">A conceptual design of the Government Integrated Financial Management Information System was prepared </w:t>
      </w:r>
      <w:r w:rsidR="008F5491">
        <w:t>through</w:t>
      </w:r>
      <w:r w:rsidR="008F5491" w:rsidRPr="008F6B31">
        <w:t xml:space="preserve"> </w:t>
      </w:r>
      <w:r w:rsidRPr="008F6B31">
        <w:t xml:space="preserve">the </w:t>
      </w:r>
      <w:r w:rsidR="008F5491" w:rsidRPr="008F6B31">
        <w:t>Philippines</w:t>
      </w:r>
      <w:r w:rsidR="008F5491">
        <w:t>–</w:t>
      </w:r>
      <w:r w:rsidR="008F5491" w:rsidRPr="008F6B31">
        <w:t>Australia Public Fi</w:t>
      </w:r>
      <w:r w:rsidR="008F5491">
        <w:t xml:space="preserve">nancial Management Program </w:t>
      </w:r>
      <w:r w:rsidRPr="008F6B31">
        <w:t xml:space="preserve">and approved by the </w:t>
      </w:r>
      <w:r w:rsidR="008F5491">
        <w:t>g</w:t>
      </w:r>
      <w:r w:rsidR="008F5491" w:rsidRPr="008F6B31">
        <w:t>overnment</w:t>
      </w:r>
      <w:r w:rsidRPr="008F6B31">
        <w:t>. Th</w:t>
      </w:r>
      <w:r w:rsidR="008C5919">
        <w:t>is system</w:t>
      </w:r>
      <w:r w:rsidRPr="008F6B31">
        <w:t xml:space="preserve"> is one of the largest and most complex </w:t>
      </w:r>
      <w:r w:rsidR="008F5491" w:rsidRPr="008F6B31">
        <w:rPr>
          <w:rFonts w:cs="Arial"/>
          <w:szCs w:val="16"/>
        </w:rPr>
        <w:lastRenderedPageBreak/>
        <w:t>p</w:t>
      </w:r>
      <w:r w:rsidR="008F5491">
        <w:rPr>
          <w:rFonts w:cs="Arial"/>
          <w:szCs w:val="16"/>
        </w:rPr>
        <w:t xml:space="preserve">ublic </w:t>
      </w:r>
      <w:r w:rsidR="008F5491" w:rsidRPr="008F6B31">
        <w:rPr>
          <w:rFonts w:cs="Arial"/>
          <w:szCs w:val="16"/>
        </w:rPr>
        <w:t>f</w:t>
      </w:r>
      <w:r w:rsidR="008F5491">
        <w:rPr>
          <w:rFonts w:cs="Arial"/>
          <w:szCs w:val="16"/>
        </w:rPr>
        <w:t xml:space="preserve">inancial </w:t>
      </w:r>
      <w:r w:rsidR="008F5491" w:rsidRPr="008F6B31">
        <w:rPr>
          <w:rFonts w:cs="Arial"/>
          <w:szCs w:val="16"/>
        </w:rPr>
        <w:t>m</w:t>
      </w:r>
      <w:r w:rsidR="008F5491">
        <w:rPr>
          <w:rFonts w:cs="Arial"/>
          <w:szCs w:val="16"/>
        </w:rPr>
        <w:t xml:space="preserve">anagement </w:t>
      </w:r>
      <w:r w:rsidRPr="008F6B31">
        <w:t xml:space="preserve">projects ever undertaken in the Philippines. It is the centrepiece of the reform program and represents a significant investment to automate </w:t>
      </w:r>
      <w:r w:rsidR="008F5491" w:rsidRPr="008F6B31">
        <w:rPr>
          <w:rFonts w:cs="Arial"/>
          <w:szCs w:val="16"/>
        </w:rPr>
        <w:t>p</w:t>
      </w:r>
      <w:r w:rsidR="008F5491">
        <w:rPr>
          <w:rFonts w:cs="Arial"/>
          <w:szCs w:val="16"/>
        </w:rPr>
        <w:t xml:space="preserve">ublic </w:t>
      </w:r>
      <w:r w:rsidR="008F5491" w:rsidRPr="008F6B31">
        <w:rPr>
          <w:rFonts w:cs="Arial"/>
          <w:szCs w:val="16"/>
        </w:rPr>
        <w:t>f</w:t>
      </w:r>
      <w:r w:rsidR="008F5491">
        <w:rPr>
          <w:rFonts w:cs="Arial"/>
          <w:szCs w:val="16"/>
        </w:rPr>
        <w:t xml:space="preserve">inancial </w:t>
      </w:r>
      <w:r w:rsidR="008F5491" w:rsidRPr="008F6B31">
        <w:rPr>
          <w:rFonts w:cs="Arial"/>
          <w:szCs w:val="16"/>
        </w:rPr>
        <w:t>m</w:t>
      </w:r>
      <w:r w:rsidR="008F5491">
        <w:rPr>
          <w:rFonts w:cs="Arial"/>
          <w:szCs w:val="16"/>
        </w:rPr>
        <w:t xml:space="preserve">anagement </w:t>
      </w:r>
      <w:r w:rsidRPr="008F6B31">
        <w:t xml:space="preserve">systems. When implemented from 2015, the </w:t>
      </w:r>
      <w:r w:rsidR="008C5919">
        <w:t>system</w:t>
      </w:r>
      <w:r w:rsidR="008C5919" w:rsidRPr="008F6B31">
        <w:t xml:space="preserve"> </w:t>
      </w:r>
      <w:r w:rsidRPr="008F6B31">
        <w:t>will replace current manual and paper-based processes, have more than 10</w:t>
      </w:r>
      <w:r w:rsidR="008F5491">
        <w:t xml:space="preserve"> </w:t>
      </w:r>
      <w:r w:rsidRPr="008F6B31">
        <w:t xml:space="preserve">000 government users, and automate several million transactions each year. </w:t>
      </w:r>
    </w:p>
    <w:p w14:paraId="4F2422D8" w14:textId="4DA3BF64" w:rsidR="005826CB" w:rsidRPr="008F6B31" w:rsidRDefault="005826CB" w:rsidP="0080598D">
      <w:pPr>
        <w:pStyle w:val="BodyText"/>
      </w:pPr>
      <w:r w:rsidRPr="008F6B31">
        <w:t xml:space="preserve">Progress was made to improve centralised cash management and budget execution, and potentially enable significant fiscal savings to the government through the introduction of a Treasury Single Account. A functional review and business plan for the </w:t>
      </w:r>
      <w:r w:rsidR="008F5491">
        <w:t>account</w:t>
      </w:r>
      <w:r w:rsidR="008F5491" w:rsidRPr="008F6B31">
        <w:t xml:space="preserve"> </w:t>
      </w:r>
      <w:r w:rsidRPr="008F6B31">
        <w:t xml:space="preserve">was prepared by the </w:t>
      </w:r>
      <w:r w:rsidR="008F5491" w:rsidRPr="008F6B31">
        <w:t>Philippines</w:t>
      </w:r>
      <w:r w:rsidR="008F5491">
        <w:t>–</w:t>
      </w:r>
      <w:r w:rsidR="008F5491" w:rsidRPr="008F6B31">
        <w:t>Australia Public Fi</w:t>
      </w:r>
      <w:r w:rsidR="008F5491">
        <w:t>nancial Management Program</w:t>
      </w:r>
      <w:r w:rsidR="008F5491" w:rsidRPr="008F6B31" w:rsidDel="008F5491">
        <w:t xml:space="preserve"> </w:t>
      </w:r>
      <w:r w:rsidRPr="008F6B31">
        <w:t xml:space="preserve">and approved by the </w:t>
      </w:r>
      <w:r w:rsidR="008F5491">
        <w:t>g</w:t>
      </w:r>
      <w:r w:rsidR="008F5491" w:rsidRPr="008F6B31">
        <w:t>overnment</w:t>
      </w:r>
      <w:r w:rsidRPr="008F6B31">
        <w:t xml:space="preserve">. Estimates show the </w:t>
      </w:r>
      <w:r w:rsidR="008F5491">
        <w:t>account</w:t>
      </w:r>
      <w:r w:rsidR="008F5491" w:rsidRPr="008F6B31">
        <w:t xml:space="preserve"> </w:t>
      </w:r>
      <w:r w:rsidR="000A0FA6" w:rsidRPr="008F6B31">
        <w:t xml:space="preserve">has the potential to </w:t>
      </w:r>
      <w:r w:rsidRPr="008F6B31">
        <w:t>yield savings to the country of up to $75 million a</w:t>
      </w:r>
      <w:r w:rsidR="008F5491">
        <w:t xml:space="preserve"> year</w:t>
      </w:r>
      <w:r w:rsidRPr="008F6B31">
        <w:t>, as well as consolidate up to 9000 government bank accounts and shed light on an area severely lacking transparency.</w:t>
      </w:r>
    </w:p>
    <w:p w14:paraId="3859A291" w14:textId="1DF24C34" w:rsidR="005826CB" w:rsidRPr="008F6B31" w:rsidRDefault="005826CB" w:rsidP="0080598D">
      <w:pPr>
        <w:pStyle w:val="BodyText"/>
      </w:pPr>
      <w:r w:rsidRPr="008F6B31">
        <w:t xml:space="preserve">The </w:t>
      </w:r>
      <w:r w:rsidR="008F5491" w:rsidRPr="008F6B31">
        <w:t>Philippines</w:t>
      </w:r>
      <w:r w:rsidR="008F5491">
        <w:t>–</w:t>
      </w:r>
      <w:r w:rsidR="008F5491" w:rsidRPr="008F6B31">
        <w:t>Australia Public Fi</w:t>
      </w:r>
      <w:r w:rsidR="008F5491">
        <w:t>nancial Management Program</w:t>
      </w:r>
      <w:r w:rsidR="008F5491" w:rsidRPr="008F6B31" w:rsidDel="008F5491">
        <w:t xml:space="preserve"> </w:t>
      </w:r>
      <w:r w:rsidRPr="008F6B31">
        <w:t>also supported greater cooperation between the government and civil society through the Citizen Participatory Audit Project. Launched in 2012, this innovative initiative is enhancing transparency, accountability and citizen participation in the public audit process. Participatory audits of three government spending programs are planned in 2013.</w:t>
      </w:r>
    </w:p>
    <w:p w14:paraId="61BE764E" w14:textId="57DCB800" w:rsidR="00241165" w:rsidRPr="00F61EDA" w:rsidRDefault="009511FE" w:rsidP="0080598D">
      <w:pPr>
        <w:pStyle w:val="Heading3"/>
        <w:rPr>
          <w:i/>
        </w:rPr>
      </w:pPr>
      <w:r w:rsidRPr="00650823">
        <w:t>Improved government capacity to pursue organisational and institutional change</w:t>
      </w:r>
      <w:r w:rsidRPr="00F61EDA">
        <w:rPr>
          <w:i/>
        </w:rPr>
        <w:t xml:space="preserve"> </w:t>
      </w:r>
    </w:p>
    <w:p w14:paraId="62CD822C" w14:textId="49132B41" w:rsidR="005826CB" w:rsidRPr="008F6B31" w:rsidRDefault="005826CB" w:rsidP="0080598D">
      <w:pPr>
        <w:pStyle w:val="BodyText"/>
      </w:pPr>
      <w:r w:rsidRPr="008F6B31">
        <w:t xml:space="preserve">The Human Resource and Organisational Development Facility </w:t>
      </w:r>
      <w:proofErr w:type="gramStart"/>
      <w:r w:rsidRPr="008F6B31">
        <w:t>is</w:t>
      </w:r>
      <w:proofErr w:type="gramEnd"/>
      <w:r w:rsidRPr="008F6B31">
        <w:t xml:space="preserve"> designed to </w:t>
      </w:r>
      <w:r w:rsidR="00F61EDA">
        <w:t xml:space="preserve">build </w:t>
      </w:r>
      <w:r w:rsidR="00514336">
        <w:t>capacity</w:t>
      </w:r>
      <w:r w:rsidR="00F61EDA">
        <w:t xml:space="preserve"> in government agencies</w:t>
      </w:r>
      <w:r w:rsidR="00CD6DBD">
        <w:t>. It is</w:t>
      </w:r>
      <w:r w:rsidR="00F61EDA">
        <w:t xml:space="preserve"> </w:t>
      </w:r>
      <w:r w:rsidRPr="008F6B31">
        <w:t>improv</w:t>
      </w:r>
      <w:r w:rsidR="00CD6DBD">
        <w:t>ing</w:t>
      </w:r>
      <w:r w:rsidRPr="008F6B31">
        <w:t xml:space="preserve"> the effectiveness and sustainability of Australia’s aid programs throu</w:t>
      </w:r>
      <w:r w:rsidR="00D12E87">
        <w:t xml:space="preserve">gh a suite of interventions in </w:t>
      </w:r>
      <w:r w:rsidR="008F5491">
        <w:t>human r</w:t>
      </w:r>
      <w:r w:rsidR="008F5491" w:rsidRPr="008F6B31">
        <w:t xml:space="preserve">esources </w:t>
      </w:r>
      <w:r w:rsidRPr="008F6B31">
        <w:t xml:space="preserve">and organisational development reforms for partner agencies. </w:t>
      </w:r>
      <w:r w:rsidR="00CD6DBD">
        <w:t>The facility</w:t>
      </w:r>
      <w:r w:rsidR="008F5491" w:rsidRPr="008F6B31">
        <w:t xml:space="preserve"> </w:t>
      </w:r>
      <w:r w:rsidRPr="008F6B31">
        <w:t xml:space="preserve">is cross cutting </w:t>
      </w:r>
      <w:r w:rsidR="00CD6DBD">
        <w:t xml:space="preserve">and </w:t>
      </w:r>
      <w:r w:rsidRPr="008F6B31">
        <w:t xml:space="preserve">supports other </w:t>
      </w:r>
      <w:r w:rsidR="008F5491" w:rsidRPr="008F6B31">
        <w:t>sector</w:t>
      </w:r>
      <w:r w:rsidR="008F5491">
        <w:t>-</w:t>
      </w:r>
      <w:r w:rsidRPr="008F6B31">
        <w:t xml:space="preserve">focused programmatic interventions by building the organisational capability of key Philippine </w:t>
      </w:r>
      <w:r w:rsidR="008F5491">
        <w:t>G</w:t>
      </w:r>
      <w:r w:rsidR="008F5491" w:rsidRPr="008F6B31">
        <w:t xml:space="preserve">overnment </w:t>
      </w:r>
      <w:r w:rsidRPr="008F6B31">
        <w:t>agencies.</w:t>
      </w:r>
    </w:p>
    <w:p w14:paraId="0107CB26" w14:textId="698464F8" w:rsidR="005826CB" w:rsidRPr="008F6B31" w:rsidRDefault="005826CB" w:rsidP="0080598D">
      <w:pPr>
        <w:pStyle w:val="BodyText"/>
      </w:pPr>
      <w:r w:rsidRPr="008F6B31">
        <w:t xml:space="preserve">Activities include developing </w:t>
      </w:r>
      <w:r w:rsidR="008F5491">
        <w:t>human r</w:t>
      </w:r>
      <w:r w:rsidR="008F5491" w:rsidRPr="008F6B31">
        <w:t xml:space="preserve">esources </w:t>
      </w:r>
      <w:r w:rsidRPr="008F6B31">
        <w:t>plans and systems</w:t>
      </w:r>
      <w:r w:rsidR="005E64BC">
        <w:t>,</w:t>
      </w:r>
      <w:r w:rsidR="005E64BC" w:rsidRPr="008F6B31">
        <w:t xml:space="preserve"> </w:t>
      </w:r>
      <w:r w:rsidRPr="008F6B31">
        <w:t>improving strategic planning</w:t>
      </w:r>
      <w:r w:rsidR="005E64BC">
        <w:t>,</w:t>
      </w:r>
      <w:r w:rsidR="005E64BC" w:rsidRPr="008F6B31">
        <w:t xml:space="preserve"> </w:t>
      </w:r>
      <w:r w:rsidRPr="008F6B31">
        <w:t>promoting leadership skills</w:t>
      </w:r>
      <w:r w:rsidR="005E64BC">
        <w:t>,</w:t>
      </w:r>
      <w:r w:rsidR="005E64BC" w:rsidRPr="008F6B31">
        <w:t xml:space="preserve"> </w:t>
      </w:r>
      <w:r w:rsidRPr="008F6B31">
        <w:t>undertaking competency-based recruitment</w:t>
      </w:r>
      <w:r w:rsidR="005E64BC">
        <w:t>,</w:t>
      </w:r>
      <w:r w:rsidR="005E64BC" w:rsidRPr="008F6B31">
        <w:t xml:space="preserve"> </w:t>
      </w:r>
      <w:r w:rsidRPr="008F6B31">
        <w:t xml:space="preserve">and change management support. The change theory assumes that strengthening the </w:t>
      </w:r>
      <w:r w:rsidR="005E64BC">
        <w:t>human r</w:t>
      </w:r>
      <w:r w:rsidR="005E64BC" w:rsidRPr="008F6B31">
        <w:t xml:space="preserve">esources </w:t>
      </w:r>
      <w:r w:rsidR="00B24E2E" w:rsidRPr="008F6B31">
        <w:t>and</w:t>
      </w:r>
      <w:r w:rsidR="00B24E2E">
        <w:t xml:space="preserve"> </w:t>
      </w:r>
      <w:r w:rsidR="005E64BC" w:rsidRPr="008F6B31">
        <w:t xml:space="preserve">organisational development </w:t>
      </w:r>
      <w:r w:rsidRPr="008F6B31">
        <w:t xml:space="preserve">systems </w:t>
      </w:r>
      <w:r w:rsidR="00CD6DBD">
        <w:t xml:space="preserve">of these </w:t>
      </w:r>
      <w:r w:rsidR="00CD6DBD" w:rsidRPr="008F6B31">
        <w:t xml:space="preserve">partners </w:t>
      </w:r>
      <w:r w:rsidRPr="008F6B31">
        <w:t xml:space="preserve">enables them to be more effective in fulfilling their mandates and </w:t>
      </w:r>
      <w:r w:rsidR="005E64BC">
        <w:t>helps</w:t>
      </w:r>
      <w:r w:rsidRPr="008F6B31">
        <w:t xml:space="preserve"> the</w:t>
      </w:r>
      <w:r w:rsidR="005E64BC">
        <w:t>m</w:t>
      </w:r>
      <w:r w:rsidRPr="008F6B31">
        <w:t xml:space="preserve"> achieve the development objectives of Australia’s aid program. </w:t>
      </w:r>
    </w:p>
    <w:p w14:paraId="6EB2E8F4" w14:textId="6890B5EF" w:rsidR="005E64BC" w:rsidRDefault="005826CB" w:rsidP="0080598D">
      <w:pPr>
        <w:pStyle w:val="BodyText"/>
      </w:pPr>
      <w:r w:rsidRPr="008F6B31">
        <w:t xml:space="preserve">An independent review of </w:t>
      </w:r>
      <w:r w:rsidR="005E64BC" w:rsidRPr="008F6B31">
        <w:t xml:space="preserve">Human Resource and Organisational Development Facility </w:t>
      </w:r>
      <w:r w:rsidRPr="008F6B31">
        <w:t>carried out in January</w:t>
      </w:r>
      <w:r w:rsidR="005E64BC">
        <w:t xml:space="preserve"> and </w:t>
      </w:r>
      <w:r w:rsidRPr="008F6B31">
        <w:t>February 2013</w:t>
      </w:r>
      <w:r w:rsidRPr="008F6B31">
        <w:rPr>
          <w:rStyle w:val="FootnoteReference"/>
        </w:rPr>
        <w:footnoteReference w:id="15"/>
      </w:r>
      <w:r w:rsidRPr="008F6B31">
        <w:rPr>
          <w:rStyle w:val="FootnoteReference"/>
        </w:rPr>
        <w:t xml:space="preserve"> </w:t>
      </w:r>
      <w:r w:rsidRPr="008F6B31">
        <w:t>found that</w:t>
      </w:r>
      <w:r w:rsidR="005E64BC">
        <w:t>:</w:t>
      </w:r>
    </w:p>
    <w:p w14:paraId="01485C0C" w14:textId="0981ED5F" w:rsidR="005E64BC" w:rsidRPr="0080598D" w:rsidRDefault="005826CB" w:rsidP="0080598D">
      <w:pPr>
        <w:pStyle w:val="BodyText"/>
        <w:rPr>
          <w:i/>
        </w:rPr>
      </w:pPr>
      <w:r w:rsidRPr="0080598D">
        <w:rPr>
          <w:i/>
        </w:rPr>
        <w:t>“AusAID</w:t>
      </w:r>
      <w:r w:rsidR="00160FFD">
        <w:rPr>
          <w:rStyle w:val="FootnoteReference"/>
          <w:i/>
        </w:rPr>
        <w:footnoteReference w:id="16"/>
      </w:r>
      <w:r w:rsidRPr="0080598D">
        <w:rPr>
          <w:i/>
        </w:rPr>
        <w:t xml:space="preserve"> can be very satisfied with its implementation and be prepared to acknowledge that the </w:t>
      </w:r>
      <w:r w:rsidR="005E64BC" w:rsidRPr="0080598D">
        <w:rPr>
          <w:i/>
        </w:rPr>
        <w:t xml:space="preserve">facility </w:t>
      </w:r>
      <w:r w:rsidRPr="0080598D">
        <w:rPr>
          <w:i/>
        </w:rPr>
        <w:t xml:space="preserve">represents a successful program, of which some aspects are transferable to other AusAID programs elsewhere”. </w:t>
      </w:r>
    </w:p>
    <w:p w14:paraId="23091945" w14:textId="70E2EF0D" w:rsidR="005826CB" w:rsidRDefault="005826CB" w:rsidP="0080598D">
      <w:pPr>
        <w:pStyle w:val="BodyText"/>
      </w:pPr>
      <w:r w:rsidRPr="008F6B31">
        <w:t xml:space="preserve">In the same report, partners cited </w:t>
      </w:r>
      <w:r w:rsidR="005E64BC">
        <w:t xml:space="preserve">the </w:t>
      </w:r>
      <w:r w:rsidR="005E64BC" w:rsidRPr="008F6B31">
        <w:t xml:space="preserve">Human Resource and Organisational Development Facility </w:t>
      </w:r>
      <w:r w:rsidRPr="008F6B31">
        <w:t xml:space="preserve">as the pioneer coordinated </w:t>
      </w:r>
      <w:r w:rsidR="005E64BC">
        <w:t>human resources</w:t>
      </w:r>
      <w:r w:rsidRPr="008F6B31">
        <w:t>/</w:t>
      </w:r>
      <w:r w:rsidR="005E64BC" w:rsidRPr="008F6B31">
        <w:t xml:space="preserve">organisational development </w:t>
      </w:r>
      <w:r w:rsidRPr="008F6B31">
        <w:t xml:space="preserve">program for government agencies in the Philippines. </w:t>
      </w:r>
      <w:r w:rsidRPr="008F6B31">
        <w:rPr>
          <w:szCs w:val="22"/>
        </w:rPr>
        <w:t>In the review</w:t>
      </w:r>
      <w:r w:rsidRPr="008F6B31">
        <w:rPr>
          <w:rStyle w:val="FootnoteReference"/>
        </w:rPr>
        <w:footnoteReference w:id="17"/>
      </w:r>
      <w:r w:rsidRPr="008F6B31">
        <w:rPr>
          <w:szCs w:val="22"/>
        </w:rPr>
        <w:t xml:space="preserve"> the Philippine Civil Service Commission highlighted </w:t>
      </w:r>
      <w:r w:rsidR="005E64BC">
        <w:rPr>
          <w:szCs w:val="22"/>
        </w:rPr>
        <w:t>the facility’s</w:t>
      </w:r>
      <w:r w:rsidR="005E64BC" w:rsidRPr="008F6B31">
        <w:rPr>
          <w:szCs w:val="22"/>
        </w:rPr>
        <w:t xml:space="preserve"> </w:t>
      </w:r>
      <w:r w:rsidRPr="008F6B31">
        <w:rPr>
          <w:szCs w:val="22"/>
        </w:rPr>
        <w:t>role in establishing a competent and performing bureaucracy, which is an important step to implementing the country’s development plan.</w:t>
      </w:r>
      <w:r w:rsidR="000A0FA6" w:rsidRPr="008F6B31">
        <w:rPr>
          <w:szCs w:val="22"/>
        </w:rPr>
        <w:t xml:space="preserve"> </w:t>
      </w:r>
      <w:r w:rsidR="000A0FA6" w:rsidRPr="008F6B31">
        <w:t xml:space="preserve">In </w:t>
      </w:r>
      <w:r w:rsidR="000A0FA6" w:rsidRPr="008F6B31">
        <w:lastRenderedPageBreak/>
        <w:t>this respect, Australia is leading reforms and has demonstrated its comparative advantage in this area.</w:t>
      </w:r>
    </w:p>
    <w:p w14:paraId="326071BE" w14:textId="77777777" w:rsidR="009511FE" w:rsidRPr="00650823" w:rsidRDefault="009511FE" w:rsidP="0080598D">
      <w:pPr>
        <w:pStyle w:val="Heading3"/>
      </w:pPr>
      <w:r w:rsidRPr="00650823">
        <w:t>Improved civil society capacity to engage government in constructive partnerships for reform</w:t>
      </w:r>
    </w:p>
    <w:p w14:paraId="074C041C" w14:textId="32644A0F" w:rsidR="005E64BC" w:rsidRDefault="005826CB" w:rsidP="0080598D">
      <w:pPr>
        <w:pStyle w:val="BodyText"/>
      </w:pPr>
      <w:r w:rsidRPr="008F6B31">
        <w:t>To maximise opportunities arising from the current administration’s commitment to expand government-civil society relations</w:t>
      </w:r>
      <w:r w:rsidR="005E64BC">
        <w:t>,</w:t>
      </w:r>
      <w:r w:rsidRPr="008F6B31">
        <w:t xml:space="preserve"> we have initiated a new partnership with </w:t>
      </w:r>
      <w:r w:rsidR="005E64BC" w:rsidRPr="00E10D8E">
        <w:t>The Asia Foundation</w:t>
      </w:r>
      <w:r w:rsidRPr="008F6B31">
        <w:t xml:space="preserve">, a </w:t>
      </w:r>
      <w:r w:rsidR="007A10F8">
        <w:t>proven</w:t>
      </w:r>
      <w:r w:rsidRPr="008F6B31">
        <w:t xml:space="preserve"> </w:t>
      </w:r>
      <w:r w:rsidR="003F1A57">
        <w:t xml:space="preserve">Australian aid </w:t>
      </w:r>
      <w:proofErr w:type="gramStart"/>
      <w:r w:rsidR="003F1A57">
        <w:t xml:space="preserve">program </w:t>
      </w:r>
      <w:r w:rsidR="007A10F8">
        <w:t xml:space="preserve"> </w:t>
      </w:r>
      <w:r w:rsidRPr="008F6B31">
        <w:t>partner</w:t>
      </w:r>
      <w:proofErr w:type="gramEnd"/>
      <w:r w:rsidRPr="008F6B31">
        <w:t xml:space="preserve">. </w:t>
      </w:r>
      <w:r w:rsidR="00821EEE">
        <w:t xml:space="preserve">A core part of the </w:t>
      </w:r>
      <w:r w:rsidR="007A10F8">
        <w:t xml:space="preserve">overall </w:t>
      </w:r>
      <w:r w:rsidRPr="008F6B31">
        <w:t xml:space="preserve">partnership </w:t>
      </w:r>
      <w:r w:rsidR="00821EEE">
        <w:t xml:space="preserve">is </w:t>
      </w:r>
      <w:r w:rsidRPr="008F6B31">
        <w:t xml:space="preserve">Coalitions for Change, which aims to </w:t>
      </w:r>
      <w:r w:rsidR="000C09B4">
        <w:t xml:space="preserve">contribute to </w:t>
      </w:r>
      <w:r w:rsidRPr="008F6B31">
        <w:t xml:space="preserve">positive change in policy formulation and implementation </w:t>
      </w:r>
      <w:r w:rsidR="000C09B4">
        <w:t xml:space="preserve">by supporting </w:t>
      </w:r>
      <w:r w:rsidRPr="008F6B31">
        <w:t xml:space="preserve">civil society-led coalitions and networks. </w:t>
      </w:r>
      <w:r w:rsidR="00B80B4F" w:rsidRPr="008F6B31">
        <w:t>Coalitions for Change</w:t>
      </w:r>
      <w:r w:rsidR="00B80B4F" w:rsidRPr="008F6B31" w:rsidDel="005E64BC">
        <w:t xml:space="preserve"> </w:t>
      </w:r>
      <w:r w:rsidR="00B80B4F" w:rsidRPr="00821EEE">
        <w:t>leverag</w:t>
      </w:r>
      <w:r w:rsidR="00B80B4F">
        <w:t>e</w:t>
      </w:r>
      <w:r w:rsidR="00D15C0B">
        <w:t>s</w:t>
      </w:r>
      <w:r w:rsidR="00B24E2E" w:rsidRPr="00821EEE">
        <w:t xml:space="preserve"> the joint programs of </w:t>
      </w:r>
      <w:r w:rsidR="00E213D2">
        <w:t xml:space="preserve">the Australian aid </w:t>
      </w:r>
      <w:proofErr w:type="gramStart"/>
      <w:r w:rsidR="00E213D2">
        <w:t xml:space="preserve">program </w:t>
      </w:r>
      <w:r w:rsidR="00B24E2E" w:rsidRPr="00821EEE">
        <w:t xml:space="preserve"> and</w:t>
      </w:r>
      <w:proofErr w:type="gramEnd"/>
      <w:r w:rsidR="00B24E2E" w:rsidRPr="00821EEE">
        <w:t xml:space="preserve"> </w:t>
      </w:r>
      <w:r w:rsidR="005E64BC" w:rsidRPr="00E10D8E">
        <w:t>The Asia Foundation</w:t>
      </w:r>
      <w:r w:rsidR="005E64BC">
        <w:t xml:space="preserve"> </w:t>
      </w:r>
      <w:r w:rsidR="00B24E2E" w:rsidRPr="00821EEE">
        <w:t>to</w:t>
      </w:r>
      <w:r w:rsidR="005E64BC">
        <w:t>:</w:t>
      </w:r>
    </w:p>
    <w:p w14:paraId="5D4BA315" w14:textId="04928760" w:rsidR="005E64BC" w:rsidRDefault="00B24E2E" w:rsidP="0080598D">
      <w:pPr>
        <w:pStyle w:val="ListBullet"/>
      </w:pPr>
      <w:r w:rsidRPr="00821EEE">
        <w:t>facilitate and develop capacity for more constructive engagement between government, civil society and other stakeholders</w:t>
      </w:r>
    </w:p>
    <w:p w14:paraId="47A5DC88" w14:textId="750F20D5" w:rsidR="005E64BC" w:rsidRDefault="00B24E2E" w:rsidP="0080598D">
      <w:pPr>
        <w:pStyle w:val="ListBullet"/>
      </w:pPr>
      <w:r w:rsidRPr="00821EEE">
        <w:t xml:space="preserve">expand </w:t>
      </w:r>
      <w:r>
        <w:t xml:space="preserve">stakeholder </w:t>
      </w:r>
      <w:r w:rsidRPr="00821EEE">
        <w:t xml:space="preserve">networks of both </w:t>
      </w:r>
      <w:r w:rsidR="00A953B2" w:rsidRPr="00821EEE">
        <w:t>organi</w:t>
      </w:r>
      <w:r w:rsidR="00A953B2">
        <w:t>s</w:t>
      </w:r>
      <w:r w:rsidR="00A953B2" w:rsidRPr="00821EEE">
        <w:t xml:space="preserve">ations </w:t>
      </w:r>
      <w:r w:rsidRPr="00821EEE">
        <w:t>to facilitate locally-driven policy reform</w:t>
      </w:r>
    </w:p>
    <w:p w14:paraId="74742938" w14:textId="7DD28140" w:rsidR="005E64BC" w:rsidRDefault="00B24E2E" w:rsidP="0080598D">
      <w:pPr>
        <w:pStyle w:val="ListBullet"/>
      </w:pPr>
      <w:r w:rsidRPr="00821EEE">
        <w:t xml:space="preserve">develop </w:t>
      </w:r>
      <w:r>
        <w:t xml:space="preserve">the </w:t>
      </w:r>
      <w:r w:rsidRPr="00821EEE">
        <w:t>capacity of</w:t>
      </w:r>
      <w:r w:rsidR="00D15C0B">
        <w:t>,</w:t>
      </w:r>
      <w:r w:rsidRPr="00821EEE">
        <w:t xml:space="preserve"> and increas</w:t>
      </w:r>
      <w:r w:rsidR="005E64BC">
        <w:t>e</w:t>
      </w:r>
      <w:r w:rsidRPr="00821EEE">
        <w:t xml:space="preserve"> knowledge sharing and collaboration between</w:t>
      </w:r>
      <w:r w:rsidR="00D15C0B">
        <w:t>,</w:t>
      </w:r>
      <w:r w:rsidRPr="00821EEE">
        <w:t xml:space="preserve"> </w:t>
      </w:r>
      <w:r w:rsidR="00E213D2">
        <w:t>the Australian aid program</w:t>
      </w:r>
      <w:r w:rsidRPr="00821EEE">
        <w:t xml:space="preserve"> and T</w:t>
      </w:r>
      <w:r w:rsidR="00CD6DBD">
        <w:t xml:space="preserve">he </w:t>
      </w:r>
      <w:r w:rsidRPr="00821EEE">
        <w:t>A</w:t>
      </w:r>
      <w:r w:rsidR="00CD6DBD">
        <w:t xml:space="preserve">sia </w:t>
      </w:r>
      <w:r w:rsidRPr="00821EEE">
        <w:t>F</w:t>
      </w:r>
      <w:r w:rsidR="00CD6DBD">
        <w:t>oundation</w:t>
      </w:r>
    </w:p>
    <w:p w14:paraId="6F25F463" w14:textId="03FBF4C0" w:rsidR="005E64BC" w:rsidRDefault="00B24E2E" w:rsidP="0080598D">
      <w:pPr>
        <w:pStyle w:val="ListBullet"/>
      </w:pPr>
      <w:r w:rsidRPr="00821EEE">
        <w:t>enhanc</w:t>
      </w:r>
      <w:r w:rsidR="005E64BC">
        <w:t>e</w:t>
      </w:r>
      <w:r w:rsidRPr="00821EEE">
        <w:t xml:space="preserve"> the role of evidence in informing policy reform</w:t>
      </w:r>
    </w:p>
    <w:p w14:paraId="3F146EFB" w14:textId="3F8374FD" w:rsidR="005826CB" w:rsidRPr="008F6B31" w:rsidRDefault="00B24E2E" w:rsidP="0080598D">
      <w:pPr>
        <w:pStyle w:val="ListBullet"/>
      </w:pPr>
      <w:proofErr w:type="gramStart"/>
      <w:r w:rsidRPr="00821EEE">
        <w:t>establish</w:t>
      </w:r>
      <w:proofErr w:type="gramEnd"/>
      <w:r w:rsidRPr="00821EEE">
        <w:t xml:space="preserve"> more integrated approaches for civil society engagement in the design and implementation of programs in areas of common interest for </w:t>
      </w:r>
      <w:r w:rsidR="003019B0">
        <w:t>Australia</w:t>
      </w:r>
      <w:r w:rsidRPr="00821EEE">
        <w:t xml:space="preserve"> and </w:t>
      </w:r>
      <w:r w:rsidR="005E64BC" w:rsidRPr="00E10D8E">
        <w:t>The Asia Foundation</w:t>
      </w:r>
      <w:r w:rsidRPr="008F6B31">
        <w:t>.</w:t>
      </w:r>
    </w:p>
    <w:p w14:paraId="391CC6E6" w14:textId="312BE32E" w:rsidR="00207EE1" w:rsidRDefault="00063CFE" w:rsidP="0080598D">
      <w:pPr>
        <w:pStyle w:val="BodyText"/>
      </w:pPr>
      <w:r>
        <w:t>During 2012</w:t>
      </w:r>
      <w:r w:rsidR="00207EE1">
        <w:t>–</w:t>
      </w:r>
      <w:r>
        <w:t xml:space="preserve">13 </w:t>
      </w:r>
      <w:r w:rsidR="005333FF">
        <w:t>the Australian Government</w:t>
      </w:r>
      <w:r w:rsidR="00E213D2">
        <w:t xml:space="preserve"> aid program</w:t>
      </w:r>
      <w:r w:rsidR="000C09B4">
        <w:t xml:space="preserve"> and </w:t>
      </w:r>
      <w:r w:rsidR="00207EE1" w:rsidRPr="00E10D8E">
        <w:t>The Asia Foundation</w:t>
      </w:r>
      <w:r w:rsidR="00207EE1">
        <w:t xml:space="preserve"> </w:t>
      </w:r>
      <w:r w:rsidR="000C09B4">
        <w:t xml:space="preserve">teams identified </w:t>
      </w:r>
      <w:r w:rsidR="007C3355">
        <w:t xml:space="preserve">a range of </w:t>
      </w:r>
      <w:r w:rsidR="000C09B4">
        <w:t xml:space="preserve">coalitions and networks supporting reform agendas </w:t>
      </w:r>
      <w:r w:rsidR="007C3355">
        <w:t>tha</w:t>
      </w:r>
      <w:r w:rsidR="00B354C8">
        <w:t>t</w:t>
      </w:r>
      <w:r w:rsidR="007C3355">
        <w:t xml:space="preserve"> are </w:t>
      </w:r>
      <w:r w:rsidR="000C09B4">
        <w:t>aligned to</w:t>
      </w:r>
      <w:r w:rsidR="0043617B">
        <w:t>,</w:t>
      </w:r>
      <w:r w:rsidR="000C09B4">
        <w:t xml:space="preserve"> and supportive of</w:t>
      </w:r>
      <w:r w:rsidR="0043617B">
        <w:t>,</w:t>
      </w:r>
      <w:r w:rsidR="000C09B4">
        <w:t xml:space="preserve"> aid program priorities</w:t>
      </w:r>
      <w:r w:rsidR="008C5919">
        <w:t>. These</w:t>
      </w:r>
      <w:r w:rsidR="000C09B4">
        <w:t xml:space="preserve"> includ</w:t>
      </w:r>
      <w:r w:rsidR="008C5919">
        <w:t>ed</w:t>
      </w:r>
      <w:r w:rsidR="007C3355">
        <w:t>:</w:t>
      </w:r>
      <w:r w:rsidR="000C09B4">
        <w:t xml:space="preserve"> </w:t>
      </w:r>
    </w:p>
    <w:p w14:paraId="106A80C3" w14:textId="674472A1" w:rsidR="00207EE1" w:rsidRDefault="000C09B4" w:rsidP="0080598D">
      <w:pPr>
        <w:pStyle w:val="ListBullet"/>
      </w:pPr>
      <w:r>
        <w:t>ARRM governance reform</w:t>
      </w:r>
    </w:p>
    <w:p w14:paraId="3909939D" w14:textId="77777777" w:rsidR="00207EE1" w:rsidRDefault="000C09B4" w:rsidP="0080598D">
      <w:pPr>
        <w:pStyle w:val="ListBullet"/>
      </w:pPr>
      <w:r>
        <w:t>local conflict mitigation</w:t>
      </w:r>
    </w:p>
    <w:p w14:paraId="0F6A6572" w14:textId="4245CC91" w:rsidR="00207EE1" w:rsidRDefault="000C09B4" w:rsidP="0080598D">
      <w:pPr>
        <w:pStyle w:val="ListBullet"/>
      </w:pPr>
      <w:r>
        <w:t xml:space="preserve">local road management in two </w:t>
      </w:r>
      <w:r w:rsidR="00207EE1" w:rsidRPr="008F6B31">
        <w:t>Philippines</w:t>
      </w:r>
      <w:r w:rsidR="00207EE1">
        <w:t>–</w:t>
      </w:r>
      <w:r w:rsidR="00207EE1" w:rsidRPr="008F6B31">
        <w:t xml:space="preserve">Australia Public Financial Management Program </w:t>
      </w:r>
      <w:r w:rsidR="00E62359">
        <w:t xml:space="preserve">targeted </w:t>
      </w:r>
      <w:r>
        <w:t>provinces</w:t>
      </w:r>
    </w:p>
    <w:p w14:paraId="7A5FBE1E" w14:textId="5BCCB83D" w:rsidR="00207EE1" w:rsidRDefault="000C09B4" w:rsidP="0080598D">
      <w:pPr>
        <w:pStyle w:val="ListBullet"/>
      </w:pPr>
      <w:r>
        <w:t>informal settler family communities in Met</w:t>
      </w:r>
      <w:r w:rsidR="00B354C8">
        <w:t>r</w:t>
      </w:r>
      <w:r>
        <w:t>o Manila</w:t>
      </w:r>
    </w:p>
    <w:p w14:paraId="11057932" w14:textId="77777777" w:rsidR="00207EE1" w:rsidRDefault="000C09B4" w:rsidP="0080598D">
      <w:pPr>
        <w:pStyle w:val="ListBullet"/>
      </w:pPr>
      <w:proofErr w:type="gramStart"/>
      <w:r>
        <w:t>classroom</w:t>
      </w:r>
      <w:proofErr w:type="gramEnd"/>
      <w:r>
        <w:t xml:space="preserve"> construction in two cities. </w:t>
      </w:r>
    </w:p>
    <w:p w14:paraId="0DF25F5A" w14:textId="246C9451" w:rsidR="005826CB" w:rsidRPr="008F6B31" w:rsidRDefault="00063CFE" w:rsidP="0080598D">
      <w:pPr>
        <w:pStyle w:val="BodyText"/>
        <w:rPr>
          <w:szCs w:val="22"/>
        </w:rPr>
      </w:pPr>
      <w:r>
        <w:t>At a critical juncture in the reform process</w:t>
      </w:r>
      <w:r w:rsidR="00207EE1">
        <w:t>,</w:t>
      </w:r>
      <w:r>
        <w:t xml:space="preserve"> </w:t>
      </w:r>
      <w:r w:rsidR="00207EE1" w:rsidRPr="008F6B31">
        <w:t>Coalitions for Change</w:t>
      </w:r>
      <w:r w:rsidR="0035573B">
        <w:t>,</w:t>
      </w:r>
      <w:r w:rsidR="005826CB" w:rsidRPr="008F6B31">
        <w:t xml:space="preserve"> </w:t>
      </w:r>
      <w:r>
        <w:t>with other development partners</w:t>
      </w:r>
      <w:r w:rsidR="0035573B">
        <w:t>,</w:t>
      </w:r>
      <w:r>
        <w:t xml:space="preserve"> </w:t>
      </w:r>
      <w:r w:rsidR="00241165">
        <w:t>support</w:t>
      </w:r>
      <w:r w:rsidR="00207EE1">
        <w:t>ed</w:t>
      </w:r>
      <w:r w:rsidR="00241165">
        <w:t xml:space="preserve"> </w:t>
      </w:r>
      <w:r w:rsidR="005826CB" w:rsidRPr="008F6B31">
        <w:t xml:space="preserve">a coalition of organisations </w:t>
      </w:r>
      <w:r w:rsidR="00207EE1">
        <w:t xml:space="preserve">backing </w:t>
      </w:r>
      <w:r w:rsidR="005826CB" w:rsidRPr="008F6B31">
        <w:t xml:space="preserve">the passage of </w:t>
      </w:r>
      <w:r w:rsidR="00241165">
        <w:t xml:space="preserve">a </w:t>
      </w:r>
      <w:r w:rsidR="005826CB" w:rsidRPr="008F6B31">
        <w:t xml:space="preserve">law </w:t>
      </w:r>
      <w:r w:rsidR="00241165">
        <w:t xml:space="preserve">that will </w:t>
      </w:r>
      <w:r w:rsidR="00241165" w:rsidRPr="008F6B31">
        <w:t xml:space="preserve">deliver </w:t>
      </w:r>
      <w:r>
        <w:t xml:space="preserve">estimated </w:t>
      </w:r>
      <w:r w:rsidR="00241165" w:rsidRPr="008F6B31">
        <w:t xml:space="preserve">additional </w:t>
      </w:r>
      <w:r>
        <w:t xml:space="preserve">revenues of </w:t>
      </w:r>
      <w:r w:rsidR="00241165" w:rsidRPr="008F6B31">
        <w:t xml:space="preserve">$796 million </w:t>
      </w:r>
      <w:r w:rsidR="007C3355">
        <w:t xml:space="preserve">a year </w:t>
      </w:r>
      <w:r w:rsidR="00241165" w:rsidRPr="008F6B31">
        <w:t>to cover universal health care costs</w:t>
      </w:r>
      <w:r w:rsidR="00241165" w:rsidRPr="008F6B31" w:rsidDel="00241165">
        <w:t xml:space="preserve"> </w:t>
      </w:r>
      <w:r w:rsidR="00241165">
        <w:t xml:space="preserve">through an increase </w:t>
      </w:r>
      <w:r w:rsidR="00207EE1">
        <w:t xml:space="preserve">of </w:t>
      </w:r>
      <w:r w:rsidR="005826CB" w:rsidRPr="008F6B31">
        <w:t>excise tax</w:t>
      </w:r>
      <w:r w:rsidR="00241165">
        <w:t>es</w:t>
      </w:r>
      <w:r w:rsidR="005826CB" w:rsidRPr="008F6B31">
        <w:t xml:space="preserve"> </w:t>
      </w:r>
      <w:r w:rsidR="00241165">
        <w:t xml:space="preserve">on </w:t>
      </w:r>
      <w:r w:rsidR="005826CB" w:rsidRPr="008F6B31">
        <w:t xml:space="preserve">tobacco and alcohol, the first successful excise tax reform in 15 years. </w:t>
      </w:r>
      <w:r w:rsidR="00207EE1" w:rsidRPr="008F6B31">
        <w:t xml:space="preserve">Coalitions for Change </w:t>
      </w:r>
      <w:r w:rsidR="005826CB" w:rsidRPr="008F6B31">
        <w:t xml:space="preserve">also supported a coalition that provided civil society oversight for the re-registration of voters in </w:t>
      </w:r>
      <w:r w:rsidR="007C3355">
        <w:t xml:space="preserve">ARMM which </w:t>
      </w:r>
      <w:r w:rsidR="00207EE1">
        <w:t>helped</w:t>
      </w:r>
      <w:r w:rsidR="007C3355">
        <w:t xml:space="preserve"> improv</w:t>
      </w:r>
      <w:r w:rsidR="00207EE1">
        <w:t xml:space="preserve">e </w:t>
      </w:r>
      <w:r w:rsidR="007C3355">
        <w:t xml:space="preserve">the credibility of </w:t>
      </w:r>
      <w:r w:rsidR="0043617B">
        <w:t xml:space="preserve">its </w:t>
      </w:r>
      <w:r w:rsidR="007C3355">
        <w:t>electoral process</w:t>
      </w:r>
      <w:r w:rsidR="005826CB" w:rsidRPr="008F6B31">
        <w:t xml:space="preserve">. </w:t>
      </w:r>
      <w:r w:rsidR="00A236BE" w:rsidRPr="008F6B31">
        <w:t xml:space="preserve">The </w:t>
      </w:r>
      <w:r w:rsidR="000A0FA6" w:rsidRPr="008F6B31">
        <w:t xml:space="preserve">partnership with </w:t>
      </w:r>
      <w:r w:rsidR="00207EE1" w:rsidRPr="00E10D8E">
        <w:t xml:space="preserve">The Asia Foundation </w:t>
      </w:r>
      <w:r w:rsidR="007C3355">
        <w:t xml:space="preserve">also </w:t>
      </w:r>
      <w:r w:rsidR="00207EE1">
        <w:t>helped</w:t>
      </w:r>
      <w:r w:rsidR="00A236BE" w:rsidRPr="008F6B31">
        <w:t xml:space="preserve"> improv</w:t>
      </w:r>
      <w:r w:rsidR="00207EE1">
        <w:t xml:space="preserve">e </w:t>
      </w:r>
      <w:r w:rsidR="00A236BE" w:rsidRPr="008F6B31">
        <w:t>the lives of Filipino</w:t>
      </w:r>
      <w:r w:rsidR="007C3355">
        <w:t>s</w:t>
      </w:r>
      <w:r w:rsidR="00A236BE" w:rsidRPr="008F6B31">
        <w:t xml:space="preserve"> with disabilit</w:t>
      </w:r>
      <w:r w:rsidR="00207EE1">
        <w:t xml:space="preserve">y </w:t>
      </w:r>
      <w:r w:rsidR="00A236BE" w:rsidRPr="008F6B31">
        <w:t>by helping increase their participation in the May 2013 elections</w:t>
      </w:r>
      <w:r w:rsidR="007C3355">
        <w:t xml:space="preserve"> </w:t>
      </w:r>
      <w:r w:rsidR="008C5919">
        <w:t xml:space="preserve">through </w:t>
      </w:r>
      <w:r w:rsidR="005826CB" w:rsidRPr="008F6B31">
        <w:t xml:space="preserve">a campaign led by a coalition of </w:t>
      </w:r>
      <w:r w:rsidR="00207EE1">
        <w:t xml:space="preserve">civil </w:t>
      </w:r>
      <w:r w:rsidR="00DA2143">
        <w:t>society</w:t>
      </w:r>
      <w:r w:rsidR="00207EE1">
        <w:t xml:space="preserve"> organisations</w:t>
      </w:r>
      <w:r w:rsidR="005826CB" w:rsidRPr="008F6B31">
        <w:t>, government, media and private sector actors</w:t>
      </w:r>
      <w:r w:rsidR="008C5919">
        <w:t>. This campaign</w:t>
      </w:r>
      <w:r w:rsidR="007C3355">
        <w:t xml:space="preserve"> </w:t>
      </w:r>
      <w:r w:rsidR="005826CB" w:rsidRPr="008F6B31">
        <w:t>result</w:t>
      </w:r>
      <w:r w:rsidR="007C3355">
        <w:t>ed</w:t>
      </w:r>
      <w:r w:rsidR="005826CB" w:rsidRPr="008F6B31">
        <w:t xml:space="preserve"> in </w:t>
      </w:r>
      <w:r w:rsidR="00A236BE" w:rsidRPr="008F6B31">
        <w:t>a 19</w:t>
      </w:r>
      <w:r w:rsidR="007C3355">
        <w:t xml:space="preserve"> per cent</w:t>
      </w:r>
      <w:r w:rsidR="00A236BE" w:rsidRPr="008F6B31">
        <w:t xml:space="preserve"> increase in registrations of people with disabilit</w:t>
      </w:r>
      <w:r w:rsidR="00207EE1">
        <w:t>y</w:t>
      </w:r>
      <w:r w:rsidR="00D15C0B">
        <w:t>––</w:t>
      </w:r>
      <w:r w:rsidR="008C5919">
        <w:t>more than</w:t>
      </w:r>
      <w:r w:rsidR="005826CB" w:rsidRPr="008F6B31">
        <w:t xml:space="preserve"> 65</w:t>
      </w:r>
      <w:r w:rsidR="008D6E83">
        <w:t xml:space="preserve"> </w:t>
      </w:r>
      <w:r w:rsidR="005826CB" w:rsidRPr="008F6B31">
        <w:t xml:space="preserve">000 </w:t>
      </w:r>
      <w:r w:rsidR="00207EE1">
        <w:t>people</w:t>
      </w:r>
      <w:r w:rsidR="005826CB" w:rsidRPr="008F6B31">
        <w:rPr>
          <w:szCs w:val="22"/>
        </w:rPr>
        <w:t>.</w:t>
      </w:r>
      <w:r w:rsidR="00A236BE" w:rsidRPr="008F6B31">
        <w:t xml:space="preserve"> </w:t>
      </w:r>
      <w:r w:rsidR="00207EE1" w:rsidRPr="00E10D8E">
        <w:t xml:space="preserve">The Asia Foundation </w:t>
      </w:r>
      <w:r w:rsidR="007A10F8">
        <w:t>has also successfully taken on management responsibility for administering the Philippines</w:t>
      </w:r>
      <w:r w:rsidR="00207EE1">
        <w:t>–</w:t>
      </w:r>
      <w:r w:rsidR="007A10F8">
        <w:t xml:space="preserve">Australia Community Assistance Program, </w:t>
      </w:r>
      <w:r w:rsidR="008C5919">
        <w:t xml:space="preserve">a </w:t>
      </w:r>
      <w:r w:rsidR="007A10F8">
        <w:t xml:space="preserve">long-standing </w:t>
      </w:r>
      <w:r w:rsidR="008C5919">
        <w:t xml:space="preserve">Australian aid </w:t>
      </w:r>
      <w:r w:rsidR="007A10F8">
        <w:t xml:space="preserve">small grants program for local </w:t>
      </w:r>
      <w:r w:rsidR="00207EE1">
        <w:t>civil society organisations</w:t>
      </w:r>
      <w:r w:rsidR="007A10F8">
        <w:t>.</w:t>
      </w:r>
    </w:p>
    <w:p w14:paraId="41F2D417" w14:textId="4242EDD5" w:rsidR="008C5919" w:rsidRPr="00650823" w:rsidRDefault="009511FE" w:rsidP="0080598D">
      <w:pPr>
        <w:pStyle w:val="Heading3"/>
      </w:pPr>
      <w:r w:rsidRPr="00650823">
        <w:lastRenderedPageBreak/>
        <w:t>Solicited, public-</w:t>
      </w:r>
      <w:r w:rsidR="00B24E2E" w:rsidRPr="00650823">
        <w:t>private</w:t>
      </w:r>
      <w:r w:rsidRPr="00650823">
        <w:t xml:space="preserve"> partnerships to fund priority </w:t>
      </w:r>
      <w:r w:rsidR="00B24E2E" w:rsidRPr="00650823">
        <w:t>infrastructure</w:t>
      </w:r>
      <w:r w:rsidRPr="00650823">
        <w:t xml:space="preserve"> projects through open, competitive bidding established as usual practice</w:t>
      </w:r>
      <w:r w:rsidRPr="00650823" w:rsidDel="009511FE">
        <w:t xml:space="preserve"> </w:t>
      </w:r>
    </w:p>
    <w:p w14:paraId="1BF2877A" w14:textId="7BB72A4F" w:rsidR="005826CB" w:rsidRPr="008F6B31" w:rsidRDefault="00CE1C5B" w:rsidP="0080598D">
      <w:pPr>
        <w:pStyle w:val="BodyText"/>
      </w:pPr>
      <w:r>
        <w:t xml:space="preserve">Australian support to </w:t>
      </w:r>
      <w:r w:rsidR="00207EE1">
        <w:t>public-private p</w:t>
      </w:r>
      <w:r w:rsidR="00207EE1" w:rsidRPr="008F6B31">
        <w:t xml:space="preserve">artnership </w:t>
      </w:r>
      <w:r w:rsidR="005826CB" w:rsidRPr="008F6B31">
        <w:t xml:space="preserve">reforms helped the </w:t>
      </w:r>
      <w:r w:rsidR="008C5919">
        <w:t xml:space="preserve">Philippine </w:t>
      </w:r>
      <w:r w:rsidR="005826CB" w:rsidRPr="008F6B31">
        <w:t xml:space="preserve">Government achieve </w:t>
      </w:r>
      <w:r w:rsidR="00207EE1">
        <w:t>its</w:t>
      </w:r>
      <w:r w:rsidR="00207EE1" w:rsidRPr="008F6B31">
        <w:t xml:space="preserve"> </w:t>
      </w:r>
      <w:r w:rsidR="005826CB" w:rsidRPr="008F6B31">
        <w:t xml:space="preserve">target of </w:t>
      </w:r>
      <w:r w:rsidR="009511FE">
        <w:t>tender</w:t>
      </w:r>
      <w:r w:rsidR="0043617B">
        <w:t>ing</w:t>
      </w:r>
      <w:r w:rsidR="009511FE">
        <w:t xml:space="preserve"> </w:t>
      </w:r>
      <w:r w:rsidR="005826CB" w:rsidRPr="008F6B31">
        <w:t xml:space="preserve">eight projects with a combined value of around $3 </w:t>
      </w:r>
      <w:r w:rsidR="00B24E2E" w:rsidRPr="008F6B31">
        <w:t xml:space="preserve">billion. </w:t>
      </w:r>
      <w:r w:rsidR="008C5919">
        <w:t>Australian</w:t>
      </w:r>
      <w:r w:rsidR="005826CB" w:rsidRPr="008F6B31">
        <w:t xml:space="preserve"> support has been instrumental in generating increased momentum in improving transparency, regulatory and governance arrangements for preparing and tendering viable projects. When compared regionally and globally, the Philipp</w:t>
      </w:r>
      <w:r w:rsidR="008F1691">
        <w:t xml:space="preserve">ines </w:t>
      </w:r>
      <w:r w:rsidR="00207EE1">
        <w:t>public-private p</w:t>
      </w:r>
      <w:r w:rsidR="00207EE1" w:rsidRPr="008F6B31">
        <w:t xml:space="preserve">artnership </w:t>
      </w:r>
      <w:r w:rsidR="008F1691">
        <w:t>program is making</w:t>
      </w:r>
      <w:r w:rsidR="005826CB" w:rsidRPr="008F6B31">
        <w:t xml:space="preserve"> </w:t>
      </w:r>
      <w:r w:rsidR="00420A68">
        <w:t xml:space="preserve">good </w:t>
      </w:r>
      <w:r w:rsidR="005826CB" w:rsidRPr="008F6B31">
        <w:t>progress in delivering key infrastructure projects. Australia worked through the A</w:t>
      </w:r>
      <w:r w:rsidR="00207EE1">
        <w:t xml:space="preserve">sian </w:t>
      </w:r>
      <w:r w:rsidR="005826CB" w:rsidRPr="008F6B31">
        <w:t>D</w:t>
      </w:r>
      <w:r w:rsidR="00207EE1">
        <w:t xml:space="preserve">evelopment </w:t>
      </w:r>
      <w:r w:rsidR="005826CB" w:rsidRPr="008F6B31">
        <w:t>B</w:t>
      </w:r>
      <w:r w:rsidR="00207EE1">
        <w:t>ank</w:t>
      </w:r>
      <w:r w:rsidR="005826CB" w:rsidRPr="008F6B31">
        <w:t xml:space="preserve">, World Bank, and International Finance Corporation to leverage multilateral expertise for both policy and transaction advisory support. This is the first substantial co-financing arrangement between </w:t>
      </w:r>
      <w:r w:rsidR="005333FF">
        <w:t>the Australian Government</w:t>
      </w:r>
      <w:r w:rsidR="00E213D2">
        <w:t xml:space="preserve"> aid program</w:t>
      </w:r>
      <w:r w:rsidR="005826CB" w:rsidRPr="008F6B31">
        <w:t xml:space="preserve"> and the A</w:t>
      </w:r>
      <w:r w:rsidR="00207EE1">
        <w:t xml:space="preserve">sian </w:t>
      </w:r>
      <w:r w:rsidR="005826CB" w:rsidRPr="008F6B31">
        <w:t>D</w:t>
      </w:r>
      <w:r w:rsidR="00207EE1">
        <w:t xml:space="preserve">evelopment </w:t>
      </w:r>
      <w:r w:rsidR="005826CB" w:rsidRPr="008F6B31">
        <w:t>B</w:t>
      </w:r>
      <w:r w:rsidR="00207EE1">
        <w:t>ank</w:t>
      </w:r>
      <w:r w:rsidR="005826CB" w:rsidRPr="008F6B31">
        <w:t xml:space="preserve"> in the Philippines for many years. A mid-term review of the </w:t>
      </w:r>
      <w:r w:rsidR="00207EE1">
        <w:t>public-private p</w:t>
      </w:r>
      <w:r w:rsidR="00207EE1" w:rsidRPr="008F6B31">
        <w:t xml:space="preserve">artnership </w:t>
      </w:r>
      <w:r w:rsidR="005826CB" w:rsidRPr="008F6B31">
        <w:t>program is currently being undertaken</w:t>
      </w:r>
      <w:r w:rsidR="00D535BA">
        <w:t>, and</w:t>
      </w:r>
      <w:r w:rsidR="005826CB" w:rsidRPr="008F6B31">
        <w:t xml:space="preserve"> will provide recommendations to guide future support. </w:t>
      </w:r>
    </w:p>
    <w:p w14:paraId="424414A8" w14:textId="14D38DAE" w:rsidR="005826CB" w:rsidRDefault="005826CB" w:rsidP="0080598D">
      <w:pPr>
        <w:pStyle w:val="BodyText"/>
      </w:pPr>
      <w:r w:rsidRPr="008F6B31">
        <w:t xml:space="preserve">During 2012 Australia began supporting the Philippine </w:t>
      </w:r>
      <w:r w:rsidR="009511FE">
        <w:t>G</w:t>
      </w:r>
      <w:r w:rsidRPr="008F6B31">
        <w:t xml:space="preserve">overnment to participate in the Extractive Industries Transparency Initiative. Small-scale support has been provided to a range of initiatives essential to the </w:t>
      </w:r>
      <w:r w:rsidR="00207EE1">
        <w:t>g</w:t>
      </w:r>
      <w:r w:rsidR="00207EE1" w:rsidRPr="008F6B31">
        <w:t>overnment’</w:t>
      </w:r>
      <w:r w:rsidR="00207EE1">
        <w:t>s</w:t>
      </w:r>
      <w:r w:rsidR="00207EE1" w:rsidRPr="008F6B31">
        <w:t xml:space="preserve"> </w:t>
      </w:r>
      <w:r w:rsidRPr="008F6B31">
        <w:t xml:space="preserve">application for candidature to the </w:t>
      </w:r>
      <w:r w:rsidR="0043617B">
        <w:t>initiative</w:t>
      </w:r>
      <w:r w:rsidRPr="008F6B31">
        <w:t xml:space="preserve">. The Philippines was accepted as a candidate country at the </w:t>
      </w:r>
      <w:r w:rsidR="008C5919">
        <w:t xml:space="preserve">global </w:t>
      </w:r>
      <w:r w:rsidR="0043617B" w:rsidRPr="008F6B31">
        <w:t xml:space="preserve">Extractive Industries Transparency Initiative </w:t>
      </w:r>
      <w:r w:rsidRPr="008F6B31">
        <w:t xml:space="preserve">conference </w:t>
      </w:r>
      <w:r w:rsidR="00CE1C5B">
        <w:t xml:space="preserve">held </w:t>
      </w:r>
      <w:r w:rsidRPr="008F6B31">
        <w:t>in Sydney in May 2013. Now that th</w:t>
      </w:r>
      <w:r w:rsidR="00207EE1">
        <w:t xml:space="preserve">is has occurred, </w:t>
      </w:r>
      <w:r w:rsidR="008C5919">
        <w:t>Australia</w:t>
      </w:r>
      <w:r w:rsidR="008C5919" w:rsidRPr="008F6B31">
        <w:t xml:space="preserve"> </w:t>
      </w:r>
      <w:r w:rsidRPr="008F6B31">
        <w:t xml:space="preserve">will continue to support the </w:t>
      </w:r>
      <w:r w:rsidR="00207EE1">
        <w:t>g</w:t>
      </w:r>
      <w:r w:rsidR="00207EE1" w:rsidRPr="008F6B31">
        <w:t xml:space="preserve">overnment </w:t>
      </w:r>
      <w:r w:rsidRPr="008F6B31">
        <w:t xml:space="preserve">through the candidature process </w:t>
      </w:r>
      <w:r w:rsidR="00C16084">
        <w:t xml:space="preserve">through its </w:t>
      </w:r>
      <w:r w:rsidRPr="008F6B31">
        <w:t>contributi</w:t>
      </w:r>
      <w:r w:rsidR="00C16084">
        <w:t>o</w:t>
      </w:r>
      <w:r w:rsidR="00D15C0B">
        <w:t>n t</w:t>
      </w:r>
      <w:r w:rsidRPr="008F6B31">
        <w:t xml:space="preserve">o the global multi-donor trust fund. </w:t>
      </w:r>
    </w:p>
    <w:p w14:paraId="48D959DB" w14:textId="42463409" w:rsidR="00860C7F" w:rsidRPr="00860C7F" w:rsidRDefault="000208EB" w:rsidP="0080598D">
      <w:pPr>
        <w:pStyle w:val="BodyText"/>
      </w:pPr>
      <w:r>
        <w:t xml:space="preserve">A key challenge in the year </w:t>
      </w:r>
      <w:r w:rsidR="000D23DB">
        <w:t>ahead will</w:t>
      </w:r>
      <w:r>
        <w:t xml:space="preserve"> be producing </w:t>
      </w:r>
      <w:r w:rsidR="00514336">
        <w:t xml:space="preserve">a </w:t>
      </w:r>
      <w:r w:rsidR="00514336" w:rsidRPr="00860C7F">
        <w:t xml:space="preserve">governance document </w:t>
      </w:r>
      <w:r w:rsidR="00514336">
        <w:t>that</w:t>
      </w:r>
      <w:r>
        <w:t xml:space="preserve"> clearly articulates </w:t>
      </w:r>
      <w:r w:rsidR="00514336">
        <w:t xml:space="preserve">our </w:t>
      </w:r>
      <w:r w:rsidR="00514336" w:rsidRPr="00860C7F">
        <w:t>overarching</w:t>
      </w:r>
      <w:r w:rsidR="00860C7F" w:rsidRPr="00860C7F">
        <w:t xml:space="preserve"> approach and logic behind </w:t>
      </w:r>
      <w:r>
        <w:t>cross-cutting governance initiatives</w:t>
      </w:r>
      <w:r w:rsidR="00860C7F" w:rsidRPr="00860C7F">
        <w:t xml:space="preserve">. </w:t>
      </w:r>
    </w:p>
    <w:p w14:paraId="555904D1" w14:textId="77777777" w:rsidR="007A10F8" w:rsidRPr="00650823" w:rsidRDefault="007A10F8" w:rsidP="0080598D">
      <w:pPr>
        <w:pStyle w:val="Heading3"/>
      </w:pPr>
      <w:r w:rsidRPr="00650823">
        <w:t>Supporting gender equality and disability-inclusive development</w:t>
      </w:r>
    </w:p>
    <w:p w14:paraId="531AB318" w14:textId="73183313" w:rsidR="00E66D95" w:rsidRPr="008F6B31" w:rsidRDefault="00E66D95" w:rsidP="0080598D">
      <w:pPr>
        <w:pStyle w:val="BodyText"/>
      </w:pPr>
      <w:r w:rsidRPr="008F6B31">
        <w:t xml:space="preserve">The Philippines program is developing </w:t>
      </w:r>
      <w:r w:rsidR="00207EE1" w:rsidRPr="008F6B31">
        <w:t xml:space="preserve">gender and disability notes </w:t>
      </w:r>
      <w:r w:rsidRPr="008F6B31">
        <w:t xml:space="preserve">to guide work in these two areas. The </w:t>
      </w:r>
      <w:r w:rsidR="00207EE1">
        <w:t>n</w:t>
      </w:r>
      <w:r w:rsidR="00207EE1" w:rsidRPr="008F6B31">
        <w:t>otes</w:t>
      </w:r>
      <w:r w:rsidR="008C5919">
        <w:t>, to be completed in 2013,</w:t>
      </w:r>
      <w:r w:rsidRPr="008F6B31">
        <w:t xml:space="preserve"> will</w:t>
      </w:r>
      <w:r w:rsidR="0043617B" w:rsidRPr="008F6B31">
        <w:t>, where appropriate</w:t>
      </w:r>
      <w:r w:rsidR="0043617B">
        <w:t>,</w:t>
      </w:r>
      <w:r w:rsidR="0043617B" w:rsidRPr="008F6B31">
        <w:t xml:space="preserve"> </w:t>
      </w:r>
      <w:r w:rsidRPr="008F6B31">
        <w:t xml:space="preserve">identify entry points for gender and disability in </w:t>
      </w:r>
      <w:r w:rsidR="00C16084">
        <w:t>further</w:t>
      </w:r>
      <w:r w:rsidRPr="008F6B31">
        <w:t xml:space="preserve"> areas of the program.</w:t>
      </w:r>
    </w:p>
    <w:p w14:paraId="42559282" w14:textId="629B3BF6" w:rsidR="00FE2630" w:rsidRPr="008F1691" w:rsidRDefault="00993F93" w:rsidP="0080598D">
      <w:pPr>
        <w:pStyle w:val="Heading3"/>
      </w:pPr>
      <w:r w:rsidRPr="008F1691">
        <w:t>Whole</w:t>
      </w:r>
      <w:r>
        <w:t>-</w:t>
      </w:r>
      <w:r w:rsidRPr="008F1691">
        <w:t>of</w:t>
      </w:r>
      <w:r>
        <w:t>-g</w:t>
      </w:r>
      <w:r w:rsidRPr="008F1691">
        <w:t xml:space="preserve">overnment </w:t>
      </w:r>
    </w:p>
    <w:p w14:paraId="67E2698E" w14:textId="1B9BBAA6" w:rsidR="00620B13" w:rsidRPr="008F6B31" w:rsidRDefault="00620B13" w:rsidP="0080598D">
      <w:pPr>
        <w:pStyle w:val="BodyText"/>
      </w:pPr>
      <w:r w:rsidRPr="008F6B31">
        <w:t xml:space="preserve">Approximately </w:t>
      </w:r>
      <w:r w:rsidR="00F5028F" w:rsidRPr="008F6B31">
        <w:t>2.9 per cent</w:t>
      </w:r>
      <w:r w:rsidRPr="008F6B31">
        <w:t xml:space="preserve"> of official development assistance to the Philippines is delivered by other federal government agencies. </w:t>
      </w:r>
      <w:r w:rsidR="008C5919">
        <w:t>O</w:t>
      </w:r>
      <w:r w:rsidR="008C5919" w:rsidRPr="008F6B31">
        <w:t xml:space="preserve">fficial development assistance </w:t>
      </w:r>
      <w:r w:rsidRPr="008F6B31">
        <w:t>to the Philippines was delivered through</w:t>
      </w:r>
      <w:r w:rsidR="00207EE1">
        <w:t xml:space="preserve"> the</w:t>
      </w:r>
      <w:r w:rsidR="009511FE">
        <w:t>:</w:t>
      </w:r>
      <w:r w:rsidRPr="008F6B31">
        <w:t xml:space="preserve"> </w:t>
      </w:r>
    </w:p>
    <w:p w14:paraId="73F84EBD" w14:textId="2C6BD79B" w:rsidR="00620B13" w:rsidRPr="000415BA" w:rsidRDefault="00620B13" w:rsidP="0080598D">
      <w:pPr>
        <w:pStyle w:val="ListBullet"/>
      </w:pPr>
      <w:r w:rsidRPr="00411455">
        <w:t>Department of Foreign Affairs and Trade (three projects</w:t>
      </w:r>
      <w:r w:rsidR="009511FE" w:rsidRPr="00A47A1C">
        <w:t xml:space="preserve"> valued at</w:t>
      </w:r>
      <w:r w:rsidR="00F5028F" w:rsidRPr="00A47A1C">
        <w:t xml:space="preserve"> $55</w:t>
      </w:r>
      <w:r w:rsidR="00151162" w:rsidRPr="006D43FD">
        <w:t xml:space="preserve"> </w:t>
      </w:r>
      <w:r w:rsidR="00F5028F" w:rsidRPr="006D43FD">
        <w:t>500</w:t>
      </w:r>
      <w:r w:rsidRPr="006D43FD">
        <w:t>)</w:t>
      </w:r>
    </w:p>
    <w:p w14:paraId="17F1A6EB" w14:textId="383685DE" w:rsidR="00620B13" w:rsidRPr="000C6D0E" w:rsidRDefault="00620B13" w:rsidP="0080598D">
      <w:pPr>
        <w:pStyle w:val="ListBullet"/>
      </w:pPr>
      <w:r w:rsidRPr="000C6D0E">
        <w:t>A</w:t>
      </w:r>
      <w:r w:rsidR="00207EE1" w:rsidRPr="000C6D0E">
        <w:t xml:space="preserve">ustralian </w:t>
      </w:r>
      <w:r w:rsidRPr="000C6D0E">
        <w:t>C</w:t>
      </w:r>
      <w:r w:rsidR="00207EE1" w:rsidRPr="000C6D0E">
        <w:t xml:space="preserve">entre for </w:t>
      </w:r>
      <w:r w:rsidRPr="000C6D0E">
        <w:t>I</w:t>
      </w:r>
      <w:r w:rsidR="00207EE1" w:rsidRPr="000C6D0E">
        <w:t xml:space="preserve">nternational </w:t>
      </w:r>
      <w:r w:rsidRPr="000C6D0E">
        <w:t>A</w:t>
      </w:r>
      <w:r w:rsidR="00207EE1" w:rsidRPr="000C6D0E">
        <w:t xml:space="preserve">gricultural </w:t>
      </w:r>
      <w:r w:rsidRPr="000C6D0E">
        <w:t>R</w:t>
      </w:r>
      <w:r w:rsidR="00207EE1" w:rsidRPr="000C6D0E">
        <w:t>esearch</w:t>
      </w:r>
      <w:r w:rsidRPr="000C6D0E">
        <w:t xml:space="preserve"> (seven projects </w:t>
      </w:r>
      <w:r w:rsidR="009511FE" w:rsidRPr="000C6D0E">
        <w:t xml:space="preserve">valued at </w:t>
      </w:r>
      <w:r w:rsidRPr="000C6D0E">
        <w:t>$1.45</w:t>
      </w:r>
      <w:r w:rsidR="00D535BA" w:rsidRPr="000C6D0E">
        <w:t xml:space="preserve"> million</w:t>
      </w:r>
      <w:r w:rsidRPr="000C6D0E">
        <w:t>)</w:t>
      </w:r>
    </w:p>
    <w:p w14:paraId="2C9D3B65" w14:textId="5399F9CF" w:rsidR="00620B13" w:rsidRPr="000C6D0E" w:rsidRDefault="00D535BA" w:rsidP="0080598D">
      <w:pPr>
        <w:pStyle w:val="ListBullet"/>
      </w:pPr>
      <w:r w:rsidRPr="000C6D0E">
        <w:t xml:space="preserve">the Department of </w:t>
      </w:r>
      <w:r w:rsidR="00620B13" w:rsidRPr="000C6D0E">
        <w:t>Agricultural, Fisheries and Forestry (one project</w:t>
      </w:r>
      <w:r w:rsidR="009511FE" w:rsidRPr="000C6D0E">
        <w:t xml:space="preserve"> valued at</w:t>
      </w:r>
      <w:r w:rsidR="00F5028F" w:rsidRPr="000C6D0E">
        <w:t xml:space="preserve"> </w:t>
      </w:r>
      <w:r w:rsidR="00151162" w:rsidRPr="000C6D0E">
        <w:br/>
      </w:r>
      <w:r w:rsidR="00F5028F" w:rsidRPr="000C6D0E">
        <w:t>$55</w:t>
      </w:r>
      <w:r w:rsidR="00151162" w:rsidRPr="000C6D0E">
        <w:t xml:space="preserve"> </w:t>
      </w:r>
      <w:r w:rsidR="00F5028F" w:rsidRPr="000C6D0E">
        <w:t>000</w:t>
      </w:r>
      <w:r w:rsidR="00620B13" w:rsidRPr="000C6D0E">
        <w:t>)</w:t>
      </w:r>
    </w:p>
    <w:p w14:paraId="26FC6A1C" w14:textId="6E12A961" w:rsidR="00620B13" w:rsidRPr="000C6D0E" w:rsidRDefault="00620B13" w:rsidP="0080598D">
      <w:pPr>
        <w:pStyle w:val="ListBullet"/>
      </w:pPr>
      <w:r w:rsidRPr="000C6D0E">
        <w:t>Health and Ageing (two National Health and Medical Research Centre projects</w:t>
      </w:r>
      <w:r w:rsidR="009511FE" w:rsidRPr="000C6D0E">
        <w:t xml:space="preserve"> valued at</w:t>
      </w:r>
      <w:r w:rsidRPr="000C6D0E">
        <w:t xml:space="preserve"> $0.47</w:t>
      </w:r>
      <w:r w:rsidR="00D535BA" w:rsidRPr="000C6D0E">
        <w:t xml:space="preserve"> million</w:t>
      </w:r>
      <w:r w:rsidRPr="000C6D0E">
        <w:t>)</w:t>
      </w:r>
    </w:p>
    <w:p w14:paraId="3C7F7489" w14:textId="3B0668F6" w:rsidR="00620B13" w:rsidRPr="000C6D0E" w:rsidRDefault="00620B13" w:rsidP="0080598D">
      <w:pPr>
        <w:pStyle w:val="ListBullet"/>
      </w:pPr>
      <w:r w:rsidRPr="000C6D0E">
        <w:t>Immigration and Citizenship</w:t>
      </w:r>
      <w:r w:rsidR="00F5028F" w:rsidRPr="000C6D0E">
        <w:t xml:space="preserve"> (one project</w:t>
      </w:r>
      <w:r w:rsidR="009511FE" w:rsidRPr="000C6D0E">
        <w:t xml:space="preserve"> valued at</w:t>
      </w:r>
      <w:r w:rsidR="00F5028F" w:rsidRPr="000C6D0E">
        <w:t xml:space="preserve"> $10</w:t>
      </w:r>
      <w:r w:rsidR="00151162" w:rsidRPr="000C6D0E">
        <w:t xml:space="preserve"> </w:t>
      </w:r>
      <w:r w:rsidR="00F5028F" w:rsidRPr="000C6D0E">
        <w:t>500)</w:t>
      </w:r>
    </w:p>
    <w:p w14:paraId="00A686BD" w14:textId="2DDFFBF2" w:rsidR="00620B13" w:rsidRPr="000C6D0E" w:rsidRDefault="00D535BA" w:rsidP="0080598D">
      <w:pPr>
        <w:pStyle w:val="ListBullet"/>
      </w:pPr>
      <w:r w:rsidRPr="000C6D0E">
        <w:t xml:space="preserve">Department of </w:t>
      </w:r>
      <w:r w:rsidR="00620B13" w:rsidRPr="000C6D0E">
        <w:t>Industry, Innovation, Science, Research and Tertiary Education (</w:t>
      </w:r>
      <w:r w:rsidR="008C5919" w:rsidRPr="000C6D0E">
        <w:t>two</w:t>
      </w:r>
      <w:r w:rsidR="00620B13" w:rsidRPr="000C6D0E">
        <w:t xml:space="preserve"> projects including one through A</w:t>
      </w:r>
      <w:r w:rsidR="00151162" w:rsidRPr="000C6D0E">
        <w:t xml:space="preserve">ustralian </w:t>
      </w:r>
      <w:r w:rsidR="00620B13" w:rsidRPr="000C6D0E">
        <w:t>N</w:t>
      </w:r>
      <w:r w:rsidR="00151162" w:rsidRPr="000C6D0E">
        <w:t xml:space="preserve">uclear </w:t>
      </w:r>
      <w:r w:rsidR="00620B13" w:rsidRPr="000C6D0E">
        <w:t>S</w:t>
      </w:r>
      <w:r w:rsidR="00151162" w:rsidRPr="000C6D0E">
        <w:t xml:space="preserve">cience and </w:t>
      </w:r>
      <w:r w:rsidR="00620B13" w:rsidRPr="000C6D0E">
        <w:t>T</w:t>
      </w:r>
      <w:r w:rsidR="00151162" w:rsidRPr="000C6D0E">
        <w:t xml:space="preserve">echnology </w:t>
      </w:r>
      <w:r w:rsidR="00620B13" w:rsidRPr="000C6D0E">
        <w:t>O</w:t>
      </w:r>
      <w:r w:rsidR="00151162" w:rsidRPr="000C6D0E">
        <w:t>rganisation</w:t>
      </w:r>
      <w:r w:rsidR="00620B13" w:rsidRPr="000C6D0E">
        <w:t xml:space="preserve"> </w:t>
      </w:r>
      <w:r w:rsidR="009511FE" w:rsidRPr="000C6D0E">
        <w:t xml:space="preserve">valued at </w:t>
      </w:r>
      <w:r w:rsidR="00620B13" w:rsidRPr="000C6D0E">
        <w:t>$1.75</w:t>
      </w:r>
      <w:r w:rsidRPr="000C6D0E">
        <w:t xml:space="preserve"> million</w:t>
      </w:r>
      <w:r w:rsidR="00620B13" w:rsidRPr="000C6D0E">
        <w:t>)</w:t>
      </w:r>
    </w:p>
    <w:p w14:paraId="0F8BA168" w14:textId="6ACE0D0D" w:rsidR="00620B13" w:rsidRPr="000C6D0E" w:rsidRDefault="00620B13" w:rsidP="0080598D">
      <w:pPr>
        <w:pStyle w:val="ListBullet"/>
      </w:pPr>
      <w:r w:rsidRPr="000C6D0E">
        <w:t>Infrastructure and Transport (one project</w:t>
      </w:r>
      <w:r w:rsidR="009511FE" w:rsidRPr="000C6D0E">
        <w:t xml:space="preserve"> valued at</w:t>
      </w:r>
      <w:r w:rsidRPr="000C6D0E">
        <w:t xml:space="preserve"> $</w:t>
      </w:r>
      <w:r w:rsidR="00F5028F" w:rsidRPr="000C6D0E">
        <w:t>64</w:t>
      </w:r>
      <w:r w:rsidR="00151162" w:rsidRPr="000C6D0E">
        <w:t xml:space="preserve"> </w:t>
      </w:r>
      <w:r w:rsidRPr="000C6D0E">
        <w:t>000).</w:t>
      </w:r>
    </w:p>
    <w:p w14:paraId="7ABBD4B7" w14:textId="7DD7ABB2" w:rsidR="000A0FA6" w:rsidRPr="008F6B31" w:rsidRDefault="000A0FA6" w:rsidP="0080598D">
      <w:pPr>
        <w:pStyle w:val="Heading3"/>
      </w:pPr>
      <w:r w:rsidRPr="008F6B31">
        <w:lastRenderedPageBreak/>
        <w:t xml:space="preserve">Aid </w:t>
      </w:r>
      <w:r w:rsidR="00151162">
        <w:t>e</w:t>
      </w:r>
      <w:r w:rsidR="00151162" w:rsidRPr="008F6B31">
        <w:t>ffectiveness</w:t>
      </w:r>
    </w:p>
    <w:p w14:paraId="12DC7631" w14:textId="783242D2" w:rsidR="003C6892" w:rsidRPr="008F6B31" w:rsidRDefault="00F13FC9" w:rsidP="0080598D">
      <w:pPr>
        <w:pStyle w:val="BodyText"/>
      </w:pPr>
      <w:r w:rsidRPr="008F6B31">
        <w:t>As p</w:t>
      </w:r>
      <w:r w:rsidR="003C6892" w:rsidRPr="008F6B31">
        <w:t xml:space="preserve">art of </w:t>
      </w:r>
      <w:r w:rsidR="00D535BA">
        <w:t xml:space="preserve">the </w:t>
      </w:r>
      <w:r w:rsidR="00D535BA" w:rsidRPr="008F6B31">
        <w:t>OECD</w:t>
      </w:r>
      <w:r w:rsidR="00D535BA">
        <w:t>-DAC</w:t>
      </w:r>
      <w:r w:rsidR="00D535BA" w:rsidRPr="008F6B31">
        <w:t xml:space="preserve"> </w:t>
      </w:r>
      <w:r w:rsidR="003C6892" w:rsidRPr="008F6B31">
        <w:t>review</w:t>
      </w:r>
      <w:r w:rsidR="00D535BA">
        <w:t>, a</w:t>
      </w:r>
      <w:r w:rsidR="003C6892" w:rsidRPr="008F6B31">
        <w:t xml:space="preserve"> field visit to the Philippines</w:t>
      </w:r>
      <w:r w:rsidR="00D535BA">
        <w:t xml:space="preserve"> was conducted</w:t>
      </w:r>
      <w:r w:rsidR="003C6892" w:rsidRPr="008F6B31">
        <w:t>. The review found that even though Australian aid is only a small fraction of the Philippine economy, the two countries maintain a trusted bilateral partnership built on clear mutual interests and a deep understanding of the political, social, economic and regional context.</w:t>
      </w:r>
      <w:r w:rsidR="000A0FA6" w:rsidRPr="008F6B31">
        <w:t xml:space="preserve"> </w:t>
      </w:r>
      <w:r w:rsidR="003C6892" w:rsidRPr="008F6B31">
        <w:t xml:space="preserve">The review found that the </w:t>
      </w:r>
      <w:r w:rsidR="00875B38">
        <w:t xml:space="preserve">Philippine </w:t>
      </w:r>
      <w:r w:rsidR="009511FE">
        <w:t>G</w:t>
      </w:r>
      <w:r w:rsidR="00035C2E">
        <w:t>overnment</w:t>
      </w:r>
      <w:r w:rsidR="003C6892" w:rsidRPr="008F6B31">
        <w:t xml:space="preserve"> values Australia’s concentration on a limited number of key sectors. These include education and improving government capacity to deliver basic services at national and local levels.</w:t>
      </w:r>
    </w:p>
    <w:p w14:paraId="2EAF01DB" w14:textId="5327A5FB" w:rsidR="00620B13" w:rsidRPr="008F6B31" w:rsidRDefault="003C6892" w:rsidP="0080598D">
      <w:pPr>
        <w:pStyle w:val="BodyText"/>
      </w:pPr>
      <w:r w:rsidRPr="008F6B31">
        <w:t xml:space="preserve">The </w:t>
      </w:r>
      <w:r w:rsidR="005A4B63" w:rsidRPr="008F6B31">
        <w:t xml:space="preserve">field visit found the </w:t>
      </w:r>
      <w:r w:rsidRPr="008F6B31">
        <w:t>Philippines program is preparing the ground for using country system</w:t>
      </w:r>
      <w:r w:rsidR="00F13FC9" w:rsidRPr="008F6B31">
        <w:t>s</w:t>
      </w:r>
      <w:r w:rsidRPr="008F6B31">
        <w:t xml:space="preserve">. Australia’s 10-year commitment with the </w:t>
      </w:r>
      <w:r w:rsidR="00151162" w:rsidRPr="008F6B31">
        <w:t xml:space="preserve">Philippines </w:t>
      </w:r>
      <w:r w:rsidR="00151162">
        <w:t>Government</w:t>
      </w:r>
      <w:r w:rsidR="00151162" w:rsidRPr="008F6B31">
        <w:t xml:space="preserve"> </w:t>
      </w:r>
      <w:r w:rsidRPr="008F6B31">
        <w:t xml:space="preserve">to develop capacity in the public financial management system and to reinforce government accountability in a country with weak financial execution </w:t>
      </w:r>
      <w:r w:rsidR="00B80B4F" w:rsidRPr="008F6B31">
        <w:t>rates</w:t>
      </w:r>
      <w:r w:rsidRPr="008F6B31">
        <w:t xml:space="preserve"> was praised by several partners.</w:t>
      </w:r>
      <w:r w:rsidR="000A0FA6" w:rsidRPr="008F6B31">
        <w:t xml:space="preserve"> </w:t>
      </w:r>
      <w:r w:rsidR="006D6107" w:rsidRPr="008F6B31">
        <w:t xml:space="preserve">The review also found that </w:t>
      </w:r>
      <w:r w:rsidR="00E213D2">
        <w:t>the Australian aid program</w:t>
      </w:r>
      <w:r w:rsidRPr="008F6B31">
        <w:t xml:space="preserve"> is implementing part of its program using the Philippines’ country systems</w:t>
      </w:r>
      <w:r w:rsidR="005A4B63" w:rsidRPr="008F6B31">
        <w:t>. I</w:t>
      </w:r>
      <w:r w:rsidRPr="008F6B31">
        <w:t xml:space="preserve">t has recently published an assessment of national systems, and has channelled performance-linked aid to provincial governments through the Provincial Road Management Facility. </w:t>
      </w:r>
      <w:r w:rsidR="004F65BC">
        <w:t xml:space="preserve">Further, </w:t>
      </w:r>
      <w:r w:rsidRPr="008F6B31">
        <w:t xml:space="preserve">Australia’s support to the education sector is progressively being channelled directly to the Department of Education using government systems. </w:t>
      </w:r>
    </w:p>
    <w:p w14:paraId="0AE6F00D" w14:textId="13FF4778" w:rsidR="00180B19" w:rsidRPr="0080598D" w:rsidRDefault="00180B19" w:rsidP="0080598D">
      <w:pPr>
        <w:pStyle w:val="Heading2"/>
      </w:pPr>
      <w:r w:rsidRPr="0080598D">
        <w:t>Quality at Imp</w:t>
      </w:r>
      <w:r w:rsidR="00FE2630" w:rsidRPr="0080598D">
        <w:t xml:space="preserve">lementation </w:t>
      </w:r>
      <w:r w:rsidR="00151162" w:rsidRPr="0080598D">
        <w:t>ratings</w:t>
      </w:r>
    </w:p>
    <w:p w14:paraId="5893CCC2" w14:textId="411BF033" w:rsidR="00EE0F42" w:rsidRPr="008F6B31" w:rsidRDefault="00875B38" w:rsidP="0080598D">
      <w:pPr>
        <w:pStyle w:val="BodyText"/>
      </w:pPr>
      <w:r>
        <w:t>Quality at Implementation (</w:t>
      </w:r>
      <w:r w:rsidR="009B176B" w:rsidRPr="008F6B31">
        <w:t>QAI</w:t>
      </w:r>
      <w:r>
        <w:t>)</w:t>
      </w:r>
      <w:r w:rsidR="00EE0F42" w:rsidRPr="008F6B31">
        <w:t xml:space="preserve"> reports were completed for all </w:t>
      </w:r>
      <w:r w:rsidR="00151162">
        <w:t>19</w:t>
      </w:r>
      <w:r w:rsidR="00151162" w:rsidRPr="008F6B31">
        <w:t xml:space="preserve"> </w:t>
      </w:r>
      <w:r w:rsidR="00EE0F42" w:rsidRPr="008F6B31">
        <w:t>monitorable activities</w:t>
      </w:r>
      <w:r w:rsidR="00DA1A9C" w:rsidRPr="008F6B31">
        <w:t xml:space="preserve"> </w:t>
      </w:r>
      <w:r w:rsidR="00C53FDA" w:rsidRPr="008F6B31">
        <w:t>in the Philippines program</w:t>
      </w:r>
      <w:r w:rsidR="00EE0F42" w:rsidRPr="008F6B31">
        <w:t xml:space="preserve">. This year, </w:t>
      </w:r>
      <w:r w:rsidR="009B176B" w:rsidRPr="008F6B31">
        <w:t>QAI</w:t>
      </w:r>
      <w:r w:rsidR="00EE0F42" w:rsidRPr="008F6B31">
        <w:t xml:space="preserve"> moderation was conducted by the </w:t>
      </w:r>
      <w:r w:rsidR="00D15C0B" w:rsidRPr="008F6B31">
        <w:t>director and the performance and quality manage</w:t>
      </w:r>
      <w:r w:rsidR="00EE0F42" w:rsidRPr="008F6B31">
        <w:t>r</w:t>
      </w:r>
      <w:r w:rsidR="00A05056" w:rsidRPr="008F6B31">
        <w:t xml:space="preserve"> from the Philippines Desk in Canberra</w:t>
      </w:r>
      <w:r w:rsidR="00EE0F42" w:rsidRPr="008F6B31">
        <w:t xml:space="preserve">. This </w:t>
      </w:r>
      <w:r w:rsidR="004F65BC">
        <w:t xml:space="preserve">increased </w:t>
      </w:r>
      <w:r w:rsidR="00EE0F42" w:rsidRPr="008F6B31">
        <w:t>level of scrutiny improves upon previous years and contributed to greater consistency in the ratings allocated</w:t>
      </w:r>
      <w:r>
        <w:t xml:space="preserve">. It also resulted in </w:t>
      </w:r>
      <w:r w:rsidR="00EE0F42" w:rsidRPr="008F6B31">
        <w:t>more useful activity descriptions. The comprehensive and systematic analysis of the program offered by the moderation process highlighted the significance of institutional systems strengthening</w:t>
      </w:r>
      <w:r w:rsidR="006A5D17" w:rsidRPr="008F6B31">
        <w:t>, partnerships</w:t>
      </w:r>
      <w:r w:rsidR="00EE0F42" w:rsidRPr="008F6B31">
        <w:t xml:space="preserve"> and policy dialogue across the program. </w:t>
      </w:r>
    </w:p>
    <w:p w14:paraId="3923047F" w14:textId="450CC818" w:rsidR="00EE0F42" w:rsidRPr="008F6B31" w:rsidRDefault="009B176B" w:rsidP="0080598D">
      <w:pPr>
        <w:pStyle w:val="BodyText"/>
      </w:pPr>
      <w:r w:rsidRPr="008F6B31">
        <w:t>QAIs</w:t>
      </w:r>
      <w:r w:rsidR="00EE0F42" w:rsidRPr="008F6B31">
        <w:t xml:space="preserve"> </w:t>
      </w:r>
      <w:r w:rsidR="00151162">
        <w:t>found</w:t>
      </w:r>
      <w:r w:rsidR="00151162" w:rsidRPr="008F6B31">
        <w:t xml:space="preserve"> </w:t>
      </w:r>
      <w:r w:rsidR="00EE0F42" w:rsidRPr="008F6B31">
        <w:t>that Australia’s aid to the Philippines is relevant and effective. All activities rated relevance</w:t>
      </w:r>
      <w:r w:rsidR="00A05056" w:rsidRPr="008F6B31">
        <w:t xml:space="preserve"> </w:t>
      </w:r>
      <w:r w:rsidR="00151162">
        <w:t>–</w:t>
      </w:r>
      <w:r w:rsidR="00151162" w:rsidRPr="008F6B31">
        <w:t xml:space="preserve"> </w:t>
      </w:r>
      <w:r w:rsidR="00EE0F42" w:rsidRPr="008F6B31">
        <w:rPr>
          <w:i/>
        </w:rPr>
        <w:t>is this the right thing to do</w:t>
      </w:r>
      <w:r w:rsidR="00EE0F42" w:rsidRPr="008F6B31">
        <w:t xml:space="preserve"> </w:t>
      </w:r>
      <w:r w:rsidR="0043617B">
        <w:t xml:space="preserve">– </w:t>
      </w:r>
      <w:r w:rsidR="00EE0F42" w:rsidRPr="008F6B31">
        <w:t>satisfactorily (</w:t>
      </w:r>
      <w:r w:rsidR="00EC4D46" w:rsidRPr="008F6B31">
        <w:t xml:space="preserve">a score of </w:t>
      </w:r>
      <w:r w:rsidR="00EE0F42" w:rsidRPr="008F6B31">
        <w:t xml:space="preserve">at least </w:t>
      </w:r>
      <w:r w:rsidR="00875B38">
        <w:t>four</w:t>
      </w:r>
      <w:r w:rsidR="00EE0F42" w:rsidRPr="008F6B31">
        <w:t xml:space="preserve">) again this year, signalling that the initiative is a highly appropriate way to meet the priority development goals that Australia shares with the </w:t>
      </w:r>
      <w:r w:rsidR="008D6E83">
        <w:t>Philippine</w:t>
      </w:r>
      <w:r w:rsidR="004F65BC">
        <w:t>s</w:t>
      </w:r>
      <w:r w:rsidR="008D6E83">
        <w:t xml:space="preserve"> Government</w:t>
      </w:r>
      <w:r w:rsidR="00875B38">
        <w:t xml:space="preserve"> </w:t>
      </w:r>
      <w:r w:rsidR="00EE0F42" w:rsidRPr="008F6B31">
        <w:t xml:space="preserve">and other development partners. In terms of effectiveness – </w:t>
      </w:r>
      <w:r w:rsidR="00EE0F42" w:rsidRPr="008F6B31">
        <w:rPr>
          <w:i/>
        </w:rPr>
        <w:t>are we making the progress we expected at this point in time</w:t>
      </w:r>
      <w:r w:rsidR="00C8136C">
        <w:rPr>
          <w:i/>
        </w:rPr>
        <w:t xml:space="preserve"> –</w:t>
      </w:r>
      <w:r w:rsidR="00EE0F42" w:rsidRPr="008F6B31">
        <w:t xml:space="preserve"> all but one activity rated satisfactory achievement of outcomes, including the Public Sector Linkages Program which responded well to modifications to selection process</w:t>
      </w:r>
      <w:r w:rsidR="00151162">
        <w:t>es</w:t>
      </w:r>
      <w:r w:rsidR="00EE0F42" w:rsidRPr="008F6B31">
        <w:t xml:space="preserve"> and stricter requirements imposed on the provision of evidence of outcomes in progress reports. </w:t>
      </w:r>
      <w:r w:rsidR="00EC4D46" w:rsidRPr="008F6B31">
        <w:t>This initiative is now a legacy program, being replaced by the Government Partnerships for Development</w:t>
      </w:r>
      <w:r w:rsidR="00151162">
        <w:t xml:space="preserve"> program</w:t>
      </w:r>
      <w:r w:rsidR="00EC4D46" w:rsidRPr="008F6B31">
        <w:t xml:space="preserve">. </w:t>
      </w:r>
      <w:r w:rsidR="00EE0F42" w:rsidRPr="008F6B31">
        <w:t>Effectiveness remains unsatisfactory for the Provincial Road Management Facility (</w:t>
      </w:r>
      <w:r w:rsidR="000A0FA6" w:rsidRPr="008F6B31">
        <w:t>see</w:t>
      </w:r>
      <w:r w:rsidR="00EE0F42" w:rsidRPr="008F6B31">
        <w:t xml:space="preserve"> </w:t>
      </w:r>
      <w:r w:rsidR="00151162">
        <w:t>o</w:t>
      </w:r>
      <w:r w:rsidR="00151162" w:rsidRPr="008F6B31">
        <w:t xml:space="preserve">bjective </w:t>
      </w:r>
      <w:r w:rsidR="00EE0F42" w:rsidRPr="008F6B31">
        <w:t>2).</w:t>
      </w:r>
    </w:p>
    <w:p w14:paraId="0F7043B2" w14:textId="3836E093" w:rsidR="00EE0F42" w:rsidRPr="008F6B31" w:rsidRDefault="009A0620" w:rsidP="0080598D">
      <w:pPr>
        <w:pStyle w:val="BodyText"/>
      </w:pPr>
      <w:r w:rsidRPr="008F6B31">
        <w:t xml:space="preserve">Between 2011 and 2012, </w:t>
      </w:r>
      <w:r w:rsidR="00EE0F42" w:rsidRPr="008F6B31">
        <w:t xml:space="preserve">there has been a </w:t>
      </w:r>
      <w:r w:rsidRPr="008F6B31">
        <w:t>marked</w:t>
      </w:r>
      <w:r w:rsidR="00EE0F42" w:rsidRPr="008F6B31">
        <w:t xml:space="preserve"> improvement in </w:t>
      </w:r>
      <w:r w:rsidRPr="008F6B31">
        <w:t xml:space="preserve">the achievement of a satisfactory </w:t>
      </w:r>
      <w:r w:rsidR="00EE0F42" w:rsidRPr="008F6B31">
        <w:t xml:space="preserve">rating for </w:t>
      </w:r>
      <w:r w:rsidR="00EE0F42" w:rsidRPr="008F6B31">
        <w:rPr>
          <w:i/>
        </w:rPr>
        <w:t>efficiency – is the initiative making appropriate use of Australia’s and other partners’ time and resources to achieve objectives</w:t>
      </w:r>
      <w:r w:rsidR="00EE0F42" w:rsidRPr="008F6B31">
        <w:t xml:space="preserve"> from 56</w:t>
      </w:r>
      <w:r w:rsidR="00EF640F" w:rsidRPr="008F6B31">
        <w:t xml:space="preserve"> per cent</w:t>
      </w:r>
      <w:r w:rsidR="00EE0F42" w:rsidRPr="008F6B31">
        <w:t xml:space="preserve"> to 95</w:t>
      </w:r>
      <w:r w:rsidR="00EF640F" w:rsidRPr="008F6B31">
        <w:t xml:space="preserve"> per cent</w:t>
      </w:r>
      <w:r w:rsidR="0043617B">
        <w:t>,</w:t>
      </w:r>
      <w:r w:rsidR="00EE0F42" w:rsidRPr="008F6B31">
        <w:t xml:space="preserve"> </w:t>
      </w:r>
      <w:r w:rsidR="00EE0F42" w:rsidRPr="008F6B31">
        <w:rPr>
          <w:i/>
        </w:rPr>
        <w:t>gender equality</w:t>
      </w:r>
      <w:r w:rsidR="00EE0F42" w:rsidRPr="008F6B31">
        <w:t xml:space="preserve"> from 63</w:t>
      </w:r>
      <w:r w:rsidR="00EF640F" w:rsidRPr="008F6B31">
        <w:t xml:space="preserve"> per cent </w:t>
      </w:r>
      <w:r w:rsidR="00EE0F42" w:rsidRPr="008F6B31">
        <w:t>to 90</w:t>
      </w:r>
      <w:r w:rsidR="00EF640F" w:rsidRPr="008F6B31">
        <w:t xml:space="preserve"> per cent</w:t>
      </w:r>
      <w:r w:rsidR="0043617B">
        <w:t>,</w:t>
      </w:r>
      <w:r w:rsidR="0043617B" w:rsidRPr="008F6B31">
        <w:t xml:space="preserve"> </w:t>
      </w:r>
      <w:r w:rsidR="00EE0F42" w:rsidRPr="008F6B31">
        <w:t xml:space="preserve">and </w:t>
      </w:r>
      <w:r w:rsidR="00EE0F42" w:rsidRPr="008F6B31">
        <w:rPr>
          <w:i/>
        </w:rPr>
        <w:t>sustainability</w:t>
      </w:r>
      <w:r w:rsidRPr="008F6B31">
        <w:rPr>
          <w:i/>
        </w:rPr>
        <w:t xml:space="preserve"> </w:t>
      </w:r>
      <w:r w:rsidR="00151162">
        <w:rPr>
          <w:i/>
        </w:rPr>
        <w:t>–</w:t>
      </w:r>
      <w:r w:rsidR="00151162" w:rsidRPr="008F6B31">
        <w:rPr>
          <w:i/>
        </w:rPr>
        <w:t xml:space="preserve"> </w:t>
      </w:r>
      <w:r w:rsidR="00EE0F42" w:rsidRPr="008F6B31">
        <w:rPr>
          <w:i/>
        </w:rPr>
        <w:t>will the benefits last</w:t>
      </w:r>
      <w:r w:rsidR="00EE0F42" w:rsidRPr="008F6B31">
        <w:t xml:space="preserve"> </w:t>
      </w:r>
      <w:r w:rsidRPr="008F6B31">
        <w:t xml:space="preserve">from </w:t>
      </w:r>
      <w:r w:rsidR="00EE0F42" w:rsidRPr="008F6B31">
        <w:t>75</w:t>
      </w:r>
      <w:r w:rsidR="00EF640F" w:rsidRPr="008F6B31">
        <w:t xml:space="preserve"> per cent </w:t>
      </w:r>
      <w:r w:rsidR="00EE0F42" w:rsidRPr="008F6B31">
        <w:t>to 90</w:t>
      </w:r>
      <w:r w:rsidR="00EF640F" w:rsidRPr="008F6B31">
        <w:t xml:space="preserve"> per cent</w:t>
      </w:r>
      <w:r w:rsidR="00EE0F42" w:rsidRPr="008F6B31">
        <w:t xml:space="preserve">. Improvement in the </w:t>
      </w:r>
      <w:r w:rsidR="00151162" w:rsidRPr="008F6B31">
        <w:t xml:space="preserve">gender equality </w:t>
      </w:r>
      <w:r w:rsidR="00EE0F42" w:rsidRPr="008F6B31">
        <w:t xml:space="preserve">ratings reflects the effort </w:t>
      </w:r>
      <w:r w:rsidRPr="008F6B31">
        <w:t>of</w:t>
      </w:r>
      <w:r w:rsidR="00EE0F42" w:rsidRPr="008F6B31">
        <w:t xml:space="preserve"> teams to address gender issues and to report against the pillars of </w:t>
      </w:r>
      <w:r w:rsidR="00E213D2">
        <w:t xml:space="preserve">the Australian aid </w:t>
      </w:r>
      <w:proofErr w:type="gramStart"/>
      <w:r w:rsidR="00E213D2">
        <w:t>program</w:t>
      </w:r>
      <w:r w:rsidR="00FC6CA4">
        <w:t>’</w:t>
      </w:r>
      <w:r w:rsidR="00E213D2">
        <w:t xml:space="preserve">s </w:t>
      </w:r>
      <w:r w:rsidR="00EE0F42" w:rsidRPr="008F6B31">
        <w:t>’s</w:t>
      </w:r>
      <w:proofErr w:type="gramEnd"/>
      <w:r w:rsidR="00EE0F42" w:rsidRPr="008F6B31">
        <w:t xml:space="preserve"> gender policy</w:t>
      </w:r>
      <w:r w:rsidR="00875B38">
        <w:t>.</w:t>
      </w:r>
      <w:r w:rsidR="00EE0F42" w:rsidRPr="008F6B31">
        <w:t xml:space="preserve"> </w:t>
      </w:r>
    </w:p>
    <w:p w14:paraId="60E1C90C" w14:textId="2B6F426C" w:rsidR="00EE0F42" w:rsidRPr="008F6B31" w:rsidRDefault="00EE0F42" w:rsidP="0080598D">
      <w:pPr>
        <w:pStyle w:val="BodyText"/>
      </w:pPr>
      <w:r w:rsidRPr="008F6B31">
        <w:t xml:space="preserve">The accessibility and reliability </w:t>
      </w:r>
      <w:r w:rsidRPr="008F6B31">
        <w:rPr>
          <w:i/>
        </w:rPr>
        <w:t>of monitoring and evaluation systems</w:t>
      </w:r>
      <w:r w:rsidRPr="008F6B31">
        <w:t xml:space="preserve"> to provide robust performance information also improved from 75</w:t>
      </w:r>
      <w:r w:rsidR="00EF640F" w:rsidRPr="008F6B31">
        <w:t xml:space="preserve"> per cent </w:t>
      </w:r>
      <w:r w:rsidRPr="008F6B31">
        <w:t>to 84</w:t>
      </w:r>
      <w:r w:rsidR="00EF640F" w:rsidRPr="008F6B31">
        <w:t xml:space="preserve"> per cent</w:t>
      </w:r>
      <w:r w:rsidRPr="008F6B31">
        <w:t xml:space="preserve">. While </w:t>
      </w:r>
      <w:r w:rsidR="00562997" w:rsidRPr="008F6B31">
        <w:t>monitoring and evaluation</w:t>
      </w:r>
      <w:r w:rsidRPr="008F6B31">
        <w:t xml:space="preserve"> appears strong in most areas, there is room for improvement and strong steps </w:t>
      </w:r>
      <w:r w:rsidRPr="008F6B31">
        <w:lastRenderedPageBreak/>
        <w:t xml:space="preserve">are needed to improve the quality of the </w:t>
      </w:r>
      <w:r w:rsidR="00562997" w:rsidRPr="008F6B31">
        <w:t>monitoring and evaluation</w:t>
      </w:r>
      <w:r w:rsidRPr="008F6B31">
        <w:t xml:space="preserve"> systems of three activities</w:t>
      </w:r>
      <w:r w:rsidR="00C8136C">
        <w:t>,</w:t>
      </w:r>
      <w:r w:rsidRPr="008F6B31">
        <w:t xml:space="preserve"> as this category received the least number of satisfactory ratings. As the program matures, the capacity of these systems to draw conclusions about the quality, value and importance of activities will become more evident.</w:t>
      </w:r>
    </w:p>
    <w:p w14:paraId="50EAB2D7" w14:textId="0B47715A" w:rsidR="00EE0F42" w:rsidRPr="008F6B31" w:rsidRDefault="00EE0F42" w:rsidP="0080598D">
      <w:pPr>
        <w:pStyle w:val="BodyText"/>
      </w:pPr>
      <w:r w:rsidRPr="008F6B31">
        <w:t xml:space="preserve">Of the </w:t>
      </w:r>
      <w:r w:rsidR="00DA1A9C" w:rsidRPr="008F6B31">
        <w:t>19</w:t>
      </w:r>
      <w:r w:rsidRPr="008F6B31">
        <w:t xml:space="preserve"> </w:t>
      </w:r>
      <w:r w:rsidR="00DA1A9C" w:rsidRPr="008F6B31">
        <w:t>initiatives</w:t>
      </w:r>
      <w:r w:rsidRPr="008F6B31">
        <w:t xml:space="preserve"> reported on, </w:t>
      </w:r>
      <w:r w:rsidR="00DA1A9C" w:rsidRPr="008F6B31">
        <w:t>15</w:t>
      </w:r>
      <w:r w:rsidRPr="008F6B31">
        <w:t xml:space="preserve"> (79</w:t>
      </w:r>
      <w:r w:rsidR="00EF640F" w:rsidRPr="008F6B31">
        <w:t xml:space="preserve"> per cent</w:t>
      </w:r>
      <w:r w:rsidRPr="008F6B31">
        <w:t xml:space="preserve">) were given satisfactory ratings across all </w:t>
      </w:r>
      <w:r w:rsidR="00875B38">
        <w:t>six</w:t>
      </w:r>
      <w:r w:rsidRPr="008F6B31">
        <w:t xml:space="preserve"> quality assessment criteria. </w:t>
      </w:r>
      <w:r w:rsidR="00DA1A9C" w:rsidRPr="008F6B31">
        <w:t>Three a</w:t>
      </w:r>
      <w:r w:rsidR="00A05056" w:rsidRPr="008F6B31">
        <w:t>ctivities</w:t>
      </w:r>
      <w:r w:rsidRPr="008F6B31">
        <w:t xml:space="preserve"> recorded unsatisfactory ratings against </w:t>
      </w:r>
      <w:r w:rsidR="00DA1A9C" w:rsidRPr="008F6B31">
        <w:t>two</w:t>
      </w:r>
      <w:r w:rsidRPr="008F6B31">
        <w:t xml:space="preserve"> or more of the assessment criteria. Of the </w:t>
      </w:r>
      <w:r w:rsidR="00DA1A9C" w:rsidRPr="008F6B31">
        <w:t>20</w:t>
      </w:r>
      <w:r w:rsidR="00A05056" w:rsidRPr="008F6B31">
        <w:t xml:space="preserve"> </w:t>
      </w:r>
      <w:r w:rsidRPr="008F6B31">
        <w:t xml:space="preserve">unsatisfactory ratings given in 2011, </w:t>
      </w:r>
      <w:r w:rsidR="00DA1A9C" w:rsidRPr="008F6B31">
        <w:t>14</w:t>
      </w:r>
      <w:r w:rsidR="00A05056" w:rsidRPr="008F6B31">
        <w:t xml:space="preserve"> </w:t>
      </w:r>
      <w:r w:rsidRPr="008F6B31">
        <w:t>(58</w:t>
      </w:r>
      <w:r w:rsidR="00EF640F" w:rsidRPr="008F6B31">
        <w:t xml:space="preserve"> per cent</w:t>
      </w:r>
      <w:r w:rsidRPr="008F6B31">
        <w:t>) progressed to s</w:t>
      </w:r>
      <w:r w:rsidR="00DA1A9C" w:rsidRPr="008F6B31">
        <w:t>atisfactory in 2012</w:t>
      </w:r>
      <w:r w:rsidR="00875B38">
        <w:t>–</w:t>
      </w:r>
      <w:r w:rsidR="00DA1A9C" w:rsidRPr="008F6B31">
        <w:t>13. The four</w:t>
      </w:r>
      <w:r w:rsidRPr="008F6B31">
        <w:t xml:space="preserve"> </w:t>
      </w:r>
      <w:r w:rsidR="00DA1A9C" w:rsidRPr="008F6B31">
        <w:t>initiatives</w:t>
      </w:r>
      <w:r w:rsidRPr="008F6B31">
        <w:t xml:space="preserve"> not reported on in 2011 received satisfactory ratings against all criteria.</w:t>
      </w:r>
    </w:p>
    <w:p w14:paraId="56DBC802" w14:textId="6653FDE7" w:rsidR="00180B19" w:rsidRPr="0080598D" w:rsidRDefault="00180B19" w:rsidP="0080598D">
      <w:pPr>
        <w:pStyle w:val="Heading1"/>
      </w:pPr>
      <w:r w:rsidRPr="0080598D">
        <w:t xml:space="preserve">Management </w:t>
      </w:r>
      <w:r w:rsidR="00151162" w:rsidRPr="0080598D">
        <w:t>consequences</w:t>
      </w:r>
    </w:p>
    <w:p w14:paraId="4894CFC4" w14:textId="77777777" w:rsidR="00543BB8" w:rsidRDefault="00455597" w:rsidP="0080598D">
      <w:pPr>
        <w:pStyle w:val="BodyText"/>
      </w:pPr>
      <w:r>
        <w:t>Progress in addressing the previous year'</w:t>
      </w:r>
      <w:r w:rsidR="00543BB8">
        <w:t>s management consequences are outlined in the table at Annex A.</w:t>
      </w:r>
    </w:p>
    <w:p w14:paraId="0FF36048" w14:textId="2E56F722" w:rsidR="00543BB8" w:rsidRPr="00350243" w:rsidRDefault="00543BB8" w:rsidP="0080598D">
      <w:pPr>
        <w:pStyle w:val="Heading3"/>
      </w:pPr>
      <w:r w:rsidRPr="00350243">
        <w:t xml:space="preserve">Management consequences </w:t>
      </w:r>
      <w:r w:rsidR="00151162">
        <w:t>–</w:t>
      </w:r>
      <w:r w:rsidR="00151162" w:rsidRPr="00350243">
        <w:t xml:space="preserve"> </w:t>
      </w:r>
      <w:r w:rsidRPr="00350243">
        <w:t>general</w:t>
      </w:r>
    </w:p>
    <w:p w14:paraId="06C167FA" w14:textId="2C523BD9" w:rsidR="00730F09" w:rsidRDefault="004D7482" w:rsidP="0080598D">
      <w:pPr>
        <w:pStyle w:val="BodyText"/>
      </w:pPr>
      <w:r>
        <w:t>In 2013</w:t>
      </w:r>
      <w:r w:rsidR="00FA0CEC">
        <w:t>–</w:t>
      </w:r>
      <w:r>
        <w:t xml:space="preserve">14 </w:t>
      </w:r>
      <w:r w:rsidR="00FA0CEC">
        <w:t>Australia</w:t>
      </w:r>
      <w:r>
        <w:t xml:space="preserve"> will begin</w:t>
      </w:r>
      <w:r w:rsidR="00B56FDC">
        <w:t xml:space="preserve"> implement</w:t>
      </w:r>
      <w:r w:rsidR="006D272B">
        <w:t xml:space="preserve">ing </w:t>
      </w:r>
      <w:r w:rsidR="00B56FDC">
        <w:t>some major investments</w:t>
      </w:r>
      <w:r>
        <w:t>.</w:t>
      </w:r>
      <w:r w:rsidR="00B364BD">
        <w:t xml:space="preserve"> </w:t>
      </w:r>
      <w:r>
        <w:t>I</w:t>
      </w:r>
      <w:r w:rsidR="00B56FDC">
        <w:t xml:space="preserve">t will be important to ensure continued coherence of program objectives with </w:t>
      </w:r>
      <w:r w:rsidR="005333FF">
        <w:t>DFAT</w:t>
      </w:r>
      <w:r w:rsidR="00B56FDC">
        <w:t xml:space="preserve"> and the Australian Government’s strategic priorities, as well as with the Philippines’ own priorities and the </w:t>
      </w:r>
      <w:r>
        <w:t>jointly agree</w:t>
      </w:r>
      <w:r w:rsidR="0014243B">
        <w:t>d country</w:t>
      </w:r>
      <w:r>
        <w:t xml:space="preserve"> </w:t>
      </w:r>
      <w:r w:rsidR="00B56FDC">
        <w:t xml:space="preserve">strategy </w:t>
      </w:r>
      <w:r>
        <w:t>for 2012</w:t>
      </w:r>
      <w:r w:rsidR="00FA0CEC">
        <w:t>–</w:t>
      </w:r>
      <w:r w:rsidR="006D272B">
        <w:t>2</w:t>
      </w:r>
      <w:r w:rsidR="00C8136C">
        <w:t>0</w:t>
      </w:r>
      <w:r>
        <w:t>17</w:t>
      </w:r>
      <w:r w:rsidR="00B56FDC">
        <w:t>.</w:t>
      </w:r>
      <w:r w:rsidR="00730F09" w:rsidRPr="00730F09">
        <w:t xml:space="preserve"> </w:t>
      </w:r>
    </w:p>
    <w:p w14:paraId="44BE8FAD" w14:textId="7E1EF49B" w:rsidR="00730F09" w:rsidRDefault="00730F09" w:rsidP="0080598D">
      <w:pPr>
        <w:pStyle w:val="BodyText"/>
      </w:pPr>
      <w:r>
        <w:t>These investments raise the importance of improving mutual</w:t>
      </w:r>
      <w:r w:rsidR="004F65BC">
        <w:t xml:space="preserve"> </w:t>
      </w:r>
      <w:r>
        <w:t xml:space="preserve">accountability and results reporting. </w:t>
      </w:r>
      <w:r w:rsidR="004F65BC">
        <w:t>During 2013–14, the</w:t>
      </w:r>
      <w:r>
        <w:t xml:space="preserve"> program must finalise a robust </w:t>
      </w:r>
      <w:r w:rsidR="006D272B">
        <w:t xml:space="preserve">country strategy monitoring and evaluation </w:t>
      </w:r>
      <w:r>
        <w:t xml:space="preserve">framework which is capable of capturing </w:t>
      </w:r>
      <w:r w:rsidR="00FA0CEC">
        <w:t xml:space="preserve">Australia’s </w:t>
      </w:r>
      <w:r>
        <w:t>contribution to the ambitious government reform agenda in a middle income country.</w:t>
      </w:r>
      <w:r w:rsidR="00B364BD">
        <w:t xml:space="preserve"> </w:t>
      </w:r>
      <w:r w:rsidR="00FA0CEC">
        <w:t>The Philippines program</w:t>
      </w:r>
      <w:r>
        <w:t xml:space="preserve"> must also develop the </w:t>
      </w:r>
      <w:r w:rsidR="006D272B">
        <w:t xml:space="preserve">delivery strategy </w:t>
      </w:r>
      <w:r w:rsidR="00A93D05">
        <w:t xml:space="preserve">performance </w:t>
      </w:r>
      <w:r>
        <w:t>assessment frameworks</w:t>
      </w:r>
      <w:r w:rsidR="007B5124">
        <w:t xml:space="preserve"> for education and sub-national governance</w:t>
      </w:r>
      <w:r>
        <w:t xml:space="preserve">. </w:t>
      </w:r>
    </w:p>
    <w:p w14:paraId="5D9ABFFB" w14:textId="2BCE59E4" w:rsidR="00B56FDC" w:rsidRDefault="00350243" w:rsidP="0080598D">
      <w:pPr>
        <w:pStyle w:val="BodyText"/>
      </w:pPr>
      <w:r>
        <w:t>T</w:t>
      </w:r>
      <w:r w:rsidR="00B56FDC">
        <w:t>he strength of partnerships</w:t>
      </w:r>
      <w:r w:rsidR="004D7482">
        <w:t>, a feature of the</w:t>
      </w:r>
      <w:r w:rsidR="0014243B">
        <w:t xml:space="preserve"> country strategy,</w:t>
      </w:r>
      <w:r w:rsidR="00B56FDC">
        <w:t xml:space="preserve"> </w:t>
      </w:r>
      <w:r w:rsidR="004D7482">
        <w:t xml:space="preserve">will </w:t>
      </w:r>
      <w:r w:rsidR="00B56FDC">
        <w:t xml:space="preserve">remain critical </w:t>
      </w:r>
      <w:r w:rsidR="004D7482">
        <w:t>in 2013</w:t>
      </w:r>
      <w:r w:rsidR="00FA0CEC">
        <w:t>–</w:t>
      </w:r>
      <w:r w:rsidR="004D7482">
        <w:t xml:space="preserve">14 </w:t>
      </w:r>
      <w:r w:rsidR="006D272B">
        <w:t>to</w:t>
      </w:r>
      <w:r w:rsidR="004D7482">
        <w:t xml:space="preserve"> </w:t>
      </w:r>
      <w:r w:rsidR="00B56FDC">
        <w:t>achieve results</w:t>
      </w:r>
      <w:r w:rsidR="004D7482">
        <w:t>.</w:t>
      </w:r>
      <w:r w:rsidR="00B364BD">
        <w:t xml:space="preserve"> </w:t>
      </w:r>
      <w:r>
        <w:t>M</w:t>
      </w:r>
      <w:r w:rsidR="00B56FDC">
        <w:t xml:space="preserve">aintaining relationships with key partners will continue to require sustained attention across all </w:t>
      </w:r>
      <w:r w:rsidR="004D7482">
        <w:t>sectors</w:t>
      </w:r>
      <w:r w:rsidR="00B364BD">
        <w:t xml:space="preserve"> </w:t>
      </w:r>
      <w:r w:rsidR="00B56FDC">
        <w:t>a</w:t>
      </w:r>
      <w:r w:rsidR="004D7482">
        <w:t>s well as</w:t>
      </w:r>
      <w:r w:rsidR="00B56FDC">
        <w:t xml:space="preserve"> </w:t>
      </w:r>
      <w:r w:rsidR="004D7482">
        <w:t xml:space="preserve">the </w:t>
      </w:r>
      <w:r w:rsidR="00B56FDC">
        <w:t>commitment of staff resources.</w:t>
      </w:r>
    </w:p>
    <w:p w14:paraId="14C3DBC0" w14:textId="0977872A" w:rsidR="00730F09" w:rsidRDefault="00B56FDC" w:rsidP="0080598D">
      <w:pPr>
        <w:pStyle w:val="BodyText"/>
      </w:pPr>
      <w:r>
        <w:t>Across the program, strengthening the sustainability of reforms will be critical in the lead up to the next Philippine presidential elections</w:t>
      </w:r>
      <w:r w:rsidR="0014243B">
        <w:t xml:space="preserve"> in 2016</w:t>
      </w:r>
      <w:r>
        <w:t>.</w:t>
      </w:r>
      <w:r w:rsidR="00855402">
        <w:t xml:space="preserve"> </w:t>
      </w:r>
      <w:r w:rsidR="00FA0CEC">
        <w:t xml:space="preserve">This </w:t>
      </w:r>
      <w:r>
        <w:t>will</w:t>
      </w:r>
      <w:r w:rsidR="00FA0CEC">
        <w:t xml:space="preserve"> be achieved</w:t>
      </w:r>
      <w:r>
        <w:t xml:space="preserve"> by helping partners identify and embed good policy formulation and implementation in core systems, and continuing to engage with reform champions</w:t>
      </w:r>
      <w:r w:rsidR="0014243B">
        <w:t xml:space="preserve"> during 2013</w:t>
      </w:r>
      <w:r w:rsidR="00FA0CEC">
        <w:t>–</w:t>
      </w:r>
      <w:r w:rsidR="0014243B">
        <w:t>14</w:t>
      </w:r>
      <w:r>
        <w:t xml:space="preserve"> to promote institutionalisation of reform.</w:t>
      </w:r>
      <w:r w:rsidR="00855402">
        <w:t xml:space="preserve"> </w:t>
      </w:r>
    </w:p>
    <w:p w14:paraId="38D206E1" w14:textId="79D2D9D0" w:rsidR="00F7003A" w:rsidRDefault="00F7003A" w:rsidP="0080598D">
      <w:pPr>
        <w:pStyle w:val="BodyText"/>
      </w:pPr>
      <w:r>
        <w:t xml:space="preserve">There will be a significant changeover of </w:t>
      </w:r>
      <w:r w:rsidR="004F65BC">
        <w:t>Australian-</w:t>
      </w:r>
      <w:r>
        <w:t>based staff with three of the five positions changing occupants.</w:t>
      </w:r>
      <w:r w:rsidR="00B364BD">
        <w:t xml:space="preserve"> </w:t>
      </w:r>
      <w:r w:rsidR="00C13AFC">
        <w:t>Effective hand-over arrangements will be required.</w:t>
      </w:r>
    </w:p>
    <w:p w14:paraId="6C5EAD11" w14:textId="69CEC281" w:rsidR="00730F09" w:rsidRDefault="00F07DB4" w:rsidP="0080598D">
      <w:pPr>
        <w:pStyle w:val="BodyText"/>
      </w:pPr>
      <w:r w:rsidRPr="00A30835">
        <w:rPr>
          <w:b/>
          <w:i/>
        </w:rPr>
        <w:t xml:space="preserve">Objective 1: Improved </w:t>
      </w:r>
      <w:r w:rsidR="00801B16" w:rsidRPr="00A30835">
        <w:rPr>
          <w:b/>
          <w:i/>
        </w:rPr>
        <w:t>education</w:t>
      </w:r>
      <w:r w:rsidR="00801B16">
        <w:rPr>
          <w:b/>
          <w:i/>
        </w:rPr>
        <w:t>:</w:t>
      </w:r>
      <w:r w:rsidR="00801B16">
        <w:t xml:space="preserve"> In</w:t>
      </w:r>
      <w:r w:rsidR="00730F09">
        <w:t xml:space="preserve"> education, organisation and systems reforms will need to be driven with </w:t>
      </w:r>
      <w:r w:rsidR="005333FF">
        <w:t>DFAT</w:t>
      </w:r>
      <w:r w:rsidR="00730F09">
        <w:t xml:space="preserve"> support to enable </w:t>
      </w:r>
      <w:r w:rsidR="006D272B">
        <w:t>the Department</w:t>
      </w:r>
      <w:r w:rsidR="006D272B" w:rsidRPr="00810801">
        <w:t xml:space="preserve"> of Education</w:t>
      </w:r>
      <w:r w:rsidR="006D272B">
        <w:t xml:space="preserve"> </w:t>
      </w:r>
      <w:r w:rsidR="00730F09">
        <w:t xml:space="preserve">to implement the challenging </w:t>
      </w:r>
      <w:r w:rsidR="006D272B" w:rsidRPr="00810801">
        <w:t xml:space="preserve">Kindergarten to </w:t>
      </w:r>
      <w:r w:rsidR="006D272B">
        <w:t>Y</w:t>
      </w:r>
      <w:r w:rsidR="006D272B" w:rsidRPr="00810801">
        <w:t>ear 12</w:t>
      </w:r>
      <w:r w:rsidR="006D272B">
        <w:t xml:space="preserve"> </w:t>
      </w:r>
      <w:r w:rsidR="00730F09">
        <w:t xml:space="preserve">reforms. Given the scale and complexity of </w:t>
      </w:r>
      <w:r w:rsidR="00FA0CEC">
        <w:t>Australia’s</w:t>
      </w:r>
      <w:r w:rsidR="00730F09">
        <w:t xml:space="preserve"> education investment it will be important to monitor the effectiveness of activities as they roll out, managing risk and assessing progress and effectiveness.</w:t>
      </w:r>
      <w:r w:rsidR="00B364BD">
        <w:t xml:space="preserve"> </w:t>
      </w:r>
      <w:r w:rsidR="00FA0CEC">
        <w:t>The</w:t>
      </w:r>
      <w:r w:rsidR="00367950">
        <w:t xml:space="preserve"> Education Delivery Strategy </w:t>
      </w:r>
      <w:r w:rsidR="00B24E2E">
        <w:t>will</w:t>
      </w:r>
      <w:r w:rsidR="00FA0CEC">
        <w:t xml:space="preserve"> be finalised </w:t>
      </w:r>
      <w:r w:rsidR="00367950">
        <w:t>in 2013</w:t>
      </w:r>
      <w:r w:rsidR="00FA0CEC">
        <w:t>–</w:t>
      </w:r>
      <w:r w:rsidR="00367950">
        <w:t>14.</w:t>
      </w:r>
    </w:p>
    <w:p w14:paraId="07226262" w14:textId="52230CB0" w:rsidR="00730F09" w:rsidRDefault="00730F09" w:rsidP="0080598D">
      <w:pPr>
        <w:pStyle w:val="BodyText"/>
      </w:pPr>
      <w:r w:rsidRPr="00A30835">
        <w:rPr>
          <w:b/>
          <w:i/>
        </w:rPr>
        <w:t xml:space="preserve">Objective 2: Improved local government capacity to deliver basic </w:t>
      </w:r>
      <w:r w:rsidR="00801B16" w:rsidRPr="00A30835">
        <w:rPr>
          <w:b/>
          <w:i/>
        </w:rPr>
        <w:t>services:</w:t>
      </w:r>
      <w:r w:rsidR="00801B16">
        <w:t xml:space="preserve"> A</w:t>
      </w:r>
      <w:r>
        <w:t xml:space="preserve"> priority for 2013</w:t>
      </w:r>
      <w:r w:rsidR="00FA0CEC">
        <w:t>–</w:t>
      </w:r>
      <w:r>
        <w:t xml:space="preserve">14 will be to hand </w:t>
      </w:r>
      <w:r w:rsidR="00835666">
        <w:t>over</w:t>
      </w:r>
      <w:r>
        <w:t xml:space="preserve"> </w:t>
      </w:r>
      <w:r w:rsidR="006D272B" w:rsidRPr="0042232A">
        <w:t xml:space="preserve">Provincial Road Management Facility </w:t>
      </w:r>
      <w:r w:rsidR="00027942">
        <w:t xml:space="preserve">operations </w:t>
      </w:r>
      <w:r>
        <w:t xml:space="preserve">to a new </w:t>
      </w:r>
      <w:r w:rsidR="00027942">
        <w:t xml:space="preserve">supporting </w:t>
      </w:r>
      <w:r w:rsidR="00367950">
        <w:t>contractor</w:t>
      </w:r>
      <w:r>
        <w:t xml:space="preserve"> working closely with </w:t>
      </w:r>
      <w:r w:rsidR="006D272B">
        <w:t xml:space="preserve">the </w:t>
      </w:r>
      <w:r w:rsidR="006D272B" w:rsidRPr="008F6B31">
        <w:t>Department of the Interior and Local Government</w:t>
      </w:r>
      <w:r>
        <w:t xml:space="preserve">, and </w:t>
      </w:r>
      <w:r w:rsidR="006D272B">
        <w:t xml:space="preserve">to </w:t>
      </w:r>
      <w:r>
        <w:t>adapt the program based on lessons learnt over the past 18 months.</w:t>
      </w:r>
      <w:r w:rsidR="00B364BD">
        <w:t xml:space="preserve"> </w:t>
      </w:r>
      <w:r w:rsidR="005C6252">
        <w:t>T</w:t>
      </w:r>
      <w:r>
        <w:t xml:space="preserve">he transition to a new contractor and management model for </w:t>
      </w:r>
      <w:r w:rsidR="006D272B">
        <w:t xml:space="preserve">the facility </w:t>
      </w:r>
      <w:r>
        <w:t>will be a key management challenge</w:t>
      </w:r>
      <w:r w:rsidR="005C6252">
        <w:t>, as will management of the contractor.</w:t>
      </w:r>
    </w:p>
    <w:p w14:paraId="4D251128" w14:textId="62618C44" w:rsidR="00730F09" w:rsidRDefault="00730F09" w:rsidP="0080598D">
      <w:pPr>
        <w:pStyle w:val="BodyText"/>
      </w:pPr>
      <w:r>
        <w:lastRenderedPageBreak/>
        <w:t xml:space="preserve">Divesting the program of direct </w:t>
      </w:r>
      <w:r w:rsidR="006D272B" w:rsidRPr="0042232A">
        <w:t xml:space="preserve">Provincial Road Management Facility </w:t>
      </w:r>
      <w:r>
        <w:t>management will allow reallocation of resources to developing the broader sub</w:t>
      </w:r>
      <w:r w:rsidR="007B5124">
        <w:t>-</w:t>
      </w:r>
      <w:r>
        <w:t>national governance portfolio.</w:t>
      </w:r>
      <w:r w:rsidR="00B364BD">
        <w:t xml:space="preserve"> </w:t>
      </w:r>
      <w:r>
        <w:t xml:space="preserve">Development of a </w:t>
      </w:r>
      <w:r w:rsidR="006D272B">
        <w:t xml:space="preserve">delivery strategy </w:t>
      </w:r>
      <w:r>
        <w:t xml:space="preserve">for sub-national governance, originally proposed for last year, will be </w:t>
      </w:r>
      <w:r w:rsidR="00744923">
        <w:t>undertaken</w:t>
      </w:r>
      <w:r w:rsidR="005C6252">
        <w:t xml:space="preserve"> in</w:t>
      </w:r>
      <w:r>
        <w:t xml:space="preserve"> 2013</w:t>
      </w:r>
      <w:r w:rsidR="00FA0CEC">
        <w:t>–</w:t>
      </w:r>
      <w:r>
        <w:t>14.</w:t>
      </w:r>
      <w:r w:rsidR="00B364BD">
        <w:t xml:space="preserve"> </w:t>
      </w:r>
      <w:r>
        <w:t xml:space="preserve">The overarching strategy will need to be cross-cutting and supportive of other sectoral and thematic priorities of the program, rather than be a stand-alone, sectoral strategy. This will be a further opportunity to drive consolidation within the program, and refocus activities on the core objective of improved local government capacity to deliver services through greater accountability, greater people’s participation and better effectiveness, beyond </w:t>
      </w:r>
      <w:r w:rsidR="006D272B">
        <w:t xml:space="preserve">the facility’s </w:t>
      </w:r>
      <w:r>
        <w:t>focus on road infrastructure.</w:t>
      </w:r>
      <w:r w:rsidRPr="00CC4BA6">
        <w:t xml:space="preserve"> </w:t>
      </w:r>
    </w:p>
    <w:p w14:paraId="6E7E7D87" w14:textId="19D55925" w:rsidR="006040A7" w:rsidRPr="00A92FB2" w:rsidRDefault="00730F09" w:rsidP="0080598D">
      <w:pPr>
        <w:pStyle w:val="BodyText"/>
      </w:pPr>
      <w:r w:rsidRPr="006040A7">
        <w:rPr>
          <w:b/>
          <w:i/>
        </w:rPr>
        <w:t>Objective 3: Strengthened climate change adaptation and disaster risk management:</w:t>
      </w:r>
      <w:r w:rsidR="00B364BD" w:rsidRPr="006040A7">
        <w:rPr>
          <w:b/>
          <w:i/>
        </w:rPr>
        <w:t xml:space="preserve"> </w:t>
      </w:r>
      <w:r w:rsidR="006040A7">
        <w:t xml:space="preserve">Promoting greater urban resilience to disasters and climate change </w:t>
      </w:r>
      <w:r w:rsidR="006040A7" w:rsidRPr="002E031E">
        <w:rPr>
          <w:color w:val="000000" w:themeColor="text1"/>
        </w:rPr>
        <w:t>and test</w:t>
      </w:r>
      <w:r w:rsidR="006040A7">
        <w:rPr>
          <w:color w:val="000000" w:themeColor="text1"/>
        </w:rPr>
        <w:t>ing</w:t>
      </w:r>
      <w:r w:rsidR="006040A7" w:rsidRPr="002E031E">
        <w:rPr>
          <w:color w:val="000000" w:themeColor="text1"/>
        </w:rPr>
        <w:t xml:space="preserve"> local models for safer settlements</w:t>
      </w:r>
      <w:r w:rsidR="006040A7" w:rsidRPr="00A92FB2">
        <w:t xml:space="preserve"> </w:t>
      </w:r>
      <w:r w:rsidR="006040A7">
        <w:t>is the aim of the BRACE program.</w:t>
      </w:r>
      <w:r w:rsidR="006040A7" w:rsidRPr="00A92FB2">
        <w:rPr>
          <w:color w:val="000000" w:themeColor="text1"/>
        </w:rPr>
        <w:t xml:space="preserve"> </w:t>
      </w:r>
      <w:r w:rsidR="006040A7" w:rsidRPr="002E031E">
        <w:rPr>
          <w:color w:val="000000" w:themeColor="text1"/>
        </w:rPr>
        <w:t xml:space="preserve">Australia </w:t>
      </w:r>
      <w:r w:rsidR="006040A7">
        <w:rPr>
          <w:color w:val="000000" w:themeColor="text1"/>
        </w:rPr>
        <w:t xml:space="preserve">has begun </w:t>
      </w:r>
      <w:r w:rsidR="006040A7" w:rsidRPr="002E031E">
        <w:rPr>
          <w:color w:val="000000" w:themeColor="text1"/>
        </w:rPr>
        <w:t>implementing the first three of the four BRACE program components</w:t>
      </w:r>
      <w:r w:rsidR="006040A7">
        <w:rPr>
          <w:color w:val="000000" w:themeColor="text1"/>
        </w:rPr>
        <w:t xml:space="preserve">, however an </w:t>
      </w:r>
      <w:r w:rsidR="006040A7" w:rsidRPr="00A92FB2">
        <w:rPr>
          <w:color w:val="000000" w:themeColor="text1"/>
        </w:rPr>
        <w:t xml:space="preserve">unexpected dispute over land ownership in </w:t>
      </w:r>
      <w:proofErr w:type="spellStart"/>
      <w:r w:rsidR="006040A7" w:rsidRPr="00A92FB2">
        <w:rPr>
          <w:color w:val="000000" w:themeColor="text1"/>
        </w:rPr>
        <w:t>Taguig</w:t>
      </w:r>
      <w:proofErr w:type="spellEnd"/>
      <w:r w:rsidR="006040A7" w:rsidRPr="00A92FB2">
        <w:rPr>
          <w:color w:val="000000" w:themeColor="text1"/>
        </w:rPr>
        <w:t xml:space="preserve"> City</w:t>
      </w:r>
      <w:r w:rsidR="006040A7">
        <w:rPr>
          <w:color w:val="000000" w:themeColor="text1"/>
        </w:rPr>
        <w:t>,</w:t>
      </w:r>
      <w:r w:rsidR="006040A7" w:rsidRPr="00A92FB2">
        <w:rPr>
          <w:color w:val="000000" w:themeColor="text1"/>
        </w:rPr>
        <w:t xml:space="preserve"> and the challenge of ensuring resettlement risks are fully assessed and mitigated</w:t>
      </w:r>
      <w:r w:rsidR="006040A7">
        <w:rPr>
          <w:color w:val="000000" w:themeColor="text1"/>
        </w:rPr>
        <w:t>, is preventing the fourth component from proceeding</w:t>
      </w:r>
      <w:r w:rsidR="006040A7" w:rsidRPr="00A92FB2">
        <w:rPr>
          <w:color w:val="000000" w:themeColor="text1"/>
        </w:rPr>
        <w:t>.</w:t>
      </w:r>
      <w:r w:rsidR="006040A7">
        <w:rPr>
          <w:color w:val="000000" w:themeColor="text1"/>
        </w:rPr>
        <w:t xml:space="preserve"> </w:t>
      </w:r>
      <w:r w:rsidR="00773267" w:rsidRPr="006040A7">
        <w:t>This will either require the identification of a suitable alternative site or delivering on this commitment by working with other social housing providers.</w:t>
      </w:r>
    </w:p>
    <w:p w14:paraId="5E59E046" w14:textId="3C08C46D" w:rsidR="00730F09" w:rsidRDefault="00730F09" w:rsidP="0080598D">
      <w:pPr>
        <w:pStyle w:val="BodyText"/>
      </w:pPr>
      <w:r w:rsidRPr="00A30835">
        <w:rPr>
          <w:b/>
          <w:i/>
        </w:rPr>
        <w:t>Objective 4: Improved conditions for peace and security:</w:t>
      </w:r>
      <w:r w:rsidR="00B364BD">
        <w:rPr>
          <w:b/>
          <w:i/>
        </w:rPr>
        <w:t xml:space="preserve"> </w:t>
      </w:r>
      <w:r w:rsidR="00027942">
        <w:t>During 2013</w:t>
      </w:r>
      <w:r w:rsidR="00FA0CEC">
        <w:t>–</w:t>
      </w:r>
      <w:r w:rsidR="00027942">
        <w:t>14, t</w:t>
      </w:r>
      <w:r>
        <w:t xml:space="preserve">he program </w:t>
      </w:r>
      <w:r w:rsidR="00027942">
        <w:t xml:space="preserve">will need to </w:t>
      </w:r>
      <w:r>
        <w:t xml:space="preserve">capitalise </w:t>
      </w:r>
      <w:r w:rsidR="00027942">
        <w:t xml:space="preserve">on </w:t>
      </w:r>
      <w:r>
        <w:t>the promising peace process in Mindanao</w:t>
      </w:r>
      <w:r w:rsidR="000026E9">
        <w:t>.</w:t>
      </w:r>
      <w:r w:rsidR="00B364BD">
        <w:t xml:space="preserve"> </w:t>
      </w:r>
      <w:r w:rsidR="00B24E2E">
        <w:t>Australia</w:t>
      </w:r>
      <w:r w:rsidR="00FA0CEC">
        <w:t xml:space="preserve"> </w:t>
      </w:r>
      <w:r w:rsidR="000026E9">
        <w:t>need</w:t>
      </w:r>
      <w:r w:rsidR="00FA0CEC">
        <w:t>s</w:t>
      </w:r>
      <w:r w:rsidR="000026E9">
        <w:t xml:space="preserve"> to</w:t>
      </w:r>
      <w:r>
        <w:t xml:space="preserve"> respond flexibly, within agreed priorities to emerging demands from key stakeholders. We should use our early contributions to multilateral facilities to promote donor coordination and support the </w:t>
      </w:r>
      <w:r w:rsidR="000026E9">
        <w:t>Framework Agreement on Bangsamoro</w:t>
      </w:r>
      <w:r>
        <w:t xml:space="preserve">. While the </w:t>
      </w:r>
      <w:r w:rsidR="005A143A">
        <w:t xml:space="preserve">Supporting Peace in Mindanao </w:t>
      </w:r>
      <w:r>
        <w:t xml:space="preserve">initiative still proves to be of strategic value for </w:t>
      </w:r>
      <w:r w:rsidR="00FC6CA4">
        <w:t>DFAT</w:t>
      </w:r>
      <w:r>
        <w:t xml:space="preserve">, there is a need to streamline projects into a more focused program in keeping with the Mindanao </w:t>
      </w:r>
      <w:r w:rsidR="007B5124">
        <w:t xml:space="preserve">Conflict Affected Areas </w:t>
      </w:r>
      <w:r>
        <w:t>Delivery Strategy.</w:t>
      </w:r>
    </w:p>
    <w:p w14:paraId="38FDC355" w14:textId="47A13112" w:rsidR="00730F09" w:rsidRDefault="00730F09" w:rsidP="0080598D">
      <w:pPr>
        <w:pStyle w:val="BodyText"/>
        <w:rPr>
          <w:b/>
          <w:i/>
        </w:rPr>
      </w:pPr>
      <w:r w:rsidRPr="00055BC2">
        <w:t>It will be important to maintain investment in monitoring and evaluation, research, and strategic communication in Mindanao.</w:t>
      </w:r>
      <w:r>
        <w:t xml:space="preserve"> </w:t>
      </w:r>
      <w:r w:rsidR="00744923">
        <w:t>M</w:t>
      </w:r>
      <w:r w:rsidRPr="00055BC2">
        <w:t>onitoring activities is essential to ensure that the programs remain on track and that we can respond to rapidly changing environments and high levels of personal and program risk.</w:t>
      </w:r>
      <w:r>
        <w:t xml:space="preserve"> </w:t>
      </w:r>
      <w:r w:rsidRPr="00055BC2">
        <w:t xml:space="preserve">Weak capacity in </w:t>
      </w:r>
      <w:r w:rsidR="005A143A">
        <w:t>the</w:t>
      </w:r>
      <w:r w:rsidR="005A143A" w:rsidRPr="00055BC2">
        <w:t xml:space="preserve"> </w:t>
      </w:r>
      <w:r w:rsidRPr="00055BC2">
        <w:t xml:space="preserve">ARMM </w:t>
      </w:r>
      <w:r w:rsidR="005A143A">
        <w:t xml:space="preserve">Department of Education </w:t>
      </w:r>
      <w:r w:rsidRPr="00055BC2">
        <w:t>will need to be supplemented by implementing partners to maintain a momentum for reform.</w:t>
      </w:r>
    </w:p>
    <w:p w14:paraId="7A3B6EEA" w14:textId="41E344ED" w:rsidR="00F07DB4" w:rsidRDefault="00730F09" w:rsidP="0080598D">
      <w:pPr>
        <w:pStyle w:val="BodyText"/>
      </w:pPr>
      <w:r w:rsidRPr="00A30835">
        <w:rPr>
          <w:b/>
          <w:i/>
        </w:rPr>
        <w:t>Objective 5: Supporting the foundation for accountable, transparent, effective and inclusive governance:</w:t>
      </w:r>
      <w:r w:rsidR="00B364BD">
        <w:rPr>
          <w:b/>
          <w:i/>
        </w:rPr>
        <w:t xml:space="preserve"> </w:t>
      </w:r>
      <w:r w:rsidR="005C6252">
        <w:t>I</w:t>
      </w:r>
      <w:r w:rsidR="00740D5C">
        <w:t xml:space="preserve">mplementing the recommendations of the Human Resource and </w:t>
      </w:r>
      <w:r w:rsidR="00801B16">
        <w:t>Organisational</w:t>
      </w:r>
      <w:r w:rsidR="00740D5C">
        <w:t xml:space="preserve"> Development Facility</w:t>
      </w:r>
      <w:r w:rsidR="00027942">
        <w:t xml:space="preserve"> mi</w:t>
      </w:r>
      <w:r w:rsidR="00740D5C">
        <w:t>d-term review will be a priority</w:t>
      </w:r>
      <w:r w:rsidR="00027942">
        <w:t xml:space="preserve"> to continue to improve this well regarded program</w:t>
      </w:r>
      <w:r w:rsidR="005A143A">
        <w:t xml:space="preserve">, </w:t>
      </w:r>
      <w:r w:rsidR="00801B16">
        <w:t>m</w:t>
      </w:r>
      <w:r w:rsidR="00027942">
        <w:t>ost notably actioning recommendations on planning for the sustainability of reforms beyond the life of the program.</w:t>
      </w:r>
      <w:r w:rsidR="00B364BD">
        <w:t xml:space="preserve"> </w:t>
      </w:r>
      <w:r w:rsidR="00027942">
        <w:t>The development of</w:t>
      </w:r>
      <w:r w:rsidR="0062125A">
        <w:t xml:space="preserve"> </w:t>
      </w:r>
      <w:r w:rsidR="00744923">
        <w:t>a</w:t>
      </w:r>
      <w:r w:rsidR="00027942">
        <w:t xml:space="preserve"> </w:t>
      </w:r>
      <w:r w:rsidR="001E6B01">
        <w:t xml:space="preserve">sector focused monitoring and evaluation plan for each </w:t>
      </w:r>
      <w:r w:rsidR="00801B16">
        <w:t>component</w:t>
      </w:r>
      <w:r w:rsidR="001E6B01">
        <w:t xml:space="preserve"> of the </w:t>
      </w:r>
      <w:r w:rsidR="005A143A" w:rsidRPr="008F6B31">
        <w:t xml:space="preserve">Coalitions for Change </w:t>
      </w:r>
      <w:r w:rsidR="001E6B01">
        <w:t xml:space="preserve">program is required to ensure we learn from </w:t>
      </w:r>
      <w:r w:rsidR="005A143A">
        <w:t xml:space="preserve">the </w:t>
      </w:r>
      <w:r w:rsidR="001E6B01">
        <w:t xml:space="preserve">successes and failures </w:t>
      </w:r>
      <w:r w:rsidR="009D0E80">
        <w:t>of</w:t>
      </w:r>
      <w:r w:rsidR="001E6B01">
        <w:t xml:space="preserve"> this innovative program.</w:t>
      </w:r>
      <w:r w:rsidR="00B364BD">
        <w:t xml:space="preserve"> </w:t>
      </w:r>
      <w:r w:rsidR="001E6B01">
        <w:t>In 2013</w:t>
      </w:r>
      <w:r w:rsidR="00FA0CEC">
        <w:t>–</w:t>
      </w:r>
      <w:r w:rsidR="001E6B01">
        <w:t xml:space="preserve">14, the challenge for the public financial management program is to </w:t>
      </w:r>
      <w:r w:rsidR="009D0E80">
        <w:t xml:space="preserve">carry forward </w:t>
      </w:r>
      <w:r w:rsidR="001E6B01">
        <w:t xml:space="preserve">the solid foundation of strategic, analytical and planning work </w:t>
      </w:r>
      <w:r w:rsidR="009D0E80">
        <w:t>accomplished to date into s</w:t>
      </w:r>
      <w:r w:rsidR="001E6B01">
        <w:t>uccessful</w:t>
      </w:r>
      <w:r w:rsidR="009D0E80">
        <w:t xml:space="preserve"> project </w:t>
      </w:r>
      <w:r w:rsidR="00B364BD">
        <w:t>implementation.</w:t>
      </w:r>
    </w:p>
    <w:p w14:paraId="21BA44BD" w14:textId="77777777" w:rsidR="00541B3F" w:rsidRDefault="00541B3F">
      <w:pPr>
        <w:spacing w:after="200" w:line="276" w:lineRule="auto"/>
        <w:rPr>
          <w:rFonts w:ascii="Arial" w:eastAsia="Times New Roman" w:hAnsi="Arial" w:cs="Arial"/>
          <w:color w:val="7E6D5F"/>
          <w:szCs w:val="19"/>
        </w:rPr>
      </w:pPr>
      <w:r>
        <w:br w:type="page"/>
      </w:r>
    </w:p>
    <w:p w14:paraId="551AFB72" w14:textId="3D0C7391" w:rsidR="00BE65E4" w:rsidRPr="008F6B31" w:rsidRDefault="00BE65E4" w:rsidP="00BE65E4">
      <w:pPr>
        <w:pStyle w:val="Caption"/>
      </w:pPr>
      <w:r w:rsidRPr="008F6B31">
        <w:lastRenderedPageBreak/>
        <w:t xml:space="preserve">Table </w:t>
      </w:r>
      <w:fldSimple w:instr=" SEQ Table \* ARABIC ">
        <w:r w:rsidR="00160FFD">
          <w:rPr>
            <w:noProof/>
          </w:rPr>
          <w:t>3</w:t>
        </w:r>
      </w:fldSimple>
      <w:r w:rsidR="005A143A">
        <w:rPr>
          <w:noProof/>
        </w:rPr>
        <w:t>:</w:t>
      </w:r>
      <w:r w:rsidRPr="008F6B31">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8F6B31" w14:paraId="6D983399" w14:textId="77777777" w:rsidTr="00BE65E4">
        <w:tc>
          <w:tcPr>
            <w:tcW w:w="4363" w:type="dxa"/>
            <w:hideMark/>
          </w:tcPr>
          <w:p w14:paraId="072D28BF" w14:textId="77777777" w:rsidR="00180B19" w:rsidRPr="00946CEA" w:rsidRDefault="00180B19" w:rsidP="00504E7F">
            <w:pPr>
              <w:pStyle w:val="TableTextColumnHeading"/>
            </w:pPr>
            <w:r w:rsidRPr="00946CEA">
              <w:t>Most significant risks</w:t>
            </w:r>
          </w:p>
        </w:tc>
        <w:tc>
          <w:tcPr>
            <w:tcW w:w="4103" w:type="dxa"/>
          </w:tcPr>
          <w:p w14:paraId="6A80E32D" w14:textId="46D801E7" w:rsidR="00180B19" w:rsidRPr="00946CEA" w:rsidRDefault="00180B19" w:rsidP="00504E7F">
            <w:pPr>
              <w:pStyle w:val="TableTextColumnHeading"/>
            </w:pPr>
            <w:r w:rsidRPr="00946CEA">
              <w:t xml:space="preserve">Management </w:t>
            </w:r>
            <w:r w:rsidR="007A3B3A" w:rsidRPr="00946CEA">
              <w:t xml:space="preserve">response </w:t>
            </w:r>
            <w:r w:rsidRPr="00946CEA">
              <w:t xml:space="preserve">– What? Who? How? When? </w:t>
            </w:r>
          </w:p>
        </w:tc>
      </w:tr>
      <w:tr w:rsidR="00923CE1" w:rsidRPr="008F6B31" w14:paraId="4D734A15" w14:textId="77777777" w:rsidTr="00644D59">
        <w:tc>
          <w:tcPr>
            <w:tcW w:w="4363" w:type="dxa"/>
          </w:tcPr>
          <w:p w14:paraId="03007743" w14:textId="77777777" w:rsidR="00923CE1" w:rsidRPr="00946CEA" w:rsidRDefault="00923CE1" w:rsidP="00946CEA">
            <w:pPr>
              <w:pStyle w:val="TableTextEntries"/>
            </w:pPr>
            <w:r w:rsidRPr="00946CEA">
              <w:t>Government and other partners are unable to sustain and institutionalise reforms being supported</w:t>
            </w:r>
            <w:r w:rsidR="00E8426F" w:rsidRPr="00946CEA">
              <w:t>.</w:t>
            </w:r>
          </w:p>
        </w:tc>
        <w:tc>
          <w:tcPr>
            <w:tcW w:w="4103" w:type="dxa"/>
          </w:tcPr>
          <w:p w14:paraId="43EBF06C" w14:textId="67CDD188" w:rsidR="00923CE1" w:rsidRPr="00946CEA" w:rsidRDefault="00923CE1" w:rsidP="00946CEA">
            <w:pPr>
              <w:pStyle w:val="TableTextEntries"/>
              <w:rPr>
                <w:highlight w:val="yellow"/>
              </w:rPr>
            </w:pPr>
            <w:r w:rsidRPr="00946CEA">
              <w:t>Across the program we will seek opportunities to embed reforms within the core systems and processes of government and other partners</w:t>
            </w:r>
            <w:r w:rsidR="00E8426F" w:rsidRPr="00946CEA">
              <w:t>.</w:t>
            </w:r>
          </w:p>
        </w:tc>
      </w:tr>
      <w:tr w:rsidR="00180B19" w:rsidRPr="008F6B31" w14:paraId="77C94B6E" w14:textId="77777777" w:rsidTr="00644D59">
        <w:tc>
          <w:tcPr>
            <w:tcW w:w="4363" w:type="dxa"/>
          </w:tcPr>
          <w:p w14:paraId="5AEDF938" w14:textId="4D6E09E5" w:rsidR="00180B19" w:rsidRPr="00946CEA" w:rsidRDefault="000A45B6" w:rsidP="00946CEA">
            <w:pPr>
              <w:pStyle w:val="TableTextEntries"/>
            </w:pPr>
            <w:r w:rsidRPr="00946CEA">
              <w:t xml:space="preserve">Low capacity in </w:t>
            </w:r>
            <w:r w:rsidR="007A3B3A" w:rsidRPr="00946CEA">
              <w:rPr>
                <w:rStyle w:val="Emphasis"/>
                <w:i w:val="0"/>
                <w:iCs w:val="0"/>
              </w:rPr>
              <w:t>ARMM Regional Government</w:t>
            </w:r>
            <w:r w:rsidR="007A3B3A" w:rsidRPr="00946CEA">
              <w:rPr>
                <w:rStyle w:val="st"/>
              </w:rPr>
              <w:t xml:space="preserve"> </w:t>
            </w:r>
            <w:r w:rsidRPr="00946CEA">
              <w:t xml:space="preserve">departments, political instability or conflict significantly delays program </w:t>
            </w:r>
            <w:r w:rsidR="000D23DB" w:rsidRPr="00946CEA">
              <w:t>implementation.</w:t>
            </w:r>
          </w:p>
        </w:tc>
        <w:tc>
          <w:tcPr>
            <w:tcW w:w="4103" w:type="dxa"/>
          </w:tcPr>
          <w:p w14:paraId="767EC144" w14:textId="3FD8A921" w:rsidR="00180B19" w:rsidRPr="00946CEA" w:rsidRDefault="000A45B6" w:rsidP="00946CEA">
            <w:pPr>
              <w:pStyle w:val="TableTextEntries"/>
            </w:pPr>
            <w:r w:rsidRPr="00946CEA">
              <w:t>We will increase the level</w:t>
            </w:r>
            <w:r w:rsidR="00F64839" w:rsidRPr="00946CEA">
              <w:t xml:space="preserve"> and frequency</w:t>
            </w:r>
            <w:r w:rsidRPr="00946CEA">
              <w:t xml:space="preserve"> of monitoring activities to ensure that the program remain</w:t>
            </w:r>
            <w:r w:rsidR="00F64839" w:rsidRPr="00946CEA">
              <w:t>s</w:t>
            </w:r>
            <w:r w:rsidRPr="00946CEA">
              <w:t xml:space="preserve"> on track</w:t>
            </w:r>
            <w:r w:rsidR="00C8136C" w:rsidRPr="00946CEA">
              <w:t xml:space="preserve"> and that we are able </w:t>
            </w:r>
            <w:r w:rsidR="00F64839" w:rsidRPr="00946CEA">
              <w:t xml:space="preserve">to </w:t>
            </w:r>
            <w:r w:rsidRPr="00946CEA">
              <w:t>respond to rapidly changing environments and high levels of personal and program risk.</w:t>
            </w:r>
            <w:r w:rsidR="00855402" w:rsidRPr="00946CEA">
              <w:t xml:space="preserve"> </w:t>
            </w:r>
            <w:r w:rsidRPr="00946CEA">
              <w:t xml:space="preserve">Weak capacity in </w:t>
            </w:r>
            <w:r w:rsidR="007A3B3A" w:rsidRPr="00946CEA">
              <w:t xml:space="preserve">the </w:t>
            </w:r>
            <w:r w:rsidRPr="00946CEA">
              <w:t xml:space="preserve">ARMM </w:t>
            </w:r>
            <w:r w:rsidR="007A3B3A" w:rsidRPr="00946CEA">
              <w:t xml:space="preserve">Department of Education </w:t>
            </w:r>
            <w:r w:rsidRPr="00946CEA">
              <w:t xml:space="preserve">will need to be supplemented by implementing partners to maintain a momentum for </w:t>
            </w:r>
            <w:r w:rsidR="000D23DB" w:rsidRPr="00946CEA">
              <w:t>reform</w:t>
            </w:r>
            <w:r w:rsidRPr="00946CEA">
              <w:t>.</w:t>
            </w:r>
          </w:p>
        </w:tc>
      </w:tr>
      <w:tr w:rsidR="00644D59" w:rsidRPr="008F6B31" w14:paraId="77EA5E17" w14:textId="77777777" w:rsidTr="00BE65E4">
        <w:tc>
          <w:tcPr>
            <w:tcW w:w="4363" w:type="dxa"/>
            <w:hideMark/>
          </w:tcPr>
          <w:p w14:paraId="005FB360" w14:textId="75DD1C98" w:rsidR="00644D59" w:rsidRPr="00946CEA" w:rsidRDefault="006806F3" w:rsidP="00946CEA">
            <w:pPr>
              <w:pStyle w:val="TableTextEntries"/>
            </w:pPr>
            <w:r w:rsidRPr="00946CEA">
              <w:t>Un</w:t>
            </w:r>
            <w:r w:rsidR="00491878" w:rsidRPr="00946CEA">
              <w:t xml:space="preserve">successful </w:t>
            </w:r>
            <w:r w:rsidR="000639F0" w:rsidRPr="00946CEA">
              <w:t xml:space="preserve">transition to a new supporting contractor and management model for </w:t>
            </w:r>
            <w:r w:rsidR="00C8136C" w:rsidRPr="00946CEA">
              <w:t>Provincial Road Management Facility</w:t>
            </w:r>
            <w:r w:rsidR="00E8426F" w:rsidRPr="00946CEA">
              <w:t>.</w:t>
            </w:r>
          </w:p>
        </w:tc>
        <w:tc>
          <w:tcPr>
            <w:tcW w:w="4103" w:type="dxa"/>
          </w:tcPr>
          <w:p w14:paraId="72711974" w14:textId="37646336" w:rsidR="00644D59" w:rsidRPr="00946CEA" w:rsidRDefault="005333FF" w:rsidP="00946CEA">
            <w:pPr>
              <w:pStyle w:val="TableTextEntries"/>
            </w:pPr>
            <w:r>
              <w:t>DFAT</w:t>
            </w:r>
            <w:r w:rsidR="00D631B2" w:rsidRPr="00946CEA">
              <w:t xml:space="preserve"> and </w:t>
            </w:r>
            <w:r w:rsidR="007A3B3A" w:rsidRPr="00946CEA">
              <w:t xml:space="preserve">the Department of the Interior and Local Government </w:t>
            </w:r>
            <w:r w:rsidR="00D631B2" w:rsidRPr="00946CEA">
              <w:t xml:space="preserve">will jointly direct </w:t>
            </w:r>
            <w:r w:rsidR="007A3B3A" w:rsidRPr="00946CEA">
              <w:t xml:space="preserve">Provincial Road Management Facility </w:t>
            </w:r>
            <w:r w:rsidR="00D631B2" w:rsidRPr="00946CEA">
              <w:t xml:space="preserve">strategy and operations through a </w:t>
            </w:r>
            <w:r w:rsidR="007A3B3A" w:rsidRPr="00946CEA">
              <w:t>facility management group</w:t>
            </w:r>
            <w:r w:rsidR="0029748F" w:rsidRPr="00946CEA">
              <w:t>. D</w:t>
            </w:r>
            <w:r w:rsidR="006806F3" w:rsidRPr="00946CEA">
              <w:t>etailed transition plans will be implemented during a two month staged transition to a supporting contractor</w:t>
            </w:r>
            <w:r w:rsidR="00491878" w:rsidRPr="00946CEA">
              <w:t xml:space="preserve">. </w:t>
            </w:r>
          </w:p>
        </w:tc>
      </w:tr>
      <w:tr w:rsidR="00644D59" w:rsidRPr="008F6B31" w14:paraId="35E306F1" w14:textId="77777777" w:rsidTr="00BE65E4">
        <w:tc>
          <w:tcPr>
            <w:tcW w:w="4363" w:type="dxa"/>
          </w:tcPr>
          <w:p w14:paraId="7528969B" w14:textId="40E73707" w:rsidR="00644D59" w:rsidRPr="00946CEA" w:rsidRDefault="00884FF4" w:rsidP="00946CEA">
            <w:pPr>
              <w:pStyle w:val="TableTextEntries"/>
            </w:pPr>
            <w:r w:rsidRPr="00946CEA">
              <w:t xml:space="preserve">Inability of </w:t>
            </w:r>
            <w:proofErr w:type="spellStart"/>
            <w:r w:rsidRPr="00946CEA">
              <w:t>Taguig</w:t>
            </w:r>
            <w:proofErr w:type="spellEnd"/>
            <w:r w:rsidRPr="00946CEA">
              <w:t xml:space="preserve"> City to identify a suitable site for construction of safer settlements in </w:t>
            </w:r>
            <w:r w:rsidR="00E8426F" w:rsidRPr="00946CEA">
              <w:t>the</w:t>
            </w:r>
            <w:r w:rsidRPr="00946CEA">
              <w:t xml:space="preserve"> </w:t>
            </w:r>
            <w:r w:rsidR="007A3B3A" w:rsidRPr="00946CEA">
              <w:t>city</w:t>
            </w:r>
            <w:r w:rsidRPr="00946CEA">
              <w:t>.</w:t>
            </w:r>
          </w:p>
        </w:tc>
        <w:tc>
          <w:tcPr>
            <w:tcW w:w="4103" w:type="dxa"/>
          </w:tcPr>
          <w:p w14:paraId="3126BB0F" w14:textId="77777777" w:rsidR="00644D59" w:rsidRPr="00946CEA" w:rsidRDefault="00884FF4" w:rsidP="00946CEA">
            <w:pPr>
              <w:pStyle w:val="TableTextEntries"/>
            </w:pPr>
            <w:r w:rsidRPr="00946CEA">
              <w:t xml:space="preserve">Renew discussions with </w:t>
            </w:r>
            <w:proofErr w:type="spellStart"/>
            <w:r w:rsidRPr="00946CEA">
              <w:t>Taguig</w:t>
            </w:r>
            <w:proofErr w:type="spellEnd"/>
            <w:r w:rsidRPr="00946CEA">
              <w:t xml:space="preserve"> City officials to identify a new site, or deliver on our commitment by exploring options to fund an existing social housing provider already active in the area</w:t>
            </w:r>
            <w:r w:rsidR="00E8426F" w:rsidRPr="00946CEA">
              <w:t>.</w:t>
            </w:r>
          </w:p>
        </w:tc>
      </w:tr>
      <w:tr w:rsidR="00644D59" w:rsidRPr="008F6B31" w14:paraId="53B69165" w14:textId="77777777" w:rsidTr="00BE65E4">
        <w:tc>
          <w:tcPr>
            <w:tcW w:w="4363" w:type="dxa"/>
          </w:tcPr>
          <w:p w14:paraId="618E12E1" w14:textId="77777777" w:rsidR="00644D59" w:rsidRPr="00946CEA" w:rsidRDefault="00923CE1" w:rsidP="00946CEA">
            <w:pPr>
              <w:pStyle w:val="TableTextEntries"/>
            </w:pPr>
            <w:r w:rsidRPr="00946CEA">
              <w:t xml:space="preserve">Pressures to broaden and diversify the </w:t>
            </w:r>
            <w:r w:rsidR="00744923" w:rsidRPr="00946CEA">
              <w:t xml:space="preserve">Mindanao </w:t>
            </w:r>
            <w:r w:rsidRPr="00946CEA">
              <w:t xml:space="preserve">strategy, </w:t>
            </w:r>
            <w:r w:rsidR="008F6B31" w:rsidRPr="00946CEA">
              <w:t>dissipating</w:t>
            </w:r>
            <w:r w:rsidRPr="00946CEA">
              <w:t xml:space="preserve"> impact and desired results</w:t>
            </w:r>
            <w:r w:rsidR="0094520F" w:rsidRPr="00946CEA">
              <w:t>.</w:t>
            </w:r>
          </w:p>
        </w:tc>
        <w:tc>
          <w:tcPr>
            <w:tcW w:w="4103" w:type="dxa"/>
          </w:tcPr>
          <w:p w14:paraId="22773EF2" w14:textId="77777777" w:rsidR="00644D59" w:rsidRPr="00946CEA" w:rsidRDefault="007D7C81" w:rsidP="00946CEA">
            <w:pPr>
              <w:pStyle w:val="TableTextEntries"/>
            </w:pPr>
            <w:r w:rsidRPr="00946CEA">
              <w:t>Streamline projects</w:t>
            </w:r>
            <w:r w:rsidR="00923CE1" w:rsidRPr="00946CEA">
              <w:t xml:space="preserve"> into a more focused program in keeping with the </w:t>
            </w:r>
            <w:r w:rsidR="00E0436A" w:rsidRPr="00946CEA">
              <w:t>Mindanao Conflict Affected Areas Delivery Strategy.</w:t>
            </w:r>
          </w:p>
        </w:tc>
      </w:tr>
      <w:tr w:rsidR="00644D59" w:rsidRPr="008F6B31" w14:paraId="04B774B2" w14:textId="77777777" w:rsidTr="00BE65E4">
        <w:tc>
          <w:tcPr>
            <w:tcW w:w="4363" w:type="dxa"/>
          </w:tcPr>
          <w:p w14:paraId="1DF4B479" w14:textId="3054AB14" w:rsidR="00644D59" w:rsidRPr="00946CEA" w:rsidRDefault="00884FF4" w:rsidP="00946CEA">
            <w:pPr>
              <w:pStyle w:val="TableTextEntries"/>
            </w:pPr>
            <w:r w:rsidRPr="00946CEA">
              <w:t xml:space="preserve">Failure to implement the recommendations of the independent review of the </w:t>
            </w:r>
            <w:r w:rsidR="007A3B3A" w:rsidRPr="00946CEA">
              <w:t xml:space="preserve">Human Resource and Organisational Development Facility </w:t>
            </w:r>
            <w:r w:rsidRPr="00946CEA">
              <w:t xml:space="preserve">and </w:t>
            </w:r>
            <w:r w:rsidR="007A3B3A" w:rsidRPr="00946CEA">
              <w:t>Coalitions for Change</w:t>
            </w:r>
            <w:r w:rsidRPr="00946CEA">
              <w:t>.</w:t>
            </w:r>
          </w:p>
        </w:tc>
        <w:tc>
          <w:tcPr>
            <w:tcW w:w="4103" w:type="dxa"/>
          </w:tcPr>
          <w:p w14:paraId="4FBC4532" w14:textId="7E08706C" w:rsidR="00644D59" w:rsidRPr="00946CEA" w:rsidRDefault="00B80B4F" w:rsidP="00946CEA">
            <w:pPr>
              <w:pStyle w:val="TableTextEntries"/>
            </w:pPr>
            <w:r w:rsidRPr="00946CEA">
              <w:t>Develop</w:t>
            </w:r>
            <w:r w:rsidR="0029748F" w:rsidRPr="00946CEA">
              <w:t xml:space="preserve"> i</w:t>
            </w:r>
            <w:r w:rsidR="00884FF4" w:rsidRPr="00946CEA">
              <w:t>mplementation plans and use</w:t>
            </w:r>
            <w:r w:rsidR="0029748F" w:rsidRPr="00946CEA">
              <w:t xml:space="preserve"> these</w:t>
            </w:r>
            <w:r w:rsidR="00884FF4" w:rsidRPr="00946CEA">
              <w:t xml:space="preserve"> to track progress instituting the recommendations of reviews</w:t>
            </w:r>
            <w:r w:rsidR="00E8426F" w:rsidRPr="00946CEA">
              <w:t>.</w:t>
            </w:r>
          </w:p>
        </w:tc>
      </w:tr>
    </w:tbl>
    <w:p w14:paraId="0D0488DD" w14:textId="77777777" w:rsidR="00522AB9" w:rsidRPr="008F6B31" w:rsidRDefault="00522AB9" w:rsidP="002A1935">
      <w:pPr>
        <w:pStyle w:val="BodyText"/>
        <w:sectPr w:rsidR="00522AB9" w:rsidRPr="008F6B31" w:rsidSect="00541B3F">
          <w:headerReference w:type="default" r:id="rId19"/>
          <w:footerReference w:type="default" r:id="rId20"/>
          <w:headerReference w:type="first" r:id="rId21"/>
          <w:footerReference w:type="first" r:id="rId22"/>
          <w:pgSz w:w="11906" w:h="16838" w:code="9"/>
          <w:pgMar w:top="2268" w:right="1701" w:bottom="907" w:left="1871" w:header="709" w:footer="454" w:gutter="0"/>
          <w:cols w:space="708"/>
          <w:titlePg/>
          <w:docGrid w:linePitch="360"/>
        </w:sectPr>
      </w:pPr>
    </w:p>
    <w:p w14:paraId="0203429B" w14:textId="77777777" w:rsidR="00FE4491" w:rsidRPr="008F6B31" w:rsidRDefault="00C65930" w:rsidP="00FE4491">
      <w:pPr>
        <w:pStyle w:val="Heading1"/>
      </w:pPr>
      <w:r w:rsidRPr="008F6B31">
        <w:lastRenderedPageBreak/>
        <w:t>Annex A</w:t>
      </w:r>
      <w:r w:rsidR="00FE4491" w:rsidRPr="008F6B31">
        <w:t xml:space="preserve"> </w:t>
      </w:r>
    </w:p>
    <w:p w14:paraId="521EF040" w14:textId="77777777" w:rsidR="00FE4491" w:rsidRPr="008F6B31" w:rsidRDefault="00FE4491" w:rsidP="00F6698F">
      <w:pPr>
        <w:pStyle w:val="Heading2"/>
        <w:spacing w:before="240"/>
      </w:pPr>
      <w:r w:rsidRPr="008F6B31">
        <w:t>Progress in addressing 2011 management consequences</w:t>
      </w:r>
    </w:p>
    <w:tbl>
      <w:tblPr>
        <w:tblStyle w:val="APPR"/>
        <w:tblW w:w="5000" w:type="pct"/>
        <w:tblLayout w:type="fixed"/>
        <w:tblLook w:val="0000" w:firstRow="0" w:lastRow="0" w:firstColumn="0" w:lastColumn="0" w:noHBand="0" w:noVBand="0"/>
      </w:tblPr>
      <w:tblGrid>
        <w:gridCol w:w="4814"/>
        <w:gridCol w:w="868"/>
        <w:gridCol w:w="8253"/>
      </w:tblGrid>
      <w:tr w:rsidR="00FE4491" w:rsidRPr="008F6B31" w14:paraId="7BE175EC"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07F3AD15" w14:textId="77777777" w:rsidR="00FE4491" w:rsidRPr="008F6B31" w:rsidRDefault="00FE4491" w:rsidP="00504E7F">
            <w:pPr>
              <w:pStyle w:val="TableTextColumnHeading"/>
            </w:pPr>
            <w:r w:rsidRPr="008F6B31">
              <w:t>Management consequences identified in 2011 APPR</w:t>
            </w:r>
          </w:p>
        </w:tc>
        <w:tc>
          <w:tcPr>
            <w:tcW w:w="300" w:type="pct"/>
          </w:tcPr>
          <w:p w14:paraId="2A43C357" w14:textId="77777777" w:rsidR="00FE4491" w:rsidRPr="008F6B31" w:rsidRDefault="00FE4491" w:rsidP="00504E7F">
            <w:pPr>
              <w:pStyle w:val="TableTextColumnHeading"/>
            </w:pPr>
            <w:r w:rsidRPr="008F6B31">
              <w:t>Rating</w:t>
            </w:r>
          </w:p>
        </w:tc>
        <w:tc>
          <w:tcPr>
            <w:tcW w:w="2927" w:type="pct"/>
          </w:tcPr>
          <w:p w14:paraId="04A9A9BD" w14:textId="7CF8A324" w:rsidR="00FE4491" w:rsidRPr="008F6B31" w:rsidRDefault="00FE4491" w:rsidP="00504E7F">
            <w:pPr>
              <w:pStyle w:val="TableTextColumnHeading"/>
            </w:pPr>
            <w:r w:rsidRPr="008F6B31">
              <w:t>Progress made in 2012</w:t>
            </w:r>
            <w:r w:rsidR="00EE6726">
              <w:t>–</w:t>
            </w:r>
            <w:r w:rsidRPr="008F6B31">
              <w:t>13</w:t>
            </w:r>
          </w:p>
        </w:tc>
      </w:tr>
      <w:tr w:rsidR="00EE11BB" w:rsidRPr="008F6B31" w14:paraId="4A5DD430"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1375DCC4" w14:textId="5623AB8E" w:rsidR="00EE11BB" w:rsidRPr="00504E7F" w:rsidRDefault="00EE11BB" w:rsidP="00504E7F">
            <w:pPr>
              <w:pStyle w:val="TableTextEntries"/>
            </w:pPr>
            <w:r w:rsidRPr="00504E7F">
              <w:t xml:space="preserve">Delivery strategies: </w:t>
            </w:r>
            <w:r w:rsidR="00EE6726" w:rsidRPr="00504E7F">
              <w:t>c</w:t>
            </w:r>
            <w:r w:rsidRPr="00504E7F">
              <w:t xml:space="preserve">omplete </w:t>
            </w:r>
            <w:r w:rsidR="00EE6726" w:rsidRPr="00504E7F">
              <w:t xml:space="preserve">delivery strategies </w:t>
            </w:r>
            <w:r w:rsidRPr="00504E7F">
              <w:t xml:space="preserve">for each of the four </w:t>
            </w:r>
            <w:r w:rsidR="00EE6726" w:rsidRPr="00504E7F">
              <w:t>objectives</w:t>
            </w:r>
          </w:p>
        </w:tc>
        <w:tc>
          <w:tcPr>
            <w:tcW w:w="300" w:type="pct"/>
            <w:shd w:val="clear" w:color="auto" w:fill="F79646" w:themeFill="accent6"/>
          </w:tcPr>
          <w:p w14:paraId="2BA312C3" w14:textId="77777777" w:rsidR="00EE11BB" w:rsidRPr="00504E7F" w:rsidRDefault="00EE11BB" w:rsidP="00504E7F">
            <w:pPr>
              <w:pStyle w:val="TableTextEntries"/>
            </w:pPr>
            <w:r w:rsidRPr="00504E7F">
              <w:t>Amber</w:t>
            </w:r>
          </w:p>
        </w:tc>
        <w:tc>
          <w:tcPr>
            <w:tcW w:w="2927" w:type="pct"/>
          </w:tcPr>
          <w:p w14:paraId="2A13883A" w14:textId="24CDE3C9" w:rsidR="00EE11BB" w:rsidRPr="00504E7F" w:rsidRDefault="00EE11BB" w:rsidP="00504E7F">
            <w:pPr>
              <w:pStyle w:val="TableTextEntries"/>
            </w:pPr>
            <w:r w:rsidRPr="00504E7F">
              <w:t xml:space="preserve">The </w:t>
            </w:r>
            <w:r w:rsidR="00EE6726" w:rsidRPr="00504E7F">
              <w:t>delivery strategies</w:t>
            </w:r>
            <w:r w:rsidR="006A5D17" w:rsidRPr="00504E7F">
              <w:t xml:space="preserve"> </w:t>
            </w:r>
            <w:r w:rsidRPr="00504E7F">
              <w:t xml:space="preserve">for </w:t>
            </w:r>
            <w:r w:rsidR="00EE6726" w:rsidRPr="00504E7F">
              <w:t>disaster risk reduction</w:t>
            </w:r>
            <w:r w:rsidRPr="00504E7F">
              <w:t>/</w:t>
            </w:r>
            <w:r w:rsidR="00EE6726" w:rsidRPr="00504E7F">
              <w:t>c</w:t>
            </w:r>
            <w:r w:rsidRPr="00504E7F">
              <w:t xml:space="preserve">limate </w:t>
            </w:r>
            <w:r w:rsidR="00EE6726" w:rsidRPr="00504E7F">
              <w:t>change a</w:t>
            </w:r>
            <w:r w:rsidRPr="00504E7F">
              <w:t xml:space="preserve">daptation </w:t>
            </w:r>
            <w:r w:rsidR="000D23DB" w:rsidRPr="00504E7F">
              <w:t>and Mindanao</w:t>
            </w:r>
            <w:r w:rsidR="00E0436A" w:rsidRPr="00504E7F">
              <w:t xml:space="preserve"> Conflict Affected Areas </w:t>
            </w:r>
            <w:r w:rsidRPr="00504E7F">
              <w:t>are complete.</w:t>
            </w:r>
            <w:r w:rsidR="006A5D17" w:rsidRPr="00504E7F">
              <w:t xml:space="preserve"> </w:t>
            </w:r>
            <w:r w:rsidRPr="00504E7F">
              <w:t xml:space="preserve">The </w:t>
            </w:r>
            <w:r w:rsidR="00EE6726" w:rsidRPr="00504E7F">
              <w:t xml:space="preserve">strategy </w:t>
            </w:r>
            <w:r w:rsidRPr="00504E7F">
              <w:t xml:space="preserve">for </w:t>
            </w:r>
            <w:r w:rsidR="00EE6726" w:rsidRPr="00504E7F">
              <w:t xml:space="preserve">education </w:t>
            </w:r>
            <w:r w:rsidRPr="00504E7F">
              <w:t>was</w:t>
            </w:r>
            <w:r w:rsidR="00B364BD" w:rsidRPr="00504E7F">
              <w:t xml:space="preserve"> </w:t>
            </w:r>
            <w:r w:rsidRPr="00504E7F">
              <w:t xml:space="preserve">peer reviewed. Substantial feedback was received. It is currently being redrafted to incorporate </w:t>
            </w:r>
            <w:r w:rsidR="00EE6726" w:rsidRPr="00504E7F">
              <w:t>this</w:t>
            </w:r>
            <w:r w:rsidRPr="00504E7F">
              <w:t>.</w:t>
            </w:r>
            <w:r w:rsidR="00721314" w:rsidRPr="00504E7F">
              <w:t xml:space="preserve"> </w:t>
            </w:r>
            <w:r w:rsidRPr="00504E7F">
              <w:t xml:space="preserve">Given the </w:t>
            </w:r>
            <w:r w:rsidR="006A5D17" w:rsidRPr="00504E7F">
              <w:t xml:space="preserve">direct </w:t>
            </w:r>
            <w:r w:rsidRPr="00504E7F">
              <w:t xml:space="preserve">management requirements for </w:t>
            </w:r>
            <w:r w:rsidR="00EE6726" w:rsidRPr="00504E7F">
              <w:t>the Provincial Road Management Facility</w:t>
            </w:r>
            <w:r w:rsidRPr="00504E7F">
              <w:t xml:space="preserve">, the </w:t>
            </w:r>
            <w:r w:rsidR="00EE6726" w:rsidRPr="00504E7F">
              <w:t xml:space="preserve">delivery strategy </w:t>
            </w:r>
            <w:r w:rsidRPr="00504E7F">
              <w:t xml:space="preserve">for </w:t>
            </w:r>
            <w:r w:rsidR="00FA0CEC" w:rsidRPr="00504E7F">
              <w:t>sub-national g</w:t>
            </w:r>
            <w:r w:rsidR="008F6B31" w:rsidRPr="00504E7F">
              <w:t>overnance</w:t>
            </w:r>
            <w:r w:rsidRPr="00504E7F">
              <w:t xml:space="preserve"> was not commenced</w:t>
            </w:r>
            <w:r w:rsidR="00EE6726" w:rsidRPr="00504E7F">
              <w:t>, but will</w:t>
            </w:r>
            <w:r w:rsidRPr="00504E7F">
              <w:t xml:space="preserve"> be </w:t>
            </w:r>
            <w:r w:rsidR="00744923" w:rsidRPr="00504E7F">
              <w:t>completed</w:t>
            </w:r>
            <w:r w:rsidR="00CC0FE0" w:rsidRPr="00504E7F">
              <w:t xml:space="preserve"> </w:t>
            </w:r>
            <w:r w:rsidRPr="00504E7F">
              <w:t>in</w:t>
            </w:r>
            <w:r w:rsidR="00CC0FE0" w:rsidRPr="00504E7F">
              <w:t xml:space="preserve"> </w:t>
            </w:r>
            <w:r w:rsidRPr="00504E7F">
              <w:t>20</w:t>
            </w:r>
            <w:r w:rsidR="00744923" w:rsidRPr="00504E7F">
              <w:t>13</w:t>
            </w:r>
            <w:r w:rsidR="00EE6726" w:rsidRPr="00504E7F">
              <w:t>–</w:t>
            </w:r>
            <w:r w:rsidRPr="00504E7F">
              <w:t>14</w:t>
            </w:r>
            <w:r w:rsidR="006A5D17" w:rsidRPr="00504E7F">
              <w:t xml:space="preserve"> after the new management arrangement is in place</w:t>
            </w:r>
            <w:r w:rsidRPr="00504E7F">
              <w:t>.</w:t>
            </w:r>
          </w:p>
        </w:tc>
      </w:tr>
      <w:tr w:rsidR="00FE4491" w:rsidRPr="008F6B31" w14:paraId="2FCA70A2"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0CA21B58" w14:textId="53378986" w:rsidR="00FE4491" w:rsidRPr="00504E7F" w:rsidRDefault="00EE11BB" w:rsidP="00504E7F">
            <w:pPr>
              <w:pStyle w:val="TableTextEntries"/>
            </w:pPr>
            <w:r w:rsidRPr="00504E7F">
              <w:t xml:space="preserve">Results: </w:t>
            </w:r>
            <w:r w:rsidR="00EE6726" w:rsidRPr="00504E7F">
              <w:t xml:space="preserve">performance assessment framework </w:t>
            </w:r>
            <w:r w:rsidR="00C05452" w:rsidRPr="00504E7F">
              <w:t xml:space="preserve">for </w:t>
            </w:r>
            <w:r w:rsidR="009911C0" w:rsidRPr="00504E7F">
              <w:t xml:space="preserve">the </w:t>
            </w:r>
            <w:r w:rsidR="00EE6726" w:rsidRPr="00504E7F">
              <w:t xml:space="preserve">country strategy </w:t>
            </w:r>
            <w:r w:rsidR="009911C0" w:rsidRPr="00504E7F">
              <w:t>and</w:t>
            </w:r>
            <w:r w:rsidR="00C05452" w:rsidRPr="00504E7F">
              <w:t xml:space="preserve"> each </w:t>
            </w:r>
            <w:r w:rsidR="00EE6726" w:rsidRPr="00504E7F">
              <w:t xml:space="preserve">delivery strategy </w:t>
            </w:r>
            <w:r w:rsidR="009911C0" w:rsidRPr="00504E7F">
              <w:t>in place</w:t>
            </w:r>
          </w:p>
        </w:tc>
        <w:tc>
          <w:tcPr>
            <w:tcW w:w="300" w:type="pct"/>
            <w:shd w:val="clear" w:color="auto" w:fill="F79646" w:themeFill="accent6"/>
          </w:tcPr>
          <w:p w14:paraId="41FFB3A5" w14:textId="77777777" w:rsidR="00FE4491" w:rsidRPr="00504E7F" w:rsidRDefault="00EE11BB" w:rsidP="00504E7F">
            <w:pPr>
              <w:pStyle w:val="TableTextEntries"/>
            </w:pPr>
            <w:r w:rsidRPr="00504E7F">
              <w:t>Amber</w:t>
            </w:r>
            <w:r w:rsidR="00FE4491" w:rsidRPr="00504E7F">
              <w:fldChar w:fldCharType="begin"/>
            </w:r>
            <w:r w:rsidR="00FE4491" w:rsidRPr="00504E7F">
              <w:instrText xml:space="preserve"> AUTOTEXTLIST  \s "Rating bullet"\t "Right click to choose a rating" \* MERGEFORMAT </w:instrText>
            </w:r>
            <w:r w:rsidR="00FE4491" w:rsidRPr="00504E7F">
              <w:fldChar w:fldCharType="end"/>
            </w:r>
          </w:p>
        </w:tc>
        <w:tc>
          <w:tcPr>
            <w:tcW w:w="2927" w:type="pct"/>
          </w:tcPr>
          <w:p w14:paraId="099B8F05" w14:textId="48AAC4A4" w:rsidR="00FE4491" w:rsidRPr="00504E7F" w:rsidRDefault="00911FED" w:rsidP="00504E7F">
            <w:pPr>
              <w:pStyle w:val="TableTextEntries"/>
            </w:pPr>
            <w:r w:rsidRPr="00504E7F">
              <w:t xml:space="preserve">The </w:t>
            </w:r>
            <w:r w:rsidR="00EE6726" w:rsidRPr="00504E7F">
              <w:t xml:space="preserve">country strategy </w:t>
            </w:r>
            <w:r w:rsidRPr="00504E7F">
              <w:t>and e</w:t>
            </w:r>
            <w:r w:rsidR="009911C0" w:rsidRPr="00504E7F">
              <w:t>ach completed</w:t>
            </w:r>
            <w:r w:rsidR="00DA2143" w:rsidRPr="00504E7F">
              <w:t xml:space="preserve"> </w:t>
            </w:r>
            <w:r w:rsidR="00EE6726" w:rsidRPr="00504E7F">
              <w:t>delivery strategy</w:t>
            </w:r>
            <w:r w:rsidR="00EE6726" w:rsidRPr="00504E7F" w:rsidDel="00EE6726">
              <w:t xml:space="preserve"> </w:t>
            </w:r>
            <w:r w:rsidR="009911C0" w:rsidRPr="00504E7F">
              <w:t>ha</w:t>
            </w:r>
            <w:r w:rsidR="00EE11BB" w:rsidRPr="00504E7F">
              <w:t>ve</w:t>
            </w:r>
            <w:r w:rsidR="009911C0" w:rsidRPr="00504E7F">
              <w:t xml:space="preserve"> a </w:t>
            </w:r>
            <w:r w:rsidR="00EE6726" w:rsidRPr="00504E7F">
              <w:t>performance assessment framework</w:t>
            </w:r>
            <w:r w:rsidR="009911C0" w:rsidRPr="00504E7F">
              <w:t xml:space="preserve">. </w:t>
            </w:r>
            <w:r w:rsidR="000A62AD" w:rsidRPr="00504E7F">
              <w:t>Dialogue with the</w:t>
            </w:r>
            <w:r w:rsidR="00DA2143" w:rsidRPr="00504E7F">
              <w:t xml:space="preserve"> </w:t>
            </w:r>
            <w:r w:rsidR="00EE6726" w:rsidRPr="00504E7F">
              <w:t xml:space="preserve">Philippines Government </w:t>
            </w:r>
            <w:r w:rsidR="000A62AD" w:rsidRPr="00504E7F">
              <w:t xml:space="preserve">has taken place. A draft </w:t>
            </w:r>
            <w:r w:rsidR="00EE6726" w:rsidRPr="00504E7F">
              <w:t xml:space="preserve">monitoring </w:t>
            </w:r>
            <w:r w:rsidR="000A62AD" w:rsidRPr="00504E7F">
              <w:t xml:space="preserve">and </w:t>
            </w:r>
            <w:r w:rsidR="00EE6726" w:rsidRPr="00504E7F">
              <w:t xml:space="preserve">evaluation framework </w:t>
            </w:r>
            <w:r w:rsidR="000A62AD" w:rsidRPr="00504E7F">
              <w:t xml:space="preserve">incorporating a </w:t>
            </w:r>
            <w:r w:rsidR="00EE6726" w:rsidRPr="00504E7F">
              <w:t xml:space="preserve">performance assessment framework </w:t>
            </w:r>
            <w:r w:rsidR="000A62AD" w:rsidRPr="00504E7F">
              <w:t>has been prepared</w:t>
            </w:r>
            <w:r w:rsidR="0029748F" w:rsidRPr="00504E7F">
              <w:t>. These</w:t>
            </w:r>
            <w:r w:rsidR="000A62AD" w:rsidRPr="00504E7F">
              <w:t xml:space="preserve"> consider the contribution of policy dialogue and institutional systems strengthening at the strategic level to achieve the specified sub-objectives. The</w:t>
            </w:r>
            <w:r w:rsidR="00DA2143" w:rsidRPr="00504E7F">
              <w:t xml:space="preserve"> </w:t>
            </w:r>
            <w:r w:rsidR="00EE6726" w:rsidRPr="00504E7F">
              <w:t>monitoring and evaluation f</w:t>
            </w:r>
            <w:r w:rsidR="000A62AD" w:rsidRPr="00504E7F">
              <w:t>ramework will be finalised b</w:t>
            </w:r>
            <w:r w:rsidR="00744923" w:rsidRPr="00504E7F">
              <w:t>y</w:t>
            </w:r>
            <w:r w:rsidR="000A62AD" w:rsidRPr="00504E7F">
              <w:t xml:space="preserve"> the end of 2013.</w:t>
            </w:r>
            <w:r w:rsidR="00EE11BB" w:rsidRPr="00504E7F">
              <w:t xml:space="preserve"> </w:t>
            </w:r>
          </w:p>
        </w:tc>
      </w:tr>
      <w:tr w:rsidR="00FE4491" w:rsidRPr="008F6B31" w14:paraId="1D4E17DA"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044FCB13" w14:textId="60C86D45" w:rsidR="00FE4491" w:rsidRPr="00504E7F" w:rsidRDefault="00EC03B7" w:rsidP="00504E7F">
            <w:pPr>
              <w:pStyle w:val="TableTextEntries"/>
            </w:pPr>
            <w:r w:rsidRPr="00504E7F">
              <w:t xml:space="preserve">Efficiency: </w:t>
            </w:r>
            <w:r w:rsidR="00EE6726" w:rsidRPr="00504E7F">
              <w:t xml:space="preserve">further </w:t>
            </w:r>
            <w:r w:rsidR="00C05452" w:rsidRPr="00504E7F">
              <w:t>consolidation within the country program to address low efficiency rating</w:t>
            </w:r>
            <w:r w:rsidR="006A5D17" w:rsidRPr="00504E7F">
              <w:t>s in the 2011 QAIs.</w:t>
            </w:r>
          </w:p>
        </w:tc>
        <w:tc>
          <w:tcPr>
            <w:tcW w:w="300" w:type="pct"/>
            <w:shd w:val="clear" w:color="auto" w:fill="92D050"/>
          </w:tcPr>
          <w:p w14:paraId="042E51AD" w14:textId="77777777" w:rsidR="00FE4491" w:rsidRPr="00504E7F" w:rsidRDefault="00FE4491" w:rsidP="00504E7F">
            <w:pPr>
              <w:pStyle w:val="TableTextEntries"/>
            </w:pPr>
            <w:r w:rsidRPr="00504E7F">
              <w:t>G</w:t>
            </w:r>
            <w:r w:rsidR="00443639" w:rsidRPr="00504E7F">
              <w:t>reen</w:t>
            </w:r>
          </w:p>
        </w:tc>
        <w:tc>
          <w:tcPr>
            <w:tcW w:w="2927" w:type="pct"/>
          </w:tcPr>
          <w:p w14:paraId="00000F0D" w14:textId="2DE810C8" w:rsidR="00FE4491" w:rsidRPr="00504E7F" w:rsidRDefault="00721314" w:rsidP="00504E7F">
            <w:pPr>
              <w:pStyle w:val="TableTextEntries"/>
            </w:pPr>
            <w:r w:rsidRPr="00504E7F">
              <w:t>QAI results for this year show improved efficiency ratings</w:t>
            </w:r>
            <w:r w:rsidR="00EE6726" w:rsidRPr="00504E7F">
              <w:t xml:space="preserve">, </w:t>
            </w:r>
            <w:r w:rsidRPr="00504E7F">
              <w:t xml:space="preserve">from 56 per cent satisfactory or better in 2011 to 84 per cent satisfactory or better this year. </w:t>
            </w:r>
            <w:r w:rsidR="004700E7" w:rsidRPr="00504E7F">
              <w:t>Under Education</w:t>
            </w:r>
            <w:r w:rsidR="006A5D17" w:rsidRPr="00504E7F">
              <w:t xml:space="preserve">, </w:t>
            </w:r>
            <w:r w:rsidR="004700E7" w:rsidRPr="00504E7F">
              <w:t>Australia is moving from a proj</w:t>
            </w:r>
            <w:r w:rsidR="006A5D17" w:rsidRPr="00504E7F">
              <w:t>ect based approach to a program</w:t>
            </w:r>
            <w:r w:rsidR="004700E7" w:rsidRPr="00504E7F">
              <w:t xml:space="preserve"> and systems approach to development</w:t>
            </w:r>
            <w:r w:rsidR="00EE6726" w:rsidRPr="00504E7F">
              <w:t xml:space="preserve">. Our </w:t>
            </w:r>
            <w:r w:rsidR="004700E7" w:rsidRPr="00504E7F">
              <w:t>initiatives have been consolidated into three main pillars.</w:t>
            </w:r>
          </w:p>
        </w:tc>
      </w:tr>
      <w:tr w:rsidR="00EC03B7" w:rsidRPr="008F6B31" w14:paraId="4C675D93"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57F5CD87" w14:textId="77777777" w:rsidR="00EC03B7" w:rsidRPr="00504E7F" w:rsidRDefault="00EC03B7" w:rsidP="00504E7F">
            <w:pPr>
              <w:pStyle w:val="TableTextEntries"/>
            </w:pPr>
            <w:r w:rsidRPr="00504E7F">
              <w:t>Partnerships</w:t>
            </w:r>
          </w:p>
        </w:tc>
        <w:tc>
          <w:tcPr>
            <w:tcW w:w="300" w:type="pct"/>
            <w:shd w:val="clear" w:color="auto" w:fill="92D050"/>
          </w:tcPr>
          <w:p w14:paraId="0BDA98AD" w14:textId="77777777" w:rsidR="00EC03B7" w:rsidRPr="00504E7F" w:rsidRDefault="000F66D8" w:rsidP="00504E7F">
            <w:pPr>
              <w:pStyle w:val="TableTextEntries"/>
            </w:pPr>
            <w:r w:rsidRPr="00504E7F">
              <w:t>Green</w:t>
            </w:r>
          </w:p>
        </w:tc>
        <w:tc>
          <w:tcPr>
            <w:tcW w:w="2927" w:type="pct"/>
          </w:tcPr>
          <w:p w14:paraId="5C1FD626" w14:textId="213EF1C0" w:rsidR="00EC03B7" w:rsidRPr="00504E7F" w:rsidRDefault="008F6B31" w:rsidP="00504E7F">
            <w:pPr>
              <w:pStyle w:val="TableTextEntries"/>
            </w:pPr>
            <w:r w:rsidRPr="00504E7F">
              <w:t xml:space="preserve">Partnerships and the time invested in them are central to our program achievements. </w:t>
            </w:r>
            <w:r w:rsidR="006A5D17" w:rsidRPr="00504E7F">
              <w:t xml:space="preserve">As was evident in </w:t>
            </w:r>
            <w:r w:rsidR="0029748F" w:rsidRPr="00504E7F">
              <w:t>this report’s</w:t>
            </w:r>
            <w:r w:rsidR="006A5D17" w:rsidRPr="00504E7F">
              <w:t xml:space="preserve"> narrative, w</w:t>
            </w:r>
            <w:r w:rsidR="0031400E" w:rsidRPr="00504E7F">
              <w:t>e are developing deeper, more engaged and substantive partnerships that allow us to coordinate development efforts, share resources, gain access to knowledge and analy</w:t>
            </w:r>
            <w:r w:rsidR="00721314" w:rsidRPr="00504E7F">
              <w:t>sis</w:t>
            </w:r>
            <w:r w:rsidR="006A5D17" w:rsidRPr="00504E7F">
              <w:t>.</w:t>
            </w:r>
            <w:r w:rsidR="0031400E" w:rsidRPr="00504E7F">
              <w:t xml:space="preserve"> A review of our partnership with World Bank found greater alignment in our objectives. </w:t>
            </w:r>
            <w:r w:rsidR="00945F3B" w:rsidRPr="00504E7F">
              <w:t xml:space="preserve">Our support to public-private partnership reform meant the first substantial co-financing arrangement between </w:t>
            </w:r>
            <w:r w:rsidR="005333FF">
              <w:t>the Australian Government</w:t>
            </w:r>
            <w:r w:rsidR="00945F3B" w:rsidRPr="00504E7F">
              <w:t xml:space="preserve"> and the A</w:t>
            </w:r>
            <w:r w:rsidR="00EE6726" w:rsidRPr="00504E7F">
              <w:t xml:space="preserve">sian </w:t>
            </w:r>
            <w:r w:rsidR="00945F3B" w:rsidRPr="00504E7F">
              <w:t>D</w:t>
            </w:r>
            <w:r w:rsidR="00EE6726" w:rsidRPr="00504E7F">
              <w:t xml:space="preserve">evelopment </w:t>
            </w:r>
            <w:r w:rsidR="00945F3B" w:rsidRPr="00504E7F">
              <w:t>B</w:t>
            </w:r>
            <w:r w:rsidR="00EE6726" w:rsidRPr="00504E7F">
              <w:t>ank</w:t>
            </w:r>
            <w:r w:rsidR="00945F3B" w:rsidRPr="00504E7F">
              <w:t xml:space="preserve"> in the Philippines for many years.</w:t>
            </w:r>
          </w:p>
        </w:tc>
      </w:tr>
      <w:tr w:rsidR="001977F7" w:rsidRPr="008F6B31" w14:paraId="7188998E" w14:textId="77777777" w:rsidTr="00504E7F">
        <w:trPr>
          <w:cnfStyle w:val="000000010000" w:firstRow="0" w:lastRow="0" w:firstColumn="0" w:lastColumn="0" w:oddVBand="0" w:evenVBand="0" w:oddHBand="0" w:evenHBand="1" w:firstRowFirstColumn="0" w:firstRowLastColumn="0" w:lastRowFirstColumn="0" w:lastRowLastColumn="0"/>
        </w:trPr>
        <w:tc>
          <w:tcPr>
            <w:tcW w:w="1701" w:type="pct"/>
          </w:tcPr>
          <w:p w14:paraId="347DAE37" w14:textId="77777777" w:rsidR="001977F7" w:rsidRPr="00504E7F" w:rsidRDefault="001977F7" w:rsidP="00504E7F">
            <w:pPr>
              <w:pStyle w:val="TableTextEntries"/>
            </w:pPr>
            <w:r w:rsidRPr="00504E7F">
              <w:t>Risk</w:t>
            </w:r>
          </w:p>
        </w:tc>
        <w:tc>
          <w:tcPr>
            <w:tcW w:w="300" w:type="pct"/>
            <w:shd w:val="clear" w:color="auto" w:fill="92D050"/>
          </w:tcPr>
          <w:p w14:paraId="54913757" w14:textId="77777777" w:rsidR="001977F7" w:rsidRPr="00504E7F" w:rsidRDefault="001977F7" w:rsidP="00504E7F">
            <w:pPr>
              <w:pStyle w:val="TableTextEntries"/>
            </w:pPr>
            <w:r w:rsidRPr="00504E7F">
              <w:t>Green</w:t>
            </w:r>
          </w:p>
        </w:tc>
        <w:tc>
          <w:tcPr>
            <w:tcW w:w="2927" w:type="pct"/>
          </w:tcPr>
          <w:p w14:paraId="6204E9C2" w14:textId="09A9A7B2" w:rsidR="001977F7" w:rsidRPr="00504E7F" w:rsidRDefault="00462312" w:rsidP="00504E7F">
            <w:pPr>
              <w:pStyle w:val="TableTextEntries"/>
            </w:pPr>
            <w:r w:rsidRPr="00504E7F">
              <w:t xml:space="preserve">Each initiative has a risk register which is updated quarterly. These feed into program and </w:t>
            </w:r>
            <w:r w:rsidR="00CE3D92" w:rsidRPr="00504E7F">
              <w:t xml:space="preserve">division </w:t>
            </w:r>
            <w:r w:rsidRPr="00504E7F">
              <w:t xml:space="preserve">level risk plans. </w:t>
            </w:r>
            <w:r w:rsidR="001977F7" w:rsidRPr="00504E7F">
              <w:t>The management dashboard is regularly updated and is one of the key mechanisms employed by the leadership team to monitor and address risk</w:t>
            </w:r>
            <w:r w:rsidR="00353683" w:rsidRPr="00504E7F">
              <w:t xml:space="preserve"> at </w:t>
            </w:r>
            <w:r w:rsidR="00FA0CEC" w:rsidRPr="00504E7F">
              <w:t xml:space="preserve">Manila </w:t>
            </w:r>
            <w:r w:rsidR="00353683" w:rsidRPr="00504E7F">
              <w:t>Post</w:t>
            </w:r>
            <w:r w:rsidR="001977F7" w:rsidRPr="00504E7F">
              <w:t xml:space="preserve">. </w:t>
            </w:r>
            <w:r w:rsidRPr="00504E7F">
              <w:t xml:space="preserve">Approval to travel to high risk areas </w:t>
            </w:r>
            <w:r w:rsidR="006A5D17" w:rsidRPr="00504E7F">
              <w:t xml:space="preserve">(physical security issue) </w:t>
            </w:r>
            <w:r w:rsidRPr="00504E7F">
              <w:t xml:space="preserve">is sought through both </w:t>
            </w:r>
            <w:r w:rsidR="00FA0CEC" w:rsidRPr="00504E7F">
              <w:t xml:space="preserve">Manila </w:t>
            </w:r>
            <w:r w:rsidRPr="00504E7F">
              <w:t xml:space="preserve">Post and Canberra </w:t>
            </w:r>
            <w:r w:rsidR="008F6B31" w:rsidRPr="00504E7F">
              <w:t>security and</w:t>
            </w:r>
            <w:r w:rsidR="00E8426F" w:rsidRPr="00504E7F">
              <w:t xml:space="preserve"> risk mitigation processes</w:t>
            </w:r>
            <w:r w:rsidRPr="00504E7F">
              <w:t xml:space="preserve">. </w:t>
            </w:r>
          </w:p>
        </w:tc>
      </w:tr>
    </w:tbl>
    <w:p w14:paraId="0F8B7097" w14:textId="77777777" w:rsidR="00504E7F" w:rsidRDefault="00FE4491" w:rsidP="006A5D17">
      <w:pPr>
        <w:pStyle w:val="Note"/>
      </w:pPr>
      <w:r w:rsidRPr="008F6B31">
        <w:t>Note:</w:t>
      </w:r>
    </w:p>
    <w:p w14:paraId="3007F272" w14:textId="736AFF88" w:rsidR="00FE4491" w:rsidRPr="008F6B31" w:rsidRDefault="00FE4491" w:rsidP="006A5D17">
      <w:pPr>
        <w:pStyle w:val="Note"/>
      </w:pPr>
      <w:r w:rsidRPr="008F6B31">
        <w:rPr>
          <w:color w:val="92D050"/>
        </w:rPr>
        <w:sym w:font="Webdings" w:char="F067"/>
      </w:r>
      <w:r w:rsidR="007D5CE3">
        <w:rPr>
          <w:color w:val="92D050"/>
        </w:rPr>
        <w:t xml:space="preserve">  </w:t>
      </w:r>
      <w:proofErr w:type="gramStart"/>
      <w:r w:rsidR="00443639" w:rsidRPr="008F6B31">
        <w:t>Green</w:t>
      </w:r>
      <w:r w:rsidRPr="008F6B31">
        <w:t>.</w:t>
      </w:r>
      <w:proofErr w:type="gramEnd"/>
      <w:r w:rsidRPr="008F6B31">
        <w:rPr>
          <w:rFonts w:ascii="Times New Roman" w:hAnsi="Times New Roman"/>
        </w:rPr>
        <w:t xml:space="preserve"> </w:t>
      </w:r>
      <w:r w:rsidRPr="008F6B31">
        <w:t>Progress is as expected for this point in time and it is likely that the objective will be achieved. Standard program management practices are sufficient.</w:t>
      </w:r>
    </w:p>
    <w:p w14:paraId="3BECD07D" w14:textId="28367486" w:rsidR="00FE4491" w:rsidRPr="008F6B31" w:rsidRDefault="00FE4491" w:rsidP="006A5D17">
      <w:pPr>
        <w:pStyle w:val="Note"/>
      </w:pPr>
      <w:r w:rsidRPr="008F6B31">
        <w:rPr>
          <w:color w:val="F79646" w:themeColor="accent6"/>
        </w:rPr>
        <w:sym w:font="Webdings" w:char="F067"/>
      </w:r>
      <w:r w:rsidR="007D5CE3">
        <w:rPr>
          <w:color w:val="F79646" w:themeColor="accent6"/>
        </w:rPr>
        <w:t xml:space="preserve"> </w:t>
      </w:r>
      <w:r w:rsidRPr="008F6B31">
        <w:t xml:space="preserve"> Amber. Progress is somewhat less than expected for this point in time and restorative action will be necessary if the objective is to be achieved. Close performance monitoring is recommended.</w:t>
      </w:r>
    </w:p>
    <w:p w14:paraId="0707136C" w14:textId="268946C6" w:rsidR="00BB1C24" w:rsidRPr="008F6B31" w:rsidRDefault="00FE4491" w:rsidP="006A5D17">
      <w:pPr>
        <w:pStyle w:val="Note"/>
      </w:pPr>
      <w:r w:rsidRPr="008F6B31">
        <w:rPr>
          <w:color w:val="FF0000"/>
        </w:rPr>
        <w:sym w:font="Webdings" w:char="F067"/>
      </w:r>
      <w:r w:rsidR="007D5CE3">
        <w:rPr>
          <w:color w:val="FF0000"/>
        </w:rPr>
        <w:t xml:space="preserve"> </w:t>
      </w:r>
      <w:r w:rsidRPr="008F6B31">
        <w:t xml:space="preserve"> </w:t>
      </w:r>
      <w:proofErr w:type="gramStart"/>
      <w:r w:rsidRPr="008F6B31">
        <w:t>Red.</w:t>
      </w:r>
      <w:proofErr w:type="gramEnd"/>
      <w:r w:rsidRPr="008F6B31">
        <w:rPr>
          <w:rFonts w:ascii="Times New Roman" w:hAnsi="Times New Roman"/>
        </w:rPr>
        <w:t xml:space="preserve"> </w:t>
      </w:r>
      <w:r w:rsidRPr="008F6B31">
        <w:t>Progress is significantly less than expected for this point in time and the objective is not likely to be met given available resources and priorities. Recasting the objective may be required.</w:t>
      </w:r>
    </w:p>
    <w:p w14:paraId="3580B8B4" w14:textId="77777777" w:rsidR="00FE4491" w:rsidRPr="008F6B31" w:rsidRDefault="00FE4491" w:rsidP="00FE4491">
      <w:pPr>
        <w:sectPr w:rsidR="00FE4491" w:rsidRPr="008F6B31" w:rsidSect="00541B3F">
          <w:headerReference w:type="default" r:id="rId23"/>
          <w:footerReference w:type="default" r:id="rId24"/>
          <w:headerReference w:type="first" r:id="rId25"/>
          <w:footerReference w:type="first" r:id="rId26"/>
          <w:pgSz w:w="16838" w:h="11906" w:orient="landscape" w:code="9"/>
          <w:pgMar w:top="1871" w:right="2268" w:bottom="1134" w:left="907" w:header="709" w:footer="425" w:gutter="0"/>
          <w:cols w:space="708"/>
          <w:docGrid w:linePitch="360"/>
        </w:sectPr>
      </w:pPr>
    </w:p>
    <w:p w14:paraId="263A9A26" w14:textId="77777777" w:rsidR="00FE4491" w:rsidRPr="008F6B31" w:rsidRDefault="00FE4491" w:rsidP="00BE6765">
      <w:pPr>
        <w:pStyle w:val="Heading1"/>
      </w:pPr>
      <w:r w:rsidRPr="008F6B31">
        <w:lastRenderedPageBreak/>
        <w:t xml:space="preserve">Annex B </w:t>
      </w:r>
    </w:p>
    <w:p w14:paraId="0CD42181" w14:textId="77777777" w:rsidR="00E36478" w:rsidRPr="008F6B31" w:rsidRDefault="00E36478" w:rsidP="00E36478">
      <w:pPr>
        <w:pStyle w:val="Heading2"/>
      </w:pPr>
      <w:r w:rsidRPr="008F6B31">
        <w:t>Quality at Implementation ratings</w:t>
      </w:r>
    </w:p>
    <w:tbl>
      <w:tblPr>
        <w:tblStyle w:val="APPR"/>
        <w:tblW w:w="5000" w:type="pct"/>
        <w:tblLayout w:type="fixed"/>
        <w:tblLook w:val="0000" w:firstRow="0" w:lastRow="0" w:firstColumn="0" w:lastColumn="0" w:noHBand="0" w:noVBand="0"/>
      </w:tblPr>
      <w:tblGrid>
        <w:gridCol w:w="2640"/>
        <w:gridCol w:w="1612"/>
        <w:gridCol w:w="879"/>
        <w:gridCol w:w="578"/>
        <w:gridCol w:w="576"/>
        <w:gridCol w:w="578"/>
        <w:gridCol w:w="583"/>
        <w:gridCol w:w="583"/>
        <w:gridCol w:w="577"/>
      </w:tblGrid>
      <w:tr w:rsidR="00E36478" w:rsidRPr="008F6B31" w14:paraId="78154D18" w14:textId="77777777" w:rsidTr="00541B3F">
        <w:trPr>
          <w:cnfStyle w:val="000000010000" w:firstRow="0" w:lastRow="0" w:firstColumn="0" w:lastColumn="0" w:oddVBand="0" w:evenVBand="0" w:oddHBand="0" w:evenHBand="1" w:firstRowFirstColumn="0" w:firstRowLastColumn="0" w:lastRowFirstColumn="0" w:lastRowLastColumn="0"/>
          <w:cantSplit/>
          <w:trHeight w:val="1491"/>
        </w:trPr>
        <w:tc>
          <w:tcPr>
            <w:tcW w:w="1509" w:type="pct"/>
            <w:shd w:val="clear" w:color="auto" w:fill="auto"/>
          </w:tcPr>
          <w:p w14:paraId="41161779" w14:textId="759C8900" w:rsidR="00E36478" w:rsidRPr="008F6B31" w:rsidRDefault="00E36478" w:rsidP="00504E7F">
            <w:pPr>
              <w:pStyle w:val="TableTextColumnHeading"/>
            </w:pPr>
            <w:r w:rsidRPr="008F6B31">
              <w:t xml:space="preserve">Initiative </w:t>
            </w:r>
            <w:r w:rsidR="00F35BAA">
              <w:t>n</w:t>
            </w:r>
            <w:r w:rsidR="00F35BAA" w:rsidRPr="008F6B31">
              <w:t>ame</w:t>
            </w:r>
          </w:p>
        </w:tc>
        <w:tc>
          <w:tcPr>
            <w:tcW w:w="920" w:type="pct"/>
            <w:shd w:val="clear" w:color="auto" w:fill="auto"/>
          </w:tcPr>
          <w:p w14:paraId="078F4CFC" w14:textId="79A6F291" w:rsidR="00E36478" w:rsidRPr="008F6B31" w:rsidRDefault="00E36478" w:rsidP="00504E7F">
            <w:pPr>
              <w:pStyle w:val="TableTextColumnHeading"/>
            </w:pPr>
            <w:r w:rsidRPr="008F6B31">
              <w:t xml:space="preserve">Approved </w:t>
            </w:r>
            <w:r w:rsidR="00F35BAA">
              <w:t>b</w:t>
            </w:r>
            <w:r w:rsidR="00F35BAA" w:rsidRPr="008F6B31">
              <w:t xml:space="preserve">udget </w:t>
            </w:r>
            <w:r w:rsidRPr="008F6B31">
              <w:t xml:space="preserve">and </w:t>
            </w:r>
            <w:r w:rsidR="00F35BAA">
              <w:t>d</w:t>
            </w:r>
            <w:r w:rsidR="00F35BAA" w:rsidRPr="008F6B31">
              <w:t>uration</w:t>
            </w:r>
          </w:p>
        </w:tc>
        <w:tc>
          <w:tcPr>
            <w:tcW w:w="494" w:type="pct"/>
            <w:shd w:val="clear" w:color="auto" w:fill="auto"/>
          </w:tcPr>
          <w:p w14:paraId="1F8912BA" w14:textId="14B4A39B" w:rsidR="00E36478" w:rsidRPr="008F6B31" w:rsidRDefault="00E36478" w:rsidP="00504E7F">
            <w:pPr>
              <w:pStyle w:val="TableTextColumnHeading"/>
            </w:pPr>
            <w:r w:rsidRPr="008F6B31">
              <w:t xml:space="preserve">QAI </w:t>
            </w:r>
            <w:r w:rsidR="00F35BAA">
              <w:t>y</w:t>
            </w:r>
            <w:r w:rsidR="00F35BAA" w:rsidRPr="008F6B31">
              <w:t>ear</w:t>
            </w:r>
          </w:p>
        </w:tc>
        <w:tc>
          <w:tcPr>
            <w:tcW w:w="319" w:type="pct"/>
            <w:shd w:val="clear" w:color="auto" w:fill="auto"/>
            <w:noWrap/>
            <w:textDirection w:val="btLr"/>
            <w:vAlign w:val="center"/>
          </w:tcPr>
          <w:p w14:paraId="68A01F5E" w14:textId="77777777" w:rsidR="00E36478" w:rsidRPr="008F6B31" w:rsidRDefault="00E36478" w:rsidP="00504E7F">
            <w:pPr>
              <w:pStyle w:val="TableTextColumnHeading"/>
              <w:jc w:val="right"/>
            </w:pPr>
            <w:r w:rsidRPr="008F6B31">
              <w:t>Relevance</w:t>
            </w:r>
          </w:p>
        </w:tc>
        <w:tc>
          <w:tcPr>
            <w:tcW w:w="318" w:type="pct"/>
            <w:shd w:val="clear" w:color="auto" w:fill="auto"/>
            <w:noWrap/>
            <w:textDirection w:val="btLr"/>
            <w:vAlign w:val="center"/>
          </w:tcPr>
          <w:p w14:paraId="61E04305" w14:textId="77777777" w:rsidR="00E36478" w:rsidRPr="008F6B31" w:rsidRDefault="00E36478" w:rsidP="00504E7F">
            <w:pPr>
              <w:pStyle w:val="TableTextColumnHeading"/>
              <w:jc w:val="right"/>
            </w:pPr>
            <w:r w:rsidRPr="008F6B31">
              <w:t>Effectiveness</w:t>
            </w:r>
          </w:p>
        </w:tc>
        <w:tc>
          <w:tcPr>
            <w:tcW w:w="319" w:type="pct"/>
            <w:shd w:val="clear" w:color="auto" w:fill="auto"/>
            <w:noWrap/>
            <w:textDirection w:val="btLr"/>
            <w:vAlign w:val="center"/>
          </w:tcPr>
          <w:p w14:paraId="737809E7" w14:textId="77777777" w:rsidR="00E36478" w:rsidRPr="008F6B31" w:rsidRDefault="00E36478" w:rsidP="00504E7F">
            <w:pPr>
              <w:pStyle w:val="TableTextColumnHeading"/>
              <w:jc w:val="right"/>
            </w:pPr>
            <w:r w:rsidRPr="008F6B31">
              <w:t>Efficiency</w:t>
            </w:r>
          </w:p>
        </w:tc>
        <w:tc>
          <w:tcPr>
            <w:tcW w:w="322" w:type="pct"/>
            <w:shd w:val="clear" w:color="auto" w:fill="auto"/>
            <w:noWrap/>
            <w:textDirection w:val="btLr"/>
            <w:vAlign w:val="center"/>
          </w:tcPr>
          <w:p w14:paraId="5F20E31E" w14:textId="70F53FC1" w:rsidR="00E36478" w:rsidRPr="008F6B31" w:rsidRDefault="00E36478" w:rsidP="00504E7F">
            <w:pPr>
              <w:pStyle w:val="TableTextColumnHeading"/>
              <w:jc w:val="right"/>
            </w:pPr>
            <w:r w:rsidRPr="008F6B31">
              <w:t xml:space="preserve">Monitoring and </w:t>
            </w:r>
            <w:r w:rsidR="00F35BAA">
              <w:t>e</w:t>
            </w:r>
            <w:r w:rsidR="00F35BAA" w:rsidRPr="008F6B31">
              <w:t>valuation</w:t>
            </w:r>
          </w:p>
        </w:tc>
        <w:tc>
          <w:tcPr>
            <w:tcW w:w="322" w:type="pct"/>
            <w:shd w:val="clear" w:color="auto" w:fill="auto"/>
            <w:noWrap/>
            <w:textDirection w:val="btLr"/>
            <w:vAlign w:val="center"/>
          </w:tcPr>
          <w:p w14:paraId="0BB5EE03" w14:textId="77777777" w:rsidR="00E36478" w:rsidRPr="008F6B31" w:rsidRDefault="00E36478" w:rsidP="00504E7F">
            <w:pPr>
              <w:pStyle w:val="TableTextColumnHeading"/>
              <w:jc w:val="right"/>
            </w:pPr>
            <w:r w:rsidRPr="008F6B31">
              <w:t>Sustainability</w:t>
            </w:r>
          </w:p>
        </w:tc>
        <w:tc>
          <w:tcPr>
            <w:tcW w:w="310" w:type="pct"/>
            <w:shd w:val="clear" w:color="auto" w:fill="auto"/>
            <w:noWrap/>
            <w:textDirection w:val="btLr"/>
            <w:vAlign w:val="center"/>
          </w:tcPr>
          <w:p w14:paraId="5D78A315" w14:textId="0B9BD623" w:rsidR="00E36478" w:rsidRPr="008F6B31" w:rsidRDefault="00E36478" w:rsidP="00504E7F">
            <w:pPr>
              <w:pStyle w:val="TableTextColumnHeading"/>
              <w:jc w:val="right"/>
            </w:pPr>
            <w:r w:rsidRPr="008F6B31">
              <w:t xml:space="preserve">Gender </w:t>
            </w:r>
            <w:r w:rsidR="00F35BAA">
              <w:t>e</w:t>
            </w:r>
            <w:r w:rsidR="00F35BAA" w:rsidRPr="008F6B31">
              <w:t>quality</w:t>
            </w:r>
          </w:p>
        </w:tc>
      </w:tr>
      <w:tr w:rsidR="00E36478" w:rsidRPr="008F6B31" w14:paraId="5C4E8658" w14:textId="77777777" w:rsidTr="00541B3F">
        <w:trPr>
          <w:trHeight w:val="476"/>
          <w:tblHeader w:val="0"/>
        </w:trPr>
        <w:tc>
          <w:tcPr>
            <w:tcW w:w="1509" w:type="pct"/>
            <w:vMerge w:val="restart"/>
            <w:tcBorders>
              <w:top w:val="single" w:sz="4" w:space="0" w:color="auto"/>
            </w:tcBorders>
          </w:tcPr>
          <w:p w14:paraId="643B8435" w14:textId="7472BC7A" w:rsidR="00E36478" w:rsidRPr="008F6B31" w:rsidRDefault="00E36478" w:rsidP="00504E7F">
            <w:pPr>
              <w:pStyle w:val="TableTextEntries"/>
            </w:pPr>
            <w:r w:rsidRPr="008F6B31">
              <w:t>Philippines</w:t>
            </w:r>
            <w:r w:rsidR="00F35BAA">
              <w:t>:</w:t>
            </w:r>
            <w:r w:rsidRPr="008F6B31">
              <w:t xml:space="preserve"> Public Sector Linkages Program</w:t>
            </w:r>
          </w:p>
        </w:tc>
        <w:tc>
          <w:tcPr>
            <w:tcW w:w="920" w:type="pct"/>
            <w:tcBorders>
              <w:top w:val="single" w:sz="4" w:space="0" w:color="auto"/>
            </w:tcBorders>
          </w:tcPr>
          <w:p w14:paraId="5A4BD412" w14:textId="7E9FE690" w:rsidR="00E36478" w:rsidRPr="008F6B31" w:rsidRDefault="00E36478" w:rsidP="00504E7F">
            <w:pPr>
              <w:pStyle w:val="TableTextEntries"/>
            </w:pPr>
            <w:r w:rsidRPr="008F6B31">
              <w:t>$6</w:t>
            </w:r>
            <w:r w:rsidR="00F35BAA">
              <w:t xml:space="preserve"> </w:t>
            </w:r>
            <w:r w:rsidRPr="008F6B31">
              <w:t>269</w:t>
            </w:r>
            <w:r w:rsidR="00F35BAA">
              <w:t xml:space="preserve"> </w:t>
            </w:r>
            <w:r w:rsidRPr="008F6B31">
              <w:t>006</w:t>
            </w:r>
          </w:p>
        </w:tc>
        <w:tc>
          <w:tcPr>
            <w:tcW w:w="494" w:type="pct"/>
            <w:tcBorders>
              <w:top w:val="single" w:sz="4" w:space="0" w:color="auto"/>
            </w:tcBorders>
          </w:tcPr>
          <w:p w14:paraId="2A13A92E" w14:textId="77777777" w:rsidR="00E36478" w:rsidRPr="008F6B31" w:rsidRDefault="00E36478" w:rsidP="00504E7F">
            <w:pPr>
              <w:pStyle w:val="TableTextEntries"/>
            </w:pPr>
            <w:r w:rsidRPr="008F6B31">
              <w:t>2012</w:t>
            </w:r>
          </w:p>
        </w:tc>
        <w:tc>
          <w:tcPr>
            <w:tcW w:w="319" w:type="pct"/>
            <w:tcBorders>
              <w:top w:val="single" w:sz="4" w:space="0" w:color="auto"/>
            </w:tcBorders>
            <w:shd w:val="clear" w:color="auto" w:fill="FFFF00"/>
            <w:noWrap/>
          </w:tcPr>
          <w:p w14:paraId="4F4E201A" w14:textId="77777777" w:rsidR="00E36478" w:rsidRPr="008F6B31" w:rsidRDefault="00E36478" w:rsidP="00504E7F">
            <w:pPr>
              <w:pStyle w:val="TableTextEntries"/>
              <w:jc w:val="center"/>
            </w:pPr>
            <w:r w:rsidRPr="008F6B31">
              <w:t>4</w:t>
            </w:r>
          </w:p>
        </w:tc>
        <w:tc>
          <w:tcPr>
            <w:tcW w:w="318" w:type="pct"/>
            <w:tcBorders>
              <w:top w:val="single" w:sz="4" w:space="0" w:color="auto"/>
            </w:tcBorders>
            <w:shd w:val="clear" w:color="auto" w:fill="FFFF00"/>
            <w:noWrap/>
          </w:tcPr>
          <w:p w14:paraId="03326FD9" w14:textId="77777777" w:rsidR="00E36478" w:rsidRPr="008F6B31" w:rsidRDefault="00E36478" w:rsidP="00504E7F">
            <w:pPr>
              <w:pStyle w:val="TableTextEntries"/>
              <w:jc w:val="center"/>
            </w:pPr>
            <w:r w:rsidRPr="008F6B31">
              <w:t>4</w:t>
            </w:r>
          </w:p>
        </w:tc>
        <w:tc>
          <w:tcPr>
            <w:tcW w:w="319" w:type="pct"/>
            <w:tcBorders>
              <w:top w:val="single" w:sz="4" w:space="0" w:color="auto"/>
            </w:tcBorders>
            <w:shd w:val="clear" w:color="auto" w:fill="FFFF00"/>
            <w:noWrap/>
          </w:tcPr>
          <w:p w14:paraId="40F9889C" w14:textId="77777777" w:rsidR="00E36478" w:rsidRPr="008F6B31" w:rsidRDefault="00E36478" w:rsidP="00504E7F">
            <w:pPr>
              <w:pStyle w:val="TableTextEntries"/>
              <w:jc w:val="center"/>
            </w:pPr>
            <w:r w:rsidRPr="008F6B31">
              <w:t>4</w:t>
            </w:r>
          </w:p>
        </w:tc>
        <w:tc>
          <w:tcPr>
            <w:tcW w:w="322" w:type="pct"/>
            <w:tcBorders>
              <w:top w:val="single" w:sz="4" w:space="0" w:color="auto"/>
            </w:tcBorders>
            <w:shd w:val="clear" w:color="auto" w:fill="FF0000"/>
            <w:noWrap/>
          </w:tcPr>
          <w:p w14:paraId="3FFAAC08" w14:textId="77777777" w:rsidR="00E36478" w:rsidRPr="008F6B31" w:rsidRDefault="00E36478" w:rsidP="00504E7F">
            <w:pPr>
              <w:pStyle w:val="TableTextEntries"/>
              <w:jc w:val="center"/>
            </w:pPr>
            <w:r w:rsidRPr="008F6B31">
              <w:t>2</w:t>
            </w:r>
          </w:p>
        </w:tc>
        <w:tc>
          <w:tcPr>
            <w:tcW w:w="322" w:type="pct"/>
            <w:tcBorders>
              <w:top w:val="single" w:sz="4" w:space="0" w:color="auto"/>
            </w:tcBorders>
            <w:shd w:val="clear" w:color="auto" w:fill="F79646" w:themeFill="accent6"/>
            <w:noWrap/>
          </w:tcPr>
          <w:p w14:paraId="0EA673D8" w14:textId="77777777" w:rsidR="00E36478" w:rsidRPr="008F6B31" w:rsidRDefault="00E36478" w:rsidP="00504E7F">
            <w:pPr>
              <w:pStyle w:val="TableTextEntries"/>
              <w:jc w:val="center"/>
            </w:pPr>
            <w:r w:rsidRPr="008F6B31">
              <w:t>3</w:t>
            </w:r>
          </w:p>
        </w:tc>
        <w:tc>
          <w:tcPr>
            <w:tcW w:w="310" w:type="pct"/>
            <w:tcBorders>
              <w:top w:val="single" w:sz="4" w:space="0" w:color="auto"/>
            </w:tcBorders>
            <w:shd w:val="clear" w:color="auto" w:fill="FF0000"/>
            <w:noWrap/>
          </w:tcPr>
          <w:p w14:paraId="22B6DD25" w14:textId="77777777" w:rsidR="00E36478" w:rsidRPr="008F6B31" w:rsidRDefault="00E36478" w:rsidP="00504E7F">
            <w:pPr>
              <w:pStyle w:val="TableTextEntries"/>
              <w:jc w:val="center"/>
            </w:pPr>
            <w:r w:rsidRPr="008F6B31">
              <w:t>1</w:t>
            </w:r>
          </w:p>
        </w:tc>
      </w:tr>
      <w:tr w:rsidR="00E36478" w:rsidRPr="008F6B31" w14:paraId="3D2ECE2B"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4B84B6C2" w14:textId="77777777" w:rsidR="00E36478" w:rsidRPr="008F6B31" w:rsidRDefault="00E36478" w:rsidP="00504E7F">
            <w:pPr>
              <w:pStyle w:val="TableTextEntries"/>
            </w:pPr>
          </w:p>
        </w:tc>
        <w:tc>
          <w:tcPr>
            <w:tcW w:w="920" w:type="pct"/>
          </w:tcPr>
          <w:p w14:paraId="3D6413AF" w14:textId="575D15A0" w:rsidR="00E36478" w:rsidRPr="008F6B31" w:rsidRDefault="00E36478" w:rsidP="00504E7F">
            <w:pPr>
              <w:pStyle w:val="TableTextEntries"/>
            </w:pPr>
            <w:r w:rsidRPr="008F6B31">
              <w:t xml:space="preserve">19/02/2004 </w:t>
            </w:r>
            <w:r w:rsidR="00F35BAA">
              <w:t>–</w:t>
            </w:r>
            <w:r w:rsidR="00F35BAA" w:rsidRPr="008F6B31">
              <w:t xml:space="preserve"> </w:t>
            </w:r>
            <w:r w:rsidRPr="008F6B31">
              <w:t>31/12/2015</w:t>
            </w:r>
          </w:p>
        </w:tc>
        <w:tc>
          <w:tcPr>
            <w:tcW w:w="494" w:type="pct"/>
          </w:tcPr>
          <w:p w14:paraId="4353E6EF" w14:textId="77777777" w:rsidR="00E36478" w:rsidRPr="008F6B31" w:rsidRDefault="00E36478" w:rsidP="00504E7F">
            <w:pPr>
              <w:pStyle w:val="TableTextEntries"/>
            </w:pPr>
            <w:r w:rsidRPr="008F6B31">
              <w:t>2011</w:t>
            </w:r>
          </w:p>
        </w:tc>
        <w:tc>
          <w:tcPr>
            <w:tcW w:w="319" w:type="pct"/>
            <w:shd w:val="clear" w:color="auto" w:fill="92D050"/>
            <w:noWrap/>
          </w:tcPr>
          <w:p w14:paraId="04CF27CF" w14:textId="77777777" w:rsidR="00E36478" w:rsidRPr="008F6B31" w:rsidRDefault="00E36478" w:rsidP="00504E7F">
            <w:pPr>
              <w:pStyle w:val="TableTextEntries"/>
              <w:jc w:val="center"/>
            </w:pPr>
            <w:r w:rsidRPr="008F6B31">
              <w:t>5</w:t>
            </w:r>
          </w:p>
        </w:tc>
        <w:tc>
          <w:tcPr>
            <w:tcW w:w="318" w:type="pct"/>
            <w:shd w:val="clear" w:color="auto" w:fill="F79646" w:themeFill="accent6"/>
            <w:noWrap/>
          </w:tcPr>
          <w:p w14:paraId="1A36E088" w14:textId="77777777" w:rsidR="00E36478" w:rsidRPr="008F6B31" w:rsidRDefault="00E36478" w:rsidP="00504E7F">
            <w:pPr>
              <w:pStyle w:val="TableTextEntries"/>
              <w:jc w:val="center"/>
            </w:pPr>
            <w:r w:rsidRPr="008F6B31">
              <w:t>3</w:t>
            </w:r>
          </w:p>
        </w:tc>
        <w:tc>
          <w:tcPr>
            <w:tcW w:w="319" w:type="pct"/>
            <w:shd w:val="clear" w:color="auto" w:fill="FFFF00"/>
            <w:noWrap/>
          </w:tcPr>
          <w:p w14:paraId="46507AF3" w14:textId="77777777" w:rsidR="00E36478" w:rsidRPr="008F6B31" w:rsidRDefault="00E36478" w:rsidP="00504E7F">
            <w:pPr>
              <w:pStyle w:val="TableTextEntries"/>
              <w:jc w:val="center"/>
            </w:pPr>
            <w:r w:rsidRPr="008F6B31">
              <w:t>4</w:t>
            </w:r>
          </w:p>
        </w:tc>
        <w:tc>
          <w:tcPr>
            <w:tcW w:w="322" w:type="pct"/>
            <w:shd w:val="clear" w:color="auto" w:fill="FF0000"/>
            <w:noWrap/>
          </w:tcPr>
          <w:p w14:paraId="1889A94D" w14:textId="77777777" w:rsidR="00E36478" w:rsidRPr="008F6B31" w:rsidRDefault="00E36478" w:rsidP="00504E7F">
            <w:pPr>
              <w:pStyle w:val="TableTextEntries"/>
              <w:jc w:val="center"/>
            </w:pPr>
            <w:r w:rsidRPr="008F6B31">
              <w:t>2</w:t>
            </w:r>
          </w:p>
        </w:tc>
        <w:tc>
          <w:tcPr>
            <w:tcW w:w="322" w:type="pct"/>
            <w:shd w:val="clear" w:color="auto" w:fill="FF0000"/>
            <w:noWrap/>
          </w:tcPr>
          <w:p w14:paraId="7430AD76" w14:textId="77777777" w:rsidR="00E36478" w:rsidRPr="008F6B31" w:rsidRDefault="00E36478" w:rsidP="00504E7F">
            <w:pPr>
              <w:pStyle w:val="TableTextEntries"/>
              <w:jc w:val="center"/>
            </w:pPr>
            <w:r w:rsidRPr="008F6B31">
              <w:t>2</w:t>
            </w:r>
          </w:p>
        </w:tc>
        <w:tc>
          <w:tcPr>
            <w:tcW w:w="310" w:type="pct"/>
            <w:shd w:val="clear" w:color="auto" w:fill="FF0000"/>
            <w:noWrap/>
          </w:tcPr>
          <w:p w14:paraId="0A7B7471" w14:textId="77777777" w:rsidR="00E36478" w:rsidRPr="008F6B31" w:rsidRDefault="00E36478" w:rsidP="00504E7F">
            <w:pPr>
              <w:pStyle w:val="TableTextEntries"/>
              <w:jc w:val="center"/>
            </w:pPr>
            <w:r w:rsidRPr="008F6B31">
              <w:t>1</w:t>
            </w:r>
          </w:p>
        </w:tc>
      </w:tr>
      <w:tr w:rsidR="00E36478" w:rsidRPr="008F6B31" w14:paraId="393D1C49" w14:textId="77777777" w:rsidTr="00541B3F">
        <w:trPr>
          <w:trHeight w:val="284"/>
          <w:tblHeader w:val="0"/>
        </w:trPr>
        <w:tc>
          <w:tcPr>
            <w:tcW w:w="1509" w:type="pct"/>
            <w:vMerge w:val="restart"/>
          </w:tcPr>
          <w:p w14:paraId="47A82D86" w14:textId="77777777" w:rsidR="00E36478" w:rsidRPr="008F6B31" w:rsidRDefault="00E36478" w:rsidP="00504E7F">
            <w:pPr>
              <w:pStyle w:val="TableTextEntries"/>
            </w:pPr>
            <w:r w:rsidRPr="008F6B31">
              <w:t>Supporting Peace in Mindanao</w:t>
            </w:r>
          </w:p>
          <w:p w14:paraId="19E748B8" w14:textId="77777777" w:rsidR="00E36478" w:rsidRPr="008F6B31" w:rsidRDefault="00E36478" w:rsidP="00504E7F">
            <w:pPr>
              <w:pStyle w:val="TableTextEntries"/>
            </w:pPr>
          </w:p>
        </w:tc>
        <w:tc>
          <w:tcPr>
            <w:tcW w:w="920" w:type="pct"/>
            <w:vMerge w:val="restart"/>
          </w:tcPr>
          <w:p w14:paraId="58DD88EB" w14:textId="6D9FD530" w:rsidR="00E36478" w:rsidRPr="008F6B31" w:rsidRDefault="00E36478" w:rsidP="00504E7F">
            <w:pPr>
              <w:pStyle w:val="TableTextEntries"/>
            </w:pPr>
            <w:r w:rsidRPr="008F6B31">
              <w:t>$13</w:t>
            </w:r>
            <w:r w:rsidR="00F35BAA">
              <w:t xml:space="preserve"> </w:t>
            </w:r>
            <w:r w:rsidRPr="008F6B31">
              <w:t>033</w:t>
            </w:r>
            <w:r w:rsidR="00F35BAA">
              <w:t xml:space="preserve"> </w:t>
            </w:r>
            <w:r w:rsidRPr="008F6B31">
              <w:t>950</w:t>
            </w:r>
          </w:p>
          <w:p w14:paraId="45DA838D" w14:textId="27C28F32" w:rsidR="00E36478" w:rsidRPr="008F6B31" w:rsidRDefault="00E36478" w:rsidP="00504E7F">
            <w:pPr>
              <w:pStyle w:val="TableTextEntries"/>
            </w:pPr>
            <w:r w:rsidRPr="008F6B31">
              <w:t xml:space="preserve">15/06/2005 </w:t>
            </w:r>
            <w:r w:rsidR="00F35BAA">
              <w:t>–</w:t>
            </w:r>
            <w:r w:rsidR="00F35BAA" w:rsidRPr="008F6B31">
              <w:t xml:space="preserve"> </w:t>
            </w:r>
            <w:r w:rsidRPr="008F6B31">
              <w:t>30/06/2015</w:t>
            </w:r>
          </w:p>
        </w:tc>
        <w:tc>
          <w:tcPr>
            <w:tcW w:w="494" w:type="pct"/>
          </w:tcPr>
          <w:p w14:paraId="6AF58C71" w14:textId="77777777" w:rsidR="00E36478" w:rsidRPr="008F6B31" w:rsidRDefault="00E36478" w:rsidP="00504E7F">
            <w:pPr>
              <w:pStyle w:val="TableTextEntries"/>
            </w:pPr>
            <w:r w:rsidRPr="008F6B31">
              <w:t>2012</w:t>
            </w:r>
          </w:p>
        </w:tc>
        <w:tc>
          <w:tcPr>
            <w:tcW w:w="319" w:type="pct"/>
            <w:shd w:val="clear" w:color="auto" w:fill="92D050"/>
            <w:noWrap/>
          </w:tcPr>
          <w:p w14:paraId="6919AB2E" w14:textId="77777777" w:rsidR="00E36478" w:rsidRPr="008F6B31" w:rsidRDefault="00E36478" w:rsidP="00504E7F">
            <w:pPr>
              <w:pStyle w:val="TableTextEntries"/>
              <w:jc w:val="center"/>
            </w:pPr>
            <w:r w:rsidRPr="008F6B31">
              <w:t>5</w:t>
            </w:r>
          </w:p>
        </w:tc>
        <w:tc>
          <w:tcPr>
            <w:tcW w:w="318" w:type="pct"/>
            <w:shd w:val="clear" w:color="auto" w:fill="92D050"/>
            <w:noWrap/>
          </w:tcPr>
          <w:p w14:paraId="18C905B7" w14:textId="77777777" w:rsidR="00E36478" w:rsidRPr="008F6B31" w:rsidRDefault="00E36478" w:rsidP="00504E7F">
            <w:pPr>
              <w:pStyle w:val="TableTextEntries"/>
              <w:jc w:val="center"/>
            </w:pPr>
            <w:r w:rsidRPr="008F6B31">
              <w:t>5</w:t>
            </w:r>
          </w:p>
        </w:tc>
        <w:tc>
          <w:tcPr>
            <w:tcW w:w="319" w:type="pct"/>
            <w:shd w:val="clear" w:color="auto" w:fill="FFFF00"/>
            <w:noWrap/>
          </w:tcPr>
          <w:p w14:paraId="72ECF693" w14:textId="77777777" w:rsidR="00E36478" w:rsidRPr="008F6B31" w:rsidRDefault="00E36478" w:rsidP="00504E7F">
            <w:pPr>
              <w:pStyle w:val="TableTextEntries"/>
              <w:jc w:val="center"/>
            </w:pPr>
            <w:r w:rsidRPr="008F6B31">
              <w:t>4</w:t>
            </w:r>
          </w:p>
        </w:tc>
        <w:tc>
          <w:tcPr>
            <w:tcW w:w="322" w:type="pct"/>
            <w:shd w:val="clear" w:color="auto" w:fill="F79646" w:themeFill="accent6"/>
            <w:noWrap/>
          </w:tcPr>
          <w:p w14:paraId="07BC4EFB" w14:textId="77777777" w:rsidR="00E36478" w:rsidRPr="008F6B31" w:rsidRDefault="00E36478" w:rsidP="00504E7F">
            <w:pPr>
              <w:pStyle w:val="TableTextEntries"/>
              <w:jc w:val="center"/>
            </w:pPr>
            <w:r w:rsidRPr="008F6B31">
              <w:t>3</w:t>
            </w:r>
          </w:p>
        </w:tc>
        <w:tc>
          <w:tcPr>
            <w:tcW w:w="322" w:type="pct"/>
            <w:shd w:val="clear" w:color="auto" w:fill="FFFF00"/>
            <w:noWrap/>
          </w:tcPr>
          <w:p w14:paraId="5E2EA41C" w14:textId="77777777" w:rsidR="00E36478" w:rsidRPr="008F6B31" w:rsidRDefault="00E36478" w:rsidP="00504E7F">
            <w:pPr>
              <w:pStyle w:val="TableTextEntries"/>
              <w:jc w:val="center"/>
            </w:pPr>
            <w:r w:rsidRPr="008F6B31">
              <w:t>4</w:t>
            </w:r>
          </w:p>
        </w:tc>
        <w:tc>
          <w:tcPr>
            <w:tcW w:w="310" w:type="pct"/>
            <w:shd w:val="clear" w:color="auto" w:fill="F79646" w:themeFill="accent6"/>
            <w:noWrap/>
          </w:tcPr>
          <w:p w14:paraId="3E5AB777" w14:textId="77777777" w:rsidR="00E36478" w:rsidRPr="008F6B31" w:rsidRDefault="00E36478" w:rsidP="00504E7F">
            <w:pPr>
              <w:pStyle w:val="TableTextEntries"/>
              <w:jc w:val="center"/>
            </w:pPr>
            <w:r w:rsidRPr="008F6B31">
              <w:t>3</w:t>
            </w:r>
          </w:p>
        </w:tc>
      </w:tr>
      <w:tr w:rsidR="00E36478" w:rsidRPr="008F6B31" w14:paraId="5C805603"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7872DE01" w14:textId="77777777" w:rsidR="00E36478" w:rsidRPr="008F6B31" w:rsidRDefault="00E36478" w:rsidP="00504E7F">
            <w:pPr>
              <w:pStyle w:val="TableTextEntries"/>
            </w:pPr>
          </w:p>
        </w:tc>
        <w:tc>
          <w:tcPr>
            <w:tcW w:w="920" w:type="pct"/>
            <w:vMerge/>
          </w:tcPr>
          <w:p w14:paraId="69BBC31F" w14:textId="77777777" w:rsidR="00E36478" w:rsidRPr="008F6B31" w:rsidRDefault="00E36478" w:rsidP="00504E7F">
            <w:pPr>
              <w:pStyle w:val="TableTextEntries"/>
            </w:pPr>
          </w:p>
        </w:tc>
        <w:tc>
          <w:tcPr>
            <w:tcW w:w="494" w:type="pct"/>
          </w:tcPr>
          <w:p w14:paraId="633978B7" w14:textId="77777777" w:rsidR="00E36478" w:rsidRPr="008F6B31" w:rsidRDefault="00E36478" w:rsidP="00504E7F">
            <w:pPr>
              <w:pStyle w:val="TableTextEntries"/>
            </w:pPr>
            <w:r w:rsidRPr="008F6B31">
              <w:t>2011</w:t>
            </w:r>
          </w:p>
        </w:tc>
        <w:tc>
          <w:tcPr>
            <w:tcW w:w="319" w:type="pct"/>
            <w:shd w:val="clear" w:color="auto" w:fill="92D050"/>
            <w:noWrap/>
          </w:tcPr>
          <w:p w14:paraId="2ED8F95F" w14:textId="77777777" w:rsidR="00E36478" w:rsidRPr="008F6B31" w:rsidRDefault="00E36478" w:rsidP="00504E7F">
            <w:pPr>
              <w:pStyle w:val="TableTextEntries"/>
              <w:jc w:val="center"/>
            </w:pPr>
            <w:r w:rsidRPr="008F6B31">
              <w:t>5</w:t>
            </w:r>
          </w:p>
        </w:tc>
        <w:tc>
          <w:tcPr>
            <w:tcW w:w="318" w:type="pct"/>
            <w:shd w:val="clear" w:color="auto" w:fill="92D050"/>
            <w:noWrap/>
          </w:tcPr>
          <w:p w14:paraId="54E372C6" w14:textId="77777777" w:rsidR="00E36478" w:rsidRPr="008F6B31" w:rsidRDefault="00E36478" w:rsidP="00504E7F">
            <w:pPr>
              <w:pStyle w:val="TableTextEntries"/>
              <w:jc w:val="center"/>
            </w:pPr>
            <w:r w:rsidRPr="008F6B31">
              <w:t>5</w:t>
            </w:r>
          </w:p>
        </w:tc>
        <w:tc>
          <w:tcPr>
            <w:tcW w:w="319" w:type="pct"/>
            <w:shd w:val="clear" w:color="auto" w:fill="FFFF00"/>
            <w:noWrap/>
          </w:tcPr>
          <w:p w14:paraId="34B6F7C9" w14:textId="77777777" w:rsidR="00E36478" w:rsidRPr="008F6B31" w:rsidRDefault="00E36478" w:rsidP="00504E7F">
            <w:pPr>
              <w:pStyle w:val="TableTextEntries"/>
              <w:jc w:val="center"/>
            </w:pPr>
            <w:r w:rsidRPr="008F6B31">
              <w:t>4</w:t>
            </w:r>
          </w:p>
        </w:tc>
        <w:tc>
          <w:tcPr>
            <w:tcW w:w="322" w:type="pct"/>
            <w:shd w:val="clear" w:color="auto" w:fill="F79646" w:themeFill="accent6"/>
            <w:noWrap/>
          </w:tcPr>
          <w:p w14:paraId="6A4CBC66" w14:textId="77777777" w:rsidR="00E36478" w:rsidRPr="008F6B31" w:rsidRDefault="00E36478" w:rsidP="00504E7F">
            <w:pPr>
              <w:pStyle w:val="TableTextEntries"/>
              <w:jc w:val="center"/>
            </w:pPr>
            <w:r w:rsidRPr="008F6B31">
              <w:t>3</w:t>
            </w:r>
          </w:p>
        </w:tc>
        <w:tc>
          <w:tcPr>
            <w:tcW w:w="322" w:type="pct"/>
            <w:shd w:val="clear" w:color="auto" w:fill="F79646" w:themeFill="accent6"/>
            <w:noWrap/>
          </w:tcPr>
          <w:p w14:paraId="1CE481DA" w14:textId="77777777" w:rsidR="00E36478" w:rsidRPr="008F6B31" w:rsidRDefault="00E36478" w:rsidP="00504E7F">
            <w:pPr>
              <w:pStyle w:val="TableTextEntries"/>
              <w:jc w:val="center"/>
            </w:pPr>
            <w:r w:rsidRPr="008F6B31">
              <w:t>3</w:t>
            </w:r>
          </w:p>
        </w:tc>
        <w:tc>
          <w:tcPr>
            <w:tcW w:w="310" w:type="pct"/>
            <w:shd w:val="clear" w:color="auto" w:fill="F79646" w:themeFill="accent6"/>
            <w:noWrap/>
          </w:tcPr>
          <w:p w14:paraId="05565826" w14:textId="77777777" w:rsidR="00E36478" w:rsidRPr="008F6B31" w:rsidRDefault="00E36478" w:rsidP="00504E7F">
            <w:pPr>
              <w:pStyle w:val="TableTextEntries"/>
              <w:jc w:val="center"/>
            </w:pPr>
            <w:r w:rsidRPr="008F6B31">
              <w:t>3</w:t>
            </w:r>
          </w:p>
        </w:tc>
      </w:tr>
      <w:tr w:rsidR="00E36478" w:rsidRPr="008F6B31" w14:paraId="699B2ED5" w14:textId="77777777" w:rsidTr="00541B3F">
        <w:trPr>
          <w:trHeight w:val="284"/>
          <w:tblHeader w:val="0"/>
        </w:trPr>
        <w:tc>
          <w:tcPr>
            <w:tcW w:w="1509" w:type="pct"/>
            <w:vMerge w:val="restart"/>
          </w:tcPr>
          <w:p w14:paraId="4270915F" w14:textId="77777777" w:rsidR="00E36478" w:rsidRPr="008F6B31" w:rsidRDefault="00E36478" w:rsidP="00504E7F">
            <w:pPr>
              <w:pStyle w:val="TableTextEntries"/>
            </w:pPr>
            <w:r w:rsidRPr="008F6B31">
              <w:t>Philippines: Disaster and Climate Risks Management</w:t>
            </w:r>
          </w:p>
        </w:tc>
        <w:tc>
          <w:tcPr>
            <w:tcW w:w="920" w:type="pct"/>
          </w:tcPr>
          <w:p w14:paraId="7385D302" w14:textId="7F949C89" w:rsidR="00E36478" w:rsidRPr="008F6B31" w:rsidRDefault="00E36478" w:rsidP="00504E7F">
            <w:pPr>
              <w:pStyle w:val="TableTextEntries"/>
            </w:pPr>
            <w:r w:rsidRPr="008F6B31">
              <w:t>$31</w:t>
            </w:r>
            <w:r w:rsidR="00F35BAA">
              <w:t xml:space="preserve"> </w:t>
            </w:r>
            <w:r w:rsidRPr="008F6B31">
              <w:t>384</w:t>
            </w:r>
            <w:r w:rsidR="00F35BAA">
              <w:t xml:space="preserve"> </w:t>
            </w:r>
            <w:r w:rsidRPr="008F6B31">
              <w:t>352</w:t>
            </w:r>
          </w:p>
        </w:tc>
        <w:tc>
          <w:tcPr>
            <w:tcW w:w="494" w:type="pct"/>
          </w:tcPr>
          <w:p w14:paraId="6FFCEA56" w14:textId="77777777" w:rsidR="00E36478" w:rsidRPr="008F6B31" w:rsidRDefault="00E36478" w:rsidP="00504E7F">
            <w:pPr>
              <w:pStyle w:val="TableTextEntries"/>
            </w:pPr>
            <w:r w:rsidRPr="008F6B31">
              <w:t>2012</w:t>
            </w:r>
          </w:p>
        </w:tc>
        <w:tc>
          <w:tcPr>
            <w:tcW w:w="319" w:type="pct"/>
            <w:shd w:val="clear" w:color="auto" w:fill="92D050"/>
            <w:noWrap/>
          </w:tcPr>
          <w:p w14:paraId="54B6D3C3" w14:textId="77777777" w:rsidR="00E36478" w:rsidRPr="008F6B31" w:rsidRDefault="00E36478" w:rsidP="00504E7F">
            <w:pPr>
              <w:pStyle w:val="TableTextEntries"/>
              <w:jc w:val="center"/>
            </w:pPr>
            <w:r w:rsidRPr="008F6B31">
              <w:t>6</w:t>
            </w:r>
          </w:p>
        </w:tc>
        <w:tc>
          <w:tcPr>
            <w:tcW w:w="318" w:type="pct"/>
            <w:shd w:val="clear" w:color="auto" w:fill="92D050"/>
            <w:noWrap/>
          </w:tcPr>
          <w:p w14:paraId="04E6B6B0" w14:textId="77777777" w:rsidR="00E36478" w:rsidRPr="008F6B31" w:rsidRDefault="00E36478" w:rsidP="00504E7F">
            <w:pPr>
              <w:pStyle w:val="TableTextEntries"/>
              <w:jc w:val="center"/>
            </w:pPr>
            <w:r w:rsidRPr="008F6B31">
              <w:t>6</w:t>
            </w:r>
          </w:p>
        </w:tc>
        <w:tc>
          <w:tcPr>
            <w:tcW w:w="319" w:type="pct"/>
            <w:shd w:val="clear" w:color="auto" w:fill="92D050"/>
            <w:noWrap/>
          </w:tcPr>
          <w:p w14:paraId="21FB1F0F" w14:textId="77777777" w:rsidR="00E36478" w:rsidRPr="008F6B31" w:rsidRDefault="00E36478" w:rsidP="00504E7F">
            <w:pPr>
              <w:pStyle w:val="TableTextEntries"/>
              <w:jc w:val="center"/>
            </w:pPr>
            <w:r w:rsidRPr="008F6B31">
              <w:t>5</w:t>
            </w:r>
          </w:p>
        </w:tc>
        <w:tc>
          <w:tcPr>
            <w:tcW w:w="322" w:type="pct"/>
            <w:shd w:val="clear" w:color="auto" w:fill="FFFF00"/>
            <w:noWrap/>
          </w:tcPr>
          <w:p w14:paraId="39E340DD" w14:textId="77777777" w:rsidR="00E36478" w:rsidRPr="008F6B31" w:rsidRDefault="00E36478" w:rsidP="00504E7F">
            <w:pPr>
              <w:pStyle w:val="TableTextEntries"/>
              <w:jc w:val="center"/>
            </w:pPr>
            <w:r w:rsidRPr="008F6B31">
              <w:t>4</w:t>
            </w:r>
          </w:p>
        </w:tc>
        <w:tc>
          <w:tcPr>
            <w:tcW w:w="322" w:type="pct"/>
            <w:shd w:val="clear" w:color="auto" w:fill="92D050"/>
            <w:noWrap/>
          </w:tcPr>
          <w:p w14:paraId="5E3C43E3" w14:textId="77777777" w:rsidR="00E36478" w:rsidRPr="008F6B31" w:rsidRDefault="00E36478" w:rsidP="00504E7F">
            <w:pPr>
              <w:pStyle w:val="TableTextEntries"/>
              <w:jc w:val="center"/>
            </w:pPr>
            <w:r w:rsidRPr="008F6B31">
              <w:t>6</w:t>
            </w:r>
          </w:p>
        </w:tc>
        <w:tc>
          <w:tcPr>
            <w:tcW w:w="310" w:type="pct"/>
            <w:shd w:val="clear" w:color="auto" w:fill="FFFF00"/>
            <w:noWrap/>
          </w:tcPr>
          <w:p w14:paraId="490540FE" w14:textId="77777777" w:rsidR="00E36478" w:rsidRPr="008F6B31" w:rsidRDefault="00E36478" w:rsidP="00504E7F">
            <w:pPr>
              <w:pStyle w:val="TableTextEntries"/>
              <w:jc w:val="center"/>
            </w:pPr>
            <w:r w:rsidRPr="008F6B31">
              <w:t>4</w:t>
            </w:r>
          </w:p>
        </w:tc>
      </w:tr>
      <w:tr w:rsidR="00E36478" w:rsidRPr="008F6B31" w14:paraId="5A6DE5E2"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01608410" w14:textId="77777777" w:rsidR="00E36478" w:rsidRPr="008F6B31" w:rsidRDefault="00E36478" w:rsidP="00504E7F">
            <w:pPr>
              <w:pStyle w:val="TableTextEntries"/>
            </w:pPr>
          </w:p>
        </w:tc>
        <w:tc>
          <w:tcPr>
            <w:tcW w:w="920" w:type="pct"/>
          </w:tcPr>
          <w:p w14:paraId="6EB715C1" w14:textId="0346395F" w:rsidR="00E36478" w:rsidRPr="008F6B31" w:rsidRDefault="00E36478" w:rsidP="00504E7F">
            <w:pPr>
              <w:pStyle w:val="TableTextEntries"/>
            </w:pPr>
            <w:r w:rsidRPr="008F6B31">
              <w:t>02/06/2006</w:t>
            </w:r>
            <w:r w:rsidR="00F35BAA">
              <w:t xml:space="preserve"> –</w:t>
            </w:r>
            <w:r w:rsidR="00F35BAA" w:rsidRPr="008F6B31">
              <w:t xml:space="preserve"> </w:t>
            </w:r>
            <w:r w:rsidRPr="008F6B31">
              <w:t>30/12/2015</w:t>
            </w:r>
          </w:p>
        </w:tc>
        <w:tc>
          <w:tcPr>
            <w:tcW w:w="494" w:type="pct"/>
          </w:tcPr>
          <w:p w14:paraId="00CA72F2" w14:textId="77777777" w:rsidR="00E36478" w:rsidRPr="008F6B31" w:rsidRDefault="00E36478" w:rsidP="00504E7F">
            <w:pPr>
              <w:pStyle w:val="TableTextEntries"/>
            </w:pPr>
            <w:r w:rsidRPr="008F6B31">
              <w:t>2011</w:t>
            </w:r>
          </w:p>
        </w:tc>
        <w:tc>
          <w:tcPr>
            <w:tcW w:w="319" w:type="pct"/>
            <w:shd w:val="clear" w:color="auto" w:fill="92D050"/>
            <w:noWrap/>
          </w:tcPr>
          <w:p w14:paraId="71A8673B" w14:textId="77777777" w:rsidR="00E36478" w:rsidRPr="008F6B31" w:rsidRDefault="00E36478" w:rsidP="00504E7F">
            <w:pPr>
              <w:pStyle w:val="TableTextEntries"/>
              <w:jc w:val="center"/>
            </w:pPr>
            <w:r w:rsidRPr="008F6B31">
              <w:t>6</w:t>
            </w:r>
          </w:p>
        </w:tc>
        <w:tc>
          <w:tcPr>
            <w:tcW w:w="318" w:type="pct"/>
            <w:shd w:val="clear" w:color="auto" w:fill="92D050"/>
            <w:noWrap/>
          </w:tcPr>
          <w:p w14:paraId="648D40E9" w14:textId="77777777" w:rsidR="00E36478" w:rsidRPr="008F6B31" w:rsidRDefault="00E36478" w:rsidP="00504E7F">
            <w:pPr>
              <w:pStyle w:val="TableTextEntries"/>
              <w:jc w:val="center"/>
            </w:pPr>
            <w:r w:rsidRPr="008F6B31">
              <w:t>5</w:t>
            </w:r>
          </w:p>
        </w:tc>
        <w:tc>
          <w:tcPr>
            <w:tcW w:w="319" w:type="pct"/>
            <w:shd w:val="clear" w:color="auto" w:fill="FFFF00"/>
            <w:noWrap/>
          </w:tcPr>
          <w:p w14:paraId="1A002767" w14:textId="77777777" w:rsidR="00E36478" w:rsidRPr="008F6B31" w:rsidRDefault="00E36478" w:rsidP="00504E7F">
            <w:pPr>
              <w:pStyle w:val="TableTextEntries"/>
              <w:jc w:val="center"/>
            </w:pPr>
            <w:r w:rsidRPr="008F6B31">
              <w:t>4</w:t>
            </w:r>
          </w:p>
        </w:tc>
        <w:tc>
          <w:tcPr>
            <w:tcW w:w="322" w:type="pct"/>
            <w:shd w:val="clear" w:color="auto" w:fill="FFFF00"/>
            <w:noWrap/>
          </w:tcPr>
          <w:p w14:paraId="12F45E75" w14:textId="77777777" w:rsidR="00E36478" w:rsidRPr="008F6B31" w:rsidRDefault="00E36478" w:rsidP="00504E7F">
            <w:pPr>
              <w:pStyle w:val="TableTextEntries"/>
              <w:jc w:val="center"/>
            </w:pPr>
            <w:r w:rsidRPr="008F6B31">
              <w:t>4</w:t>
            </w:r>
          </w:p>
        </w:tc>
        <w:tc>
          <w:tcPr>
            <w:tcW w:w="322" w:type="pct"/>
            <w:shd w:val="clear" w:color="auto" w:fill="92D050"/>
            <w:noWrap/>
          </w:tcPr>
          <w:p w14:paraId="43D85F48" w14:textId="77777777" w:rsidR="00E36478" w:rsidRPr="008F6B31" w:rsidRDefault="00E36478" w:rsidP="00504E7F">
            <w:pPr>
              <w:pStyle w:val="TableTextEntries"/>
              <w:jc w:val="center"/>
            </w:pPr>
            <w:r w:rsidRPr="008F6B31">
              <w:t>6</w:t>
            </w:r>
          </w:p>
        </w:tc>
        <w:tc>
          <w:tcPr>
            <w:tcW w:w="310" w:type="pct"/>
            <w:shd w:val="clear" w:color="auto" w:fill="FFFF00"/>
            <w:noWrap/>
          </w:tcPr>
          <w:p w14:paraId="5ECC3082" w14:textId="77777777" w:rsidR="00E36478" w:rsidRPr="008F6B31" w:rsidRDefault="00E36478" w:rsidP="00504E7F">
            <w:pPr>
              <w:pStyle w:val="TableTextEntries"/>
              <w:jc w:val="center"/>
            </w:pPr>
            <w:r w:rsidRPr="008F6B31">
              <w:t>4</w:t>
            </w:r>
          </w:p>
        </w:tc>
      </w:tr>
      <w:tr w:rsidR="00E36478" w:rsidRPr="008F6B31" w14:paraId="60AA8A7F" w14:textId="77777777" w:rsidTr="00541B3F">
        <w:trPr>
          <w:trHeight w:val="284"/>
          <w:tblHeader w:val="0"/>
        </w:trPr>
        <w:tc>
          <w:tcPr>
            <w:tcW w:w="1509" w:type="pct"/>
            <w:vMerge w:val="restart"/>
          </w:tcPr>
          <w:p w14:paraId="4518F634" w14:textId="77777777" w:rsidR="00E36478" w:rsidRPr="008F6B31" w:rsidRDefault="00E36478" w:rsidP="00504E7F">
            <w:pPr>
              <w:pStyle w:val="TableTextEntries"/>
            </w:pPr>
            <w:r w:rsidRPr="008F6B31">
              <w:t>Basic Education Sector Reform (SPHERE)</w:t>
            </w:r>
          </w:p>
        </w:tc>
        <w:tc>
          <w:tcPr>
            <w:tcW w:w="920" w:type="pct"/>
          </w:tcPr>
          <w:p w14:paraId="69AA0054" w14:textId="63E9D860" w:rsidR="00E36478" w:rsidRPr="008F6B31" w:rsidRDefault="00E36478" w:rsidP="00504E7F">
            <w:pPr>
              <w:pStyle w:val="TableTextEntries"/>
            </w:pPr>
            <w:r w:rsidRPr="008F6B31">
              <w:t>$51</w:t>
            </w:r>
            <w:r w:rsidR="00F35BAA">
              <w:t xml:space="preserve"> </w:t>
            </w:r>
            <w:r w:rsidRPr="008F6B31">
              <w:t>509</w:t>
            </w:r>
            <w:r w:rsidR="00F35BAA">
              <w:t xml:space="preserve"> </w:t>
            </w:r>
            <w:r w:rsidRPr="008F6B31">
              <w:t>578</w:t>
            </w:r>
          </w:p>
        </w:tc>
        <w:tc>
          <w:tcPr>
            <w:tcW w:w="494" w:type="pct"/>
          </w:tcPr>
          <w:p w14:paraId="39DB95BF" w14:textId="77777777" w:rsidR="00E36478" w:rsidRPr="008F6B31" w:rsidRDefault="00E36478" w:rsidP="00504E7F">
            <w:pPr>
              <w:pStyle w:val="TableTextEntries"/>
            </w:pPr>
            <w:r w:rsidRPr="008F6B31">
              <w:t>2012</w:t>
            </w:r>
          </w:p>
        </w:tc>
        <w:tc>
          <w:tcPr>
            <w:tcW w:w="319" w:type="pct"/>
            <w:shd w:val="clear" w:color="auto" w:fill="92D050"/>
            <w:noWrap/>
          </w:tcPr>
          <w:p w14:paraId="380C8433" w14:textId="77777777" w:rsidR="00E36478" w:rsidRPr="008F6B31" w:rsidRDefault="00E36478" w:rsidP="00504E7F">
            <w:pPr>
              <w:pStyle w:val="TableTextEntries"/>
              <w:jc w:val="center"/>
            </w:pPr>
            <w:r w:rsidRPr="008F6B31">
              <w:t>6</w:t>
            </w:r>
          </w:p>
        </w:tc>
        <w:tc>
          <w:tcPr>
            <w:tcW w:w="318" w:type="pct"/>
            <w:shd w:val="clear" w:color="auto" w:fill="92D050"/>
            <w:noWrap/>
          </w:tcPr>
          <w:p w14:paraId="53385AC3" w14:textId="77777777" w:rsidR="00E36478" w:rsidRPr="008F6B31" w:rsidRDefault="00E36478" w:rsidP="00504E7F">
            <w:pPr>
              <w:pStyle w:val="TableTextEntries"/>
              <w:jc w:val="center"/>
            </w:pPr>
            <w:r w:rsidRPr="008F6B31">
              <w:t>5</w:t>
            </w:r>
          </w:p>
        </w:tc>
        <w:tc>
          <w:tcPr>
            <w:tcW w:w="319" w:type="pct"/>
            <w:shd w:val="clear" w:color="auto" w:fill="FFFF00"/>
            <w:noWrap/>
          </w:tcPr>
          <w:p w14:paraId="33FEDA8F" w14:textId="77777777" w:rsidR="00E36478" w:rsidRPr="008F6B31" w:rsidRDefault="00E36478" w:rsidP="00504E7F">
            <w:pPr>
              <w:pStyle w:val="TableTextEntries"/>
              <w:jc w:val="center"/>
            </w:pPr>
            <w:r w:rsidRPr="008F6B31">
              <w:t>4</w:t>
            </w:r>
          </w:p>
        </w:tc>
        <w:tc>
          <w:tcPr>
            <w:tcW w:w="322" w:type="pct"/>
            <w:shd w:val="clear" w:color="auto" w:fill="FFFF00"/>
            <w:noWrap/>
          </w:tcPr>
          <w:p w14:paraId="5313731E" w14:textId="77777777" w:rsidR="00E36478" w:rsidRPr="008F6B31" w:rsidRDefault="00E36478" w:rsidP="00504E7F">
            <w:pPr>
              <w:pStyle w:val="TableTextEntries"/>
              <w:jc w:val="center"/>
            </w:pPr>
            <w:r w:rsidRPr="008F6B31">
              <w:t>4</w:t>
            </w:r>
          </w:p>
        </w:tc>
        <w:tc>
          <w:tcPr>
            <w:tcW w:w="322" w:type="pct"/>
            <w:shd w:val="clear" w:color="auto" w:fill="92D050"/>
            <w:noWrap/>
          </w:tcPr>
          <w:p w14:paraId="2C343791" w14:textId="77777777" w:rsidR="00E36478" w:rsidRPr="008F6B31" w:rsidRDefault="00E36478" w:rsidP="00504E7F">
            <w:pPr>
              <w:pStyle w:val="TableTextEntries"/>
              <w:jc w:val="center"/>
            </w:pPr>
            <w:r w:rsidRPr="008F6B31">
              <w:t>5</w:t>
            </w:r>
          </w:p>
        </w:tc>
        <w:tc>
          <w:tcPr>
            <w:tcW w:w="310" w:type="pct"/>
            <w:shd w:val="clear" w:color="auto" w:fill="FFFF00"/>
            <w:noWrap/>
          </w:tcPr>
          <w:p w14:paraId="6A447E34" w14:textId="77777777" w:rsidR="00E36478" w:rsidRPr="008F6B31" w:rsidRDefault="00E36478" w:rsidP="00504E7F">
            <w:pPr>
              <w:pStyle w:val="TableTextEntries"/>
              <w:jc w:val="center"/>
            </w:pPr>
            <w:r w:rsidRPr="008F6B31">
              <w:t>4</w:t>
            </w:r>
          </w:p>
        </w:tc>
      </w:tr>
      <w:tr w:rsidR="00E36478" w:rsidRPr="008F6B31" w14:paraId="423858D8"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099022C6" w14:textId="77777777" w:rsidR="00E36478" w:rsidRPr="008F6B31" w:rsidRDefault="00E36478" w:rsidP="00504E7F">
            <w:pPr>
              <w:pStyle w:val="TableTextEntries"/>
            </w:pPr>
          </w:p>
        </w:tc>
        <w:tc>
          <w:tcPr>
            <w:tcW w:w="920" w:type="pct"/>
          </w:tcPr>
          <w:p w14:paraId="7992CA56" w14:textId="1D1ED6F5" w:rsidR="00E36478" w:rsidRPr="008F6B31" w:rsidRDefault="00E36478" w:rsidP="00504E7F">
            <w:pPr>
              <w:pStyle w:val="TableTextEntries"/>
            </w:pPr>
            <w:r w:rsidRPr="008F6B31">
              <w:t xml:space="preserve">05/01/2007 </w:t>
            </w:r>
            <w:r w:rsidR="00F35BAA">
              <w:t>–</w:t>
            </w:r>
            <w:r w:rsidR="00F35BAA" w:rsidRPr="008F6B31">
              <w:t xml:space="preserve"> </w:t>
            </w:r>
            <w:r w:rsidRPr="008F6B31">
              <w:t>30/06/2014</w:t>
            </w:r>
          </w:p>
        </w:tc>
        <w:tc>
          <w:tcPr>
            <w:tcW w:w="494" w:type="pct"/>
          </w:tcPr>
          <w:p w14:paraId="0F693F3B" w14:textId="77777777" w:rsidR="00E36478" w:rsidRPr="008F6B31" w:rsidRDefault="00E36478" w:rsidP="00504E7F">
            <w:pPr>
              <w:pStyle w:val="TableTextEntries"/>
            </w:pPr>
            <w:r w:rsidRPr="008F6B31">
              <w:t>2011</w:t>
            </w:r>
          </w:p>
        </w:tc>
        <w:tc>
          <w:tcPr>
            <w:tcW w:w="319" w:type="pct"/>
            <w:shd w:val="clear" w:color="auto" w:fill="92D050"/>
            <w:noWrap/>
          </w:tcPr>
          <w:p w14:paraId="53AB62D2" w14:textId="77777777" w:rsidR="00E36478" w:rsidRPr="008F6B31" w:rsidRDefault="00E36478" w:rsidP="00504E7F">
            <w:pPr>
              <w:pStyle w:val="TableTextEntries"/>
              <w:jc w:val="center"/>
            </w:pPr>
            <w:r w:rsidRPr="008F6B31">
              <w:t>5</w:t>
            </w:r>
          </w:p>
        </w:tc>
        <w:tc>
          <w:tcPr>
            <w:tcW w:w="318" w:type="pct"/>
            <w:shd w:val="clear" w:color="auto" w:fill="FFFF00"/>
            <w:noWrap/>
          </w:tcPr>
          <w:p w14:paraId="70FAE874" w14:textId="77777777" w:rsidR="00E36478" w:rsidRPr="008F6B31" w:rsidRDefault="00E36478" w:rsidP="00504E7F">
            <w:pPr>
              <w:pStyle w:val="TableTextEntries"/>
              <w:jc w:val="center"/>
            </w:pPr>
            <w:r w:rsidRPr="008F6B31">
              <w:t>4</w:t>
            </w:r>
          </w:p>
        </w:tc>
        <w:tc>
          <w:tcPr>
            <w:tcW w:w="319" w:type="pct"/>
            <w:shd w:val="clear" w:color="auto" w:fill="F79646" w:themeFill="accent6"/>
            <w:noWrap/>
          </w:tcPr>
          <w:p w14:paraId="64B4A5FF" w14:textId="77777777" w:rsidR="00E36478" w:rsidRPr="008F6B31" w:rsidRDefault="00E36478" w:rsidP="00504E7F">
            <w:pPr>
              <w:pStyle w:val="TableTextEntries"/>
              <w:jc w:val="center"/>
            </w:pPr>
            <w:r w:rsidRPr="008F6B31">
              <w:t>3</w:t>
            </w:r>
          </w:p>
        </w:tc>
        <w:tc>
          <w:tcPr>
            <w:tcW w:w="322" w:type="pct"/>
            <w:shd w:val="clear" w:color="auto" w:fill="FFFF00"/>
            <w:noWrap/>
          </w:tcPr>
          <w:p w14:paraId="01510B38" w14:textId="77777777" w:rsidR="00E36478" w:rsidRPr="008F6B31" w:rsidRDefault="00E36478" w:rsidP="00504E7F">
            <w:pPr>
              <w:pStyle w:val="TableTextEntries"/>
              <w:jc w:val="center"/>
            </w:pPr>
            <w:r w:rsidRPr="008F6B31">
              <w:t>4</w:t>
            </w:r>
          </w:p>
        </w:tc>
        <w:tc>
          <w:tcPr>
            <w:tcW w:w="322" w:type="pct"/>
            <w:shd w:val="clear" w:color="auto" w:fill="FFFF00"/>
            <w:noWrap/>
          </w:tcPr>
          <w:p w14:paraId="1D28262F" w14:textId="77777777" w:rsidR="00E36478" w:rsidRPr="008F6B31" w:rsidRDefault="00E36478" w:rsidP="00504E7F">
            <w:pPr>
              <w:pStyle w:val="TableTextEntries"/>
              <w:jc w:val="center"/>
            </w:pPr>
            <w:r w:rsidRPr="008F6B31">
              <w:t>4</w:t>
            </w:r>
          </w:p>
        </w:tc>
        <w:tc>
          <w:tcPr>
            <w:tcW w:w="310" w:type="pct"/>
            <w:shd w:val="clear" w:color="auto" w:fill="F79646" w:themeFill="accent6"/>
            <w:noWrap/>
          </w:tcPr>
          <w:p w14:paraId="284D8D74" w14:textId="77777777" w:rsidR="00E36478" w:rsidRPr="008F6B31" w:rsidRDefault="00E36478" w:rsidP="00504E7F">
            <w:pPr>
              <w:pStyle w:val="TableTextEntries"/>
              <w:jc w:val="center"/>
            </w:pPr>
            <w:r w:rsidRPr="008F6B31">
              <w:t>3</w:t>
            </w:r>
          </w:p>
        </w:tc>
      </w:tr>
      <w:tr w:rsidR="00E36478" w:rsidRPr="008F6B31" w14:paraId="099BFC3D" w14:textId="77777777" w:rsidTr="00541B3F">
        <w:trPr>
          <w:trHeight w:val="284"/>
          <w:tblHeader w:val="0"/>
        </w:trPr>
        <w:tc>
          <w:tcPr>
            <w:tcW w:w="1509" w:type="pct"/>
            <w:vMerge w:val="restart"/>
          </w:tcPr>
          <w:p w14:paraId="06B5336C" w14:textId="11F1860C" w:rsidR="00E36478" w:rsidRPr="008F6B31" w:rsidRDefault="00E36478" w:rsidP="00504E7F">
            <w:pPr>
              <w:pStyle w:val="TableTextEntries"/>
            </w:pPr>
            <w:r w:rsidRPr="008F6B31">
              <w:t>Support to W</w:t>
            </w:r>
            <w:r w:rsidR="00F35BAA">
              <w:t xml:space="preserve">orld </w:t>
            </w:r>
            <w:r w:rsidRPr="008F6B31">
              <w:t>H</w:t>
            </w:r>
            <w:r w:rsidR="00F35BAA">
              <w:t xml:space="preserve">ealth </w:t>
            </w:r>
            <w:r w:rsidRPr="008F6B31">
              <w:t>O</w:t>
            </w:r>
            <w:r w:rsidR="00F35BAA">
              <w:t>rganization</w:t>
            </w:r>
            <w:r w:rsidRPr="008F6B31">
              <w:t xml:space="preserve"> Country Program</w:t>
            </w:r>
          </w:p>
        </w:tc>
        <w:tc>
          <w:tcPr>
            <w:tcW w:w="920" w:type="pct"/>
          </w:tcPr>
          <w:p w14:paraId="7082630A" w14:textId="21979398" w:rsidR="00E36478" w:rsidRPr="008F6B31" w:rsidRDefault="00E36478" w:rsidP="00504E7F">
            <w:pPr>
              <w:pStyle w:val="TableTextEntries"/>
            </w:pPr>
            <w:r w:rsidRPr="008F6B31">
              <w:t>$5</w:t>
            </w:r>
            <w:r w:rsidR="00F35BAA">
              <w:t xml:space="preserve"> </w:t>
            </w:r>
            <w:r w:rsidRPr="008F6B31">
              <w:t>008</w:t>
            </w:r>
            <w:r w:rsidR="00F35BAA">
              <w:t xml:space="preserve"> </w:t>
            </w:r>
            <w:r w:rsidRPr="008F6B31">
              <w:t>000</w:t>
            </w:r>
          </w:p>
        </w:tc>
        <w:tc>
          <w:tcPr>
            <w:tcW w:w="494" w:type="pct"/>
          </w:tcPr>
          <w:p w14:paraId="551E684C" w14:textId="77777777" w:rsidR="00E36478" w:rsidRPr="008F6B31" w:rsidRDefault="00E36478" w:rsidP="00504E7F">
            <w:pPr>
              <w:pStyle w:val="TableTextEntries"/>
            </w:pPr>
            <w:r w:rsidRPr="008F6B31">
              <w:t>2012</w:t>
            </w:r>
          </w:p>
        </w:tc>
        <w:tc>
          <w:tcPr>
            <w:tcW w:w="319" w:type="pct"/>
            <w:shd w:val="clear" w:color="auto" w:fill="92D050"/>
            <w:noWrap/>
          </w:tcPr>
          <w:p w14:paraId="0A941A95" w14:textId="77777777" w:rsidR="00E36478" w:rsidRPr="008F6B31" w:rsidRDefault="00E36478" w:rsidP="00504E7F">
            <w:pPr>
              <w:pStyle w:val="TableTextEntries"/>
              <w:jc w:val="center"/>
            </w:pPr>
            <w:r w:rsidRPr="008F6B31">
              <w:t>6</w:t>
            </w:r>
          </w:p>
        </w:tc>
        <w:tc>
          <w:tcPr>
            <w:tcW w:w="318" w:type="pct"/>
            <w:shd w:val="clear" w:color="auto" w:fill="92D050"/>
            <w:noWrap/>
          </w:tcPr>
          <w:p w14:paraId="6ECC79FA" w14:textId="77777777" w:rsidR="00E36478" w:rsidRPr="008F6B31" w:rsidRDefault="00E36478" w:rsidP="00504E7F">
            <w:pPr>
              <w:pStyle w:val="TableTextEntries"/>
              <w:jc w:val="center"/>
            </w:pPr>
            <w:r w:rsidRPr="008F6B31">
              <w:t>6</w:t>
            </w:r>
          </w:p>
        </w:tc>
        <w:tc>
          <w:tcPr>
            <w:tcW w:w="319" w:type="pct"/>
            <w:shd w:val="clear" w:color="auto" w:fill="92D050"/>
            <w:noWrap/>
          </w:tcPr>
          <w:p w14:paraId="35706056" w14:textId="77777777" w:rsidR="00E36478" w:rsidRPr="008F6B31" w:rsidRDefault="00E36478" w:rsidP="00504E7F">
            <w:pPr>
              <w:pStyle w:val="TableTextEntries"/>
              <w:jc w:val="center"/>
            </w:pPr>
            <w:r w:rsidRPr="008F6B31">
              <w:t>5</w:t>
            </w:r>
          </w:p>
        </w:tc>
        <w:tc>
          <w:tcPr>
            <w:tcW w:w="322" w:type="pct"/>
            <w:shd w:val="clear" w:color="auto" w:fill="92D050"/>
            <w:noWrap/>
          </w:tcPr>
          <w:p w14:paraId="332C881A" w14:textId="77777777" w:rsidR="00E36478" w:rsidRPr="008F6B31" w:rsidRDefault="00E36478" w:rsidP="00504E7F">
            <w:pPr>
              <w:pStyle w:val="TableTextEntries"/>
              <w:jc w:val="center"/>
            </w:pPr>
            <w:r w:rsidRPr="008F6B31">
              <w:t>5</w:t>
            </w:r>
          </w:p>
        </w:tc>
        <w:tc>
          <w:tcPr>
            <w:tcW w:w="322" w:type="pct"/>
            <w:shd w:val="clear" w:color="auto" w:fill="92D050"/>
            <w:noWrap/>
          </w:tcPr>
          <w:p w14:paraId="4E6E2483" w14:textId="77777777" w:rsidR="00E36478" w:rsidRPr="008F6B31" w:rsidRDefault="00E36478" w:rsidP="00504E7F">
            <w:pPr>
              <w:pStyle w:val="TableTextEntries"/>
              <w:jc w:val="center"/>
            </w:pPr>
            <w:r w:rsidRPr="008F6B31">
              <w:t>5</w:t>
            </w:r>
          </w:p>
        </w:tc>
        <w:tc>
          <w:tcPr>
            <w:tcW w:w="310" w:type="pct"/>
            <w:shd w:val="clear" w:color="auto" w:fill="92D050"/>
            <w:noWrap/>
          </w:tcPr>
          <w:p w14:paraId="727B91F9" w14:textId="77777777" w:rsidR="00E36478" w:rsidRPr="008F6B31" w:rsidRDefault="00E36478" w:rsidP="00504E7F">
            <w:pPr>
              <w:pStyle w:val="TableTextEntries"/>
              <w:jc w:val="center"/>
            </w:pPr>
            <w:r w:rsidRPr="008F6B31">
              <w:t>5</w:t>
            </w:r>
          </w:p>
        </w:tc>
      </w:tr>
      <w:tr w:rsidR="00E36478" w:rsidRPr="008F6B31" w14:paraId="61EE251C"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40287086" w14:textId="77777777" w:rsidR="00E36478" w:rsidRPr="008F6B31" w:rsidRDefault="00E36478" w:rsidP="00504E7F">
            <w:pPr>
              <w:pStyle w:val="TableTextEntries"/>
            </w:pPr>
          </w:p>
        </w:tc>
        <w:tc>
          <w:tcPr>
            <w:tcW w:w="920" w:type="pct"/>
          </w:tcPr>
          <w:p w14:paraId="6A719FA4" w14:textId="4F05E7D7" w:rsidR="00E36478" w:rsidRPr="008F6B31" w:rsidRDefault="00E36478" w:rsidP="00504E7F">
            <w:pPr>
              <w:pStyle w:val="TableTextEntries"/>
            </w:pPr>
            <w:r w:rsidRPr="008F6B31">
              <w:t>01/05/2008</w:t>
            </w:r>
            <w:r w:rsidR="00F35BAA">
              <w:t xml:space="preserve"> –</w:t>
            </w:r>
            <w:r w:rsidR="00F35BAA" w:rsidRPr="008F6B31">
              <w:t xml:space="preserve"> </w:t>
            </w:r>
            <w:r w:rsidRPr="008F6B31">
              <w:t>30/06/2013</w:t>
            </w:r>
          </w:p>
        </w:tc>
        <w:tc>
          <w:tcPr>
            <w:tcW w:w="494" w:type="pct"/>
          </w:tcPr>
          <w:p w14:paraId="2406440D" w14:textId="77777777" w:rsidR="00E36478" w:rsidRPr="008F6B31" w:rsidRDefault="00E36478" w:rsidP="00504E7F">
            <w:pPr>
              <w:pStyle w:val="TableTextEntries"/>
            </w:pPr>
            <w:r w:rsidRPr="008F6B31">
              <w:t>2011</w:t>
            </w:r>
          </w:p>
        </w:tc>
        <w:tc>
          <w:tcPr>
            <w:tcW w:w="319" w:type="pct"/>
            <w:shd w:val="clear" w:color="auto" w:fill="92D050"/>
            <w:noWrap/>
          </w:tcPr>
          <w:p w14:paraId="1F6D68A9" w14:textId="77777777" w:rsidR="00E36478" w:rsidRPr="008F6B31" w:rsidRDefault="00E36478" w:rsidP="00504E7F">
            <w:pPr>
              <w:pStyle w:val="TableTextEntries"/>
              <w:jc w:val="center"/>
            </w:pPr>
            <w:r w:rsidRPr="008F6B31">
              <w:t>5</w:t>
            </w:r>
          </w:p>
        </w:tc>
        <w:tc>
          <w:tcPr>
            <w:tcW w:w="318" w:type="pct"/>
            <w:shd w:val="clear" w:color="auto" w:fill="92D050"/>
            <w:noWrap/>
          </w:tcPr>
          <w:p w14:paraId="4354EF3D" w14:textId="77777777" w:rsidR="00E36478" w:rsidRPr="008F6B31" w:rsidRDefault="00E36478" w:rsidP="00504E7F">
            <w:pPr>
              <w:pStyle w:val="TableTextEntries"/>
              <w:jc w:val="center"/>
            </w:pPr>
            <w:r w:rsidRPr="008F6B31">
              <w:t>5</w:t>
            </w:r>
          </w:p>
        </w:tc>
        <w:tc>
          <w:tcPr>
            <w:tcW w:w="319" w:type="pct"/>
            <w:shd w:val="clear" w:color="auto" w:fill="F79646" w:themeFill="accent6"/>
            <w:noWrap/>
          </w:tcPr>
          <w:p w14:paraId="2C6ADAD1" w14:textId="77777777" w:rsidR="00E36478" w:rsidRPr="008F6B31" w:rsidRDefault="00E36478" w:rsidP="00504E7F">
            <w:pPr>
              <w:pStyle w:val="TableTextEntries"/>
              <w:jc w:val="center"/>
            </w:pPr>
            <w:r w:rsidRPr="008F6B31">
              <w:t>3</w:t>
            </w:r>
          </w:p>
        </w:tc>
        <w:tc>
          <w:tcPr>
            <w:tcW w:w="322" w:type="pct"/>
            <w:shd w:val="clear" w:color="auto" w:fill="92D050"/>
            <w:noWrap/>
          </w:tcPr>
          <w:p w14:paraId="1A594DBC" w14:textId="77777777" w:rsidR="00E36478" w:rsidRPr="008F6B31" w:rsidRDefault="00E36478" w:rsidP="00504E7F">
            <w:pPr>
              <w:pStyle w:val="TableTextEntries"/>
              <w:jc w:val="center"/>
            </w:pPr>
            <w:r w:rsidRPr="008F6B31">
              <w:t>5</w:t>
            </w:r>
          </w:p>
        </w:tc>
        <w:tc>
          <w:tcPr>
            <w:tcW w:w="322" w:type="pct"/>
            <w:shd w:val="clear" w:color="auto" w:fill="92D050"/>
            <w:noWrap/>
          </w:tcPr>
          <w:p w14:paraId="6F07D58C" w14:textId="77777777" w:rsidR="00E36478" w:rsidRPr="008F6B31" w:rsidRDefault="00E36478" w:rsidP="00504E7F">
            <w:pPr>
              <w:pStyle w:val="TableTextEntries"/>
              <w:jc w:val="center"/>
            </w:pPr>
            <w:r w:rsidRPr="008F6B31">
              <w:t>5</w:t>
            </w:r>
          </w:p>
        </w:tc>
        <w:tc>
          <w:tcPr>
            <w:tcW w:w="310" w:type="pct"/>
            <w:shd w:val="clear" w:color="auto" w:fill="92D050"/>
            <w:noWrap/>
          </w:tcPr>
          <w:p w14:paraId="1A985B2A" w14:textId="77777777" w:rsidR="00E36478" w:rsidRPr="008F6B31" w:rsidRDefault="00E36478" w:rsidP="00504E7F">
            <w:pPr>
              <w:pStyle w:val="TableTextEntries"/>
              <w:jc w:val="center"/>
            </w:pPr>
            <w:r w:rsidRPr="008F6B31">
              <w:t>5</w:t>
            </w:r>
          </w:p>
        </w:tc>
      </w:tr>
      <w:tr w:rsidR="00E36478" w:rsidRPr="008F6B31" w14:paraId="5084DADD" w14:textId="77777777" w:rsidTr="00541B3F">
        <w:trPr>
          <w:trHeight w:val="284"/>
          <w:tblHeader w:val="0"/>
        </w:trPr>
        <w:tc>
          <w:tcPr>
            <w:tcW w:w="1509" w:type="pct"/>
            <w:vMerge w:val="restart"/>
          </w:tcPr>
          <w:p w14:paraId="08128E9F" w14:textId="77777777" w:rsidR="00E36478" w:rsidRPr="008F6B31" w:rsidRDefault="00E36478" w:rsidP="00504E7F">
            <w:pPr>
              <w:pStyle w:val="TableTextEntries"/>
            </w:pPr>
            <w:r w:rsidRPr="008F6B31">
              <w:t>Muslim and Indigenous Peoples Education Program</w:t>
            </w:r>
          </w:p>
        </w:tc>
        <w:tc>
          <w:tcPr>
            <w:tcW w:w="920" w:type="pct"/>
          </w:tcPr>
          <w:p w14:paraId="4AF62F5F" w14:textId="696F16AA" w:rsidR="00E36478" w:rsidRPr="008F6B31" w:rsidRDefault="00E36478" w:rsidP="00504E7F">
            <w:pPr>
              <w:pStyle w:val="TableTextEntries"/>
            </w:pPr>
            <w:r w:rsidRPr="008F6B31">
              <w:t>$19</w:t>
            </w:r>
            <w:r w:rsidR="00F35BAA">
              <w:t xml:space="preserve"> </w:t>
            </w:r>
            <w:r w:rsidRPr="008F6B31">
              <w:t>989</w:t>
            </w:r>
            <w:r w:rsidR="00F35BAA">
              <w:t xml:space="preserve"> </w:t>
            </w:r>
            <w:r w:rsidRPr="008F6B31">
              <w:t>063</w:t>
            </w:r>
          </w:p>
        </w:tc>
        <w:tc>
          <w:tcPr>
            <w:tcW w:w="494" w:type="pct"/>
          </w:tcPr>
          <w:p w14:paraId="61841F89" w14:textId="77777777" w:rsidR="00E36478" w:rsidRPr="008F6B31" w:rsidRDefault="00E36478" w:rsidP="00504E7F">
            <w:pPr>
              <w:pStyle w:val="TableTextEntries"/>
            </w:pPr>
            <w:r w:rsidRPr="008F6B31">
              <w:t>2012</w:t>
            </w:r>
          </w:p>
        </w:tc>
        <w:tc>
          <w:tcPr>
            <w:tcW w:w="319" w:type="pct"/>
            <w:shd w:val="clear" w:color="auto" w:fill="92D050"/>
            <w:noWrap/>
          </w:tcPr>
          <w:p w14:paraId="24BAA450" w14:textId="77777777" w:rsidR="00E36478" w:rsidRPr="008F6B31" w:rsidRDefault="00E36478" w:rsidP="00504E7F">
            <w:pPr>
              <w:pStyle w:val="TableTextEntries"/>
              <w:jc w:val="center"/>
            </w:pPr>
            <w:r w:rsidRPr="008F6B31">
              <w:t>5</w:t>
            </w:r>
          </w:p>
        </w:tc>
        <w:tc>
          <w:tcPr>
            <w:tcW w:w="318" w:type="pct"/>
            <w:shd w:val="clear" w:color="auto" w:fill="92D050"/>
            <w:noWrap/>
          </w:tcPr>
          <w:p w14:paraId="273E46DD" w14:textId="77777777" w:rsidR="00E36478" w:rsidRPr="008F6B31" w:rsidRDefault="00E36478" w:rsidP="00504E7F">
            <w:pPr>
              <w:pStyle w:val="TableTextEntries"/>
              <w:jc w:val="center"/>
            </w:pPr>
            <w:r w:rsidRPr="008F6B31">
              <w:t>5</w:t>
            </w:r>
          </w:p>
        </w:tc>
        <w:tc>
          <w:tcPr>
            <w:tcW w:w="319" w:type="pct"/>
            <w:shd w:val="clear" w:color="auto" w:fill="92D050"/>
            <w:noWrap/>
          </w:tcPr>
          <w:p w14:paraId="1B314FCC" w14:textId="77777777" w:rsidR="00E36478" w:rsidRPr="008F6B31" w:rsidRDefault="00E36478" w:rsidP="00504E7F">
            <w:pPr>
              <w:pStyle w:val="TableTextEntries"/>
              <w:jc w:val="center"/>
            </w:pPr>
            <w:r w:rsidRPr="008F6B31">
              <w:t>5</w:t>
            </w:r>
          </w:p>
        </w:tc>
        <w:tc>
          <w:tcPr>
            <w:tcW w:w="322" w:type="pct"/>
            <w:shd w:val="clear" w:color="auto" w:fill="92D050"/>
            <w:noWrap/>
          </w:tcPr>
          <w:p w14:paraId="4DCF11D6" w14:textId="77777777" w:rsidR="00E36478" w:rsidRPr="008F6B31" w:rsidRDefault="00E36478" w:rsidP="00504E7F">
            <w:pPr>
              <w:pStyle w:val="TableTextEntries"/>
              <w:jc w:val="center"/>
            </w:pPr>
            <w:r w:rsidRPr="008F6B31">
              <w:t>5</w:t>
            </w:r>
          </w:p>
        </w:tc>
        <w:tc>
          <w:tcPr>
            <w:tcW w:w="322" w:type="pct"/>
            <w:shd w:val="clear" w:color="auto" w:fill="92D050"/>
            <w:noWrap/>
          </w:tcPr>
          <w:p w14:paraId="1BEC1895" w14:textId="77777777" w:rsidR="00E36478" w:rsidRPr="008F6B31" w:rsidRDefault="00E36478" w:rsidP="00504E7F">
            <w:pPr>
              <w:pStyle w:val="TableTextEntries"/>
              <w:jc w:val="center"/>
            </w:pPr>
            <w:r w:rsidRPr="008F6B31">
              <w:t>5</w:t>
            </w:r>
          </w:p>
        </w:tc>
        <w:tc>
          <w:tcPr>
            <w:tcW w:w="310" w:type="pct"/>
            <w:shd w:val="clear" w:color="auto" w:fill="FFFF00"/>
            <w:noWrap/>
          </w:tcPr>
          <w:p w14:paraId="4B77DDCD" w14:textId="77777777" w:rsidR="00E36478" w:rsidRPr="008F6B31" w:rsidRDefault="00E36478" w:rsidP="00504E7F">
            <w:pPr>
              <w:pStyle w:val="TableTextEntries"/>
              <w:jc w:val="center"/>
            </w:pPr>
            <w:r w:rsidRPr="008F6B31">
              <w:t>4</w:t>
            </w:r>
          </w:p>
        </w:tc>
      </w:tr>
      <w:tr w:rsidR="00E36478" w:rsidRPr="008F6B31" w14:paraId="7B9A189C"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13CD1E83" w14:textId="77777777" w:rsidR="00E36478" w:rsidRPr="008F6B31" w:rsidRDefault="00E36478" w:rsidP="00504E7F">
            <w:pPr>
              <w:pStyle w:val="TableTextEntries"/>
            </w:pPr>
          </w:p>
        </w:tc>
        <w:tc>
          <w:tcPr>
            <w:tcW w:w="920" w:type="pct"/>
          </w:tcPr>
          <w:p w14:paraId="3F185358" w14:textId="65C564B4" w:rsidR="00E36478" w:rsidRPr="008F6B31" w:rsidRDefault="00E36478" w:rsidP="00504E7F">
            <w:pPr>
              <w:pStyle w:val="TableTextEntries"/>
            </w:pPr>
            <w:r w:rsidRPr="008F6B31">
              <w:t xml:space="preserve">01/07/2008 </w:t>
            </w:r>
            <w:r w:rsidR="00F35BAA">
              <w:t>–</w:t>
            </w:r>
            <w:r w:rsidR="00F35BAA" w:rsidRPr="008F6B31">
              <w:t xml:space="preserve"> </w:t>
            </w:r>
            <w:r w:rsidRPr="008F6B31">
              <w:t>30/06/2014</w:t>
            </w:r>
          </w:p>
        </w:tc>
        <w:tc>
          <w:tcPr>
            <w:tcW w:w="494" w:type="pct"/>
          </w:tcPr>
          <w:p w14:paraId="234222F3" w14:textId="77777777" w:rsidR="00E36478" w:rsidRPr="008F6B31" w:rsidRDefault="00E36478" w:rsidP="00504E7F">
            <w:pPr>
              <w:pStyle w:val="TableTextEntries"/>
            </w:pPr>
            <w:r w:rsidRPr="008F6B31">
              <w:t>2011</w:t>
            </w:r>
          </w:p>
        </w:tc>
        <w:tc>
          <w:tcPr>
            <w:tcW w:w="319" w:type="pct"/>
            <w:shd w:val="clear" w:color="auto" w:fill="92D050"/>
            <w:noWrap/>
          </w:tcPr>
          <w:p w14:paraId="3B437ECC" w14:textId="77777777" w:rsidR="00E36478" w:rsidRPr="008F6B31" w:rsidRDefault="00E36478" w:rsidP="00504E7F">
            <w:pPr>
              <w:pStyle w:val="TableTextEntries"/>
              <w:jc w:val="center"/>
            </w:pPr>
            <w:r w:rsidRPr="008F6B31">
              <w:t>6</w:t>
            </w:r>
          </w:p>
        </w:tc>
        <w:tc>
          <w:tcPr>
            <w:tcW w:w="318" w:type="pct"/>
            <w:shd w:val="clear" w:color="auto" w:fill="92D050"/>
            <w:noWrap/>
          </w:tcPr>
          <w:p w14:paraId="27642CA1" w14:textId="77777777" w:rsidR="00E36478" w:rsidRPr="008F6B31" w:rsidRDefault="00E36478" w:rsidP="00504E7F">
            <w:pPr>
              <w:pStyle w:val="TableTextEntries"/>
              <w:jc w:val="center"/>
            </w:pPr>
            <w:r w:rsidRPr="008F6B31">
              <w:t>5</w:t>
            </w:r>
          </w:p>
        </w:tc>
        <w:tc>
          <w:tcPr>
            <w:tcW w:w="319" w:type="pct"/>
            <w:shd w:val="clear" w:color="auto" w:fill="FFFF00"/>
            <w:noWrap/>
          </w:tcPr>
          <w:p w14:paraId="4910F222" w14:textId="77777777" w:rsidR="00E36478" w:rsidRPr="008F6B31" w:rsidRDefault="00E36478" w:rsidP="00504E7F">
            <w:pPr>
              <w:pStyle w:val="TableTextEntries"/>
              <w:jc w:val="center"/>
            </w:pPr>
            <w:r w:rsidRPr="008F6B31">
              <w:t>4</w:t>
            </w:r>
          </w:p>
        </w:tc>
        <w:tc>
          <w:tcPr>
            <w:tcW w:w="322" w:type="pct"/>
            <w:shd w:val="clear" w:color="auto" w:fill="F79646" w:themeFill="accent6"/>
            <w:noWrap/>
          </w:tcPr>
          <w:p w14:paraId="2A25CD6E" w14:textId="77777777" w:rsidR="00E36478" w:rsidRPr="008F6B31" w:rsidRDefault="00E36478" w:rsidP="00504E7F">
            <w:pPr>
              <w:pStyle w:val="TableTextEntries"/>
              <w:jc w:val="center"/>
            </w:pPr>
            <w:r w:rsidRPr="008F6B31">
              <w:t>3</w:t>
            </w:r>
          </w:p>
        </w:tc>
        <w:tc>
          <w:tcPr>
            <w:tcW w:w="322" w:type="pct"/>
            <w:shd w:val="clear" w:color="auto" w:fill="92D050"/>
            <w:noWrap/>
          </w:tcPr>
          <w:p w14:paraId="0746CEF4" w14:textId="77777777" w:rsidR="00E36478" w:rsidRPr="008F6B31" w:rsidRDefault="00E36478" w:rsidP="00504E7F">
            <w:pPr>
              <w:pStyle w:val="TableTextEntries"/>
              <w:jc w:val="center"/>
            </w:pPr>
            <w:r w:rsidRPr="008F6B31">
              <w:t>5</w:t>
            </w:r>
          </w:p>
        </w:tc>
        <w:tc>
          <w:tcPr>
            <w:tcW w:w="310" w:type="pct"/>
            <w:shd w:val="clear" w:color="auto" w:fill="FFFF00"/>
            <w:noWrap/>
          </w:tcPr>
          <w:p w14:paraId="427E1FE3" w14:textId="77777777" w:rsidR="00E36478" w:rsidRPr="008F6B31" w:rsidRDefault="00E36478" w:rsidP="00504E7F">
            <w:pPr>
              <w:pStyle w:val="TableTextEntries"/>
              <w:jc w:val="center"/>
            </w:pPr>
            <w:r w:rsidRPr="008F6B31">
              <w:t>4</w:t>
            </w:r>
          </w:p>
        </w:tc>
      </w:tr>
      <w:tr w:rsidR="00E36478" w:rsidRPr="008F6B31" w14:paraId="523D74B6" w14:textId="77777777" w:rsidTr="00541B3F">
        <w:trPr>
          <w:trHeight w:val="284"/>
          <w:tblHeader w:val="0"/>
        </w:trPr>
        <w:tc>
          <w:tcPr>
            <w:tcW w:w="1509" w:type="pct"/>
            <w:vMerge w:val="restart"/>
          </w:tcPr>
          <w:p w14:paraId="61AF0E02" w14:textId="77777777" w:rsidR="00E36478" w:rsidRPr="008F6B31" w:rsidRDefault="00E36478" w:rsidP="00504E7F">
            <w:pPr>
              <w:pStyle w:val="TableTextEntries"/>
            </w:pPr>
            <w:r w:rsidRPr="008F6B31">
              <w:t>Basic Education Assistance for ARMM</w:t>
            </w:r>
          </w:p>
        </w:tc>
        <w:tc>
          <w:tcPr>
            <w:tcW w:w="920" w:type="pct"/>
          </w:tcPr>
          <w:p w14:paraId="13B94DF4" w14:textId="214A0D20" w:rsidR="00E36478" w:rsidRPr="008F6B31" w:rsidRDefault="00E36478" w:rsidP="00504E7F">
            <w:pPr>
              <w:pStyle w:val="TableTextEntries"/>
            </w:pPr>
            <w:r w:rsidRPr="008F6B31">
              <w:t>$89</w:t>
            </w:r>
            <w:r w:rsidR="00F35BAA">
              <w:t xml:space="preserve"> </w:t>
            </w:r>
            <w:r w:rsidRPr="008F6B31">
              <w:t>637</w:t>
            </w:r>
            <w:r w:rsidR="00F35BAA">
              <w:t xml:space="preserve"> </w:t>
            </w:r>
            <w:r w:rsidRPr="008F6B31">
              <w:t>520</w:t>
            </w:r>
          </w:p>
        </w:tc>
        <w:tc>
          <w:tcPr>
            <w:tcW w:w="494" w:type="pct"/>
          </w:tcPr>
          <w:p w14:paraId="46F03A58" w14:textId="77777777" w:rsidR="00E36478" w:rsidRPr="008F6B31" w:rsidRDefault="00E36478" w:rsidP="00504E7F">
            <w:pPr>
              <w:pStyle w:val="TableTextEntries"/>
            </w:pPr>
            <w:r w:rsidRPr="008F6B31">
              <w:t>2012</w:t>
            </w:r>
          </w:p>
        </w:tc>
        <w:tc>
          <w:tcPr>
            <w:tcW w:w="319" w:type="pct"/>
            <w:shd w:val="clear" w:color="auto" w:fill="92D050"/>
            <w:noWrap/>
          </w:tcPr>
          <w:p w14:paraId="08FB1E5C" w14:textId="77777777" w:rsidR="00E36478" w:rsidRPr="008F6B31" w:rsidRDefault="00E36478" w:rsidP="00504E7F">
            <w:pPr>
              <w:pStyle w:val="TableTextEntries"/>
              <w:jc w:val="center"/>
            </w:pPr>
            <w:r w:rsidRPr="008F6B31">
              <w:t>6</w:t>
            </w:r>
          </w:p>
        </w:tc>
        <w:tc>
          <w:tcPr>
            <w:tcW w:w="318" w:type="pct"/>
            <w:shd w:val="clear" w:color="auto" w:fill="92D050"/>
            <w:noWrap/>
          </w:tcPr>
          <w:p w14:paraId="24C8617A" w14:textId="77777777" w:rsidR="00E36478" w:rsidRPr="008F6B31" w:rsidRDefault="00E36478" w:rsidP="00504E7F">
            <w:pPr>
              <w:pStyle w:val="TableTextEntries"/>
              <w:jc w:val="center"/>
            </w:pPr>
            <w:r w:rsidRPr="008F6B31">
              <w:t>5</w:t>
            </w:r>
          </w:p>
        </w:tc>
        <w:tc>
          <w:tcPr>
            <w:tcW w:w="319" w:type="pct"/>
            <w:shd w:val="clear" w:color="auto" w:fill="92D050"/>
            <w:noWrap/>
          </w:tcPr>
          <w:p w14:paraId="365045AF" w14:textId="77777777" w:rsidR="00E36478" w:rsidRPr="008F6B31" w:rsidRDefault="00E36478" w:rsidP="00504E7F">
            <w:pPr>
              <w:pStyle w:val="TableTextEntries"/>
              <w:jc w:val="center"/>
            </w:pPr>
            <w:r w:rsidRPr="008F6B31">
              <w:t>5</w:t>
            </w:r>
          </w:p>
        </w:tc>
        <w:tc>
          <w:tcPr>
            <w:tcW w:w="322" w:type="pct"/>
            <w:shd w:val="clear" w:color="auto" w:fill="92D050"/>
            <w:noWrap/>
          </w:tcPr>
          <w:p w14:paraId="408E258A" w14:textId="77777777" w:rsidR="00E36478" w:rsidRPr="008F6B31" w:rsidRDefault="00E36478" w:rsidP="00504E7F">
            <w:pPr>
              <w:pStyle w:val="TableTextEntries"/>
              <w:jc w:val="center"/>
            </w:pPr>
            <w:r w:rsidRPr="008F6B31">
              <w:t>5</w:t>
            </w:r>
          </w:p>
        </w:tc>
        <w:tc>
          <w:tcPr>
            <w:tcW w:w="322" w:type="pct"/>
            <w:shd w:val="clear" w:color="auto" w:fill="FFFF00"/>
            <w:noWrap/>
          </w:tcPr>
          <w:p w14:paraId="2842E63E" w14:textId="77777777" w:rsidR="00E36478" w:rsidRPr="008F6B31" w:rsidRDefault="00E36478" w:rsidP="00504E7F">
            <w:pPr>
              <w:pStyle w:val="TableTextEntries"/>
              <w:jc w:val="center"/>
            </w:pPr>
            <w:r w:rsidRPr="008F6B31">
              <w:t>4</w:t>
            </w:r>
          </w:p>
        </w:tc>
        <w:tc>
          <w:tcPr>
            <w:tcW w:w="310" w:type="pct"/>
            <w:shd w:val="clear" w:color="auto" w:fill="FFFF00"/>
            <w:noWrap/>
          </w:tcPr>
          <w:p w14:paraId="29879A76" w14:textId="77777777" w:rsidR="00E36478" w:rsidRPr="008F6B31" w:rsidRDefault="00E36478" w:rsidP="00504E7F">
            <w:pPr>
              <w:pStyle w:val="TableTextEntries"/>
              <w:jc w:val="center"/>
            </w:pPr>
            <w:r w:rsidRPr="008F6B31">
              <w:t>4</w:t>
            </w:r>
          </w:p>
        </w:tc>
      </w:tr>
      <w:tr w:rsidR="00E36478" w:rsidRPr="008F6B31" w14:paraId="71C37D87"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1AB34DC6" w14:textId="77777777" w:rsidR="00E36478" w:rsidRPr="008F6B31" w:rsidRDefault="00E36478" w:rsidP="00504E7F">
            <w:pPr>
              <w:pStyle w:val="TableTextEntries"/>
            </w:pPr>
          </w:p>
        </w:tc>
        <w:tc>
          <w:tcPr>
            <w:tcW w:w="920" w:type="pct"/>
          </w:tcPr>
          <w:p w14:paraId="6BBB6EBB" w14:textId="30E63F4C" w:rsidR="00E36478" w:rsidRPr="008F6B31" w:rsidRDefault="00E36478" w:rsidP="00504E7F">
            <w:pPr>
              <w:pStyle w:val="TableTextEntries"/>
            </w:pPr>
            <w:r w:rsidRPr="008F6B31">
              <w:t xml:space="preserve">01/09/2009 </w:t>
            </w:r>
            <w:r w:rsidR="00F35BAA">
              <w:t>–</w:t>
            </w:r>
            <w:r w:rsidR="00F35BAA" w:rsidRPr="008F6B31">
              <w:t xml:space="preserve"> </w:t>
            </w:r>
            <w:r w:rsidRPr="008F6B31">
              <w:t>30/06/2017</w:t>
            </w:r>
          </w:p>
        </w:tc>
        <w:tc>
          <w:tcPr>
            <w:tcW w:w="494" w:type="pct"/>
          </w:tcPr>
          <w:p w14:paraId="1093F8EB" w14:textId="77777777" w:rsidR="00E36478" w:rsidRPr="008F6B31" w:rsidRDefault="00E36478" w:rsidP="00504E7F">
            <w:pPr>
              <w:pStyle w:val="TableTextEntries"/>
            </w:pPr>
            <w:r w:rsidRPr="008F6B31">
              <w:t>2011</w:t>
            </w:r>
          </w:p>
        </w:tc>
        <w:tc>
          <w:tcPr>
            <w:tcW w:w="319" w:type="pct"/>
            <w:shd w:val="clear" w:color="auto" w:fill="92D050"/>
            <w:noWrap/>
          </w:tcPr>
          <w:p w14:paraId="17C101F3" w14:textId="77777777" w:rsidR="00E36478" w:rsidRPr="008F6B31" w:rsidRDefault="00E36478" w:rsidP="00504E7F">
            <w:pPr>
              <w:pStyle w:val="TableTextEntries"/>
              <w:jc w:val="center"/>
            </w:pPr>
            <w:r w:rsidRPr="008F6B31">
              <w:t>6</w:t>
            </w:r>
          </w:p>
        </w:tc>
        <w:tc>
          <w:tcPr>
            <w:tcW w:w="318" w:type="pct"/>
            <w:shd w:val="clear" w:color="auto" w:fill="FFFF00"/>
            <w:noWrap/>
          </w:tcPr>
          <w:p w14:paraId="6274920E" w14:textId="77777777" w:rsidR="00E36478" w:rsidRPr="008F6B31" w:rsidRDefault="00E36478" w:rsidP="00504E7F">
            <w:pPr>
              <w:pStyle w:val="TableTextEntries"/>
              <w:jc w:val="center"/>
            </w:pPr>
            <w:r w:rsidRPr="008F6B31">
              <w:t>4</w:t>
            </w:r>
          </w:p>
        </w:tc>
        <w:tc>
          <w:tcPr>
            <w:tcW w:w="319" w:type="pct"/>
            <w:shd w:val="clear" w:color="auto" w:fill="92D050"/>
            <w:noWrap/>
          </w:tcPr>
          <w:p w14:paraId="2D140791" w14:textId="77777777" w:rsidR="00E36478" w:rsidRPr="008F6B31" w:rsidRDefault="00E36478" w:rsidP="00504E7F">
            <w:pPr>
              <w:pStyle w:val="TableTextEntries"/>
              <w:jc w:val="center"/>
            </w:pPr>
            <w:r w:rsidRPr="008F6B31">
              <w:t>5</w:t>
            </w:r>
          </w:p>
        </w:tc>
        <w:tc>
          <w:tcPr>
            <w:tcW w:w="322" w:type="pct"/>
            <w:shd w:val="clear" w:color="auto" w:fill="92D050"/>
            <w:noWrap/>
          </w:tcPr>
          <w:p w14:paraId="74730F67" w14:textId="77777777" w:rsidR="00E36478" w:rsidRPr="008F6B31" w:rsidRDefault="00E36478" w:rsidP="00504E7F">
            <w:pPr>
              <w:pStyle w:val="TableTextEntries"/>
              <w:jc w:val="center"/>
            </w:pPr>
            <w:r w:rsidRPr="008F6B31">
              <w:t>5</w:t>
            </w:r>
          </w:p>
        </w:tc>
        <w:tc>
          <w:tcPr>
            <w:tcW w:w="322" w:type="pct"/>
            <w:shd w:val="clear" w:color="auto" w:fill="FFFF00"/>
            <w:noWrap/>
          </w:tcPr>
          <w:p w14:paraId="7D22D86D" w14:textId="77777777" w:rsidR="00E36478" w:rsidRPr="008F6B31" w:rsidRDefault="00E36478" w:rsidP="00504E7F">
            <w:pPr>
              <w:pStyle w:val="TableTextEntries"/>
              <w:jc w:val="center"/>
            </w:pPr>
            <w:r w:rsidRPr="008F6B31">
              <w:t>4</w:t>
            </w:r>
          </w:p>
        </w:tc>
        <w:tc>
          <w:tcPr>
            <w:tcW w:w="310" w:type="pct"/>
            <w:shd w:val="clear" w:color="auto" w:fill="92D050"/>
            <w:noWrap/>
          </w:tcPr>
          <w:p w14:paraId="3CD5D119" w14:textId="77777777" w:rsidR="00E36478" w:rsidRPr="008F6B31" w:rsidRDefault="00E36478" w:rsidP="00504E7F">
            <w:pPr>
              <w:pStyle w:val="TableTextEntries"/>
              <w:jc w:val="center"/>
            </w:pPr>
            <w:r w:rsidRPr="008F6B31">
              <w:t>5</w:t>
            </w:r>
          </w:p>
        </w:tc>
      </w:tr>
      <w:tr w:rsidR="00E36478" w:rsidRPr="008F6B31" w14:paraId="66D706D7" w14:textId="77777777" w:rsidTr="00541B3F">
        <w:trPr>
          <w:trHeight w:val="284"/>
          <w:tblHeader w:val="0"/>
        </w:trPr>
        <w:tc>
          <w:tcPr>
            <w:tcW w:w="1509" w:type="pct"/>
            <w:vMerge w:val="restart"/>
          </w:tcPr>
          <w:p w14:paraId="73B38EE3" w14:textId="69CF80CA" w:rsidR="00E36478" w:rsidRPr="008F6B31" w:rsidRDefault="00E36478" w:rsidP="00504E7F">
            <w:pPr>
              <w:pStyle w:val="TableTextEntries"/>
            </w:pPr>
            <w:r w:rsidRPr="008F6B31">
              <w:t xml:space="preserve">Provincial Road Management </w:t>
            </w:r>
            <w:r w:rsidR="00DA2143" w:rsidRPr="008F6B31">
              <w:t>Facility</w:t>
            </w:r>
          </w:p>
        </w:tc>
        <w:tc>
          <w:tcPr>
            <w:tcW w:w="920" w:type="pct"/>
          </w:tcPr>
          <w:p w14:paraId="4A7D9B91" w14:textId="296B555A" w:rsidR="00E36478" w:rsidRPr="008F6B31" w:rsidRDefault="00E36478" w:rsidP="00504E7F">
            <w:pPr>
              <w:pStyle w:val="TableTextEntries"/>
            </w:pPr>
            <w:r w:rsidRPr="008F6B31">
              <w:t>$100</w:t>
            </w:r>
            <w:r w:rsidR="00F35BAA">
              <w:t xml:space="preserve"> </w:t>
            </w:r>
            <w:r w:rsidRPr="008F6B31">
              <w:t>000</w:t>
            </w:r>
            <w:r w:rsidR="00F35BAA">
              <w:t xml:space="preserve"> </w:t>
            </w:r>
            <w:r w:rsidRPr="008F6B31">
              <w:t>000</w:t>
            </w:r>
          </w:p>
        </w:tc>
        <w:tc>
          <w:tcPr>
            <w:tcW w:w="494" w:type="pct"/>
          </w:tcPr>
          <w:p w14:paraId="4FC5E251" w14:textId="77777777" w:rsidR="00E36478" w:rsidRPr="008F6B31" w:rsidRDefault="00E36478" w:rsidP="00504E7F">
            <w:pPr>
              <w:pStyle w:val="TableTextEntries"/>
            </w:pPr>
            <w:r w:rsidRPr="008F6B31">
              <w:t>2012</w:t>
            </w:r>
          </w:p>
        </w:tc>
        <w:tc>
          <w:tcPr>
            <w:tcW w:w="319" w:type="pct"/>
            <w:shd w:val="clear" w:color="auto" w:fill="92D050"/>
            <w:noWrap/>
          </w:tcPr>
          <w:p w14:paraId="758812B1" w14:textId="77777777" w:rsidR="00E36478" w:rsidRPr="008F6B31" w:rsidRDefault="00E36478" w:rsidP="00504E7F">
            <w:pPr>
              <w:pStyle w:val="TableTextEntries"/>
              <w:jc w:val="center"/>
            </w:pPr>
            <w:r w:rsidRPr="008F6B31">
              <w:t>5</w:t>
            </w:r>
          </w:p>
        </w:tc>
        <w:tc>
          <w:tcPr>
            <w:tcW w:w="318" w:type="pct"/>
            <w:shd w:val="clear" w:color="auto" w:fill="F79646" w:themeFill="accent6"/>
            <w:noWrap/>
          </w:tcPr>
          <w:p w14:paraId="00420545" w14:textId="77777777" w:rsidR="00E36478" w:rsidRPr="008F6B31" w:rsidRDefault="00E36478" w:rsidP="00504E7F">
            <w:pPr>
              <w:pStyle w:val="TableTextEntries"/>
              <w:jc w:val="center"/>
            </w:pPr>
            <w:r w:rsidRPr="008F6B31">
              <w:t>3</w:t>
            </w:r>
          </w:p>
        </w:tc>
        <w:tc>
          <w:tcPr>
            <w:tcW w:w="319" w:type="pct"/>
            <w:shd w:val="clear" w:color="auto" w:fill="F79646" w:themeFill="accent6"/>
            <w:noWrap/>
          </w:tcPr>
          <w:p w14:paraId="7FD0CA01" w14:textId="77777777" w:rsidR="00E36478" w:rsidRPr="008F6B31" w:rsidRDefault="00E36478" w:rsidP="00504E7F">
            <w:pPr>
              <w:pStyle w:val="TableTextEntries"/>
              <w:jc w:val="center"/>
            </w:pPr>
            <w:r w:rsidRPr="008F6B31">
              <w:t>3</w:t>
            </w:r>
          </w:p>
        </w:tc>
        <w:tc>
          <w:tcPr>
            <w:tcW w:w="322" w:type="pct"/>
            <w:shd w:val="clear" w:color="auto" w:fill="FFFF00"/>
            <w:noWrap/>
          </w:tcPr>
          <w:p w14:paraId="07E2936F" w14:textId="77777777" w:rsidR="00E36478" w:rsidRPr="008F6B31" w:rsidRDefault="00E36478" w:rsidP="00504E7F">
            <w:pPr>
              <w:pStyle w:val="TableTextEntries"/>
              <w:jc w:val="center"/>
            </w:pPr>
            <w:r w:rsidRPr="008F6B31">
              <w:t>4</w:t>
            </w:r>
          </w:p>
        </w:tc>
        <w:tc>
          <w:tcPr>
            <w:tcW w:w="322" w:type="pct"/>
            <w:shd w:val="clear" w:color="auto" w:fill="F79646" w:themeFill="accent6"/>
            <w:noWrap/>
          </w:tcPr>
          <w:p w14:paraId="1A3ECFFC" w14:textId="77777777" w:rsidR="00E36478" w:rsidRPr="008F6B31" w:rsidRDefault="00E36478" w:rsidP="00504E7F">
            <w:pPr>
              <w:pStyle w:val="TableTextEntries"/>
              <w:jc w:val="center"/>
            </w:pPr>
            <w:r w:rsidRPr="008F6B31">
              <w:t>3</w:t>
            </w:r>
          </w:p>
        </w:tc>
        <w:tc>
          <w:tcPr>
            <w:tcW w:w="310" w:type="pct"/>
            <w:shd w:val="clear" w:color="auto" w:fill="F79646" w:themeFill="accent6"/>
            <w:noWrap/>
          </w:tcPr>
          <w:p w14:paraId="76BDB509" w14:textId="77777777" w:rsidR="00E36478" w:rsidRPr="008F6B31" w:rsidRDefault="00E36478" w:rsidP="00504E7F">
            <w:pPr>
              <w:pStyle w:val="TableTextEntries"/>
              <w:jc w:val="center"/>
            </w:pPr>
            <w:r w:rsidRPr="008F6B31">
              <w:t>3</w:t>
            </w:r>
          </w:p>
        </w:tc>
      </w:tr>
      <w:tr w:rsidR="00E36478" w:rsidRPr="008F6B31" w14:paraId="7437A608"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622E4796" w14:textId="77777777" w:rsidR="00E36478" w:rsidRPr="008F6B31" w:rsidRDefault="00E36478" w:rsidP="00504E7F">
            <w:pPr>
              <w:pStyle w:val="TableTextEntries"/>
            </w:pPr>
          </w:p>
        </w:tc>
        <w:tc>
          <w:tcPr>
            <w:tcW w:w="920" w:type="pct"/>
          </w:tcPr>
          <w:p w14:paraId="247D2B66" w14:textId="15B61419" w:rsidR="00E36478" w:rsidRPr="008F6B31" w:rsidRDefault="00E36478" w:rsidP="00504E7F">
            <w:pPr>
              <w:pStyle w:val="TableTextEntries"/>
            </w:pPr>
            <w:r w:rsidRPr="008F6B31">
              <w:t xml:space="preserve">01/09/2009 </w:t>
            </w:r>
            <w:r w:rsidR="00F35BAA">
              <w:t>–</w:t>
            </w:r>
            <w:r w:rsidR="00F35BAA" w:rsidRPr="008F6B31">
              <w:t xml:space="preserve"> </w:t>
            </w:r>
            <w:r w:rsidRPr="008F6B31">
              <w:t>30/06/2015</w:t>
            </w:r>
          </w:p>
        </w:tc>
        <w:tc>
          <w:tcPr>
            <w:tcW w:w="494" w:type="pct"/>
          </w:tcPr>
          <w:p w14:paraId="70F69CBA" w14:textId="77777777" w:rsidR="00E36478" w:rsidRPr="008F6B31" w:rsidRDefault="00E36478" w:rsidP="00504E7F">
            <w:pPr>
              <w:pStyle w:val="TableTextEntries"/>
            </w:pPr>
            <w:r w:rsidRPr="008F6B31">
              <w:t>2011</w:t>
            </w:r>
          </w:p>
        </w:tc>
        <w:tc>
          <w:tcPr>
            <w:tcW w:w="319" w:type="pct"/>
            <w:shd w:val="clear" w:color="auto" w:fill="FFFF00"/>
            <w:noWrap/>
          </w:tcPr>
          <w:p w14:paraId="3FE78002" w14:textId="77777777" w:rsidR="00E36478" w:rsidRPr="008F6B31" w:rsidRDefault="00E36478" w:rsidP="00504E7F">
            <w:pPr>
              <w:pStyle w:val="TableTextEntries"/>
              <w:jc w:val="center"/>
            </w:pPr>
            <w:r w:rsidRPr="008F6B31">
              <w:t>4</w:t>
            </w:r>
          </w:p>
        </w:tc>
        <w:tc>
          <w:tcPr>
            <w:tcW w:w="318" w:type="pct"/>
            <w:shd w:val="clear" w:color="auto" w:fill="F79646" w:themeFill="accent6"/>
            <w:noWrap/>
          </w:tcPr>
          <w:p w14:paraId="2F26B10F" w14:textId="77777777" w:rsidR="00E36478" w:rsidRPr="008F6B31" w:rsidRDefault="00E36478" w:rsidP="00504E7F">
            <w:pPr>
              <w:pStyle w:val="TableTextEntries"/>
              <w:jc w:val="center"/>
            </w:pPr>
            <w:r w:rsidRPr="008F6B31">
              <w:t>3</w:t>
            </w:r>
          </w:p>
        </w:tc>
        <w:tc>
          <w:tcPr>
            <w:tcW w:w="319" w:type="pct"/>
            <w:shd w:val="clear" w:color="auto" w:fill="FF0000"/>
            <w:noWrap/>
          </w:tcPr>
          <w:p w14:paraId="7A63483D" w14:textId="77777777" w:rsidR="00E36478" w:rsidRPr="008F6B31" w:rsidRDefault="00E36478" w:rsidP="00504E7F">
            <w:pPr>
              <w:pStyle w:val="TableTextEntries"/>
              <w:jc w:val="center"/>
            </w:pPr>
            <w:r w:rsidRPr="008F6B31">
              <w:t>2</w:t>
            </w:r>
          </w:p>
        </w:tc>
        <w:tc>
          <w:tcPr>
            <w:tcW w:w="322" w:type="pct"/>
            <w:shd w:val="clear" w:color="auto" w:fill="FFFF00"/>
            <w:noWrap/>
          </w:tcPr>
          <w:p w14:paraId="4DD74A6A" w14:textId="77777777" w:rsidR="00E36478" w:rsidRPr="008F6B31" w:rsidRDefault="00E36478" w:rsidP="00504E7F">
            <w:pPr>
              <w:pStyle w:val="TableTextEntries"/>
              <w:jc w:val="center"/>
            </w:pPr>
            <w:r w:rsidRPr="008F6B31">
              <w:t>4</w:t>
            </w:r>
          </w:p>
        </w:tc>
        <w:tc>
          <w:tcPr>
            <w:tcW w:w="322" w:type="pct"/>
            <w:shd w:val="clear" w:color="auto" w:fill="F79646" w:themeFill="accent6"/>
            <w:noWrap/>
          </w:tcPr>
          <w:p w14:paraId="574EA0E5" w14:textId="77777777" w:rsidR="00E36478" w:rsidRPr="008F6B31" w:rsidRDefault="00E36478" w:rsidP="00504E7F">
            <w:pPr>
              <w:pStyle w:val="TableTextEntries"/>
              <w:jc w:val="center"/>
            </w:pPr>
            <w:r w:rsidRPr="008F6B31">
              <w:t>3</w:t>
            </w:r>
          </w:p>
        </w:tc>
        <w:tc>
          <w:tcPr>
            <w:tcW w:w="310" w:type="pct"/>
            <w:shd w:val="clear" w:color="auto" w:fill="F79646" w:themeFill="accent6"/>
            <w:noWrap/>
          </w:tcPr>
          <w:p w14:paraId="7E7F499A" w14:textId="77777777" w:rsidR="00E36478" w:rsidRPr="008F6B31" w:rsidRDefault="00E36478" w:rsidP="00504E7F">
            <w:pPr>
              <w:pStyle w:val="TableTextEntries"/>
              <w:jc w:val="center"/>
            </w:pPr>
            <w:r w:rsidRPr="008F6B31">
              <w:t>3</w:t>
            </w:r>
          </w:p>
        </w:tc>
      </w:tr>
      <w:tr w:rsidR="00E36478" w:rsidRPr="008F6B31" w14:paraId="7918ACC0" w14:textId="77777777" w:rsidTr="00541B3F">
        <w:trPr>
          <w:trHeight w:val="284"/>
          <w:tblHeader w:val="0"/>
        </w:trPr>
        <w:tc>
          <w:tcPr>
            <w:tcW w:w="1509" w:type="pct"/>
            <w:vMerge w:val="restart"/>
          </w:tcPr>
          <w:p w14:paraId="15E9824F" w14:textId="77777777" w:rsidR="00E36478" w:rsidRPr="008F6B31" w:rsidRDefault="00E36478" w:rsidP="00504E7F">
            <w:pPr>
              <w:pStyle w:val="TableTextEntries"/>
            </w:pPr>
            <w:r w:rsidRPr="008F6B31">
              <w:t>Human Resource Organisational Development Facility</w:t>
            </w:r>
          </w:p>
        </w:tc>
        <w:tc>
          <w:tcPr>
            <w:tcW w:w="920" w:type="pct"/>
          </w:tcPr>
          <w:p w14:paraId="3A38DEDA" w14:textId="4503A628" w:rsidR="00E36478" w:rsidRPr="008F6B31" w:rsidRDefault="00E36478" w:rsidP="00504E7F">
            <w:pPr>
              <w:pStyle w:val="TableTextEntries"/>
            </w:pPr>
            <w:r w:rsidRPr="008F6B31">
              <w:t>$73</w:t>
            </w:r>
            <w:r w:rsidR="00F35BAA">
              <w:t xml:space="preserve"> </w:t>
            </w:r>
            <w:r w:rsidRPr="008F6B31">
              <w:t>991</w:t>
            </w:r>
            <w:r w:rsidR="00F35BAA">
              <w:t xml:space="preserve"> </w:t>
            </w:r>
            <w:r w:rsidRPr="008F6B31">
              <w:t>856</w:t>
            </w:r>
          </w:p>
        </w:tc>
        <w:tc>
          <w:tcPr>
            <w:tcW w:w="494" w:type="pct"/>
          </w:tcPr>
          <w:p w14:paraId="32CA15FB" w14:textId="77777777" w:rsidR="00E36478" w:rsidRPr="008F6B31" w:rsidRDefault="00E36478" w:rsidP="00504E7F">
            <w:pPr>
              <w:pStyle w:val="TableTextEntries"/>
            </w:pPr>
            <w:r w:rsidRPr="008F6B31">
              <w:t>2012</w:t>
            </w:r>
          </w:p>
        </w:tc>
        <w:tc>
          <w:tcPr>
            <w:tcW w:w="319" w:type="pct"/>
            <w:shd w:val="clear" w:color="auto" w:fill="92D050"/>
            <w:noWrap/>
          </w:tcPr>
          <w:p w14:paraId="0DBA0E49" w14:textId="77777777" w:rsidR="00E36478" w:rsidRPr="008F6B31" w:rsidRDefault="00E36478" w:rsidP="00504E7F">
            <w:pPr>
              <w:pStyle w:val="TableTextEntries"/>
              <w:jc w:val="center"/>
            </w:pPr>
            <w:r w:rsidRPr="008F6B31">
              <w:t>6</w:t>
            </w:r>
          </w:p>
        </w:tc>
        <w:tc>
          <w:tcPr>
            <w:tcW w:w="318" w:type="pct"/>
            <w:shd w:val="clear" w:color="auto" w:fill="92D050"/>
            <w:noWrap/>
          </w:tcPr>
          <w:p w14:paraId="35C2C0AA" w14:textId="77777777" w:rsidR="00E36478" w:rsidRPr="008F6B31" w:rsidRDefault="00E36478" w:rsidP="00504E7F">
            <w:pPr>
              <w:pStyle w:val="TableTextEntries"/>
              <w:jc w:val="center"/>
            </w:pPr>
            <w:r w:rsidRPr="008F6B31">
              <w:t>5</w:t>
            </w:r>
          </w:p>
        </w:tc>
        <w:tc>
          <w:tcPr>
            <w:tcW w:w="319" w:type="pct"/>
            <w:shd w:val="clear" w:color="auto" w:fill="92D050"/>
            <w:noWrap/>
          </w:tcPr>
          <w:p w14:paraId="0B6611CD" w14:textId="77777777" w:rsidR="00E36478" w:rsidRPr="008F6B31" w:rsidRDefault="00E36478" w:rsidP="00504E7F">
            <w:pPr>
              <w:pStyle w:val="TableTextEntries"/>
              <w:jc w:val="center"/>
            </w:pPr>
            <w:r w:rsidRPr="008F6B31">
              <w:t>5</w:t>
            </w:r>
          </w:p>
        </w:tc>
        <w:tc>
          <w:tcPr>
            <w:tcW w:w="322" w:type="pct"/>
            <w:shd w:val="clear" w:color="auto" w:fill="92D050"/>
            <w:noWrap/>
          </w:tcPr>
          <w:p w14:paraId="65C5A95B" w14:textId="77777777" w:rsidR="00E36478" w:rsidRPr="008F6B31" w:rsidRDefault="00E36478" w:rsidP="00504E7F">
            <w:pPr>
              <w:pStyle w:val="TableTextEntries"/>
              <w:jc w:val="center"/>
            </w:pPr>
            <w:r w:rsidRPr="008F6B31">
              <w:t>5</w:t>
            </w:r>
          </w:p>
        </w:tc>
        <w:tc>
          <w:tcPr>
            <w:tcW w:w="322" w:type="pct"/>
            <w:shd w:val="clear" w:color="auto" w:fill="92D050"/>
            <w:noWrap/>
          </w:tcPr>
          <w:p w14:paraId="6AFEF7A0" w14:textId="77777777" w:rsidR="00E36478" w:rsidRPr="008F6B31" w:rsidRDefault="00E36478" w:rsidP="00504E7F">
            <w:pPr>
              <w:pStyle w:val="TableTextEntries"/>
              <w:jc w:val="center"/>
            </w:pPr>
            <w:r w:rsidRPr="008F6B31">
              <w:t>5</w:t>
            </w:r>
          </w:p>
        </w:tc>
        <w:tc>
          <w:tcPr>
            <w:tcW w:w="310" w:type="pct"/>
            <w:shd w:val="clear" w:color="auto" w:fill="92D050"/>
            <w:noWrap/>
          </w:tcPr>
          <w:p w14:paraId="526EA0B9" w14:textId="77777777" w:rsidR="00E36478" w:rsidRPr="008F6B31" w:rsidRDefault="00E36478" w:rsidP="00504E7F">
            <w:pPr>
              <w:pStyle w:val="TableTextEntries"/>
              <w:jc w:val="center"/>
            </w:pPr>
            <w:r w:rsidRPr="008F6B31">
              <w:t>6</w:t>
            </w:r>
          </w:p>
        </w:tc>
      </w:tr>
      <w:tr w:rsidR="00E36478" w:rsidRPr="008F6B31" w14:paraId="30B9B5D7"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42A82FE5" w14:textId="77777777" w:rsidR="00E36478" w:rsidRPr="008F6B31" w:rsidRDefault="00E36478" w:rsidP="00504E7F">
            <w:pPr>
              <w:pStyle w:val="TableTextEntries"/>
            </w:pPr>
          </w:p>
        </w:tc>
        <w:tc>
          <w:tcPr>
            <w:tcW w:w="920" w:type="pct"/>
          </w:tcPr>
          <w:p w14:paraId="49423EA1" w14:textId="380A295E" w:rsidR="00E36478" w:rsidRPr="008F6B31" w:rsidRDefault="00E36478" w:rsidP="00504E7F">
            <w:pPr>
              <w:pStyle w:val="TableTextEntries"/>
            </w:pPr>
            <w:r w:rsidRPr="008F6B31">
              <w:t xml:space="preserve">23/03/2009 </w:t>
            </w:r>
            <w:r w:rsidR="00F35BAA">
              <w:t>–</w:t>
            </w:r>
            <w:r w:rsidR="00F35BAA" w:rsidRPr="008F6B31">
              <w:t xml:space="preserve"> </w:t>
            </w:r>
            <w:r w:rsidRPr="008F6B31">
              <w:t>30/06/2019</w:t>
            </w:r>
          </w:p>
        </w:tc>
        <w:tc>
          <w:tcPr>
            <w:tcW w:w="494" w:type="pct"/>
          </w:tcPr>
          <w:p w14:paraId="0D69898C" w14:textId="77777777" w:rsidR="00E36478" w:rsidRPr="008F6B31" w:rsidRDefault="00E36478" w:rsidP="00504E7F">
            <w:pPr>
              <w:pStyle w:val="TableTextEntries"/>
            </w:pPr>
            <w:r w:rsidRPr="008F6B31">
              <w:t>2011</w:t>
            </w:r>
          </w:p>
        </w:tc>
        <w:tc>
          <w:tcPr>
            <w:tcW w:w="319" w:type="pct"/>
            <w:shd w:val="clear" w:color="auto" w:fill="92D050"/>
            <w:noWrap/>
          </w:tcPr>
          <w:p w14:paraId="24CE7848" w14:textId="77777777" w:rsidR="00E36478" w:rsidRPr="008F6B31" w:rsidRDefault="00E36478" w:rsidP="00504E7F">
            <w:pPr>
              <w:pStyle w:val="TableTextEntries"/>
              <w:jc w:val="center"/>
            </w:pPr>
            <w:r w:rsidRPr="008F6B31">
              <w:t>5</w:t>
            </w:r>
          </w:p>
        </w:tc>
        <w:tc>
          <w:tcPr>
            <w:tcW w:w="318" w:type="pct"/>
            <w:shd w:val="clear" w:color="auto" w:fill="FFFF00"/>
            <w:noWrap/>
          </w:tcPr>
          <w:p w14:paraId="1FE93361" w14:textId="77777777" w:rsidR="00E36478" w:rsidRPr="008F6B31" w:rsidRDefault="00E36478" w:rsidP="00504E7F">
            <w:pPr>
              <w:pStyle w:val="TableTextEntries"/>
              <w:jc w:val="center"/>
            </w:pPr>
            <w:r w:rsidRPr="008F6B31">
              <w:t>4</w:t>
            </w:r>
          </w:p>
        </w:tc>
        <w:tc>
          <w:tcPr>
            <w:tcW w:w="319" w:type="pct"/>
            <w:shd w:val="clear" w:color="auto" w:fill="F79646" w:themeFill="accent6"/>
            <w:noWrap/>
          </w:tcPr>
          <w:p w14:paraId="5064E62E" w14:textId="77777777" w:rsidR="00E36478" w:rsidRPr="008F6B31" w:rsidRDefault="00E36478" w:rsidP="00504E7F">
            <w:pPr>
              <w:pStyle w:val="TableTextEntries"/>
              <w:jc w:val="center"/>
            </w:pPr>
            <w:r w:rsidRPr="008F6B31">
              <w:t>3</w:t>
            </w:r>
          </w:p>
        </w:tc>
        <w:tc>
          <w:tcPr>
            <w:tcW w:w="322" w:type="pct"/>
            <w:shd w:val="clear" w:color="auto" w:fill="92D050"/>
            <w:noWrap/>
          </w:tcPr>
          <w:p w14:paraId="49DF59AA" w14:textId="77777777" w:rsidR="00E36478" w:rsidRPr="008F6B31" w:rsidRDefault="00E36478" w:rsidP="00504E7F">
            <w:pPr>
              <w:pStyle w:val="TableTextEntries"/>
              <w:jc w:val="center"/>
            </w:pPr>
            <w:r w:rsidRPr="008F6B31">
              <w:t>5</w:t>
            </w:r>
          </w:p>
        </w:tc>
        <w:tc>
          <w:tcPr>
            <w:tcW w:w="322" w:type="pct"/>
            <w:shd w:val="clear" w:color="auto" w:fill="FFFF00"/>
            <w:noWrap/>
          </w:tcPr>
          <w:p w14:paraId="187F9844" w14:textId="77777777" w:rsidR="00E36478" w:rsidRPr="008F6B31" w:rsidRDefault="00E36478" w:rsidP="00504E7F">
            <w:pPr>
              <w:pStyle w:val="TableTextEntries"/>
              <w:jc w:val="center"/>
            </w:pPr>
            <w:r w:rsidRPr="008F6B31">
              <w:t>4</w:t>
            </w:r>
          </w:p>
        </w:tc>
        <w:tc>
          <w:tcPr>
            <w:tcW w:w="310" w:type="pct"/>
            <w:shd w:val="clear" w:color="auto" w:fill="92D050"/>
            <w:noWrap/>
          </w:tcPr>
          <w:p w14:paraId="72012372" w14:textId="77777777" w:rsidR="00E36478" w:rsidRPr="008F6B31" w:rsidRDefault="00E36478" w:rsidP="00504E7F">
            <w:pPr>
              <w:pStyle w:val="TableTextEntries"/>
              <w:jc w:val="center"/>
            </w:pPr>
            <w:r w:rsidRPr="008F6B31">
              <w:t>5</w:t>
            </w:r>
          </w:p>
        </w:tc>
      </w:tr>
      <w:tr w:rsidR="00E36478" w:rsidRPr="008F6B31" w14:paraId="36007342" w14:textId="77777777" w:rsidTr="00541B3F">
        <w:trPr>
          <w:trHeight w:val="284"/>
          <w:tblHeader w:val="0"/>
        </w:trPr>
        <w:tc>
          <w:tcPr>
            <w:tcW w:w="1509" w:type="pct"/>
            <w:vMerge w:val="restart"/>
          </w:tcPr>
          <w:p w14:paraId="5F81C275" w14:textId="77777777" w:rsidR="00E36478" w:rsidRPr="008F6B31" w:rsidRDefault="00E36478" w:rsidP="00504E7F">
            <w:pPr>
              <w:pStyle w:val="TableTextEntries"/>
            </w:pPr>
            <w:r w:rsidRPr="008F6B31">
              <w:t>Philippines Social Protection</w:t>
            </w:r>
          </w:p>
        </w:tc>
        <w:tc>
          <w:tcPr>
            <w:tcW w:w="920" w:type="pct"/>
          </w:tcPr>
          <w:p w14:paraId="100DFC0A" w14:textId="0B025C18" w:rsidR="00E36478" w:rsidRPr="008F6B31" w:rsidRDefault="00E36478" w:rsidP="00504E7F">
            <w:pPr>
              <w:pStyle w:val="TableTextEntries"/>
            </w:pPr>
            <w:r w:rsidRPr="008F6B31">
              <w:t>$15</w:t>
            </w:r>
            <w:r w:rsidR="00F35BAA">
              <w:t xml:space="preserve"> </w:t>
            </w:r>
            <w:r w:rsidRPr="008F6B31">
              <w:t>503</w:t>
            </w:r>
            <w:r w:rsidR="00F35BAA">
              <w:t xml:space="preserve"> </w:t>
            </w:r>
            <w:r w:rsidRPr="008F6B31">
              <w:t>266</w:t>
            </w:r>
          </w:p>
        </w:tc>
        <w:tc>
          <w:tcPr>
            <w:tcW w:w="494" w:type="pct"/>
          </w:tcPr>
          <w:p w14:paraId="038AD6F1" w14:textId="77777777" w:rsidR="00E36478" w:rsidRPr="008F6B31" w:rsidRDefault="00E36478" w:rsidP="00504E7F">
            <w:pPr>
              <w:pStyle w:val="TableTextEntries"/>
            </w:pPr>
            <w:r w:rsidRPr="008F6B31">
              <w:t>2012</w:t>
            </w:r>
          </w:p>
        </w:tc>
        <w:tc>
          <w:tcPr>
            <w:tcW w:w="319" w:type="pct"/>
            <w:shd w:val="clear" w:color="auto" w:fill="92D050"/>
            <w:noWrap/>
          </w:tcPr>
          <w:p w14:paraId="00647DB9" w14:textId="77777777" w:rsidR="00E36478" w:rsidRPr="008F6B31" w:rsidRDefault="00E36478" w:rsidP="00504E7F">
            <w:pPr>
              <w:pStyle w:val="TableTextEntries"/>
              <w:jc w:val="center"/>
            </w:pPr>
            <w:r w:rsidRPr="008F6B31">
              <w:t>6</w:t>
            </w:r>
          </w:p>
        </w:tc>
        <w:tc>
          <w:tcPr>
            <w:tcW w:w="318" w:type="pct"/>
            <w:shd w:val="clear" w:color="auto" w:fill="92D050"/>
            <w:noWrap/>
          </w:tcPr>
          <w:p w14:paraId="2A37CF17" w14:textId="77777777" w:rsidR="00E36478" w:rsidRPr="008F6B31" w:rsidRDefault="00E36478" w:rsidP="00504E7F">
            <w:pPr>
              <w:pStyle w:val="TableTextEntries"/>
              <w:jc w:val="center"/>
            </w:pPr>
            <w:r w:rsidRPr="008F6B31">
              <w:t>5</w:t>
            </w:r>
          </w:p>
        </w:tc>
        <w:tc>
          <w:tcPr>
            <w:tcW w:w="319" w:type="pct"/>
            <w:shd w:val="clear" w:color="auto" w:fill="FFFF00"/>
            <w:noWrap/>
          </w:tcPr>
          <w:p w14:paraId="3A1077A1" w14:textId="77777777" w:rsidR="00E36478" w:rsidRPr="008F6B31" w:rsidRDefault="00E36478" w:rsidP="00504E7F">
            <w:pPr>
              <w:pStyle w:val="TableTextEntries"/>
              <w:jc w:val="center"/>
            </w:pPr>
            <w:r w:rsidRPr="008F6B31">
              <w:t>4</w:t>
            </w:r>
          </w:p>
        </w:tc>
        <w:tc>
          <w:tcPr>
            <w:tcW w:w="322" w:type="pct"/>
            <w:shd w:val="clear" w:color="auto" w:fill="FFFF00"/>
            <w:noWrap/>
          </w:tcPr>
          <w:p w14:paraId="24CA2E49" w14:textId="77777777" w:rsidR="00E36478" w:rsidRPr="008F6B31" w:rsidRDefault="00E36478" w:rsidP="00504E7F">
            <w:pPr>
              <w:pStyle w:val="TableTextEntries"/>
              <w:jc w:val="center"/>
            </w:pPr>
            <w:r w:rsidRPr="008F6B31">
              <w:t>4</w:t>
            </w:r>
          </w:p>
        </w:tc>
        <w:tc>
          <w:tcPr>
            <w:tcW w:w="322" w:type="pct"/>
            <w:shd w:val="clear" w:color="auto" w:fill="92D050"/>
            <w:noWrap/>
          </w:tcPr>
          <w:p w14:paraId="7B5E7557" w14:textId="77777777" w:rsidR="00E36478" w:rsidRPr="008F6B31" w:rsidRDefault="00E36478" w:rsidP="00504E7F">
            <w:pPr>
              <w:pStyle w:val="TableTextEntries"/>
              <w:jc w:val="center"/>
            </w:pPr>
            <w:r w:rsidRPr="008F6B31">
              <w:t>6</w:t>
            </w:r>
          </w:p>
        </w:tc>
        <w:tc>
          <w:tcPr>
            <w:tcW w:w="310" w:type="pct"/>
            <w:shd w:val="clear" w:color="auto" w:fill="FFFF00"/>
            <w:noWrap/>
          </w:tcPr>
          <w:p w14:paraId="71C88E1A" w14:textId="77777777" w:rsidR="00E36478" w:rsidRPr="008F6B31" w:rsidRDefault="00E36478" w:rsidP="00504E7F">
            <w:pPr>
              <w:pStyle w:val="TableTextEntries"/>
              <w:jc w:val="center"/>
            </w:pPr>
            <w:r w:rsidRPr="008F6B31">
              <w:t>4</w:t>
            </w:r>
          </w:p>
        </w:tc>
      </w:tr>
      <w:tr w:rsidR="00E36478" w:rsidRPr="008F6B31" w14:paraId="0A296FB7"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4A526F89" w14:textId="77777777" w:rsidR="00E36478" w:rsidRPr="008F6B31" w:rsidRDefault="00E36478" w:rsidP="00504E7F">
            <w:pPr>
              <w:pStyle w:val="TableTextEntries"/>
            </w:pPr>
          </w:p>
        </w:tc>
        <w:tc>
          <w:tcPr>
            <w:tcW w:w="920" w:type="pct"/>
          </w:tcPr>
          <w:p w14:paraId="578DBC53" w14:textId="7493BBA3" w:rsidR="00E36478" w:rsidRPr="008F6B31" w:rsidRDefault="00E36478" w:rsidP="00504E7F">
            <w:pPr>
              <w:pStyle w:val="TableTextEntries"/>
            </w:pPr>
            <w:r w:rsidRPr="008F6B31">
              <w:t xml:space="preserve">03/02/2009 </w:t>
            </w:r>
            <w:r w:rsidR="00F35BAA">
              <w:t>–</w:t>
            </w:r>
            <w:r w:rsidR="00F35BAA" w:rsidRPr="008F6B31">
              <w:t xml:space="preserve"> </w:t>
            </w:r>
            <w:r w:rsidRPr="008F6B31">
              <w:t>30/06/2016</w:t>
            </w:r>
          </w:p>
        </w:tc>
        <w:tc>
          <w:tcPr>
            <w:tcW w:w="494" w:type="pct"/>
          </w:tcPr>
          <w:p w14:paraId="737EA905" w14:textId="77777777" w:rsidR="00E36478" w:rsidRPr="008F6B31" w:rsidRDefault="00E36478" w:rsidP="00504E7F">
            <w:pPr>
              <w:pStyle w:val="TableTextEntries"/>
            </w:pPr>
            <w:r w:rsidRPr="008F6B31">
              <w:t>2011</w:t>
            </w:r>
          </w:p>
        </w:tc>
        <w:tc>
          <w:tcPr>
            <w:tcW w:w="319" w:type="pct"/>
            <w:shd w:val="clear" w:color="auto" w:fill="92D050"/>
            <w:noWrap/>
          </w:tcPr>
          <w:p w14:paraId="5D272218" w14:textId="77777777" w:rsidR="00E36478" w:rsidRPr="008F6B31" w:rsidRDefault="00E36478" w:rsidP="00504E7F">
            <w:pPr>
              <w:pStyle w:val="TableTextEntries"/>
              <w:jc w:val="center"/>
            </w:pPr>
            <w:r w:rsidRPr="008F6B31">
              <w:t>6</w:t>
            </w:r>
          </w:p>
        </w:tc>
        <w:tc>
          <w:tcPr>
            <w:tcW w:w="318" w:type="pct"/>
            <w:shd w:val="clear" w:color="auto" w:fill="92D050"/>
            <w:noWrap/>
          </w:tcPr>
          <w:p w14:paraId="4153E788" w14:textId="77777777" w:rsidR="00E36478" w:rsidRPr="008F6B31" w:rsidRDefault="00E36478" w:rsidP="00504E7F">
            <w:pPr>
              <w:pStyle w:val="TableTextEntries"/>
              <w:jc w:val="center"/>
            </w:pPr>
            <w:r w:rsidRPr="008F6B31">
              <w:t>5</w:t>
            </w:r>
          </w:p>
        </w:tc>
        <w:tc>
          <w:tcPr>
            <w:tcW w:w="319" w:type="pct"/>
            <w:shd w:val="clear" w:color="auto" w:fill="92D050"/>
            <w:noWrap/>
          </w:tcPr>
          <w:p w14:paraId="4AE62D10" w14:textId="77777777" w:rsidR="00E36478" w:rsidRPr="008F6B31" w:rsidRDefault="00E36478" w:rsidP="00504E7F">
            <w:pPr>
              <w:pStyle w:val="TableTextEntries"/>
              <w:jc w:val="center"/>
            </w:pPr>
            <w:r w:rsidRPr="008F6B31">
              <w:t>5</w:t>
            </w:r>
          </w:p>
        </w:tc>
        <w:tc>
          <w:tcPr>
            <w:tcW w:w="322" w:type="pct"/>
            <w:shd w:val="clear" w:color="auto" w:fill="92D050"/>
            <w:noWrap/>
          </w:tcPr>
          <w:p w14:paraId="7B5BA4C9" w14:textId="77777777" w:rsidR="00E36478" w:rsidRPr="008F6B31" w:rsidRDefault="00E36478" w:rsidP="00504E7F">
            <w:pPr>
              <w:pStyle w:val="TableTextEntries"/>
              <w:jc w:val="center"/>
            </w:pPr>
            <w:r w:rsidRPr="008F6B31">
              <w:t>5</w:t>
            </w:r>
          </w:p>
        </w:tc>
        <w:tc>
          <w:tcPr>
            <w:tcW w:w="322" w:type="pct"/>
            <w:shd w:val="clear" w:color="auto" w:fill="92D050"/>
            <w:noWrap/>
          </w:tcPr>
          <w:p w14:paraId="05CDBB65" w14:textId="77777777" w:rsidR="00E36478" w:rsidRPr="008F6B31" w:rsidRDefault="00E36478" w:rsidP="00504E7F">
            <w:pPr>
              <w:pStyle w:val="TableTextEntries"/>
              <w:jc w:val="center"/>
            </w:pPr>
            <w:r w:rsidRPr="008F6B31">
              <w:t>5</w:t>
            </w:r>
          </w:p>
        </w:tc>
        <w:tc>
          <w:tcPr>
            <w:tcW w:w="310" w:type="pct"/>
            <w:shd w:val="clear" w:color="auto" w:fill="92D050"/>
            <w:noWrap/>
          </w:tcPr>
          <w:p w14:paraId="409AB548" w14:textId="77777777" w:rsidR="00E36478" w:rsidRPr="008F6B31" w:rsidRDefault="00E36478" w:rsidP="00504E7F">
            <w:pPr>
              <w:pStyle w:val="TableTextEntries"/>
              <w:jc w:val="center"/>
            </w:pPr>
            <w:r w:rsidRPr="008F6B31">
              <w:t>5</w:t>
            </w:r>
          </w:p>
        </w:tc>
      </w:tr>
      <w:tr w:rsidR="00E36478" w:rsidRPr="008F6B31" w14:paraId="60A7C593" w14:textId="77777777" w:rsidTr="00541B3F">
        <w:trPr>
          <w:trHeight w:val="284"/>
          <w:tblHeader w:val="0"/>
        </w:trPr>
        <w:tc>
          <w:tcPr>
            <w:tcW w:w="1509" w:type="pct"/>
            <w:vMerge w:val="restart"/>
          </w:tcPr>
          <w:p w14:paraId="72AF69D0" w14:textId="629261E3" w:rsidR="00E36478" w:rsidRPr="008F6B31" w:rsidRDefault="00E36478" w:rsidP="00504E7F">
            <w:pPr>
              <w:pStyle w:val="TableTextEntries"/>
            </w:pPr>
            <w:r w:rsidRPr="008F6B31">
              <w:t>Australia</w:t>
            </w:r>
            <w:r w:rsidR="00F35BAA">
              <w:t>–</w:t>
            </w:r>
            <w:r w:rsidRPr="008F6B31">
              <w:t>W</w:t>
            </w:r>
            <w:r w:rsidR="00F35BAA">
              <w:t xml:space="preserve">orld </w:t>
            </w:r>
            <w:r w:rsidRPr="008F6B31">
              <w:t>B</w:t>
            </w:r>
            <w:r w:rsidR="00F35BAA">
              <w:t>ank</w:t>
            </w:r>
            <w:r w:rsidRPr="008F6B31">
              <w:t xml:space="preserve"> Philippines Development Trust Fund</w:t>
            </w:r>
          </w:p>
        </w:tc>
        <w:tc>
          <w:tcPr>
            <w:tcW w:w="920" w:type="pct"/>
          </w:tcPr>
          <w:p w14:paraId="4E7B4274" w14:textId="45E34DE7" w:rsidR="00E36478" w:rsidRPr="008F6B31" w:rsidRDefault="00E36478" w:rsidP="00504E7F">
            <w:pPr>
              <w:pStyle w:val="TableTextEntries"/>
            </w:pPr>
            <w:r w:rsidRPr="008F6B31">
              <w:t>$50</w:t>
            </w:r>
            <w:r w:rsidR="00F35BAA">
              <w:t xml:space="preserve"> </w:t>
            </w:r>
            <w:r w:rsidRPr="008F6B31">
              <w:t>000</w:t>
            </w:r>
            <w:r w:rsidR="00F35BAA">
              <w:t xml:space="preserve"> </w:t>
            </w:r>
            <w:r w:rsidRPr="008F6B31">
              <w:t>000</w:t>
            </w:r>
          </w:p>
        </w:tc>
        <w:tc>
          <w:tcPr>
            <w:tcW w:w="494" w:type="pct"/>
          </w:tcPr>
          <w:p w14:paraId="69B13993" w14:textId="77777777" w:rsidR="00E36478" w:rsidRPr="008F6B31" w:rsidRDefault="00E36478" w:rsidP="00504E7F">
            <w:pPr>
              <w:pStyle w:val="TableTextEntries"/>
            </w:pPr>
            <w:r w:rsidRPr="008F6B31">
              <w:t>2012</w:t>
            </w:r>
          </w:p>
        </w:tc>
        <w:tc>
          <w:tcPr>
            <w:tcW w:w="319" w:type="pct"/>
            <w:shd w:val="clear" w:color="auto" w:fill="92D050"/>
            <w:noWrap/>
          </w:tcPr>
          <w:p w14:paraId="4EFAA9A6" w14:textId="77777777" w:rsidR="00E36478" w:rsidRPr="008F6B31" w:rsidRDefault="00E36478" w:rsidP="00504E7F">
            <w:pPr>
              <w:pStyle w:val="TableTextEntries"/>
              <w:jc w:val="center"/>
            </w:pPr>
            <w:r w:rsidRPr="008F6B31">
              <w:t>5</w:t>
            </w:r>
          </w:p>
        </w:tc>
        <w:tc>
          <w:tcPr>
            <w:tcW w:w="318" w:type="pct"/>
            <w:shd w:val="clear" w:color="auto" w:fill="FFFF00"/>
            <w:noWrap/>
          </w:tcPr>
          <w:p w14:paraId="014B18B4" w14:textId="77777777" w:rsidR="00E36478" w:rsidRPr="008F6B31" w:rsidRDefault="00E36478" w:rsidP="00504E7F">
            <w:pPr>
              <w:pStyle w:val="TableTextEntries"/>
              <w:jc w:val="center"/>
            </w:pPr>
            <w:r w:rsidRPr="008F6B31">
              <w:t>4</w:t>
            </w:r>
          </w:p>
        </w:tc>
        <w:tc>
          <w:tcPr>
            <w:tcW w:w="319" w:type="pct"/>
            <w:shd w:val="clear" w:color="auto" w:fill="92D050"/>
            <w:noWrap/>
          </w:tcPr>
          <w:p w14:paraId="38FF6B3C" w14:textId="77777777" w:rsidR="00E36478" w:rsidRPr="008F6B31" w:rsidRDefault="00E36478" w:rsidP="00504E7F">
            <w:pPr>
              <w:pStyle w:val="TableTextEntries"/>
              <w:jc w:val="center"/>
            </w:pPr>
            <w:r w:rsidRPr="008F6B31">
              <w:t>5</w:t>
            </w:r>
          </w:p>
        </w:tc>
        <w:tc>
          <w:tcPr>
            <w:tcW w:w="322" w:type="pct"/>
            <w:shd w:val="clear" w:color="auto" w:fill="FF0000"/>
            <w:noWrap/>
          </w:tcPr>
          <w:p w14:paraId="39C1BF54" w14:textId="77777777" w:rsidR="00E36478" w:rsidRPr="008F6B31" w:rsidRDefault="00E36478" w:rsidP="00504E7F">
            <w:pPr>
              <w:pStyle w:val="TableTextEntries"/>
              <w:jc w:val="center"/>
            </w:pPr>
            <w:r w:rsidRPr="008F6B31">
              <w:t>2</w:t>
            </w:r>
          </w:p>
        </w:tc>
        <w:tc>
          <w:tcPr>
            <w:tcW w:w="322" w:type="pct"/>
            <w:shd w:val="clear" w:color="auto" w:fill="92D050"/>
            <w:noWrap/>
          </w:tcPr>
          <w:p w14:paraId="58D5D959" w14:textId="77777777" w:rsidR="00E36478" w:rsidRPr="008F6B31" w:rsidRDefault="00E36478" w:rsidP="00504E7F">
            <w:pPr>
              <w:pStyle w:val="TableTextEntries"/>
              <w:jc w:val="center"/>
            </w:pPr>
            <w:r w:rsidRPr="008F6B31">
              <w:t>5</w:t>
            </w:r>
          </w:p>
        </w:tc>
        <w:tc>
          <w:tcPr>
            <w:tcW w:w="310" w:type="pct"/>
            <w:shd w:val="clear" w:color="auto" w:fill="FFFF00"/>
            <w:noWrap/>
          </w:tcPr>
          <w:p w14:paraId="1F001163" w14:textId="77777777" w:rsidR="00E36478" w:rsidRPr="008F6B31" w:rsidRDefault="00E36478" w:rsidP="00504E7F">
            <w:pPr>
              <w:pStyle w:val="TableTextEntries"/>
              <w:jc w:val="center"/>
            </w:pPr>
            <w:r w:rsidRPr="008F6B31">
              <w:t>4</w:t>
            </w:r>
          </w:p>
        </w:tc>
      </w:tr>
      <w:tr w:rsidR="00E36478" w:rsidRPr="008F6B31" w14:paraId="3C369D6D"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1F53849A" w14:textId="77777777" w:rsidR="00E36478" w:rsidRPr="008F6B31" w:rsidRDefault="00E36478" w:rsidP="00504E7F">
            <w:pPr>
              <w:pStyle w:val="TableTextEntries"/>
            </w:pPr>
          </w:p>
        </w:tc>
        <w:tc>
          <w:tcPr>
            <w:tcW w:w="920" w:type="pct"/>
          </w:tcPr>
          <w:p w14:paraId="6212C682" w14:textId="3C30807E" w:rsidR="00E36478" w:rsidRPr="008F6B31" w:rsidRDefault="00E36478" w:rsidP="00504E7F">
            <w:pPr>
              <w:pStyle w:val="TableTextEntries"/>
            </w:pPr>
            <w:r w:rsidRPr="008F6B31">
              <w:t xml:space="preserve">01/06/2009 </w:t>
            </w:r>
            <w:r w:rsidR="00F35BAA">
              <w:t>–</w:t>
            </w:r>
            <w:r w:rsidR="00F35BAA" w:rsidRPr="008F6B31">
              <w:t xml:space="preserve"> </w:t>
            </w:r>
            <w:r w:rsidRPr="008F6B31">
              <w:t>30/06/2016</w:t>
            </w:r>
          </w:p>
        </w:tc>
        <w:tc>
          <w:tcPr>
            <w:tcW w:w="494" w:type="pct"/>
          </w:tcPr>
          <w:p w14:paraId="05565CC5" w14:textId="77777777" w:rsidR="00E36478" w:rsidRPr="008F6B31" w:rsidRDefault="00E36478" w:rsidP="00504E7F">
            <w:pPr>
              <w:pStyle w:val="TableTextEntries"/>
            </w:pPr>
            <w:r w:rsidRPr="008F6B31">
              <w:t>2011</w:t>
            </w:r>
          </w:p>
        </w:tc>
        <w:tc>
          <w:tcPr>
            <w:tcW w:w="319" w:type="pct"/>
            <w:shd w:val="clear" w:color="auto" w:fill="92D050"/>
            <w:noWrap/>
          </w:tcPr>
          <w:p w14:paraId="5D31A87D" w14:textId="77777777" w:rsidR="00E36478" w:rsidRPr="008F6B31" w:rsidRDefault="00E36478" w:rsidP="00504E7F">
            <w:pPr>
              <w:pStyle w:val="TableTextEntries"/>
              <w:jc w:val="center"/>
            </w:pPr>
            <w:r w:rsidRPr="008F6B31">
              <w:t>5</w:t>
            </w:r>
          </w:p>
        </w:tc>
        <w:tc>
          <w:tcPr>
            <w:tcW w:w="318" w:type="pct"/>
            <w:shd w:val="clear" w:color="auto" w:fill="92D050"/>
            <w:noWrap/>
          </w:tcPr>
          <w:p w14:paraId="5519A2B8" w14:textId="77777777" w:rsidR="00E36478" w:rsidRPr="008F6B31" w:rsidRDefault="00E36478" w:rsidP="00504E7F">
            <w:pPr>
              <w:pStyle w:val="TableTextEntries"/>
              <w:jc w:val="center"/>
            </w:pPr>
            <w:r w:rsidRPr="008F6B31">
              <w:t>5</w:t>
            </w:r>
          </w:p>
        </w:tc>
        <w:tc>
          <w:tcPr>
            <w:tcW w:w="319" w:type="pct"/>
            <w:shd w:val="clear" w:color="auto" w:fill="F79646" w:themeFill="accent6"/>
            <w:noWrap/>
          </w:tcPr>
          <w:p w14:paraId="5384487B" w14:textId="77777777" w:rsidR="00E36478" w:rsidRPr="008F6B31" w:rsidRDefault="00E36478" w:rsidP="00504E7F">
            <w:pPr>
              <w:pStyle w:val="TableTextEntries"/>
              <w:jc w:val="center"/>
            </w:pPr>
            <w:r w:rsidRPr="008F6B31">
              <w:t>3</w:t>
            </w:r>
          </w:p>
        </w:tc>
        <w:tc>
          <w:tcPr>
            <w:tcW w:w="322" w:type="pct"/>
            <w:shd w:val="clear" w:color="auto" w:fill="F79646" w:themeFill="accent6"/>
            <w:noWrap/>
          </w:tcPr>
          <w:p w14:paraId="14DD7625" w14:textId="77777777" w:rsidR="00E36478" w:rsidRPr="008F6B31" w:rsidRDefault="00E36478" w:rsidP="00504E7F">
            <w:pPr>
              <w:pStyle w:val="TableTextEntries"/>
              <w:jc w:val="center"/>
            </w:pPr>
            <w:r w:rsidRPr="008F6B31">
              <w:t>3</w:t>
            </w:r>
          </w:p>
        </w:tc>
        <w:tc>
          <w:tcPr>
            <w:tcW w:w="322" w:type="pct"/>
            <w:shd w:val="clear" w:color="auto" w:fill="92D050"/>
            <w:noWrap/>
          </w:tcPr>
          <w:p w14:paraId="0F0A2CA8" w14:textId="77777777" w:rsidR="00E36478" w:rsidRPr="008F6B31" w:rsidRDefault="00E36478" w:rsidP="00504E7F">
            <w:pPr>
              <w:pStyle w:val="TableTextEntries"/>
              <w:jc w:val="center"/>
            </w:pPr>
            <w:r w:rsidRPr="008F6B31">
              <w:t>5</w:t>
            </w:r>
          </w:p>
        </w:tc>
        <w:tc>
          <w:tcPr>
            <w:tcW w:w="310" w:type="pct"/>
            <w:shd w:val="clear" w:color="auto" w:fill="F79646" w:themeFill="accent6"/>
            <w:noWrap/>
          </w:tcPr>
          <w:p w14:paraId="145FD9E3" w14:textId="77777777" w:rsidR="00E36478" w:rsidRPr="008F6B31" w:rsidRDefault="00E36478" w:rsidP="00504E7F">
            <w:pPr>
              <w:pStyle w:val="TableTextEntries"/>
              <w:jc w:val="center"/>
            </w:pPr>
            <w:r w:rsidRPr="008F6B31">
              <w:t>3</w:t>
            </w:r>
          </w:p>
        </w:tc>
      </w:tr>
      <w:tr w:rsidR="00E36478" w:rsidRPr="008F6B31" w14:paraId="2389A921" w14:textId="77777777" w:rsidTr="00541B3F">
        <w:trPr>
          <w:trHeight w:val="348"/>
          <w:tblHeader w:val="0"/>
        </w:trPr>
        <w:tc>
          <w:tcPr>
            <w:tcW w:w="1509" w:type="pct"/>
            <w:vMerge w:val="restart"/>
          </w:tcPr>
          <w:p w14:paraId="16422EC6" w14:textId="77777777" w:rsidR="00E36478" w:rsidRPr="008F6B31" w:rsidRDefault="00E36478" w:rsidP="00504E7F">
            <w:pPr>
              <w:pStyle w:val="TableTextEntries"/>
            </w:pPr>
          </w:p>
          <w:p w14:paraId="0409230C" w14:textId="103E883C" w:rsidR="00E36478" w:rsidRPr="008F6B31" w:rsidRDefault="00E36478" w:rsidP="00504E7F">
            <w:pPr>
              <w:pStyle w:val="TableTextEntries"/>
            </w:pPr>
            <w:r w:rsidRPr="008F6B31">
              <w:t>U</w:t>
            </w:r>
            <w:r w:rsidR="00F35BAA">
              <w:t xml:space="preserve">nited </w:t>
            </w:r>
            <w:r w:rsidRPr="008F6B31">
              <w:t>N</w:t>
            </w:r>
            <w:r w:rsidR="00F35BAA">
              <w:t>ations</w:t>
            </w:r>
            <w:r w:rsidRPr="008F6B31">
              <w:t xml:space="preserve"> Maternal and Neonatal Mortality Reduction</w:t>
            </w:r>
          </w:p>
        </w:tc>
        <w:tc>
          <w:tcPr>
            <w:tcW w:w="920" w:type="pct"/>
          </w:tcPr>
          <w:p w14:paraId="6D9230EA" w14:textId="77777777" w:rsidR="00E36478" w:rsidRPr="008F6B31" w:rsidRDefault="00E36478" w:rsidP="00504E7F">
            <w:pPr>
              <w:pStyle w:val="TableTextEntries"/>
            </w:pPr>
          </w:p>
          <w:p w14:paraId="1C6B6BA2" w14:textId="3B9D2C3C" w:rsidR="00E36478" w:rsidRPr="008F6B31" w:rsidRDefault="00E36478" w:rsidP="00504E7F">
            <w:pPr>
              <w:pStyle w:val="TableTextEntries"/>
            </w:pPr>
            <w:r w:rsidRPr="008F6B31">
              <w:t>$12</w:t>
            </w:r>
            <w:r w:rsidR="00F35BAA">
              <w:t xml:space="preserve"> </w:t>
            </w:r>
            <w:r w:rsidRPr="008F6B31">
              <w:t>270</w:t>
            </w:r>
            <w:r w:rsidR="00F35BAA">
              <w:t xml:space="preserve"> </w:t>
            </w:r>
            <w:r w:rsidRPr="008F6B31">
              <w:t>000</w:t>
            </w:r>
          </w:p>
        </w:tc>
        <w:tc>
          <w:tcPr>
            <w:tcW w:w="494" w:type="pct"/>
          </w:tcPr>
          <w:p w14:paraId="600CEB9C" w14:textId="77777777" w:rsidR="00E36478" w:rsidRPr="008F6B31" w:rsidRDefault="00E36478" w:rsidP="00504E7F">
            <w:pPr>
              <w:pStyle w:val="TableTextEntries"/>
            </w:pPr>
          </w:p>
          <w:p w14:paraId="6AB79DA1" w14:textId="77777777" w:rsidR="00E36478" w:rsidRPr="008F6B31" w:rsidRDefault="00E36478" w:rsidP="00504E7F">
            <w:pPr>
              <w:pStyle w:val="TableTextEntries"/>
            </w:pPr>
            <w:r w:rsidRPr="008F6B31">
              <w:t>2012</w:t>
            </w:r>
          </w:p>
        </w:tc>
        <w:tc>
          <w:tcPr>
            <w:tcW w:w="319" w:type="pct"/>
            <w:shd w:val="clear" w:color="auto" w:fill="92D050"/>
            <w:noWrap/>
          </w:tcPr>
          <w:p w14:paraId="21272127" w14:textId="77777777" w:rsidR="00E36478" w:rsidRPr="008F6B31" w:rsidRDefault="00E36478" w:rsidP="00504E7F">
            <w:pPr>
              <w:pStyle w:val="TableTextEntries"/>
              <w:jc w:val="center"/>
            </w:pPr>
            <w:r w:rsidRPr="008F6B31">
              <w:t>5</w:t>
            </w:r>
          </w:p>
        </w:tc>
        <w:tc>
          <w:tcPr>
            <w:tcW w:w="318" w:type="pct"/>
            <w:shd w:val="clear" w:color="auto" w:fill="92D050"/>
            <w:noWrap/>
          </w:tcPr>
          <w:p w14:paraId="752F8BB6" w14:textId="77777777" w:rsidR="00E36478" w:rsidRPr="008F6B31" w:rsidRDefault="00E36478" w:rsidP="00504E7F">
            <w:pPr>
              <w:pStyle w:val="TableTextEntries"/>
              <w:jc w:val="center"/>
            </w:pPr>
            <w:r w:rsidRPr="008F6B31">
              <w:t>5</w:t>
            </w:r>
          </w:p>
        </w:tc>
        <w:tc>
          <w:tcPr>
            <w:tcW w:w="319" w:type="pct"/>
            <w:shd w:val="clear" w:color="auto" w:fill="FFFF00"/>
            <w:noWrap/>
          </w:tcPr>
          <w:p w14:paraId="3C0FCE50" w14:textId="77777777" w:rsidR="00E36478" w:rsidRPr="008F6B31" w:rsidRDefault="00E36478" w:rsidP="00504E7F">
            <w:pPr>
              <w:pStyle w:val="TableTextEntries"/>
              <w:jc w:val="center"/>
            </w:pPr>
            <w:r w:rsidRPr="008F6B31">
              <w:t>4</w:t>
            </w:r>
          </w:p>
        </w:tc>
        <w:tc>
          <w:tcPr>
            <w:tcW w:w="322" w:type="pct"/>
            <w:shd w:val="clear" w:color="auto" w:fill="FFFF00"/>
            <w:noWrap/>
          </w:tcPr>
          <w:p w14:paraId="456A9D04" w14:textId="77777777" w:rsidR="00E36478" w:rsidRPr="008F6B31" w:rsidRDefault="00E36478" w:rsidP="00504E7F">
            <w:pPr>
              <w:pStyle w:val="TableTextEntries"/>
              <w:jc w:val="center"/>
            </w:pPr>
            <w:r w:rsidRPr="008F6B31">
              <w:t>4</w:t>
            </w:r>
          </w:p>
        </w:tc>
        <w:tc>
          <w:tcPr>
            <w:tcW w:w="322" w:type="pct"/>
            <w:shd w:val="clear" w:color="auto" w:fill="92D050"/>
            <w:noWrap/>
          </w:tcPr>
          <w:p w14:paraId="26168702" w14:textId="77777777" w:rsidR="00E36478" w:rsidRPr="008F6B31" w:rsidRDefault="00E36478" w:rsidP="00504E7F">
            <w:pPr>
              <w:pStyle w:val="TableTextEntries"/>
              <w:jc w:val="center"/>
            </w:pPr>
            <w:r w:rsidRPr="008F6B31">
              <w:t>5</w:t>
            </w:r>
          </w:p>
        </w:tc>
        <w:tc>
          <w:tcPr>
            <w:tcW w:w="310" w:type="pct"/>
            <w:shd w:val="clear" w:color="auto" w:fill="92D050"/>
            <w:noWrap/>
          </w:tcPr>
          <w:p w14:paraId="4946286D" w14:textId="77777777" w:rsidR="00E36478" w:rsidRPr="008F6B31" w:rsidRDefault="00E36478" w:rsidP="00504E7F">
            <w:pPr>
              <w:pStyle w:val="TableTextEntries"/>
              <w:jc w:val="center"/>
            </w:pPr>
            <w:r w:rsidRPr="008F6B31">
              <w:t>5</w:t>
            </w:r>
          </w:p>
        </w:tc>
      </w:tr>
      <w:tr w:rsidR="00E36478" w:rsidRPr="008F6B31" w14:paraId="7A94892F"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732A0E0F" w14:textId="77777777" w:rsidR="00E36478" w:rsidRPr="008F6B31" w:rsidRDefault="00E36478" w:rsidP="00504E7F">
            <w:pPr>
              <w:pStyle w:val="TableTextEntries"/>
            </w:pPr>
          </w:p>
        </w:tc>
        <w:tc>
          <w:tcPr>
            <w:tcW w:w="920" w:type="pct"/>
          </w:tcPr>
          <w:p w14:paraId="2F6A42B2" w14:textId="17B6C9F9" w:rsidR="00E36478" w:rsidRPr="008F6B31" w:rsidRDefault="00E36478" w:rsidP="00504E7F">
            <w:pPr>
              <w:pStyle w:val="TableTextEntries"/>
            </w:pPr>
            <w:r w:rsidRPr="008F6B31">
              <w:t xml:space="preserve">30/05/2010 </w:t>
            </w:r>
            <w:r w:rsidR="00F35BAA">
              <w:t>–</w:t>
            </w:r>
            <w:r w:rsidR="00F35BAA" w:rsidRPr="008F6B31">
              <w:t xml:space="preserve"> </w:t>
            </w:r>
            <w:r w:rsidRPr="008F6B31">
              <w:t>30/06/2013</w:t>
            </w:r>
          </w:p>
        </w:tc>
        <w:tc>
          <w:tcPr>
            <w:tcW w:w="494" w:type="pct"/>
          </w:tcPr>
          <w:p w14:paraId="1A8D7A36" w14:textId="77777777" w:rsidR="00E36478" w:rsidRPr="008F6B31" w:rsidRDefault="00E36478" w:rsidP="00504E7F">
            <w:pPr>
              <w:pStyle w:val="TableTextEntries"/>
            </w:pPr>
            <w:r w:rsidRPr="008F6B31">
              <w:t>2011</w:t>
            </w:r>
          </w:p>
        </w:tc>
        <w:tc>
          <w:tcPr>
            <w:tcW w:w="319" w:type="pct"/>
            <w:shd w:val="clear" w:color="auto" w:fill="92D050"/>
            <w:noWrap/>
          </w:tcPr>
          <w:p w14:paraId="40963166" w14:textId="77777777" w:rsidR="00E36478" w:rsidRPr="008F6B31" w:rsidRDefault="00E36478" w:rsidP="00504E7F">
            <w:pPr>
              <w:pStyle w:val="TableTextEntries"/>
              <w:jc w:val="center"/>
            </w:pPr>
            <w:r w:rsidRPr="008F6B31">
              <w:t>5</w:t>
            </w:r>
          </w:p>
        </w:tc>
        <w:tc>
          <w:tcPr>
            <w:tcW w:w="318" w:type="pct"/>
            <w:shd w:val="clear" w:color="auto" w:fill="FFFF00"/>
            <w:noWrap/>
          </w:tcPr>
          <w:p w14:paraId="5CF1F058" w14:textId="77777777" w:rsidR="00E36478" w:rsidRPr="008F6B31" w:rsidRDefault="00E36478" w:rsidP="00504E7F">
            <w:pPr>
              <w:pStyle w:val="TableTextEntries"/>
              <w:jc w:val="center"/>
            </w:pPr>
            <w:r w:rsidRPr="008F6B31">
              <w:t>4</w:t>
            </w:r>
          </w:p>
        </w:tc>
        <w:tc>
          <w:tcPr>
            <w:tcW w:w="319" w:type="pct"/>
            <w:shd w:val="clear" w:color="auto" w:fill="FFFF00"/>
            <w:noWrap/>
          </w:tcPr>
          <w:p w14:paraId="489E3516" w14:textId="77777777" w:rsidR="00E36478" w:rsidRPr="008F6B31" w:rsidRDefault="00E36478" w:rsidP="00504E7F">
            <w:pPr>
              <w:pStyle w:val="TableTextEntries"/>
              <w:jc w:val="center"/>
            </w:pPr>
            <w:r w:rsidRPr="008F6B31">
              <w:t>4</w:t>
            </w:r>
          </w:p>
        </w:tc>
        <w:tc>
          <w:tcPr>
            <w:tcW w:w="322" w:type="pct"/>
            <w:shd w:val="clear" w:color="auto" w:fill="FFFF00"/>
            <w:noWrap/>
          </w:tcPr>
          <w:p w14:paraId="78677404" w14:textId="77777777" w:rsidR="00E36478" w:rsidRPr="008F6B31" w:rsidRDefault="00E36478" w:rsidP="00504E7F">
            <w:pPr>
              <w:pStyle w:val="TableTextEntries"/>
              <w:jc w:val="center"/>
            </w:pPr>
            <w:r w:rsidRPr="008F6B31">
              <w:t>4</w:t>
            </w:r>
          </w:p>
        </w:tc>
        <w:tc>
          <w:tcPr>
            <w:tcW w:w="322" w:type="pct"/>
            <w:shd w:val="clear" w:color="auto" w:fill="FFFF00"/>
            <w:noWrap/>
          </w:tcPr>
          <w:p w14:paraId="33DAB44A" w14:textId="77777777" w:rsidR="00E36478" w:rsidRPr="008F6B31" w:rsidRDefault="00E36478" w:rsidP="00504E7F">
            <w:pPr>
              <w:pStyle w:val="TableTextEntries"/>
              <w:jc w:val="center"/>
            </w:pPr>
            <w:r w:rsidRPr="008F6B31">
              <w:t>4</w:t>
            </w:r>
          </w:p>
        </w:tc>
        <w:tc>
          <w:tcPr>
            <w:tcW w:w="310" w:type="pct"/>
            <w:shd w:val="clear" w:color="auto" w:fill="F79646" w:themeFill="accent6"/>
            <w:noWrap/>
          </w:tcPr>
          <w:p w14:paraId="68435804" w14:textId="77777777" w:rsidR="00E36478" w:rsidRPr="008F6B31" w:rsidRDefault="00E36478" w:rsidP="00504E7F">
            <w:pPr>
              <w:pStyle w:val="TableTextEntries"/>
              <w:jc w:val="center"/>
            </w:pPr>
            <w:r w:rsidRPr="008F6B31">
              <w:t>3</w:t>
            </w:r>
          </w:p>
        </w:tc>
      </w:tr>
      <w:tr w:rsidR="00E36478" w:rsidRPr="008F6B31" w14:paraId="08481CDA" w14:textId="77777777" w:rsidTr="00541B3F">
        <w:trPr>
          <w:trHeight w:val="284"/>
          <w:tblHeader w:val="0"/>
        </w:trPr>
        <w:tc>
          <w:tcPr>
            <w:tcW w:w="1509" w:type="pct"/>
            <w:vMerge w:val="restart"/>
          </w:tcPr>
          <w:p w14:paraId="2F5FDA51" w14:textId="5A6F1692" w:rsidR="00E36478" w:rsidRPr="008F6B31" w:rsidRDefault="00E36478" w:rsidP="00504E7F">
            <w:pPr>
              <w:pStyle w:val="TableTextEntries"/>
            </w:pPr>
            <w:r w:rsidRPr="008F6B31">
              <w:t xml:space="preserve">Australian Development </w:t>
            </w:r>
            <w:r w:rsidRPr="008F6B31">
              <w:lastRenderedPageBreak/>
              <w:t xml:space="preserve">Scholarships </w:t>
            </w:r>
            <w:r w:rsidR="00F35BAA">
              <w:t>–</w:t>
            </w:r>
            <w:r w:rsidR="00F35BAA" w:rsidRPr="008F6B31">
              <w:t xml:space="preserve"> </w:t>
            </w:r>
            <w:r w:rsidRPr="008F6B31">
              <w:t>Philippines</w:t>
            </w:r>
          </w:p>
        </w:tc>
        <w:tc>
          <w:tcPr>
            <w:tcW w:w="920" w:type="pct"/>
          </w:tcPr>
          <w:p w14:paraId="0B473437" w14:textId="0BFB4BA1" w:rsidR="00E36478" w:rsidRPr="008F6B31" w:rsidRDefault="00E36478" w:rsidP="00504E7F">
            <w:pPr>
              <w:pStyle w:val="TableTextEntries"/>
            </w:pPr>
            <w:r w:rsidRPr="008F6B31">
              <w:lastRenderedPageBreak/>
              <w:t>$3</w:t>
            </w:r>
            <w:r w:rsidR="00F35BAA">
              <w:t xml:space="preserve"> </w:t>
            </w:r>
            <w:r w:rsidRPr="008F6B31">
              <w:t>499</w:t>
            </w:r>
            <w:r w:rsidR="00F35BAA">
              <w:t xml:space="preserve"> </w:t>
            </w:r>
            <w:r w:rsidRPr="008F6B31">
              <w:t>255</w:t>
            </w:r>
          </w:p>
        </w:tc>
        <w:tc>
          <w:tcPr>
            <w:tcW w:w="494" w:type="pct"/>
          </w:tcPr>
          <w:p w14:paraId="45AACCD7" w14:textId="77777777" w:rsidR="00E36478" w:rsidRPr="008F6B31" w:rsidRDefault="00E36478" w:rsidP="00504E7F">
            <w:pPr>
              <w:pStyle w:val="TableTextEntries"/>
            </w:pPr>
            <w:r w:rsidRPr="008F6B31">
              <w:t>2012</w:t>
            </w:r>
          </w:p>
        </w:tc>
        <w:tc>
          <w:tcPr>
            <w:tcW w:w="319" w:type="pct"/>
            <w:shd w:val="clear" w:color="auto" w:fill="92D050"/>
            <w:noWrap/>
          </w:tcPr>
          <w:p w14:paraId="44812A0C" w14:textId="77777777" w:rsidR="00E36478" w:rsidRPr="008F6B31" w:rsidRDefault="00E36478" w:rsidP="00504E7F">
            <w:pPr>
              <w:pStyle w:val="TableTextEntries"/>
              <w:jc w:val="center"/>
            </w:pPr>
            <w:r w:rsidRPr="008F6B31">
              <w:t>6</w:t>
            </w:r>
          </w:p>
        </w:tc>
        <w:tc>
          <w:tcPr>
            <w:tcW w:w="318" w:type="pct"/>
            <w:shd w:val="clear" w:color="auto" w:fill="92D050"/>
            <w:noWrap/>
          </w:tcPr>
          <w:p w14:paraId="2A36F550" w14:textId="77777777" w:rsidR="00E36478" w:rsidRPr="008F6B31" w:rsidRDefault="00E36478" w:rsidP="00504E7F">
            <w:pPr>
              <w:pStyle w:val="TableTextEntries"/>
              <w:jc w:val="center"/>
            </w:pPr>
            <w:r w:rsidRPr="008F6B31">
              <w:t>5</w:t>
            </w:r>
          </w:p>
        </w:tc>
        <w:tc>
          <w:tcPr>
            <w:tcW w:w="319" w:type="pct"/>
            <w:shd w:val="clear" w:color="auto" w:fill="92D050"/>
            <w:noWrap/>
          </w:tcPr>
          <w:p w14:paraId="196DC792" w14:textId="77777777" w:rsidR="00E36478" w:rsidRPr="008F6B31" w:rsidRDefault="00E36478" w:rsidP="00504E7F">
            <w:pPr>
              <w:pStyle w:val="TableTextEntries"/>
              <w:jc w:val="center"/>
            </w:pPr>
            <w:r w:rsidRPr="008F6B31">
              <w:t>5</w:t>
            </w:r>
          </w:p>
        </w:tc>
        <w:tc>
          <w:tcPr>
            <w:tcW w:w="322" w:type="pct"/>
            <w:shd w:val="clear" w:color="auto" w:fill="92D050"/>
            <w:noWrap/>
          </w:tcPr>
          <w:p w14:paraId="238DE6C9" w14:textId="77777777" w:rsidR="00E36478" w:rsidRPr="008F6B31" w:rsidRDefault="00E36478" w:rsidP="00504E7F">
            <w:pPr>
              <w:pStyle w:val="TableTextEntries"/>
              <w:jc w:val="center"/>
            </w:pPr>
            <w:r w:rsidRPr="008F6B31">
              <w:t>5</w:t>
            </w:r>
          </w:p>
        </w:tc>
        <w:tc>
          <w:tcPr>
            <w:tcW w:w="322" w:type="pct"/>
            <w:shd w:val="clear" w:color="auto" w:fill="92D050"/>
            <w:noWrap/>
          </w:tcPr>
          <w:p w14:paraId="15DB7015" w14:textId="77777777" w:rsidR="00E36478" w:rsidRPr="008F6B31" w:rsidRDefault="00E36478" w:rsidP="00504E7F">
            <w:pPr>
              <w:pStyle w:val="TableTextEntries"/>
              <w:jc w:val="center"/>
            </w:pPr>
            <w:r w:rsidRPr="008F6B31">
              <w:t>5</w:t>
            </w:r>
          </w:p>
        </w:tc>
        <w:tc>
          <w:tcPr>
            <w:tcW w:w="310" w:type="pct"/>
            <w:shd w:val="clear" w:color="auto" w:fill="92D050"/>
            <w:noWrap/>
          </w:tcPr>
          <w:p w14:paraId="1E679EE9" w14:textId="77777777" w:rsidR="00E36478" w:rsidRPr="008F6B31" w:rsidRDefault="00E36478" w:rsidP="00504E7F">
            <w:pPr>
              <w:pStyle w:val="TableTextEntries"/>
              <w:jc w:val="center"/>
            </w:pPr>
            <w:r w:rsidRPr="008F6B31">
              <w:t>6</w:t>
            </w:r>
          </w:p>
        </w:tc>
      </w:tr>
      <w:tr w:rsidR="00E36478" w:rsidRPr="008F6B31" w14:paraId="3341DED3"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51878041" w14:textId="77777777" w:rsidR="00E36478" w:rsidRPr="008F6B31" w:rsidRDefault="00E36478" w:rsidP="00504E7F">
            <w:pPr>
              <w:pStyle w:val="TableTextEntries"/>
            </w:pPr>
          </w:p>
        </w:tc>
        <w:tc>
          <w:tcPr>
            <w:tcW w:w="920" w:type="pct"/>
          </w:tcPr>
          <w:p w14:paraId="56502C22" w14:textId="4291253F" w:rsidR="00E36478" w:rsidRPr="008F6B31" w:rsidRDefault="00E36478" w:rsidP="00504E7F">
            <w:pPr>
              <w:pStyle w:val="TableTextEntries"/>
            </w:pPr>
            <w:r w:rsidRPr="008F6B31">
              <w:t xml:space="preserve">01/01/2010 </w:t>
            </w:r>
            <w:r w:rsidR="00F35BAA">
              <w:t>–</w:t>
            </w:r>
            <w:r w:rsidR="00F35BAA" w:rsidRPr="008F6B31">
              <w:t xml:space="preserve"> </w:t>
            </w:r>
            <w:r w:rsidRPr="008F6B31">
              <w:t>31/12/2013</w:t>
            </w:r>
          </w:p>
        </w:tc>
        <w:tc>
          <w:tcPr>
            <w:tcW w:w="494" w:type="pct"/>
          </w:tcPr>
          <w:p w14:paraId="5CB9EB1E" w14:textId="77777777" w:rsidR="00E36478" w:rsidRPr="008F6B31" w:rsidRDefault="00E36478" w:rsidP="00504E7F">
            <w:pPr>
              <w:pStyle w:val="TableTextEntries"/>
            </w:pPr>
            <w:r w:rsidRPr="008F6B31">
              <w:t>2011</w:t>
            </w:r>
          </w:p>
        </w:tc>
        <w:tc>
          <w:tcPr>
            <w:tcW w:w="319" w:type="pct"/>
            <w:shd w:val="clear" w:color="auto" w:fill="92D050"/>
            <w:noWrap/>
          </w:tcPr>
          <w:p w14:paraId="637DC4C6" w14:textId="77777777" w:rsidR="00E36478" w:rsidRPr="008F6B31" w:rsidRDefault="00E36478" w:rsidP="00504E7F">
            <w:pPr>
              <w:pStyle w:val="TableTextEntries"/>
              <w:jc w:val="center"/>
            </w:pPr>
            <w:r w:rsidRPr="008F6B31">
              <w:t>5</w:t>
            </w:r>
          </w:p>
        </w:tc>
        <w:tc>
          <w:tcPr>
            <w:tcW w:w="318" w:type="pct"/>
            <w:shd w:val="clear" w:color="auto" w:fill="FFFF00"/>
            <w:noWrap/>
          </w:tcPr>
          <w:p w14:paraId="6AF2C8D4" w14:textId="77777777" w:rsidR="00E36478" w:rsidRPr="008F6B31" w:rsidRDefault="00E36478" w:rsidP="00504E7F">
            <w:pPr>
              <w:pStyle w:val="TableTextEntries"/>
              <w:jc w:val="center"/>
            </w:pPr>
            <w:r w:rsidRPr="008F6B31">
              <w:t>4</w:t>
            </w:r>
          </w:p>
        </w:tc>
        <w:tc>
          <w:tcPr>
            <w:tcW w:w="319" w:type="pct"/>
            <w:shd w:val="clear" w:color="auto" w:fill="F79646" w:themeFill="accent6"/>
            <w:noWrap/>
          </w:tcPr>
          <w:p w14:paraId="7F0F523D" w14:textId="77777777" w:rsidR="00E36478" w:rsidRPr="008F6B31" w:rsidRDefault="00E36478" w:rsidP="00504E7F">
            <w:pPr>
              <w:pStyle w:val="TableTextEntries"/>
              <w:jc w:val="center"/>
            </w:pPr>
            <w:r w:rsidRPr="008F6B31">
              <w:t>3</w:t>
            </w:r>
          </w:p>
        </w:tc>
        <w:tc>
          <w:tcPr>
            <w:tcW w:w="322" w:type="pct"/>
            <w:shd w:val="clear" w:color="auto" w:fill="92D050"/>
            <w:noWrap/>
          </w:tcPr>
          <w:p w14:paraId="09D2FDA7" w14:textId="77777777" w:rsidR="00E36478" w:rsidRPr="008F6B31" w:rsidRDefault="00E36478" w:rsidP="00504E7F">
            <w:pPr>
              <w:pStyle w:val="TableTextEntries"/>
              <w:jc w:val="center"/>
            </w:pPr>
            <w:r w:rsidRPr="008F6B31">
              <w:t>5</w:t>
            </w:r>
          </w:p>
        </w:tc>
        <w:tc>
          <w:tcPr>
            <w:tcW w:w="322" w:type="pct"/>
            <w:shd w:val="clear" w:color="auto" w:fill="FFFF00"/>
            <w:noWrap/>
          </w:tcPr>
          <w:p w14:paraId="7E599D25" w14:textId="77777777" w:rsidR="00E36478" w:rsidRPr="008F6B31" w:rsidRDefault="00E36478" w:rsidP="00504E7F">
            <w:pPr>
              <w:pStyle w:val="TableTextEntries"/>
              <w:jc w:val="center"/>
            </w:pPr>
            <w:r w:rsidRPr="008F6B31">
              <w:t>4</w:t>
            </w:r>
          </w:p>
        </w:tc>
        <w:tc>
          <w:tcPr>
            <w:tcW w:w="310" w:type="pct"/>
            <w:shd w:val="clear" w:color="auto" w:fill="92D050"/>
            <w:noWrap/>
          </w:tcPr>
          <w:p w14:paraId="4EEE9E75" w14:textId="77777777" w:rsidR="00E36478" w:rsidRPr="008F6B31" w:rsidRDefault="00E36478" w:rsidP="00504E7F">
            <w:pPr>
              <w:pStyle w:val="TableTextEntries"/>
              <w:jc w:val="center"/>
            </w:pPr>
            <w:r w:rsidRPr="008F6B31">
              <w:t>5</w:t>
            </w:r>
          </w:p>
        </w:tc>
      </w:tr>
      <w:tr w:rsidR="00E36478" w:rsidRPr="008F6B31" w14:paraId="14A6F624" w14:textId="77777777" w:rsidTr="00541B3F">
        <w:trPr>
          <w:trHeight w:val="284"/>
          <w:tblHeader w:val="0"/>
        </w:trPr>
        <w:tc>
          <w:tcPr>
            <w:tcW w:w="1509" w:type="pct"/>
            <w:vMerge w:val="restart"/>
          </w:tcPr>
          <w:p w14:paraId="010E02D9" w14:textId="77777777" w:rsidR="00E36478" w:rsidRPr="008F6B31" w:rsidRDefault="00E36478" w:rsidP="00504E7F">
            <w:pPr>
              <w:pStyle w:val="TableTextEntries"/>
            </w:pPr>
            <w:r w:rsidRPr="008F6B31">
              <w:lastRenderedPageBreak/>
              <w:t>AusAID The Asia Foundation Partnership Philippines</w:t>
            </w:r>
          </w:p>
        </w:tc>
        <w:tc>
          <w:tcPr>
            <w:tcW w:w="920" w:type="pct"/>
          </w:tcPr>
          <w:p w14:paraId="118FE92B" w14:textId="4922B921" w:rsidR="00E36478" w:rsidRPr="008F6B31" w:rsidRDefault="00E36478" w:rsidP="00504E7F">
            <w:pPr>
              <w:pStyle w:val="TableTextEntries"/>
            </w:pPr>
            <w:r w:rsidRPr="008F6B31">
              <w:t>$13</w:t>
            </w:r>
            <w:r w:rsidR="00F35BAA">
              <w:t xml:space="preserve"> </w:t>
            </w:r>
            <w:r w:rsidRPr="008F6B31">
              <w:t>630</w:t>
            </w:r>
            <w:r w:rsidR="00F35BAA">
              <w:t xml:space="preserve"> </w:t>
            </w:r>
            <w:r w:rsidRPr="008F6B31">
              <w:t>000</w:t>
            </w:r>
          </w:p>
        </w:tc>
        <w:tc>
          <w:tcPr>
            <w:tcW w:w="494" w:type="pct"/>
          </w:tcPr>
          <w:p w14:paraId="58F0E226" w14:textId="77777777" w:rsidR="00E36478" w:rsidRPr="008F6B31" w:rsidRDefault="00E36478" w:rsidP="00504E7F">
            <w:pPr>
              <w:pStyle w:val="TableTextEntries"/>
            </w:pPr>
            <w:r w:rsidRPr="008F6B31">
              <w:t>2012</w:t>
            </w:r>
          </w:p>
        </w:tc>
        <w:tc>
          <w:tcPr>
            <w:tcW w:w="319" w:type="pct"/>
            <w:shd w:val="clear" w:color="auto" w:fill="92D050"/>
            <w:noWrap/>
          </w:tcPr>
          <w:p w14:paraId="2C20B4BE" w14:textId="77777777" w:rsidR="00E36478" w:rsidRPr="008F6B31" w:rsidRDefault="00E36478" w:rsidP="00504E7F">
            <w:pPr>
              <w:pStyle w:val="TableTextEntries"/>
              <w:jc w:val="center"/>
            </w:pPr>
            <w:r w:rsidRPr="008F6B31">
              <w:t>5</w:t>
            </w:r>
          </w:p>
        </w:tc>
        <w:tc>
          <w:tcPr>
            <w:tcW w:w="318" w:type="pct"/>
            <w:shd w:val="clear" w:color="auto" w:fill="92D050"/>
            <w:noWrap/>
          </w:tcPr>
          <w:p w14:paraId="7DC2B297" w14:textId="77777777" w:rsidR="00E36478" w:rsidRPr="008F6B31" w:rsidRDefault="00E36478" w:rsidP="00504E7F">
            <w:pPr>
              <w:pStyle w:val="TableTextEntries"/>
              <w:jc w:val="center"/>
            </w:pPr>
            <w:r w:rsidRPr="008F6B31">
              <w:t>5</w:t>
            </w:r>
          </w:p>
        </w:tc>
        <w:tc>
          <w:tcPr>
            <w:tcW w:w="319" w:type="pct"/>
            <w:shd w:val="clear" w:color="auto" w:fill="FFFF00"/>
            <w:noWrap/>
          </w:tcPr>
          <w:p w14:paraId="314A3554" w14:textId="77777777" w:rsidR="00E36478" w:rsidRPr="008F6B31" w:rsidRDefault="00E36478" w:rsidP="00504E7F">
            <w:pPr>
              <w:pStyle w:val="TableTextEntries"/>
              <w:jc w:val="center"/>
            </w:pPr>
            <w:r w:rsidRPr="008F6B31">
              <w:t>4</w:t>
            </w:r>
          </w:p>
        </w:tc>
        <w:tc>
          <w:tcPr>
            <w:tcW w:w="322" w:type="pct"/>
            <w:shd w:val="clear" w:color="auto" w:fill="FFFF00"/>
            <w:noWrap/>
          </w:tcPr>
          <w:p w14:paraId="06ECB5B4" w14:textId="77777777" w:rsidR="00E36478" w:rsidRPr="008F6B31" w:rsidRDefault="00E36478" w:rsidP="00504E7F">
            <w:pPr>
              <w:pStyle w:val="TableTextEntries"/>
              <w:jc w:val="center"/>
            </w:pPr>
            <w:r w:rsidRPr="008F6B31">
              <w:t>4</w:t>
            </w:r>
          </w:p>
        </w:tc>
        <w:tc>
          <w:tcPr>
            <w:tcW w:w="322" w:type="pct"/>
            <w:shd w:val="clear" w:color="auto" w:fill="FFFF00"/>
            <w:noWrap/>
          </w:tcPr>
          <w:p w14:paraId="42037A3B" w14:textId="77777777" w:rsidR="00E36478" w:rsidRPr="008F6B31" w:rsidRDefault="00E36478" w:rsidP="00504E7F">
            <w:pPr>
              <w:pStyle w:val="TableTextEntries"/>
              <w:jc w:val="center"/>
            </w:pPr>
            <w:r w:rsidRPr="008F6B31">
              <w:t>4</w:t>
            </w:r>
          </w:p>
        </w:tc>
        <w:tc>
          <w:tcPr>
            <w:tcW w:w="310" w:type="pct"/>
            <w:shd w:val="clear" w:color="auto" w:fill="FFFF00"/>
            <w:noWrap/>
          </w:tcPr>
          <w:p w14:paraId="1A74F9FC" w14:textId="77777777" w:rsidR="00E36478" w:rsidRPr="008F6B31" w:rsidRDefault="00E36478" w:rsidP="00504E7F">
            <w:pPr>
              <w:pStyle w:val="TableTextEntries"/>
              <w:jc w:val="center"/>
            </w:pPr>
            <w:r w:rsidRPr="008F6B31">
              <w:t>4</w:t>
            </w:r>
          </w:p>
        </w:tc>
      </w:tr>
      <w:tr w:rsidR="00E36478" w:rsidRPr="008F6B31" w14:paraId="60C7BB20"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vMerge/>
          </w:tcPr>
          <w:p w14:paraId="643D8264" w14:textId="77777777" w:rsidR="00E36478" w:rsidRPr="008F6B31" w:rsidRDefault="00E36478" w:rsidP="00504E7F">
            <w:pPr>
              <w:pStyle w:val="TableTextEntries"/>
            </w:pPr>
          </w:p>
        </w:tc>
        <w:tc>
          <w:tcPr>
            <w:tcW w:w="920" w:type="pct"/>
          </w:tcPr>
          <w:p w14:paraId="26C022D3" w14:textId="542503E6" w:rsidR="00E36478" w:rsidRPr="008F6B31" w:rsidRDefault="00E36478" w:rsidP="00504E7F">
            <w:pPr>
              <w:pStyle w:val="TableTextEntries"/>
            </w:pPr>
            <w:r w:rsidRPr="008F6B31">
              <w:t xml:space="preserve">01/07/2011 </w:t>
            </w:r>
            <w:r w:rsidR="00F35BAA">
              <w:t>–</w:t>
            </w:r>
            <w:r w:rsidR="00F35BAA" w:rsidRPr="008F6B31">
              <w:t xml:space="preserve"> </w:t>
            </w:r>
            <w:r w:rsidRPr="008F6B31">
              <w:t>30/06/2020</w:t>
            </w:r>
          </w:p>
        </w:tc>
        <w:tc>
          <w:tcPr>
            <w:tcW w:w="494" w:type="pct"/>
          </w:tcPr>
          <w:p w14:paraId="3404D318" w14:textId="77777777" w:rsidR="00E36478" w:rsidRPr="008F6B31" w:rsidRDefault="00E36478" w:rsidP="00504E7F">
            <w:pPr>
              <w:pStyle w:val="TableTextEntries"/>
            </w:pPr>
            <w:r w:rsidRPr="008F6B31">
              <w:t>2011</w:t>
            </w:r>
          </w:p>
        </w:tc>
        <w:tc>
          <w:tcPr>
            <w:tcW w:w="319" w:type="pct"/>
            <w:shd w:val="clear" w:color="auto" w:fill="92D050"/>
            <w:noWrap/>
          </w:tcPr>
          <w:p w14:paraId="3822FC69" w14:textId="77777777" w:rsidR="00E36478" w:rsidRPr="008F6B31" w:rsidRDefault="00E36478" w:rsidP="00504E7F">
            <w:pPr>
              <w:pStyle w:val="TableTextEntries"/>
              <w:jc w:val="center"/>
            </w:pPr>
            <w:r w:rsidRPr="008F6B31">
              <w:t>5</w:t>
            </w:r>
          </w:p>
        </w:tc>
        <w:tc>
          <w:tcPr>
            <w:tcW w:w="318" w:type="pct"/>
            <w:shd w:val="clear" w:color="auto" w:fill="92D050"/>
            <w:noWrap/>
          </w:tcPr>
          <w:p w14:paraId="313A26EE" w14:textId="77777777" w:rsidR="00E36478" w:rsidRPr="008F6B31" w:rsidRDefault="00E36478" w:rsidP="00504E7F">
            <w:pPr>
              <w:pStyle w:val="TableTextEntries"/>
              <w:jc w:val="center"/>
            </w:pPr>
            <w:r w:rsidRPr="008F6B31">
              <w:t>3</w:t>
            </w:r>
          </w:p>
        </w:tc>
        <w:tc>
          <w:tcPr>
            <w:tcW w:w="319" w:type="pct"/>
            <w:shd w:val="clear" w:color="auto" w:fill="F79646" w:themeFill="accent6"/>
            <w:noWrap/>
          </w:tcPr>
          <w:p w14:paraId="1EF449B0" w14:textId="77777777" w:rsidR="00E36478" w:rsidRPr="008F6B31" w:rsidRDefault="00E36478" w:rsidP="00504E7F">
            <w:pPr>
              <w:pStyle w:val="TableTextEntries"/>
              <w:jc w:val="center"/>
            </w:pPr>
            <w:r w:rsidRPr="008F6B31">
              <w:t>3</w:t>
            </w:r>
          </w:p>
        </w:tc>
        <w:tc>
          <w:tcPr>
            <w:tcW w:w="322" w:type="pct"/>
            <w:shd w:val="clear" w:color="auto" w:fill="FFFF00"/>
            <w:noWrap/>
          </w:tcPr>
          <w:p w14:paraId="1CBB9485" w14:textId="77777777" w:rsidR="00E36478" w:rsidRPr="008F6B31" w:rsidRDefault="00E36478" w:rsidP="00504E7F">
            <w:pPr>
              <w:pStyle w:val="TableTextEntries"/>
              <w:jc w:val="center"/>
            </w:pPr>
            <w:r w:rsidRPr="008F6B31">
              <w:t>4</w:t>
            </w:r>
          </w:p>
        </w:tc>
        <w:tc>
          <w:tcPr>
            <w:tcW w:w="322" w:type="pct"/>
            <w:shd w:val="clear" w:color="auto" w:fill="92D050"/>
            <w:noWrap/>
          </w:tcPr>
          <w:p w14:paraId="633D72E7" w14:textId="77777777" w:rsidR="00E36478" w:rsidRPr="008F6B31" w:rsidRDefault="00E36478" w:rsidP="00504E7F">
            <w:pPr>
              <w:pStyle w:val="TableTextEntries"/>
              <w:jc w:val="center"/>
            </w:pPr>
            <w:r w:rsidRPr="008F6B31">
              <w:t>3</w:t>
            </w:r>
          </w:p>
        </w:tc>
        <w:tc>
          <w:tcPr>
            <w:tcW w:w="310" w:type="pct"/>
            <w:shd w:val="clear" w:color="auto" w:fill="FFFF00"/>
            <w:noWrap/>
          </w:tcPr>
          <w:p w14:paraId="476DF7C9" w14:textId="77777777" w:rsidR="00E36478" w:rsidRPr="008F6B31" w:rsidRDefault="00E36478" w:rsidP="00504E7F">
            <w:pPr>
              <w:pStyle w:val="TableTextEntries"/>
              <w:jc w:val="center"/>
            </w:pPr>
            <w:r w:rsidRPr="008F6B31">
              <w:t>4</w:t>
            </w:r>
          </w:p>
        </w:tc>
      </w:tr>
      <w:tr w:rsidR="00E36478" w:rsidRPr="008F6B31" w14:paraId="3A5F75EC" w14:textId="77777777" w:rsidTr="00541B3F">
        <w:trPr>
          <w:trHeight w:val="284"/>
          <w:tblHeader w:val="0"/>
        </w:trPr>
        <w:tc>
          <w:tcPr>
            <w:tcW w:w="1509" w:type="pct"/>
          </w:tcPr>
          <w:p w14:paraId="6962A40C" w14:textId="77777777" w:rsidR="00E36478" w:rsidRPr="008F6B31" w:rsidRDefault="00E36478" w:rsidP="00504E7F">
            <w:pPr>
              <w:pStyle w:val="TableTextEntries"/>
            </w:pPr>
            <w:r w:rsidRPr="008F6B31">
              <w:t>Building Disaster Resilience of Manila Communities</w:t>
            </w:r>
            <w:r>
              <w:t>*</w:t>
            </w:r>
          </w:p>
        </w:tc>
        <w:tc>
          <w:tcPr>
            <w:tcW w:w="920" w:type="pct"/>
          </w:tcPr>
          <w:p w14:paraId="083C5002" w14:textId="23F1ACD9" w:rsidR="00E36478" w:rsidRPr="008F6B31" w:rsidRDefault="00E36478" w:rsidP="00504E7F">
            <w:pPr>
              <w:pStyle w:val="TableTextEntries"/>
            </w:pPr>
            <w:r w:rsidRPr="008F6B31">
              <w:t>$27</w:t>
            </w:r>
            <w:r w:rsidR="00F35BAA">
              <w:t xml:space="preserve"> </w:t>
            </w:r>
            <w:r w:rsidRPr="008F6B31">
              <w:t>054</w:t>
            </w:r>
            <w:r w:rsidR="00F35BAA">
              <w:t xml:space="preserve"> </w:t>
            </w:r>
            <w:r w:rsidRPr="008F6B31">
              <w:t>399</w:t>
            </w:r>
          </w:p>
          <w:p w14:paraId="0CD60292" w14:textId="0980B80F" w:rsidR="00E36478" w:rsidRPr="008F6B31" w:rsidRDefault="00E36478" w:rsidP="00504E7F">
            <w:pPr>
              <w:pStyle w:val="TableTextEntries"/>
            </w:pPr>
            <w:r w:rsidRPr="008F6B31">
              <w:t xml:space="preserve">14/01/2010 </w:t>
            </w:r>
            <w:r w:rsidR="00F35BAA">
              <w:t>–</w:t>
            </w:r>
            <w:r w:rsidR="00F35BAA" w:rsidRPr="008F6B31">
              <w:t xml:space="preserve"> </w:t>
            </w:r>
            <w:r w:rsidRPr="008F6B31">
              <w:t>30/06/2019</w:t>
            </w:r>
          </w:p>
        </w:tc>
        <w:tc>
          <w:tcPr>
            <w:tcW w:w="494" w:type="pct"/>
          </w:tcPr>
          <w:p w14:paraId="092D441A" w14:textId="77777777" w:rsidR="00E36478" w:rsidRPr="008F6B31" w:rsidRDefault="00E36478" w:rsidP="00504E7F">
            <w:pPr>
              <w:pStyle w:val="TableTextEntries"/>
            </w:pPr>
            <w:r w:rsidRPr="008F6B31">
              <w:t>2012</w:t>
            </w:r>
          </w:p>
        </w:tc>
        <w:tc>
          <w:tcPr>
            <w:tcW w:w="319" w:type="pct"/>
            <w:shd w:val="clear" w:color="auto" w:fill="92D050"/>
            <w:noWrap/>
          </w:tcPr>
          <w:p w14:paraId="289A619A" w14:textId="77777777" w:rsidR="00E36478" w:rsidRPr="008F6B31" w:rsidRDefault="00E36478" w:rsidP="00504E7F">
            <w:pPr>
              <w:pStyle w:val="TableTextEntries"/>
              <w:jc w:val="center"/>
            </w:pPr>
            <w:r w:rsidRPr="008F6B31">
              <w:t>6</w:t>
            </w:r>
          </w:p>
        </w:tc>
        <w:tc>
          <w:tcPr>
            <w:tcW w:w="318" w:type="pct"/>
            <w:shd w:val="clear" w:color="auto" w:fill="92D050"/>
            <w:noWrap/>
          </w:tcPr>
          <w:p w14:paraId="459F27B6" w14:textId="77777777" w:rsidR="00E36478" w:rsidRPr="008F6B31" w:rsidRDefault="00E36478" w:rsidP="00504E7F">
            <w:pPr>
              <w:pStyle w:val="TableTextEntries"/>
              <w:jc w:val="center"/>
            </w:pPr>
            <w:r w:rsidRPr="008F6B31">
              <w:t>5</w:t>
            </w:r>
          </w:p>
        </w:tc>
        <w:tc>
          <w:tcPr>
            <w:tcW w:w="319" w:type="pct"/>
            <w:shd w:val="clear" w:color="auto" w:fill="FFFF00"/>
            <w:noWrap/>
          </w:tcPr>
          <w:p w14:paraId="05C357FF" w14:textId="77777777" w:rsidR="00E36478" w:rsidRPr="008F6B31" w:rsidRDefault="00E36478" w:rsidP="00504E7F">
            <w:pPr>
              <w:pStyle w:val="TableTextEntries"/>
              <w:jc w:val="center"/>
            </w:pPr>
            <w:r w:rsidRPr="008F6B31">
              <w:t>4</w:t>
            </w:r>
          </w:p>
        </w:tc>
        <w:tc>
          <w:tcPr>
            <w:tcW w:w="322" w:type="pct"/>
            <w:shd w:val="clear" w:color="auto" w:fill="92D050"/>
            <w:noWrap/>
          </w:tcPr>
          <w:p w14:paraId="3213942D" w14:textId="77777777" w:rsidR="00E36478" w:rsidRPr="008F6B31" w:rsidRDefault="00E36478" w:rsidP="00504E7F">
            <w:pPr>
              <w:pStyle w:val="TableTextEntries"/>
              <w:jc w:val="center"/>
            </w:pPr>
            <w:r w:rsidRPr="008F6B31">
              <w:t>5</w:t>
            </w:r>
          </w:p>
        </w:tc>
        <w:tc>
          <w:tcPr>
            <w:tcW w:w="322" w:type="pct"/>
            <w:shd w:val="clear" w:color="auto" w:fill="92D050"/>
            <w:noWrap/>
          </w:tcPr>
          <w:p w14:paraId="34284137" w14:textId="77777777" w:rsidR="00E36478" w:rsidRPr="008F6B31" w:rsidRDefault="00E36478" w:rsidP="00504E7F">
            <w:pPr>
              <w:pStyle w:val="TableTextEntries"/>
              <w:jc w:val="center"/>
            </w:pPr>
            <w:r w:rsidRPr="008F6B31">
              <w:t>5</w:t>
            </w:r>
          </w:p>
        </w:tc>
        <w:tc>
          <w:tcPr>
            <w:tcW w:w="310" w:type="pct"/>
            <w:shd w:val="clear" w:color="auto" w:fill="92D050"/>
            <w:noWrap/>
          </w:tcPr>
          <w:p w14:paraId="075A9DAC" w14:textId="77777777" w:rsidR="00E36478" w:rsidRPr="008F6B31" w:rsidRDefault="00E36478" w:rsidP="00504E7F">
            <w:pPr>
              <w:pStyle w:val="TableTextEntries"/>
              <w:jc w:val="center"/>
            </w:pPr>
            <w:r w:rsidRPr="008F6B31">
              <w:t>6</w:t>
            </w:r>
          </w:p>
        </w:tc>
      </w:tr>
      <w:tr w:rsidR="00E36478" w:rsidRPr="008F6B31" w14:paraId="1CC9AAAC"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tcPr>
          <w:p w14:paraId="7B3BBF8A" w14:textId="2A21C5E8" w:rsidR="00E36478" w:rsidRPr="008F6B31" w:rsidRDefault="00E36478" w:rsidP="00504E7F">
            <w:pPr>
              <w:pStyle w:val="TableTextEntries"/>
            </w:pPr>
            <w:r w:rsidRPr="008F6B31">
              <w:t>Basic Education Sector Transformation Prog</w:t>
            </w:r>
            <w:r w:rsidR="00F35BAA">
              <w:t>ram</w:t>
            </w:r>
            <w:r>
              <w:t>*</w:t>
            </w:r>
          </w:p>
        </w:tc>
        <w:tc>
          <w:tcPr>
            <w:tcW w:w="920" w:type="pct"/>
          </w:tcPr>
          <w:p w14:paraId="3E30050C" w14:textId="08932349" w:rsidR="00E36478" w:rsidRPr="008F6B31" w:rsidRDefault="00E36478" w:rsidP="00504E7F">
            <w:pPr>
              <w:pStyle w:val="TableTextEntries"/>
            </w:pPr>
            <w:r w:rsidRPr="008F6B31">
              <w:t>$207</w:t>
            </w:r>
            <w:r w:rsidR="00F35BAA">
              <w:t xml:space="preserve"> </w:t>
            </w:r>
            <w:r w:rsidRPr="008F6B31">
              <w:t>215</w:t>
            </w:r>
            <w:r w:rsidR="00F35BAA">
              <w:t xml:space="preserve"> </w:t>
            </w:r>
            <w:r w:rsidRPr="008F6B31">
              <w:t>811</w:t>
            </w:r>
          </w:p>
          <w:p w14:paraId="533E7733" w14:textId="6E9DB734" w:rsidR="00E36478" w:rsidRPr="008F6B31" w:rsidRDefault="00E36478" w:rsidP="00504E7F">
            <w:pPr>
              <w:pStyle w:val="TableTextEntries"/>
            </w:pPr>
            <w:r w:rsidRPr="008F6B31">
              <w:t>01/07/2010</w:t>
            </w:r>
            <w:r w:rsidR="00F35BAA">
              <w:t xml:space="preserve"> </w:t>
            </w:r>
            <w:r w:rsidR="00F35BAA" w:rsidRPr="007D5CE3">
              <w:t>–</w:t>
            </w:r>
            <w:r w:rsidRPr="008F6B31">
              <w:t>30/06/2019</w:t>
            </w:r>
          </w:p>
        </w:tc>
        <w:tc>
          <w:tcPr>
            <w:tcW w:w="494" w:type="pct"/>
          </w:tcPr>
          <w:p w14:paraId="1E6FB134" w14:textId="77777777" w:rsidR="00E36478" w:rsidRPr="008F6B31" w:rsidRDefault="00E36478" w:rsidP="00504E7F">
            <w:pPr>
              <w:pStyle w:val="TableTextEntries"/>
            </w:pPr>
            <w:r w:rsidRPr="008F6B31">
              <w:t>2012</w:t>
            </w:r>
          </w:p>
        </w:tc>
        <w:tc>
          <w:tcPr>
            <w:tcW w:w="319" w:type="pct"/>
            <w:shd w:val="clear" w:color="auto" w:fill="92D050"/>
            <w:noWrap/>
          </w:tcPr>
          <w:p w14:paraId="3DEDCAEB" w14:textId="77777777" w:rsidR="00E36478" w:rsidRPr="008F6B31" w:rsidRDefault="00E36478" w:rsidP="00504E7F">
            <w:pPr>
              <w:pStyle w:val="TableTextEntries"/>
              <w:jc w:val="center"/>
            </w:pPr>
            <w:r w:rsidRPr="008F6B31">
              <w:t>6</w:t>
            </w:r>
          </w:p>
        </w:tc>
        <w:tc>
          <w:tcPr>
            <w:tcW w:w="318" w:type="pct"/>
            <w:shd w:val="clear" w:color="auto" w:fill="92D050"/>
            <w:noWrap/>
          </w:tcPr>
          <w:p w14:paraId="668E6798" w14:textId="77777777" w:rsidR="00E36478" w:rsidRPr="008F6B31" w:rsidRDefault="00E36478" w:rsidP="00504E7F">
            <w:pPr>
              <w:pStyle w:val="TableTextEntries"/>
              <w:jc w:val="center"/>
            </w:pPr>
            <w:r w:rsidRPr="008F6B31">
              <w:t>5</w:t>
            </w:r>
          </w:p>
        </w:tc>
        <w:tc>
          <w:tcPr>
            <w:tcW w:w="319" w:type="pct"/>
            <w:shd w:val="clear" w:color="auto" w:fill="92D050"/>
            <w:noWrap/>
          </w:tcPr>
          <w:p w14:paraId="00292457" w14:textId="77777777" w:rsidR="00E36478" w:rsidRPr="008F6B31" w:rsidRDefault="00E36478" w:rsidP="00504E7F">
            <w:pPr>
              <w:pStyle w:val="TableTextEntries"/>
              <w:jc w:val="center"/>
            </w:pPr>
            <w:r w:rsidRPr="008F6B31">
              <w:t>6</w:t>
            </w:r>
          </w:p>
        </w:tc>
        <w:tc>
          <w:tcPr>
            <w:tcW w:w="322" w:type="pct"/>
            <w:shd w:val="clear" w:color="auto" w:fill="FFFF00"/>
            <w:noWrap/>
          </w:tcPr>
          <w:p w14:paraId="4563C338" w14:textId="77777777" w:rsidR="00E36478" w:rsidRPr="008F6B31" w:rsidRDefault="00E36478" w:rsidP="00504E7F">
            <w:pPr>
              <w:pStyle w:val="TableTextEntries"/>
              <w:jc w:val="center"/>
            </w:pPr>
            <w:r w:rsidRPr="008F6B31">
              <w:t>4</w:t>
            </w:r>
          </w:p>
        </w:tc>
        <w:tc>
          <w:tcPr>
            <w:tcW w:w="322" w:type="pct"/>
            <w:shd w:val="clear" w:color="auto" w:fill="92D050"/>
            <w:noWrap/>
          </w:tcPr>
          <w:p w14:paraId="1F451C3B" w14:textId="77777777" w:rsidR="00E36478" w:rsidRPr="008F6B31" w:rsidRDefault="00E36478" w:rsidP="00504E7F">
            <w:pPr>
              <w:pStyle w:val="TableTextEntries"/>
              <w:jc w:val="center"/>
            </w:pPr>
            <w:r w:rsidRPr="008F6B31">
              <w:t>5</w:t>
            </w:r>
          </w:p>
        </w:tc>
        <w:tc>
          <w:tcPr>
            <w:tcW w:w="310" w:type="pct"/>
            <w:shd w:val="clear" w:color="auto" w:fill="92D050"/>
            <w:noWrap/>
          </w:tcPr>
          <w:p w14:paraId="3958BFFA" w14:textId="77777777" w:rsidR="00E36478" w:rsidRPr="008F6B31" w:rsidRDefault="00E36478" w:rsidP="00504E7F">
            <w:pPr>
              <w:pStyle w:val="TableTextEntries"/>
              <w:jc w:val="center"/>
            </w:pPr>
            <w:r w:rsidRPr="008F6B31">
              <w:t>6</w:t>
            </w:r>
          </w:p>
        </w:tc>
      </w:tr>
      <w:tr w:rsidR="00E36478" w:rsidRPr="008F6B31" w14:paraId="623E0528" w14:textId="77777777" w:rsidTr="00541B3F">
        <w:trPr>
          <w:trHeight w:val="284"/>
          <w:tblHeader w:val="0"/>
        </w:trPr>
        <w:tc>
          <w:tcPr>
            <w:tcW w:w="1509" w:type="pct"/>
          </w:tcPr>
          <w:p w14:paraId="7FA53B95" w14:textId="77777777" w:rsidR="00E36478" w:rsidRPr="008F6B31" w:rsidRDefault="00E36478" w:rsidP="00504E7F">
            <w:pPr>
              <w:pStyle w:val="TableTextEntries"/>
            </w:pPr>
            <w:r w:rsidRPr="008F6B31">
              <w:t>Strengthening Public Private Partnership Program*</w:t>
            </w:r>
          </w:p>
        </w:tc>
        <w:tc>
          <w:tcPr>
            <w:tcW w:w="920" w:type="pct"/>
          </w:tcPr>
          <w:p w14:paraId="00EBBEB1" w14:textId="574BBF85" w:rsidR="00E36478" w:rsidRPr="008F6B31" w:rsidRDefault="00E36478" w:rsidP="00504E7F">
            <w:pPr>
              <w:pStyle w:val="TableTextEntries"/>
            </w:pPr>
            <w:r w:rsidRPr="008F6B31">
              <w:t>$26</w:t>
            </w:r>
            <w:r w:rsidR="00F35BAA">
              <w:t xml:space="preserve"> </w:t>
            </w:r>
            <w:r w:rsidRPr="008F6B31">
              <w:t>277</w:t>
            </w:r>
            <w:r w:rsidR="00F35BAA">
              <w:t xml:space="preserve"> </w:t>
            </w:r>
            <w:r w:rsidRPr="008F6B31">
              <w:t>692</w:t>
            </w:r>
          </w:p>
          <w:p w14:paraId="6EFF2DA4" w14:textId="0FFF429C" w:rsidR="00E36478" w:rsidRPr="008F6B31" w:rsidRDefault="00E36478" w:rsidP="00504E7F">
            <w:pPr>
              <w:pStyle w:val="TableTextEntries"/>
            </w:pPr>
            <w:r w:rsidRPr="008F6B31">
              <w:t>22/03/2011</w:t>
            </w:r>
            <w:r w:rsidR="00F35BAA">
              <w:t xml:space="preserve"> –</w:t>
            </w:r>
            <w:r w:rsidR="00F35BAA" w:rsidRPr="008F6B31">
              <w:t xml:space="preserve"> </w:t>
            </w:r>
            <w:r w:rsidRPr="008F6B31">
              <w:t>30/06/2014</w:t>
            </w:r>
          </w:p>
        </w:tc>
        <w:tc>
          <w:tcPr>
            <w:tcW w:w="494" w:type="pct"/>
          </w:tcPr>
          <w:p w14:paraId="4E86E643" w14:textId="77777777" w:rsidR="00E36478" w:rsidRPr="008F6B31" w:rsidRDefault="00E36478" w:rsidP="00504E7F">
            <w:pPr>
              <w:pStyle w:val="TableTextEntries"/>
            </w:pPr>
            <w:r w:rsidRPr="008F6B31">
              <w:t>2012</w:t>
            </w:r>
          </w:p>
        </w:tc>
        <w:tc>
          <w:tcPr>
            <w:tcW w:w="319" w:type="pct"/>
            <w:shd w:val="clear" w:color="auto" w:fill="92D050"/>
            <w:noWrap/>
          </w:tcPr>
          <w:p w14:paraId="283C7D1F" w14:textId="77777777" w:rsidR="00E36478" w:rsidRPr="008F6B31" w:rsidRDefault="00E36478" w:rsidP="00504E7F">
            <w:pPr>
              <w:pStyle w:val="TableTextEntries"/>
              <w:jc w:val="center"/>
            </w:pPr>
            <w:r w:rsidRPr="008F6B31">
              <w:t>6</w:t>
            </w:r>
          </w:p>
        </w:tc>
        <w:tc>
          <w:tcPr>
            <w:tcW w:w="318" w:type="pct"/>
            <w:shd w:val="clear" w:color="auto" w:fill="92D050"/>
            <w:noWrap/>
          </w:tcPr>
          <w:p w14:paraId="3398CD81" w14:textId="77777777" w:rsidR="00E36478" w:rsidRPr="008F6B31" w:rsidRDefault="00E36478" w:rsidP="00504E7F">
            <w:pPr>
              <w:pStyle w:val="TableTextEntries"/>
              <w:jc w:val="center"/>
            </w:pPr>
            <w:r w:rsidRPr="008F6B31">
              <w:t>5</w:t>
            </w:r>
          </w:p>
        </w:tc>
        <w:tc>
          <w:tcPr>
            <w:tcW w:w="319" w:type="pct"/>
            <w:shd w:val="clear" w:color="auto" w:fill="FFFF00"/>
            <w:noWrap/>
          </w:tcPr>
          <w:p w14:paraId="08108D08" w14:textId="77777777" w:rsidR="00E36478" w:rsidRPr="008F6B31" w:rsidRDefault="00E36478" w:rsidP="00504E7F">
            <w:pPr>
              <w:pStyle w:val="TableTextEntries"/>
              <w:jc w:val="center"/>
            </w:pPr>
            <w:r w:rsidRPr="008F6B31">
              <w:t>4</w:t>
            </w:r>
          </w:p>
        </w:tc>
        <w:tc>
          <w:tcPr>
            <w:tcW w:w="322" w:type="pct"/>
            <w:shd w:val="clear" w:color="auto" w:fill="92D050"/>
            <w:noWrap/>
          </w:tcPr>
          <w:p w14:paraId="7DFF2419" w14:textId="77777777" w:rsidR="00E36478" w:rsidRPr="008F6B31" w:rsidRDefault="00E36478" w:rsidP="00504E7F">
            <w:pPr>
              <w:pStyle w:val="TableTextEntries"/>
              <w:jc w:val="center"/>
            </w:pPr>
            <w:r w:rsidRPr="008F6B31">
              <w:t>5</w:t>
            </w:r>
          </w:p>
        </w:tc>
        <w:tc>
          <w:tcPr>
            <w:tcW w:w="322" w:type="pct"/>
            <w:shd w:val="clear" w:color="auto" w:fill="92D050"/>
            <w:noWrap/>
          </w:tcPr>
          <w:p w14:paraId="4018DC20" w14:textId="77777777" w:rsidR="00E36478" w:rsidRPr="008F6B31" w:rsidRDefault="00E36478" w:rsidP="00504E7F">
            <w:pPr>
              <w:pStyle w:val="TableTextEntries"/>
              <w:jc w:val="center"/>
            </w:pPr>
            <w:r w:rsidRPr="008F6B31">
              <w:t>5</w:t>
            </w:r>
          </w:p>
        </w:tc>
        <w:tc>
          <w:tcPr>
            <w:tcW w:w="310" w:type="pct"/>
            <w:shd w:val="clear" w:color="auto" w:fill="92D050"/>
            <w:noWrap/>
          </w:tcPr>
          <w:p w14:paraId="14C19A02" w14:textId="77777777" w:rsidR="00E36478" w:rsidRPr="008F6B31" w:rsidRDefault="00E36478" w:rsidP="00504E7F">
            <w:pPr>
              <w:pStyle w:val="TableTextEntries"/>
              <w:jc w:val="center"/>
            </w:pPr>
            <w:r w:rsidRPr="008F6B31">
              <w:t>5</w:t>
            </w:r>
          </w:p>
        </w:tc>
      </w:tr>
      <w:tr w:rsidR="00E36478" w:rsidRPr="008F6B31" w14:paraId="1F27BF60" w14:textId="77777777" w:rsidTr="00541B3F">
        <w:trPr>
          <w:cnfStyle w:val="000000010000" w:firstRow="0" w:lastRow="0" w:firstColumn="0" w:lastColumn="0" w:oddVBand="0" w:evenVBand="0" w:oddHBand="0" w:evenHBand="1" w:firstRowFirstColumn="0" w:firstRowLastColumn="0" w:lastRowFirstColumn="0" w:lastRowLastColumn="0"/>
          <w:trHeight w:val="284"/>
          <w:tblHeader w:val="0"/>
        </w:trPr>
        <w:tc>
          <w:tcPr>
            <w:tcW w:w="1509" w:type="pct"/>
          </w:tcPr>
          <w:p w14:paraId="0058C5D9" w14:textId="77777777" w:rsidR="00E36478" w:rsidRPr="008F6B31" w:rsidRDefault="00E36478" w:rsidP="00504E7F">
            <w:pPr>
              <w:pStyle w:val="TableTextEntries"/>
            </w:pPr>
            <w:r w:rsidRPr="008F6B31">
              <w:t>Public Financial Management Program*</w:t>
            </w:r>
          </w:p>
        </w:tc>
        <w:tc>
          <w:tcPr>
            <w:tcW w:w="920" w:type="pct"/>
          </w:tcPr>
          <w:p w14:paraId="68AAC20A" w14:textId="16F96F0F" w:rsidR="00E36478" w:rsidRPr="008F6B31" w:rsidRDefault="00E36478" w:rsidP="00504E7F">
            <w:pPr>
              <w:pStyle w:val="TableTextEntries"/>
            </w:pPr>
            <w:r w:rsidRPr="008F6B31">
              <w:t>$18</w:t>
            </w:r>
            <w:r w:rsidR="00F35BAA">
              <w:t xml:space="preserve"> </w:t>
            </w:r>
            <w:r w:rsidRPr="008F6B31">
              <w:t>000</w:t>
            </w:r>
            <w:r w:rsidR="00F35BAA">
              <w:t xml:space="preserve"> </w:t>
            </w:r>
            <w:r w:rsidRPr="008F6B31">
              <w:t>000</w:t>
            </w:r>
          </w:p>
          <w:p w14:paraId="79E2D9EA" w14:textId="7A2662D8" w:rsidR="00E36478" w:rsidRPr="008F6B31" w:rsidRDefault="00E36478" w:rsidP="00504E7F">
            <w:pPr>
              <w:pStyle w:val="TableTextEntries"/>
            </w:pPr>
            <w:r w:rsidRPr="008F6B31">
              <w:t xml:space="preserve">01/07/2011 </w:t>
            </w:r>
            <w:r w:rsidR="00F35BAA">
              <w:t>–</w:t>
            </w:r>
            <w:r w:rsidR="00F35BAA" w:rsidRPr="008F6B31">
              <w:t xml:space="preserve"> </w:t>
            </w:r>
            <w:r w:rsidRPr="008F6B31">
              <w:t>30/06/2016</w:t>
            </w:r>
          </w:p>
        </w:tc>
        <w:tc>
          <w:tcPr>
            <w:tcW w:w="494" w:type="pct"/>
          </w:tcPr>
          <w:p w14:paraId="0ECEDDE5" w14:textId="77777777" w:rsidR="00E36478" w:rsidRPr="008F6B31" w:rsidRDefault="00E36478" w:rsidP="00504E7F">
            <w:pPr>
              <w:pStyle w:val="TableTextEntries"/>
            </w:pPr>
            <w:r w:rsidRPr="008F6B31">
              <w:t>2012</w:t>
            </w:r>
          </w:p>
        </w:tc>
        <w:tc>
          <w:tcPr>
            <w:tcW w:w="319" w:type="pct"/>
            <w:shd w:val="clear" w:color="auto" w:fill="92D050"/>
            <w:noWrap/>
          </w:tcPr>
          <w:p w14:paraId="312365A5" w14:textId="77777777" w:rsidR="00E36478" w:rsidRPr="008F6B31" w:rsidRDefault="00E36478" w:rsidP="00504E7F">
            <w:pPr>
              <w:pStyle w:val="TableTextEntries"/>
              <w:jc w:val="center"/>
            </w:pPr>
            <w:r w:rsidRPr="008F6B31">
              <w:t>6</w:t>
            </w:r>
          </w:p>
        </w:tc>
        <w:tc>
          <w:tcPr>
            <w:tcW w:w="318" w:type="pct"/>
            <w:shd w:val="clear" w:color="auto" w:fill="92D050"/>
            <w:noWrap/>
          </w:tcPr>
          <w:p w14:paraId="35FF4169" w14:textId="77777777" w:rsidR="00E36478" w:rsidRPr="008F6B31" w:rsidRDefault="00E36478" w:rsidP="00504E7F">
            <w:pPr>
              <w:pStyle w:val="TableTextEntries"/>
              <w:jc w:val="center"/>
            </w:pPr>
            <w:r w:rsidRPr="008F6B31">
              <w:t>5</w:t>
            </w:r>
          </w:p>
        </w:tc>
        <w:tc>
          <w:tcPr>
            <w:tcW w:w="319" w:type="pct"/>
            <w:shd w:val="clear" w:color="auto" w:fill="92D050"/>
            <w:noWrap/>
          </w:tcPr>
          <w:p w14:paraId="1C7D2426" w14:textId="77777777" w:rsidR="00E36478" w:rsidRPr="008F6B31" w:rsidRDefault="00E36478" w:rsidP="00504E7F">
            <w:pPr>
              <w:pStyle w:val="TableTextEntries"/>
              <w:jc w:val="center"/>
            </w:pPr>
            <w:r w:rsidRPr="008F6B31">
              <w:t>5</w:t>
            </w:r>
          </w:p>
        </w:tc>
        <w:tc>
          <w:tcPr>
            <w:tcW w:w="322" w:type="pct"/>
            <w:shd w:val="clear" w:color="auto" w:fill="92D050"/>
            <w:noWrap/>
          </w:tcPr>
          <w:p w14:paraId="07E098D4" w14:textId="77777777" w:rsidR="00E36478" w:rsidRPr="008F6B31" w:rsidRDefault="00E36478" w:rsidP="00504E7F">
            <w:pPr>
              <w:pStyle w:val="TableTextEntries"/>
              <w:jc w:val="center"/>
            </w:pPr>
            <w:r w:rsidRPr="008F6B31">
              <w:t>5</w:t>
            </w:r>
          </w:p>
        </w:tc>
        <w:tc>
          <w:tcPr>
            <w:tcW w:w="322" w:type="pct"/>
            <w:shd w:val="clear" w:color="auto" w:fill="92D050"/>
            <w:noWrap/>
          </w:tcPr>
          <w:p w14:paraId="4E53BA62" w14:textId="77777777" w:rsidR="00E36478" w:rsidRPr="008F6B31" w:rsidRDefault="00E36478" w:rsidP="00504E7F">
            <w:pPr>
              <w:pStyle w:val="TableTextEntries"/>
              <w:jc w:val="center"/>
            </w:pPr>
            <w:r w:rsidRPr="008F6B31">
              <w:t>5</w:t>
            </w:r>
          </w:p>
        </w:tc>
        <w:tc>
          <w:tcPr>
            <w:tcW w:w="310" w:type="pct"/>
            <w:shd w:val="clear" w:color="auto" w:fill="92D050"/>
            <w:noWrap/>
          </w:tcPr>
          <w:p w14:paraId="7D22125F" w14:textId="77777777" w:rsidR="00E36478" w:rsidRPr="008F6B31" w:rsidRDefault="00E36478" w:rsidP="00504E7F">
            <w:pPr>
              <w:pStyle w:val="TableTextEntries"/>
              <w:jc w:val="center"/>
            </w:pPr>
            <w:r w:rsidRPr="008F6B31">
              <w:t>5</w:t>
            </w:r>
          </w:p>
        </w:tc>
      </w:tr>
      <w:tr w:rsidR="00E36478" w:rsidRPr="008F6B31" w14:paraId="272E68B7" w14:textId="77777777" w:rsidTr="00541B3F">
        <w:trPr>
          <w:trHeight w:val="284"/>
          <w:tblHeader w:val="0"/>
        </w:trPr>
        <w:tc>
          <w:tcPr>
            <w:tcW w:w="1509" w:type="pct"/>
          </w:tcPr>
          <w:p w14:paraId="52E578E6" w14:textId="77777777" w:rsidR="00E36478" w:rsidRPr="008F6B31" w:rsidRDefault="00E36478" w:rsidP="00504E7F">
            <w:pPr>
              <w:pStyle w:val="TableTextEntries"/>
            </w:pPr>
            <w:r w:rsidRPr="008F6B31">
              <w:t>Classroom Construction Initiative*</w:t>
            </w:r>
          </w:p>
        </w:tc>
        <w:tc>
          <w:tcPr>
            <w:tcW w:w="920" w:type="pct"/>
          </w:tcPr>
          <w:p w14:paraId="485C0425" w14:textId="128016C1" w:rsidR="00E36478" w:rsidRPr="008F6B31" w:rsidRDefault="00E36478" w:rsidP="00504E7F">
            <w:pPr>
              <w:pStyle w:val="TableTextEntries"/>
            </w:pPr>
            <w:r w:rsidRPr="008F6B31">
              <w:t>$45</w:t>
            </w:r>
            <w:r w:rsidR="00F35BAA">
              <w:t xml:space="preserve"> </w:t>
            </w:r>
            <w:r w:rsidRPr="008F6B31">
              <w:t>500</w:t>
            </w:r>
            <w:r w:rsidR="00F35BAA">
              <w:t xml:space="preserve"> </w:t>
            </w:r>
            <w:r w:rsidRPr="008F6B31">
              <w:t>000</w:t>
            </w:r>
          </w:p>
          <w:p w14:paraId="0D17CB33" w14:textId="56F5AF7F" w:rsidR="00E36478" w:rsidRPr="008F6B31" w:rsidRDefault="00E36478" w:rsidP="00504E7F">
            <w:pPr>
              <w:pStyle w:val="TableTextEntries"/>
            </w:pPr>
            <w:r w:rsidRPr="008F6B31">
              <w:t xml:space="preserve">15/12/2011 </w:t>
            </w:r>
            <w:r w:rsidR="00F35BAA">
              <w:t>–</w:t>
            </w:r>
            <w:r w:rsidR="00F35BAA" w:rsidRPr="008F6B31">
              <w:t xml:space="preserve"> </w:t>
            </w:r>
            <w:r w:rsidRPr="008F6B31">
              <w:t>30/06/2015</w:t>
            </w:r>
          </w:p>
        </w:tc>
        <w:tc>
          <w:tcPr>
            <w:tcW w:w="494" w:type="pct"/>
          </w:tcPr>
          <w:p w14:paraId="64DB0924" w14:textId="77777777" w:rsidR="00E36478" w:rsidRPr="008F6B31" w:rsidRDefault="00E36478" w:rsidP="00504E7F">
            <w:pPr>
              <w:pStyle w:val="TableTextEntries"/>
            </w:pPr>
            <w:r w:rsidRPr="008F6B31">
              <w:t>2012</w:t>
            </w:r>
          </w:p>
        </w:tc>
        <w:tc>
          <w:tcPr>
            <w:tcW w:w="319" w:type="pct"/>
            <w:shd w:val="clear" w:color="auto" w:fill="92D050"/>
            <w:noWrap/>
          </w:tcPr>
          <w:p w14:paraId="41FA8AF6" w14:textId="77777777" w:rsidR="00E36478" w:rsidRPr="008F6B31" w:rsidRDefault="00E36478" w:rsidP="00504E7F">
            <w:pPr>
              <w:pStyle w:val="TableTextEntries"/>
              <w:jc w:val="center"/>
            </w:pPr>
            <w:r w:rsidRPr="008F6B31">
              <w:t>6</w:t>
            </w:r>
          </w:p>
        </w:tc>
        <w:tc>
          <w:tcPr>
            <w:tcW w:w="318" w:type="pct"/>
            <w:shd w:val="clear" w:color="auto" w:fill="92D050"/>
            <w:noWrap/>
          </w:tcPr>
          <w:p w14:paraId="43B1D3E3" w14:textId="77777777" w:rsidR="00E36478" w:rsidRPr="008F6B31" w:rsidRDefault="00E36478" w:rsidP="00504E7F">
            <w:pPr>
              <w:pStyle w:val="TableTextEntries"/>
              <w:jc w:val="center"/>
            </w:pPr>
            <w:r w:rsidRPr="008F6B31">
              <w:t>5</w:t>
            </w:r>
          </w:p>
        </w:tc>
        <w:tc>
          <w:tcPr>
            <w:tcW w:w="319" w:type="pct"/>
            <w:shd w:val="clear" w:color="auto" w:fill="92D050"/>
            <w:noWrap/>
          </w:tcPr>
          <w:p w14:paraId="181A811C" w14:textId="77777777" w:rsidR="00E36478" w:rsidRPr="008F6B31" w:rsidRDefault="00E36478" w:rsidP="00504E7F">
            <w:pPr>
              <w:pStyle w:val="TableTextEntries"/>
              <w:jc w:val="center"/>
            </w:pPr>
            <w:r w:rsidRPr="008F6B31">
              <w:t>5</w:t>
            </w:r>
          </w:p>
        </w:tc>
        <w:tc>
          <w:tcPr>
            <w:tcW w:w="322" w:type="pct"/>
            <w:shd w:val="clear" w:color="auto" w:fill="FFFF00"/>
            <w:noWrap/>
          </w:tcPr>
          <w:p w14:paraId="4BD7DA40" w14:textId="77777777" w:rsidR="00E36478" w:rsidRPr="008F6B31" w:rsidRDefault="00E36478" w:rsidP="00504E7F">
            <w:pPr>
              <w:pStyle w:val="TableTextEntries"/>
              <w:jc w:val="center"/>
            </w:pPr>
            <w:r w:rsidRPr="008F6B31">
              <w:t>4</w:t>
            </w:r>
          </w:p>
        </w:tc>
        <w:tc>
          <w:tcPr>
            <w:tcW w:w="322" w:type="pct"/>
            <w:shd w:val="clear" w:color="auto" w:fill="92D050"/>
            <w:noWrap/>
          </w:tcPr>
          <w:p w14:paraId="32DCA33D" w14:textId="77777777" w:rsidR="00E36478" w:rsidRPr="008F6B31" w:rsidRDefault="00E36478" w:rsidP="00504E7F">
            <w:pPr>
              <w:pStyle w:val="TableTextEntries"/>
              <w:jc w:val="center"/>
            </w:pPr>
            <w:r w:rsidRPr="008F6B31">
              <w:t>5</w:t>
            </w:r>
          </w:p>
        </w:tc>
        <w:tc>
          <w:tcPr>
            <w:tcW w:w="310" w:type="pct"/>
            <w:shd w:val="clear" w:color="auto" w:fill="92D050"/>
            <w:noWrap/>
          </w:tcPr>
          <w:p w14:paraId="556F3AC5" w14:textId="77777777" w:rsidR="00E36478" w:rsidRPr="008F6B31" w:rsidRDefault="00E36478" w:rsidP="00504E7F">
            <w:pPr>
              <w:pStyle w:val="TableTextEntries"/>
              <w:jc w:val="center"/>
            </w:pPr>
            <w:r w:rsidRPr="008F6B31">
              <w:t>5</w:t>
            </w:r>
          </w:p>
        </w:tc>
      </w:tr>
    </w:tbl>
    <w:p w14:paraId="3A740375" w14:textId="77777777" w:rsidR="00E36478" w:rsidRPr="008F6B31" w:rsidRDefault="00E36478" w:rsidP="00504E7F">
      <w:pPr>
        <w:pStyle w:val="Note"/>
      </w:pPr>
      <w:r w:rsidRPr="008F6B31">
        <w:t>Definitions of rating scale:</w:t>
      </w:r>
      <w:r w:rsidRPr="008F6B31">
        <w:tab/>
      </w:r>
    </w:p>
    <w:p w14:paraId="0FB56437" w14:textId="77777777" w:rsidR="00E36478" w:rsidRPr="008F6B31" w:rsidRDefault="00E36478" w:rsidP="00504E7F">
      <w:pPr>
        <w:pStyle w:val="Note"/>
      </w:pPr>
      <w:r w:rsidRPr="008F6B31">
        <w:t>Satisfactory (4, 5 and 6)</w:t>
      </w:r>
    </w:p>
    <w:p w14:paraId="3CD25B1C" w14:textId="77777777" w:rsidR="00E36478" w:rsidRPr="008F6B31" w:rsidRDefault="00E36478" w:rsidP="00504E7F">
      <w:pPr>
        <w:pStyle w:val="Note"/>
      </w:pPr>
      <w:r w:rsidRPr="008F6B31">
        <w:rPr>
          <w:color w:val="92D050"/>
        </w:rPr>
        <w:sym w:font="Webdings" w:char="F067"/>
      </w:r>
      <w:r w:rsidRPr="008F6B31">
        <w:t xml:space="preserve"> = 6 = Very high quality (needs ongoing management and monitoring only)</w:t>
      </w:r>
    </w:p>
    <w:p w14:paraId="6CFE25CC" w14:textId="77777777" w:rsidR="00E36478" w:rsidRPr="008F6B31" w:rsidRDefault="00E36478" w:rsidP="00504E7F">
      <w:pPr>
        <w:pStyle w:val="Note"/>
      </w:pPr>
      <w:r w:rsidRPr="008F6B31">
        <w:rPr>
          <w:color w:val="92D050"/>
        </w:rPr>
        <w:sym w:font="Webdings" w:char="F067"/>
      </w:r>
      <w:r w:rsidRPr="008F6B31">
        <w:t xml:space="preserve"> = 5 = Good quality (needs minor work to improve in some areas)</w:t>
      </w:r>
    </w:p>
    <w:p w14:paraId="6CFD0123" w14:textId="77777777" w:rsidR="00E36478" w:rsidRPr="008F6B31" w:rsidRDefault="00E36478" w:rsidP="00504E7F">
      <w:pPr>
        <w:pStyle w:val="Note"/>
      </w:pPr>
      <w:r w:rsidRPr="008F6B31">
        <w:rPr>
          <w:color w:val="FFFF00"/>
        </w:rPr>
        <w:sym w:font="Webdings" w:char="F067"/>
      </w:r>
      <w:r w:rsidRPr="008F6B31">
        <w:t xml:space="preserve"> = 4 = Adequate quality, needs some work </w:t>
      </w:r>
    </w:p>
    <w:p w14:paraId="412189A3" w14:textId="77777777" w:rsidR="00E36478" w:rsidRPr="008F6B31" w:rsidRDefault="00E36478" w:rsidP="00504E7F">
      <w:pPr>
        <w:pStyle w:val="Note"/>
      </w:pPr>
      <w:r w:rsidRPr="008F6B31">
        <w:t>Less than satisfactory (1, 2 and 3)</w:t>
      </w:r>
    </w:p>
    <w:p w14:paraId="3EA9F7AC" w14:textId="77777777" w:rsidR="00E36478" w:rsidRPr="008F6B31" w:rsidRDefault="00E36478" w:rsidP="00504E7F">
      <w:pPr>
        <w:pStyle w:val="Note"/>
      </w:pPr>
      <w:r w:rsidRPr="008F6B31">
        <w:rPr>
          <w:color w:val="F79646"/>
        </w:rPr>
        <w:sym w:font="Webdings" w:char="F067"/>
      </w:r>
      <w:r w:rsidRPr="008F6B31">
        <w:t xml:space="preserve"> = 3 = Less than adequate quality; needs significant work (needs work to improve in core areas)</w:t>
      </w:r>
    </w:p>
    <w:p w14:paraId="198F69F0" w14:textId="77777777" w:rsidR="00E36478" w:rsidRPr="008F6B31" w:rsidRDefault="00E36478" w:rsidP="00504E7F">
      <w:pPr>
        <w:pStyle w:val="Note"/>
      </w:pPr>
      <w:r w:rsidRPr="008F6B31">
        <w:rPr>
          <w:color w:val="FF0000"/>
        </w:rPr>
        <w:sym w:font="Webdings" w:char="F067"/>
      </w:r>
      <w:r w:rsidRPr="008F6B31">
        <w:t xml:space="preserve"> = 2 = Poor quality; needs major work to improve</w:t>
      </w:r>
    </w:p>
    <w:p w14:paraId="2DDFD79B" w14:textId="77777777" w:rsidR="00E36478" w:rsidRPr="008F6B31" w:rsidRDefault="00E36478" w:rsidP="00504E7F">
      <w:pPr>
        <w:pStyle w:val="Note"/>
      </w:pPr>
      <w:r w:rsidRPr="008F6B31">
        <w:rPr>
          <w:color w:val="FF0000"/>
        </w:rPr>
        <w:sym w:font="Webdings" w:char="F067"/>
      </w:r>
      <w:r w:rsidRPr="008F6B31">
        <w:t xml:space="preserve"> = 1 = Very poor quality; needs major overhaul</w:t>
      </w:r>
    </w:p>
    <w:p w14:paraId="7F5F30B8" w14:textId="77777777" w:rsidR="00E36478" w:rsidRPr="008F6B31" w:rsidRDefault="00E36478" w:rsidP="00504E7F">
      <w:pPr>
        <w:pStyle w:val="Note"/>
      </w:pPr>
    </w:p>
    <w:p w14:paraId="44AC7602" w14:textId="42D57CA0" w:rsidR="00614EF1" w:rsidRPr="008F6B31" w:rsidRDefault="00614EF1" w:rsidP="00504E7F">
      <w:pPr>
        <w:pStyle w:val="Note"/>
        <w:sectPr w:rsidR="00614EF1" w:rsidRPr="008F6B31" w:rsidSect="00541B3F">
          <w:headerReference w:type="default" r:id="rId27"/>
          <w:footerReference w:type="default" r:id="rId28"/>
          <w:headerReference w:type="first" r:id="rId29"/>
          <w:footerReference w:type="first" r:id="rId30"/>
          <w:pgSz w:w="11906" w:h="16838" w:code="9"/>
          <w:pgMar w:top="2268" w:right="1701" w:bottom="907" w:left="1871" w:header="709" w:footer="425" w:gutter="0"/>
          <w:cols w:space="708"/>
          <w:docGrid w:linePitch="360"/>
        </w:sectPr>
      </w:pPr>
      <w:r w:rsidRPr="008F6B31">
        <w:t>* First QAI i</w:t>
      </w:r>
      <w:r w:rsidR="00744923">
        <w:t>n</w:t>
      </w:r>
      <w:r w:rsidRPr="008F6B31">
        <w:t xml:space="preserve"> 2012</w:t>
      </w:r>
    </w:p>
    <w:p w14:paraId="2737F49C" w14:textId="77777777" w:rsidR="00071B95" w:rsidRPr="008F6B31" w:rsidRDefault="00071B95" w:rsidP="00071B95">
      <w:pPr>
        <w:pStyle w:val="Heading1"/>
      </w:pPr>
      <w:r w:rsidRPr="008F6B31">
        <w:lastRenderedPageBreak/>
        <w:t>Annex C</w:t>
      </w:r>
    </w:p>
    <w:p w14:paraId="28AFBBE5" w14:textId="6074CF6D" w:rsidR="00071B95" w:rsidRPr="008F6B31" w:rsidRDefault="00071B95" w:rsidP="00F46297">
      <w:pPr>
        <w:pStyle w:val="Heading2"/>
      </w:pPr>
      <w:r w:rsidRPr="008F6B31">
        <w:t xml:space="preserve">Evaluation and </w:t>
      </w:r>
      <w:r w:rsidR="00F35BAA" w:rsidRPr="008F6B31">
        <w:t>review pipeline planning</w:t>
      </w:r>
    </w:p>
    <w:p w14:paraId="78C81502" w14:textId="2A5A7C9F" w:rsidR="00071B95" w:rsidRPr="008F6B31" w:rsidRDefault="00071B95" w:rsidP="00071B95">
      <w:pPr>
        <w:pStyle w:val="Caption"/>
      </w:pPr>
      <w:r w:rsidRPr="008F6B31">
        <w:t xml:space="preserve">List of </w:t>
      </w:r>
      <w:r w:rsidR="00F35BAA">
        <w:t>e</w:t>
      </w:r>
      <w:r w:rsidR="00F35BAA" w:rsidRPr="008F6B31">
        <w:t xml:space="preserve">valuations </w:t>
      </w:r>
      <w:r w:rsidRPr="008F6B31">
        <w:t>completed</w:t>
      </w:r>
      <w:r w:rsidRPr="008F6B31">
        <w:rPr>
          <w:vertAlign w:val="superscript"/>
        </w:rPr>
        <w:footnoteReference w:id="18"/>
      </w:r>
      <w:r w:rsidRPr="008F6B31">
        <w:t xml:space="preserve"> in the reporting period </w:t>
      </w:r>
    </w:p>
    <w:tbl>
      <w:tblPr>
        <w:tblStyle w:val="APPR"/>
        <w:tblW w:w="5000" w:type="pct"/>
        <w:tblLook w:val="04A0" w:firstRow="1" w:lastRow="0" w:firstColumn="1" w:lastColumn="0" w:noHBand="0" w:noVBand="1"/>
      </w:tblPr>
      <w:tblGrid>
        <w:gridCol w:w="2519"/>
        <w:gridCol w:w="1745"/>
        <w:gridCol w:w="2677"/>
        <w:gridCol w:w="1745"/>
        <w:gridCol w:w="1745"/>
        <w:gridCol w:w="1745"/>
        <w:gridCol w:w="1759"/>
      </w:tblGrid>
      <w:tr w:rsidR="00A76780" w:rsidRPr="008F6B31" w14:paraId="4AFC191F"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2EDADF3F" w14:textId="6C6B9F4C" w:rsidR="00A76780" w:rsidRPr="00504E7F" w:rsidRDefault="00A76780" w:rsidP="00504E7F">
            <w:pPr>
              <w:pStyle w:val="TableTextColumnHeading"/>
              <w:rPr>
                <w:b/>
              </w:rPr>
            </w:pPr>
            <w:r w:rsidRPr="00504E7F">
              <w:rPr>
                <w:b/>
              </w:rPr>
              <w:t xml:space="preserve">Name of </w:t>
            </w:r>
            <w:r w:rsidR="00F35BAA" w:rsidRPr="00504E7F">
              <w:rPr>
                <w:b/>
              </w:rPr>
              <w:t>initiative</w:t>
            </w:r>
          </w:p>
        </w:tc>
        <w:tc>
          <w:tcPr>
            <w:tcW w:w="500" w:type="pct"/>
          </w:tcPr>
          <w:p w14:paraId="1DB32E8F" w14:textId="13A95C06" w:rsidR="00A76780" w:rsidRPr="00504E7F" w:rsidRDefault="007D56BD" w:rsidP="00504E7F">
            <w:pPr>
              <w:pStyle w:val="TableTextColumnHeading"/>
              <w:rPr>
                <w:b/>
              </w:rPr>
            </w:pPr>
            <w:proofErr w:type="spellStart"/>
            <w:r w:rsidRPr="00504E7F">
              <w:rPr>
                <w:b/>
              </w:rPr>
              <w:t>Aid</w:t>
            </w:r>
            <w:r w:rsidR="00D94918" w:rsidRPr="00504E7F">
              <w:rPr>
                <w:b/>
              </w:rPr>
              <w:t>w</w:t>
            </w:r>
            <w:r w:rsidRPr="00504E7F">
              <w:rPr>
                <w:b/>
              </w:rPr>
              <w:t>orks</w:t>
            </w:r>
            <w:proofErr w:type="spellEnd"/>
            <w:r w:rsidR="00A76780" w:rsidRPr="00504E7F">
              <w:rPr>
                <w:b/>
              </w:rPr>
              <w:t xml:space="preserve"> number</w:t>
            </w:r>
          </w:p>
        </w:tc>
        <w:tc>
          <w:tcPr>
            <w:tcW w:w="771" w:type="pct"/>
          </w:tcPr>
          <w:p w14:paraId="7E0DE00A" w14:textId="77777777" w:rsidR="00A76780" w:rsidRPr="00504E7F" w:rsidRDefault="00A76780" w:rsidP="00504E7F">
            <w:pPr>
              <w:pStyle w:val="TableTextColumnHeading"/>
              <w:rPr>
                <w:b/>
              </w:rPr>
            </w:pPr>
            <w:r w:rsidRPr="00504E7F">
              <w:rPr>
                <w:b/>
              </w:rPr>
              <w:t>Type of evaluation</w:t>
            </w:r>
            <w:r w:rsidRPr="00C16084">
              <w:rPr>
                <w:b/>
                <w:vertAlign w:val="superscript"/>
              </w:rPr>
              <w:footnoteReference w:id="19"/>
            </w:r>
          </w:p>
        </w:tc>
        <w:tc>
          <w:tcPr>
            <w:tcW w:w="500" w:type="pct"/>
          </w:tcPr>
          <w:p w14:paraId="7558D365" w14:textId="77CB2802" w:rsidR="00A76780" w:rsidRPr="00504E7F" w:rsidRDefault="00A76780" w:rsidP="00504E7F">
            <w:pPr>
              <w:pStyle w:val="TableTextColumnHeading"/>
              <w:rPr>
                <w:b/>
              </w:rPr>
            </w:pPr>
            <w:r w:rsidRPr="00504E7F">
              <w:rPr>
                <w:b/>
              </w:rPr>
              <w:t xml:space="preserve">Date </w:t>
            </w:r>
            <w:r w:rsidR="00F35BAA" w:rsidRPr="00504E7F">
              <w:rPr>
                <w:b/>
              </w:rPr>
              <w:t xml:space="preserve">evaluation </w:t>
            </w:r>
            <w:r w:rsidRPr="00504E7F">
              <w:rPr>
                <w:b/>
              </w:rPr>
              <w:t>report received</w:t>
            </w:r>
          </w:p>
        </w:tc>
        <w:tc>
          <w:tcPr>
            <w:tcW w:w="500" w:type="pct"/>
          </w:tcPr>
          <w:p w14:paraId="6BB2BBF4" w14:textId="37A27A46" w:rsidR="00A76780" w:rsidRPr="00504E7F" w:rsidRDefault="00A76780" w:rsidP="00504E7F">
            <w:pPr>
              <w:pStyle w:val="TableTextColumnHeading"/>
              <w:rPr>
                <w:b/>
              </w:rPr>
            </w:pPr>
            <w:r w:rsidRPr="00504E7F">
              <w:rPr>
                <w:b/>
              </w:rPr>
              <w:t xml:space="preserve">Date </w:t>
            </w:r>
            <w:r w:rsidR="00F35BAA" w:rsidRPr="00504E7F">
              <w:rPr>
                <w:b/>
              </w:rPr>
              <w:t xml:space="preserve">evaluation </w:t>
            </w:r>
            <w:r w:rsidRPr="00504E7F">
              <w:rPr>
                <w:b/>
              </w:rPr>
              <w:t xml:space="preserve">report </w:t>
            </w:r>
            <w:r w:rsidR="00F35BAA" w:rsidRPr="00504E7F">
              <w:rPr>
                <w:b/>
              </w:rPr>
              <w:t xml:space="preserve">uploaded </w:t>
            </w:r>
            <w:r w:rsidRPr="00504E7F">
              <w:rPr>
                <w:b/>
              </w:rPr>
              <w:t xml:space="preserve">into </w:t>
            </w:r>
            <w:proofErr w:type="spellStart"/>
            <w:r w:rsidR="007D56BD" w:rsidRPr="00504E7F">
              <w:rPr>
                <w:b/>
              </w:rPr>
              <w:t>Aid</w:t>
            </w:r>
            <w:r w:rsidR="00D94918" w:rsidRPr="00504E7F">
              <w:rPr>
                <w:b/>
              </w:rPr>
              <w:t>w</w:t>
            </w:r>
            <w:r w:rsidR="007D56BD" w:rsidRPr="00504E7F">
              <w:rPr>
                <w:b/>
              </w:rPr>
              <w:t>orks</w:t>
            </w:r>
            <w:proofErr w:type="spellEnd"/>
          </w:p>
        </w:tc>
        <w:tc>
          <w:tcPr>
            <w:tcW w:w="500" w:type="pct"/>
          </w:tcPr>
          <w:p w14:paraId="42E17FFE" w14:textId="12443D9A" w:rsidR="00A76780" w:rsidRPr="00504E7F" w:rsidRDefault="00A76780" w:rsidP="00504E7F">
            <w:pPr>
              <w:pStyle w:val="TableTextColumnHeading"/>
              <w:rPr>
                <w:b/>
              </w:rPr>
            </w:pPr>
            <w:r w:rsidRPr="00504E7F">
              <w:rPr>
                <w:b/>
              </w:rPr>
              <w:t xml:space="preserve">Date </w:t>
            </w:r>
            <w:r w:rsidR="00F35BAA" w:rsidRPr="00504E7F">
              <w:rPr>
                <w:b/>
              </w:rPr>
              <w:t xml:space="preserve">management </w:t>
            </w:r>
            <w:r w:rsidRPr="00504E7F">
              <w:rPr>
                <w:b/>
              </w:rPr>
              <w:t xml:space="preserve">response uploaded into </w:t>
            </w:r>
            <w:proofErr w:type="spellStart"/>
            <w:r w:rsidR="007D56BD" w:rsidRPr="00504E7F">
              <w:rPr>
                <w:b/>
              </w:rPr>
              <w:t>Aid</w:t>
            </w:r>
            <w:r w:rsidR="00D94918" w:rsidRPr="00504E7F">
              <w:rPr>
                <w:b/>
              </w:rPr>
              <w:t>w</w:t>
            </w:r>
            <w:r w:rsidR="007D56BD" w:rsidRPr="00504E7F">
              <w:rPr>
                <w:b/>
              </w:rPr>
              <w:t>orks</w:t>
            </w:r>
            <w:proofErr w:type="spellEnd"/>
          </w:p>
        </w:tc>
        <w:tc>
          <w:tcPr>
            <w:tcW w:w="500" w:type="pct"/>
          </w:tcPr>
          <w:p w14:paraId="5FF812F5" w14:textId="77777777" w:rsidR="00A76780" w:rsidRPr="00504E7F" w:rsidRDefault="00A76780" w:rsidP="00504E7F">
            <w:pPr>
              <w:pStyle w:val="TableTextColumnHeading"/>
              <w:rPr>
                <w:b/>
              </w:rPr>
            </w:pPr>
            <w:r w:rsidRPr="00504E7F">
              <w:rPr>
                <w:b/>
              </w:rPr>
              <w:t>Published on website</w:t>
            </w:r>
          </w:p>
        </w:tc>
      </w:tr>
      <w:tr w:rsidR="00A76780" w:rsidRPr="008F6B31" w14:paraId="19FD57EC"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445C851D" w14:textId="476CDE82" w:rsidR="00A76780" w:rsidRPr="00504E7F" w:rsidRDefault="00A76780" w:rsidP="00504E7F">
            <w:pPr>
              <w:pStyle w:val="TableTextEntries"/>
              <w:rPr>
                <w:b w:val="0"/>
              </w:rPr>
            </w:pPr>
            <w:r w:rsidRPr="00504E7F">
              <w:rPr>
                <w:b w:val="0"/>
              </w:rPr>
              <w:t>Australia</w:t>
            </w:r>
            <w:r w:rsidR="00F35BAA" w:rsidRPr="00504E7F">
              <w:rPr>
                <w:b w:val="0"/>
              </w:rPr>
              <w:t>–</w:t>
            </w:r>
            <w:r w:rsidRPr="00504E7F">
              <w:rPr>
                <w:b w:val="0"/>
              </w:rPr>
              <w:t>W</w:t>
            </w:r>
            <w:r w:rsidR="00F35BAA" w:rsidRPr="00504E7F">
              <w:rPr>
                <w:b w:val="0"/>
              </w:rPr>
              <w:t xml:space="preserve">orld </w:t>
            </w:r>
            <w:r w:rsidRPr="00504E7F">
              <w:rPr>
                <w:b w:val="0"/>
              </w:rPr>
              <w:t>B</w:t>
            </w:r>
            <w:r w:rsidR="00F35BAA" w:rsidRPr="00504E7F">
              <w:rPr>
                <w:b w:val="0"/>
              </w:rPr>
              <w:t>ank</w:t>
            </w:r>
            <w:r w:rsidRPr="00504E7F">
              <w:rPr>
                <w:b w:val="0"/>
              </w:rPr>
              <w:t xml:space="preserve"> Philippines Development Trust Fund</w:t>
            </w:r>
          </w:p>
        </w:tc>
        <w:tc>
          <w:tcPr>
            <w:tcW w:w="500" w:type="pct"/>
          </w:tcPr>
          <w:p w14:paraId="2C6B94FC" w14:textId="77777777" w:rsidR="00A76780" w:rsidRPr="00504E7F" w:rsidRDefault="00A76780" w:rsidP="00504E7F">
            <w:pPr>
              <w:pStyle w:val="TableTextEntries"/>
              <w:rPr>
                <w:b w:val="0"/>
              </w:rPr>
            </w:pPr>
            <w:r w:rsidRPr="00504E7F">
              <w:rPr>
                <w:b w:val="0"/>
              </w:rPr>
              <w:t>INI632</w:t>
            </w:r>
          </w:p>
        </w:tc>
        <w:tc>
          <w:tcPr>
            <w:tcW w:w="771" w:type="pct"/>
          </w:tcPr>
          <w:p w14:paraId="363F4D28" w14:textId="59B39A64" w:rsidR="00A76780" w:rsidRPr="00504E7F" w:rsidRDefault="00A76780" w:rsidP="00504E7F">
            <w:pPr>
              <w:pStyle w:val="TableTextEntries"/>
              <w:rPr>
                <w:b w:val="0"/>
              </w:rPr>
            </w:pPr>
            <w:r w:rsidRPr="00504E7F">
              <w:rPr>
                <w:b w:val="0"/>
              </w:rPr>
              <w:t xml:space="preserve">Mid-term </w:t>
            </w:r>
            <w:r w:rsidR="00F35BAA" w:rsidRPr="00504E7F">
              <w:rPr>
                <w:b w:val="0"/>
              </w:rPr>
              <w:t>review r</w:t>
            </w:r>
            <w:r w:rsidRPr="00504E7F">
              <w:rPr>
                <w:b w:val="0"/>
              </w:rPr>
              <w:t>eport</w:t>
            </w:r>
          </w:p>
        </w:tc>
        <w:tc>
          <w:tcPr>
            <w:tcW w:w="500" w:type="pct"/>
          </w:tcPr>
          <w:p w14:paraId="357FC78E" w14:textId="77777777" w:rsidR="00A76780" w:rsidRPr="00504E7F" w:rsidRDefault="002D0110" w:rsidP="00504E7F">
            <w:pPr>
              <w:pStyle w:val="TableTextEntries"/>
              <w:rPr>
                <w:b w:val="0"/>
              </w:rPr>
            </w:pPr>
            <w:r w:rsidRPr="00504E7F">
              <w:rPr>
                <w:b w:val="0"/>
              </w:rPr>
              <w:t>June 2013</w:t>
            </w:r>
          </w:p>
        </w:tc>
        <w:tc>
          <w:tcPr>
            <w:tcW w:w="500" w:type="pct"/>
          </w:tcPr>
          <w:p w14:paraId="02176C21" w14:textId="77777777" w:rsidR="00A76780" w:rsidRPr="00504E7F" w:rsidRDefault="005E7D66" w:rsidP="00504E7F">
            <w:pPr>
              <w:pStyle w:val="TableTextEntries"/>
              <w:rPr>
                <w:b w:val="0"/>
              </w:rPr>
            </w:pPr>
            <w:r w:rsidRPr="00504E7F">
              <w:rPr>
                <w:b w:val="0"/>
              </w:rPr>
              <w:t>26 June 2013</w:t>
            </w:r>
          </w:p>
        </w:tc>
        <w:tc>
          <w:tcPr>
            <w:tcW w:w="500" w:type="pct"/>
          </w:tcPr>
          <w:p w14:paraId="579BE3C9" w14:textId="77777777" w:rsidR="00A76780" w:rsidRPr="00504E7F" w:rsidRDefault="005E7D66" w:rsidP="00504E7F">
            <w:pPr>
              <w:pStyle w:val="TableTextEntries"/>
              <w:rPr>
                <w:b w:val="0"/>
              </w:rPr>
            </w:pPr>
            <w:r w:rsidRPr="00504E7F">
              <w:rPr>
                <w:b w:val="0"/>
              </w:rPr>
              <w:t>NA</w:t>
            </w:r>
          </w:p>
        </w:tc>
        <w:tc>
          <w:tcPr>
            <w:tcW w:w="500" w:type="pct"/>
          </w:tcPr>
          <w:p w14:paraId="127E7FE6" w14:textId="167A2D16" w:rsidR="00A76780" w:rsidRPr="00504E7F" w:rsidRDefault="008423D3" w:rsidP="00504E7F">
            <w:pPr>
              <w:pStyle w:val="TableTextEntries"/>
              <w:rPr>
                <w:b w:val="0"/>
              </w:rPr>
            </w:pPr>
            <w:r w:rsidRPr="00504E7F">
              <w:rPr>
                <w:b w:val="0"/>
              </w:rPr>
              <w:t>Yes</w:t>
            </w:r>
          </w:p>
        </w:tc>
      </w:tr>
      <w:tr w:rsidR="00A76780" w:rsidRPr="008F6B31" w14:paraId="28DE14C5"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2722C982" w14:textId="77777777" w:rsidR="00A76780" w:rsidRPr="00504E7F" w:rsidRDefault="00A76780" w:rsidP="00504E7F">
            <w:pPr>
              <w:pStyle w:val="TableTextEntries"/>
              <w:rPr>
                <w:b w:val="0"/>
              </w:rPr>
            </w:pPr>
            <w:r w:rsidRPr="00504E7F">
              <w:rPr>
                <w:b w:val="0"/>
              </w:rPr>
              <w:t>Muslim and Indigenous Peoples Education Program</w:t>
            </w:r>
          </w:p>
        </w:tc>
        <w:tc>
          <w:tcPr>
            <w:tcW w:w="500" w:type="pct"/>
          </w:tcPr>
          <w:p w14:paraId="7C9952B8" w14:textId="77777777" w:rsidR="00A76780" w:rsidRPr="00504E7F" w:rsidRDefault="00A76780" w:rsidP="00504E7F">
            <w:pPr>
              <w:pStyle w:val="TableTextEntries"/>
              <w:rPr>
                <w:b w:val="0"/>
              </w:rPr>
            </w:pPr>
            <w:r w:rsidRPr="00504E7F">
              <w:rPr>
                <w:b w:val="0"/>
              </w:rPr>
              <w:t>INH946</w:t>
            </w:r>
          </w:p>
        </w:tc>
        <w:tc>
          <w:tcPr>
            <w:tcW w:w="771" w:type="pct"/>
          </w:tcPr>
          <w:p w14:paraId="21075C86" w14:textId="061983B9" w:rsidR="00A76780" w:rsidRPr="00504E7F" w:rsidRDefault="00A76780" w:rsidP="00504E7F">
            <w:pPr>
              <w:pStyle w:val="TableTextEntries"/>
              <w:rPr>
                <w:b w:val="0"/>
              </w:rPr>
            </w:pPr>
            <w:r w:rsidRPr="00504E7F">
              <w:rPr>
                <w:b w:val="0"/>
              </w:rPr>
              <w:t xml:space="preserve">Independent </w:t>
            </w:r>
            <w:r w:rsidR="00F35BAA" w:rsidRPr="00504E7F">
              <w:rPr>
                <w:b w:val="0"/>
              </w:rPr>
              <w:t>sustainability r</w:t>
            </w:r>
            <w:r w:rsidRPr="00504E7F">
              <w:rPr>
                <w:b w:val="0"/>
              </w:rPr>
              <w:t>eview</w:t>
            </w:r>
          </w:p>
        </w:tc>
        <w:tc>
          <w:tcPr>
            <w:tcW w:w="500" w:type="pct"/>
          </w:tcPr>
          <w:p w14:paraId="327547F0" w14:textId="77777777" w:rsidR="00A76780" w:rsidRPr="00504E7F" w:rsidRDefault="00A76780" w:rsidP="00504E7F">
            <w:pPr>
              <w:pStyle w:val="TableTextEntries"/>
              <w:rPr>
                <w:b w:val="0"/>
              </w:rPr>
            </w:pPr>
            <w:r w:rsidRPr="00504E7F">
              <w:rPr>
                <w:b w:val="0"/>
              </w:rPr>
              <w:t>September 2012</w:t>
            </w:r>
          </w:p>
        </w:tc>
        <w:tc>
          <w:tcPr>
            <w:tcW w:w="500" w:type="pct"/>
          </w:tcPr>
          <w:p w14:paraId="5855920F" w14:textId="77777777" w:rsidR="00A76780" w:rsidRPr="00504E7F" w:rsidRDefault="00970E75" w:rsidP="00504E7F">
            <w:pPr>
              <w:pStyle w:val="TableTextEntries"/>
              <w:rPr>
                <w:b w:val="0"/>
              </w:rPr>
            </w:pPr>
            <w:r w:rsidRPr="00504E7F">
              <w:rPr>
                <w:b w:val="0"/>
              </w:rPr>
              <w:t>20 May 2013</w:t>
            </w:r>
          </w:p>
        </w:tc>
        <w:tc>
          <w:tcPr>
            <w:tcW w:w="500" w:type="pct"/>
          </w:tcPr>
          <w:p w14:paraId="65D13B6A" w14:textId="77777777" w:rsidR="00A76780" w:rsidRPr="00504E7F" w:rsidRDefault="005E7D66" w:rsidP="00504E7F">
            <w:pPr>
              <w:pStyle w:val="TableTextEntries"/>
              <w:rPr>
                <w:b w:val="0"/>
              </w:rPr>
            </w:pPr>
            <w:r w:rsidRPr="00504E7F">
              <w:rPr>
                <w:b w:val="0"/>
              </w:rPr>
              <w:t>7 December 2012</w:t>
            </w:r>
          </w:p>
        </w:tc>
        <w:tc>
          <w:tcPr>
            <w:tcW w:w="500" w:type="pct"/>
          </w:tcPr>
          <w:p w14:paraId="26E135EA" w14:textId="68206414" w:rsidR="00A76780" w:rsidRPr="00504E7F" w:rsidRDefault="008423D3" w:rsidP="00504E7F">
            <w:pPr>
              <w:pStyle w:val="TableTextEntries"/>
              <w:rPr>
                <w:b w:val="0"/>
              </w:rPr>
            </w:pPr>
            <w:r w:rsidRPr="00504E7F">
              <w:rPr>
                <w:b w:val="0"/>
              </w:rPr>
              <w:t>Yes</w:t>
            </w:r>
          </w:p>
        </w:tc>
      </w:tr>
      <w:tr w:rsidR="00A76780" w:rsidRPr="008F6B31" w14:paraId="14D63913"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6ACF9D55" w14:textId="77777777" w:rsidR="00A76780" w:rsidRPr="00504E7F" w:rsidRDefault="00A76780" w:rsidP="00504E7F">
            <w:pPr>
              <w:pStyle w:val="TableTextEntries"/>
              <w:rPr>
                <w:b w:val="0"/>
              </w:rPr>
            </w:pPr>
            <w:r w:rsidRPr="00504E7F">
              <w:rPr>
                <w:b w:val="0"/>
              </w:rPr>
              <w:t>Supporting Peace in Mindanao</w:t>
            </w:r>
          </w:p>
        </w:tc>
        <w:tc>
          <w:tcPr>
            <w:tcW w:w="500" w:type="pct"/>
          </w:tcPr>
          <w:p w14:paraId="39D3C8EE" w14:textId="77777777" w:rsidR="00A76780" w:rsidRPr="00504E7F" w:rsidRDefault="00A76780" w:rsidP="00504E7F">
            <w:pPr>
              <w:pStyle w:val="TableTextEntries"/>
              <w:rPr>
                <w:b w:val="0"/>
              </w:rPr>
            </w:pPr>
            <w:r w:rsidRPr="00504E7F">
              <w:rPr>
                <w:b w:val="0"/>
              </w:rPr>
              <w:t>ING238</w:t>
            </w:r>
          </w:p>
        </w:tc>
        <w:tc>
          <w:tcPr>
            <w:tcW w:w="771" w:type="pct"/>
          </w:tcPr>
          <w:p w14:paraId="0CD02077" w14:textId="56499A7C" w:rsidR="00A76780" w:rsidRPr="00504E7F" w:rsidRDefault="00A76780" w:rsidP="00504E7F">
            <w:pPr>
              <w:pStyle w:val="TableTextEntries"/>
              <w:rPr>
                <w:b w:val="0"/>
              </w:rPr>
            </w:pPr>
            <w:r w:rsidRPr="00504E7F">
              <w:rPr>
                <w:b w:val="0"/>
              </w:rPr>
              <w:t xml:space="preserve">Independent </w:t>
            </w:r>
            <w:r w:rsidR="00F35BAA" w:rsidRPr="00504E7F">
              <w:rPr>
                <w:b w:val="0"/>
              </w:rPr>
              <w:t>progress rep</w:t>
            </w:r>
            <w:r w:rsidRPr="00504E7F">
              <w:rPr>
                <w:b w:val="0"/>
              </w:rPr>
              <w:t>ort</w:t>
            </w:r>
          </w:p>
        </w:tc>
        <w:tc>
          <w:tcPr>
            <w:tcW w:w="500" w:type="pct"/>
          </w:tcPr>
          <w:p w14:paraId="277A2C14" w14:textId="77777777" w:rsidR="00A76780" w:rsidRPr="00504E7F" w:rsidRDefault="00A76780" w:rsidP="00504E7F">
            <w:pPr>
              <w:pStyle w:val="TableTextEntries"/>
              <w:rPr>
                <w:b w:val="0"/>
              </w:rPr>
            </w:pPr>
            <w:r w:rsidRPr="00504E7F">
              <w:rPr>
                <w:b w:val="0"/>
              </w:rPr>
              <w:t>March 2012</w:t>
            </w:r>
          </w:p>
        </w:tc>
        <w:tc>
          <w:tcPr>
            <w:tcW w:w="500" w:type="pct"/>
          </w:tcPr>
          <w:p w14:paraId="14F9D39C" w14:textId="77777777" w:rsidR="00A76780" w:rsidRPr="00504E7F" w:rsidRDefault="00A76780" w:rsidP="00504E7F">
            <w:pPr>
              <w:pStyle w:val="TableTextEntries"/>
              <w:rPr>
                <w:b w:val="0"/>
              </w:rPr>
            </w:pPr>
            <w:r w:rsidRPr="00504E7F">
              <w:rPr>
                <w:b w:val="0"/>
              </w:rPr>
              <w:t>November 2012</w:t>
            </w:r>
          </w:p>
        </w:tc>
        <w:tc>
          <w:tcPr>
            <w:tcW w:w="500" w:type="pct"/>
          </w:tcPr>
          <w:p w14:paraId="4F37C111" w14:textId="63226CA3" w:rsidR="00A76780" w:rsidRPr="00504E7F" w:rsidRDefault="00A76780" w:rsidP="00504E7F">
            <w:pPr>
              <w:pStyle w:val="TableTextEntries"/>
              <w:rPr>
                <w:b w:val="0"/>
              </w:rPr>
            </w:pPr>
            <w:r w:rsidRPr="00504E7F">
              <w:rPr>
                <w:b w:val="0"/>
              </w:rPr>
              <w:t>NA</w:t>
            </w:r>
          </w:p>
        </w:tc>
        <w:tc>
          <w:tcPr>
            <w:tcW w:w="500" w:type="pct"/>
          </w:tcPr>
          <w:p w14:paraId="28F68843" w14:textId="3DAC5138" w:rsidR="00A76780" w:rsidRPr="00504E7F" w:rsidRDefault="008423D3" w:rsidP="00504E7F">
            <w:pPr>
              <w:pStyle w:val="TableTextEntries"/>
              <w:rPr>
                <w:b w:val="0"/>
              </w:rPr>
            </w:pPr>
            <w:r w:rsidRPr="00504E7F">
              <w:rPr>
                <w:b w:val="0"/>
              </w:rPr>
              <w:t>Yes</w:t>
            </w:r>
          </w:p>
        </w:tc>
      </w:tr>
      <w:tr w:rsidR="00A76780" w:rsidRPr="008F6B31" w14:paraId="33591CCC"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7958535C" w14:textId="77777777" w:rsidR="00A76780" w:rsidRPr="00504E7F" w:rsidRDefault="00A76780" w:rsidP="00504E7F">
            <w:pPr>
              <w:pStyle w:val="TableTextEntries"/>
              <w:rPr>
                <w:b w:val="0"/>
              </w:rPr>
            </w:pPr>
            <w:r w:rsidRPr="00504E7F">
              <w:rPr>
                <w:b w:val="0"/>
              </w:rPr>
              <w:t>Philippines: Disaster and Climate Risks Management</w:t>
            </w:r>
          </w:p>
        </w:tc>
        <w:tc>
          <w:tcPr>
            <w:tcW w:w="500" w:type="pct"/>
          </w:tcPr>
          <w:p w14:paraId="4C82D8DF" w14:textId="77777777" w:rsidR="00A76780" w:rsidRPr="00504E7F" w:rsidRDefault="00A76780" w:rsidP="00504E7F">
            <w:pPr>
              <w:pStyle w:val="TableTextEntries"/>
              <w:rPr>
                <w:b w:val="0"/>
              </w:rPr>
            </w:pPr>
            <w:r w:rsidRPr="00504E7F">
              <w:rPr>
                <w:b w:val="0"/>
              </w:rPr>
              <w:t>ING581</w:t>
            </w:r>
          </w:p>
        </w:tc>
        <w:tc>
          <w:tcPr>
            <w:tcW w:w="771" w:type="pct"/>
          </w:tcPr>
          <w:p w14:paraId="52C6C4F1" w14:textId="1F88D230" w:rsidR="00A76780" w:rsidRPr="00504E7F" w:rsidRDefault="00A76780" w:rsidP="00504E7F">
            <w:pPr>
              <w:pStyle w:val="TableTextEntries"/>
              <w:rPr>
                <w:b w:val="0"/>
              </w:rPr>
            </w:pPr>
            <w:r w:rsidRPr="00504E7F">
              <w:rPr>
                <w:b w:val="0"/>
              </w:rPr>
              <w:t xml:space="preserve">Interim </w:t>
            </w:r>
            <w:r w:rsidR="00F35BAA" w:rsidRPr="00504E7F">
              <w:rPr>
                <w:b w:val="0"/>
              </w:rPr>
              <w:t>progress r</w:t>
            </w:r>
            <w:r w:rsidRPr="00504E7F">
              <w:rPr>
                <w:b w:val="0"/>
              </w:rPr>
              <w:t xml:space="preserve">eview </w:t>
            </w:r>
          </w:p>
        </w:tc>
        <w:tc>
          <w:tcPr>
            <w:tcW w:w="500" w:type="pct"/>
          </w:tcPr>
          <w:p w14:paraId="2E7E3AE7" w14:textId="77777777" w:rsidR="00A76780" w:rsidRPr="00504E7F" w:rsidRDefault="00A76780" w:rsidP="00504E7F">
            <w:pPr>
              <w:pStyle w:val="TableTextEntries"/>
              <w:rPr>
                <w:b w:val="0"/>
              </w:rPr>
            </w:pPr>
            <w:r w:rsidRPr="00504E7F">
              <w:rPr>
                <w:b w:val="0"/>
              </w:rPr>
              <w:t>December</w:t>
            </w:r>
            <w:r w:rsidR="00562997" w:rsidRPr="00504E7F">
              <w:rPr>
                <w:b w:val="0"/>
              </w:rPr>
              <w:t xml:space="preserve"> </w:t>
            </w:r>
            <w:r w:rsidRPr="00504E7F">
              <w:rPr>
                <w:b w:val="0"/>
              </w:rPr>
              <w:t>2012</w:t>
            </w:r>
          </w:p>
        </w:tc>
        <w:tc>
          <w:tcPr>
            <w:tcW w:w="500" w:type="pct"/>
          </w:tcPr>
          <w:p w14:paraId="3BA6723B" w14:textId="77777777" w:rsidR="00A76780" w:rsidRPr="00504E7F" w:rsidRDefault="007656C4" w:rsidP="00504E7F">
            <w:pPr>
              <w:pStyle w:val="TableTextEntries"/>
              <w:rPr>
                <w:b w:val="0"/>
              </w:rPr>
            </w:pPr>
            <w:r w:rsidRPr="00504E7F">
              <w:rPr>
                <w:b w:val="0"/>
              </w:rPr>
              <w:t>20 May 2013</w:t>
            </w:r>
          </w:p>
        </w:tc>
        <w:tc>
          <w:tcPr>
            <w:tcW w:w="500" w:type="pct"/>
          </w:tcPr>
          <w:p w14:paraId="7B7911C1" w14:textId="5AABFBC6" w:rsidR="00A76780" w:rsidRPr="00504E7F" w:rsidRDefault="00835666" w:rsidP="00504E7F">
            <w:pPr>
              <w:pStyle w:val="TableTextEntries"/>
              <w:rPr>
                <w:b w:val="0"/>
              </w:rPr>
            </w:pPr>
            <w:r w:rsidRPr="00504E7F">
              <w:rPr>
                <w:b w:val="0"/>
              </w:rPr>
              <w:t>NA</w:t>
            </w:r>
          </w:p>
        </w:tc>
        <w:tc>
          <w:tcPr>
            <w:tcW w:w="500" w:type="pct"/>
          </w:tcPr>
          <w:p w14:paraId="6EAB0E86" w14:textId="16B4B826" w:rsidR="00A76780" w:rsidRPr="00504E7F" w:rsidRDefault="008423D3" w:rsidP="00504E7F">
            <w:pPr>
              <w:pStyle w:val="TableTextEntries"/>
              <w:rPr>
                <w:b w:val="0"/>
              </w:rPr>
            </w:pPr>
            <w:r w:rsidRPr="00504E7F">
              <w:rPr>
                <w:b w:val="0"/>
              </w:rPr>
              <w:t>Yes</w:t>
            </w:r>
          </w:p>
        </w:tc>
      </w:tr>
      <w:tr w:rsidR="00A76780" w:rsidRPr="008F6B31" w14:paraId="3A1B7DC8"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7CB28A29" w14:textId="77777777" w:rsidR="00A76780" w:rsidRPr="00504E7F" w:rsidRDefault="00A76780" w:rsidP="00504E7F">
            <w:pPr>
              <w:pStyle w:val="TableTextEntries"/>
              <w:rPr>
                <w:b w:val="0"/>
              </w:rPr>
            </w:pPr>
            <w:r w:rsidRPr="00504E7F">
              <w:rPr>
                <w:b w:val="0"/>
              </w:rPr>
              <w:t>Philippines: Disaster and Climate Risks Management</w:t>
            </w:r>
          </w:p>
        </w:tc>
        <w:tc>
          <w:tcPr>
            <w:tcW w:w="500" w:type="pct"/>
          </w:tcPr>
          <w:p w14:paraId="686B2EBE" w14:textId="77777777" w:rsidR="00A76780" w:rsidRPr="00504E7F" w:rsidRDefault="00A76780" w:rsidP="00504E7F">
            <w:pPr>
              <w:pStyle w:val="TableTextEntries"/>
              <w:rPr>
                <w:b w:val="0"/>
              </w:rPr>
            </w:pPr>
            <w:r w:rsidRPr="00504E7F">
              <w:rPr>
                <w:b w:val="0"/>
              </w:rPr>
              <w:t>ING581</w:t>
            </w:r>
          </w:p>
        </w:tc>
        <w:tc>
          <w:tcPr>
            <w:tcW w:w="771" w:type="pct"/>
          </w:tcPr>
          <w:p w14:paraId="72ED25EF" w14:textId="36A0F9A5" w:rsidR="00A76780" w:rsidRPr="00504E7F" w:rsidRDefault="00F35BAA" w:rsidP="00504E7F">
            <w:pPr>
              <w:pStyle w:val="TableTextEntries"/>
              <w:rPr>
                <w:b w:val="0"/>
              </w:rPr>
            </w:pPr>
            <w:r w:rsidRPr="00504E7F">
              <w:rPr>
                <w:b w:val="0"/>
              </w:rPr>
              <w:t>Independent external evaluation</w:t>
            </w:r>
          </w:p>
        </w:tc>
        <w:tc>
          <w:tcPr>
            <w:tcW w:w="500" w:type="pct"/>
          </w:tcPr>
          <w:p w14:paraId="0ED525C8" w14:textId="77777777" w:rsidR="00A76780" w:rsidRPr="00504E7F" w:rsidRDefault="00A76780" w:rsidP="00504E7F">
            <w:pPr>
              <w:pStyle w:val="TableTextEntries"/>
              <w:rPr>
                <w:b w:val="0"/>
              </w:rPr>
            </w:pPr>
            <w:r w:rsidRPr="00504E7F">
              <w:rPr>
                <w:b w:val="0"/>
              </w:rPr>
              <w:t>August 2012</w:t>
            </w:r>
          </w:p>
        </w:tc>
        <w:tc>
          <w:tcPr>
            <w:tcW w:w="500" w:type="pct"/>
          </w:tcPr>
          <w:p w14:paraId="2217291F" w14:textId="77777777" w:rsidR="00A76780" w:rsidRPr="00504E7F" w:rsidRDefault="00A76780" w:rsidP="00504E7F">
            <w:pPr>
              <w:pStyle w:val="TableTextEntries"/>
              <w:rPr>
                <w:b w:val="0"/>
              </w:rPr>
            </w:pPr>
            <w:r w:rsidRPr="00504E7F">
              <w:rPr>
                <w:b w:val="0"/>
              </w:rPr>
              <w:t>February 2013</w:t>
            </w:r>
          </w:p>
        </w:tc>
        <w:tc>
          <w:tcPr>
            <w:tcW w:w="500" w:type="pct"/>
          </w:tcPr>
          <w:p w14:paraId="6D915E54" w14:textId="12E6D12B" w:rsidR="00A76780" w:rsidRPr="00504E7F" w:rsidRDefault="00835666" w:rsidP="00504E7F">
            <w:pPr>
              <w:pStyle w:val="TableTextEntries"/>
              <w:rPr>
                <w:b w:val="0"/>
              </w:rPr>
            </w:pPr>
            <w:r w:rsidRPr="00504E7F">
              <w:rPr>
                <w:b w:val="0"/>
              </w:rPr>
              <w:t>NA</w:t>
            </w:r>
          </w:p>
        </w:tc>
        <w:tc>
          <w:tcPr>
            <w:tcW w:w="500" w:type="pct"/>
          </w:tcPr>
          <w:p w14:paraId="7CDCB512" w14:textId="2E094560" w:rsidR="00A76780" w:rsidRPr="00504E7F" w:rsidRDefault="008423D3" w:rsidP="00504E7F">
            <w:pPr>
              <w:pStyle w:val="TableTextEntries"/>
              <w:rPr>
                <w:b w:val="0"/>
              </w:rPr>
            </w:pPr>
            <w:r w:rsidRPr="00504E7F">
              <w:rPr>
                <w:b w:val="0"/>
              </w:rPr>
              <w:t>Yes</w:t>
            </w:r>
          </w:p>
        </w:tc>
      </w:tr>
      <w:tr w:rsidR="00A76780" w:rsidRPr="008F6B31" w14:paraId="6DB4D4BF"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4BB54071" w14:textId="5895EF4E" w:rsidR="00A76780" w:rsidRPr="00504E7F" w:rsidRDefault="00A76780" w:rsidP="00504E7F">
            <w:pPr>
              <w:pStyle w:val="TableTextEntries"/>
              <w:rPr>
                <w:b w:val="0"/>
              </w:rPr>
            </w:pPr>
            <w:r w:rsidRPr="00504E7F">
              <w:rPr>
                <w:b w:val="0"/>
              </w:rPr>
              <w:t xml:space="preserve">Provincial Road Management Facility </w:t>
            </w:r>
          </w:p>
        </w:tc>
        <w:tc>
          <w:tcPr>
            <w:tcW w:w="500" w:type="pct"/>
          </w:tcPr>
          <w:p w14:paraId="03760047" w14:textId="77777777" w:rsidR="00A76780" w:rsidRPr="00504E7F" w:rsidRDefault="00A76780" w:rsidP="00504E7F">
            <w:pPr>
              <w:pStyle w:val="TableTextEntries"/>
              <w:rPr>
                <w:b w:val="0"/>
              </w:rPr>
            </w:pPr>
            <w:r w:rsidRPr="00504E7F">
              <w:rPr>
                <w:b w:val="0"/>
              </w:rPr>
              <w:t>INI171</w:t>
            </w:r>
          </w:p>
        </w:tc>
        <w:tc>
          <w:tcPr>
            <w:tcW w:w="771" w:type="pct"/>
          </w:tcPr>
          <w:p w14:paraId="60F5535F" w14:textId="0B0A5E4D" w:rsidR="00A76780" w:rsidRPr="00504E7F" w:rsidRDefault="00F35BAA" w:rsidP="00504E7F">
            <w:pPr>
              <w:pStyle w:val="TableTextEntries"/>
              <w:rPr>
                <w:b w:val="0"/>
              </w:rPr>
            </w:pPr>
            <w:r w:rsidRPr="00504E7F">
              <w:rPr>
                <w:b w:val="0"/>
              </w:rPr>
              <w:t>Independent mid-term review</w:t>
            </w:r>
          </w:p>
        </w:tc>
        <w:tc>
          <w:tcPr>
            <w:tcW w:w="500" w:type="pct"/>
          </w:tcPr>
          <w:p w14:paraId="3E8C4A77" w14:textId="77777777" w:rsidR="00A76780" w:rsidRPr="00504E7F" w:rsidRDefault="00A76780" w:rsidP="00504E7F">
            <w:pPr>
              <w:pStyle w:val="TableTextEntries"/>
              <w:rPr>
                <w:b w:val="0"/>
              </w:rPr>
            </w:pPr>
            <w:r w:rsidRPr="00504E7F">
              <w:rPr>
                <w:b w:val="0"/>
              </w:rPr>
              <w:t>July 2012</w:t>
            </w:r>
          </w:p>
        </w:tc>
        <w:tc>
          <w:tcPr>
            <w:tcW w:w="500" w:type="pct"/>
          </w:tcPr>
          <w:p w14:paraId="271180BD" w14:textId="77777777" w:rsidR="00A76780" w:rsidRPr="00504E7F" w:rsidRDefault="00A76780" w:rsidP="00504E7F">
            <w:pPr>
              <w:pStyle w:val="TableTextEntries"/>
              <w:rPr>
                <w:b w:val="0"/>
              </w:rPr>
            </w:pPr>
            <w:r w:rsidRPr="00504E7F">
              <w:rPr>
                <w:b w:val="0"/>
              </w:rPr>
              <w:t>November 2012</w:t>
            </w:r>
          </w:p>
        </w:tc>
        <w:tc>
          <w:tcPr>
            <w:tcW w:w="500" w:type="pct"/>
          </w:tcPr>
          <w:p w14:paraId="65848D67" w14:textId="77777777" w:rsidR="00A76780" w:rsidRPr="00504E7F" w:rsidRDefault="005E7D66" w:rsidP="00504E7F">
            <w:pPr>
              <w:pStyle w:val="TableTextEntries"/>
              <w:rPr>
                <w:b w:val="0"/>
              </w:rPr>
            </w:pPr>
            <w:r w:rsidRPr="00504E7F">
              <w:rPr>
                <w:b w:val="0"/>
              </w:rPr>
              <w:t>14 June 2013</w:t>
            </w:r>
          </w:p>
        </w:tc>
        <w:tc>
          <w:tcPr>
            <w:tcW w:w="500" w:type="pct"/>
          </w:tcPr>
          <w:p w14:paraId="293191D8" w14:textId="77777777" w:rsidR="00A76780" w:rsidRPr="00504E7F" w:rsidRDefault="00A76780" w:rsidP="00504E7F">
            <w:pPr>
              <w:pStyle w:val="TableTextEntries"/>
              <w:rPr>
                <w:b w:val="0"/>
              </w:rPr>
            </w:pPr>
            <w:r w:rsidRPr="00504E7F">
              <w:rPr>
                <w:b w:val="0"/>
              </w:rPr>
              <w:t>Yes</w:t>
            </w:r>
          </w:p>
        </w:tc>
      </w:tr>
      <w:tr w:rsidR="00A76780" w:rsidRPr="008F6B31" w14:paraId="4AA301F1"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4D5295F4" w14:textId="783D366C" w:rsidR="00A76780" w:rsidRPr="00504E7F" w:rsidRDefault="00A76780" w:rsidP="00504E7F">
            <w:pPr>
              <w:pStyle w:val="TableTextEntries"/>
              <w:rPr>
                <w:b w:val="0"/>
              </w:rPr>
            </w:pPr>
            <w:r w:rsidRPr="00504E7F">
              <w:rPr>
                <w:b w:val="0"/>
              </w:rPr>
              <w:t>U</w:t>
            </w:r>
            <w:r w:rsidR="00F35BAA" w:rsidRPr="00504E7F">
              <w:rPr>
                <w:b w:val="0"/>
              </w:rPr>
              <w:t xml:space="preserve">nited </w:t>
            </w:r>
            <w:r w:rsidRPr="00504E7F">
              <w:rPr>
                <w:b w:val="0"/>
              </w:rPr>
              <w:t>N</w:t>
            </w:r>
            <w:r w:rsidR="00F35BAA" w:rsidRPr="00504E7F">
              <w:rPr>
                <w:b w:val="0"/>
              </w:rPr>
              <w:t>ations</w:t>
            </w:r>
            <w:r w:rsidRPr="00504E7F">
              <w:rPr>
                <w:b w:val="0"/>
              </w:rPr>
              <w:t xml:space="preserve"> Maternal and Neonatal Mortality Reduction</w:t>
            </w:r>
          </w:p>
        </w:tc>
        <w:tc>
          <w:tcPr>
            <w:tcW w:w="500" w:type="pct"/>
          </w:tcPr>
          <w:p w14:paraId="744F8123" w14:textId="77777777" w:rsidR="00A76780" w:rsidRPr="00504E7F" w:rsidRDefault="00A76780" w:rsidP="00504E7F">
            <w:pPr>
              <w:pStyle w:val="TableTextEntries"/>
              <w:rPr>
                <w:b w:val="0"/>
              </w:rPr>
            </w:pPr>
            <w:r w:rsidRPr="00504E7F">
              <w:rPr>
                <w:b w:val="0"/>
              </w:rPr>
              <w:t>INJ251</w:t>
            </w:r>
          </w:p>
        </w:tc>
        <w:tc>
          <w:tcPr>
            <w:tcW w:w="771" w:type="pct"/>
          </w:tcPr>
          <w:p w14:paraId="291A1134" w14:textId="2B7CC093" w:rsidR="00A76780" w:rsidRPr="00504E7F" w:rsidRDefault="00A76780" w:rsidP="00504E7F">
            <w:pPr>
              <w:pStyle w:val="TableTextEntries"/>
              <w:rPr>
                <w:b w:val="0"/>
              </w:rPr>
            </w:pPr>
            <w:r w:rsidRPr="00504E7F">
              <w:rPr>
                <w:b w:val="0"/>
              </w:rPr>
              <w:t xml:space="preserve">Independent </w:t>
            </w:r>
            <w:r w:rsidR="00F35BAA" w:rsidRPr="00504E7F">
              <w:rPr>
                <w:b w:val="0"/>
              </w:rPr>
              <w:t>progress review</w:t>
            </w:r>
          </w:p>
        </w:tc>
        <w:tc>
          <w:tcPr>
            <w:tcW w:w="500" w:type="pct"/>
          </w:tcPr>
          <w:p w14:paraId="6812CA89" w14:textId="77777777" w:rsidR="00A76780" w:rsidRPr="00504E7F" w:rsidRDefault="00A76780" w:rsidP="00504E7F">
            <w:pPr>
              <w:pStyle w:val="TableTextEntries"/>
              <w:rPr>
                <w:b w:val="0"/>
              </w:rPr>
            </w:pPr>
            <w:r w:rsidRPr="00504E7F">
              <w:rPr>
                <w:b w:val="0"/>
              </w:rPr>
              <w:t>October 2012</w:t>
            </w:r>
          </w:p>
        </w:tc>
        <w:tc>
          <w:tcPr>
            <w:tcW w:w="500" w:type="pct"/>
          </w:tcPr>
          <w:p w14:paraId="33F0D106" w14:textId="77777777" w:rsidR="00A76780" w:rsidRPr="00504E7F" w:rsidRDefault="005E7D66" w:rsidP="00504E7F">
            <w:pPr>
              <w:pStyle w:val="TableTextEntries"/>
              <w:rPr>
                <w:b w:val="0"/>
              </w:rPr>
            </w:pPr>
            <w:r w:rsidRPr="00504E7F">
              <w:rPr>
                <w:b w:val="0"/>
              </w:rPr>
              <w:t>19 April 2013</w:t>
            </w:r>
          </w:p>
        </w:tc>
        <w:tc>
          <w:tcPr>
            <w:tcW w:w="500" w:type="pct"/>
          </w:tcPr>
          <w:p w14:paraId="388F9232" w14:textId="77777777" w:rsidR="00A76780" w:rsidRPr="00504E7F" w:rsidRDefault="005E7D66" w:rsidP="00504E7F">
            <w:pPr>
              <w:pStyle w:val="TableTextEntries"/>
              <w:rPr>
                <w:b w:val="0"/>
              </w:rPr>
            </w:pPr>
            <w:r w:rsidRPr="00504E7F">
              <w:rPr>
                <w:b w:val="0"/>
              </w:rPr>
              <w:t>NA</w:t>
            </w:r>
          </w:p>
        </w:tc>
        <w:tc>
          <w:tcPr>
            <w:tcW w:w="500" w:type="pct"/>
          </w:tcPr>
          <w:p w14:paraId="76E858C9" w14:textId="34B736DD" w:rsidR="00A76780" w:rsidRPr="00504E7F" w:rsidRDefault="008423D3" w:rsidP="00504E7F">
            <w:pPr>
              <w:pStyle w:val="TableTextEntries"/>
              <w:rPr>
                <w:b w:val="0"/>
              </w:rPr>
            </w:pPr>
            <w:r w:rsidRPr="00504E7F">
              <w:rPr>
                <w:b w:val="0"/>
              </w:rPr>
              <w:t>Yes</w:t>
            </w:r>
          </w:p>
        </w:tc>
      </w:tr>
      <w:tr w:rsidR="00A76780" w:rsidRPr="008F6B31" w14:paraId="3EA70CFB"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6A8E5C2E" w14:textId="77777777" w:rsidR="00A76780" w:rsidRPr="00504E7F" w:rsidRDefault="00A76780" w:rsidP="00504E7F">
            <w:pPr>
              <w:pStyle w:val="TableTextEntries"/>
              <w:rPr>
                <w:b w:val="0"/>
              </w:rPr>
            </w:pPr>
            <w:r w:rsidRPr="00504E7F">
              <w:rPr>
                <w:b w:val="0"/>
              </w:rPr>
              <w:t>Human Resource Organisational Development Facility</w:t>
            </w:r>
          </w:p>
        </w:tc>
        <w:tc>
          <w:tcPr>
            <w:tcW w:w="500" w:type="pct"/>
          </w:tcPr>
          <w:p w14:paraId="7273448C" w14:textId="77777777" w:rsidR="00A76780" w:rsidRPr="00504E7F" w:rsidRDefault="00A76780" w:rsidP="00504E7F">
            <w:pPr>
              <w:pStyle w:val="TableTextEntries"/>
              <w:rPr>
                <w:b w:val="0"/>
              </w:rPr>
            </w:pPr>
            <w:r w:rsidRPr="00504E7F">
              <w:rPr>
                <w:b w:val="0"/>
              </w:rPr>
              <w:t>INI294</w:t>
            </w:r>
          </w:p>
        </w:tc>
        <w:tc>
          <w:tcPr>
            <w:tcW w:w="771" w:type="pct"/>
          </w:tcPr>
          <w:p w14:paraId="4B19A805" w14:textId="191D8EC1" w:rsidR="00A76780" w:rsidRPr="00504E7F" w:rsidRDefault="00A76780" w:rsidP="00504E7F">
            <w:pPr>
              <w:pStyle w:val="TableTextEntries"/>
              <w:rPr>
                <w:b w:val="0"/>
              </w:rPr>
            </w:pPr>
            <w:r w:rsidRPr="00504E7F">
              <w:rPr>
                <w:b w:val="0"/>
              </w:rPr>
              <w:t xml:space="preserve">Independent </w:t>
            </w:r>
            <w:r w:rsidR="00F35BAA" w:rsidRPr="00504E7F">
              <w:rPr>
                <w:b w:val="0"/>
              </w:rPr>
              <w:t>progress evaluation</w:t>
            </w:r>
          </w:p>
        </w:tc>
        <w:tc>
          <w:tcPr>
            <w:tcW w:w="500" w:type="pct"/>
          </w:tcPr>
          <w:p w14:paraId="324F96B8" w14:textId="77777777" w:rsidR="00A76780" w:rsidRPr="00504E7F" w:rsidRDefault="00A76780" w:rsidP="00504E7F">
            <w:pPr>
              <w:pStyle w:val="TableTextEntries"/>
              <w:rPr>
                <w:b w:val="0"/>
              </w:rPr>
            </w:pPr>
            <w:r w:rsidRPr="00504E7F">
              <w:rPr>
                <w:b w:val="0"/>
              </w:rPr>
              <w:t>February 2012</w:t>
            </w:r>
          </w:p>
        </w:tc>
        <w:tc>
          <w:tcPr>
            <w:tcW w:w="500" w:type="pct"/>
          </w:tcPr>
          <w:p w14:paraId="3255CE96" w14:textId="77777777" w:rsidR="00A76780" w:rsidRPr="00504E7F" w:rsidRDefault="00B11970" w:rsidP="00504E7F">
            <w:pPr>
              <w:pStyle w:val="TableTextEntries"/>
              <w:rPr>
                <w:b w:val="0"/>
              </w:rPr>
            </w:pPr>
            <w:r w:rsidRPr="00504E7F">
              <w:rPr>
                <w:b w:val="0"/>
              </w:rPr>
              <w:t>21 May 2013</w:t>
            </w:r>
          </w:p>
        </w:tc>
        <w:tc>
          <w:tcPr>
            <w:tcW w:w="500" w:type="pct"/>
          </w:tcPr>
          <w:p w14:paraId="20E31DBF" w14:textId="308606E3" w:rsidR="00A76780" w:rsidRPr="00504E7F" w:rsidRDefault="00A76780" w:rsidP="00504E7F">
            <w:pPr>
              <w:pStyle w:val="TableTextEntries"/>
              <w:rPr>
                <w:b w:val="0"/>
              </w:rPr>
            </w:pPr>
          </w:p>
        </w:tc>
        <w:tc>
          <w:tcPr>
            <w:tcW w:w="500" w:type="pct"/>
          </w:tcPr>
          <w:p w14:paraId="43F8E647" w14:textId="73C07E98" w:rsidR="00A76780" w:rsidRPr="00504E7F" w:rsidRDefault="008423D3" w:rsidP="00504E7F">
            <w:pPr>
              <w:pStyle w:val="TableTextEntries"/>
              <w:rPr>
                <w:b w:val="0"/>
              </w:rPr>
            </w:pPr>
            <w:r w:rsidRPr="00504E7F">
              <w:rPr>
                <w:b w:val="0"/>
              </w:rPr>
              <w:t>Yes</w:t>
            </w:r>
          </w:p>
        </w:tc>
      </w:tr>
      <w:tr w:rsidR="00A76780" w:rsidRPr="008F6B31" w14:paraId="3751EC9C" w14:textId="77777777" w:rsidTr="00504E7F">
        <w:trPr>
          <w:cnfStyle w:val="100000000000" w:firstRow="1" w:lastRow="0" w:firstColumn="0" w:lastColumn="0" w:oddVBand="0" w:evenVBand="0" w:oddHBand="0" w:evenHBand="0" w:firstRowFirstColumn="0" w:firstRowLastColumn="0" w:lastRowFirstColumn="0" w:lastRowLastColumn="0"/>
        </w:trPr>
        <w:tc>
          <w:tcPr>
            <w:tcW w:w="721" w:type="pct"/>
          </w:tcPr>
          <w:p w14:paraId="29A9D532" w14:textId="77777777" w:rsidR="00A76780" w:rsidRPr="00504E7F" w:rsidRDefault="00A76780" w:rsidP="00504E7F">
            <w:pPr>
              <w:pStyle w:val="TableTextEntries"/>
              <w:rPr>
                <w:b w:val="0"/>
              </w:rPr>
            </w:pPr>
            <w:r w:rsidRPr="00504E7F">
              <w:rPr>
                <w:b w:val="0"/>
              </w:rPr>
              <w:t>Malaria Control and Prevention Project</w:t>
            </w:r>
          </w:p>
        </w:tc>
        <w:tc>
          <w:tcPr>
            <w:tcW w:w="500" w:type="pct"/>
          </w:tcPr>
          <w:p w14:paraId="7364BB19" w14:textId="77777777" w:rsidR="00A76780" w:rsidRPr="00504E7F" w:rsidRDefault="00A76780" w:rsidP="00504E7F">
            <w:pPr>
              <w:pStyle w:val="TableTextEntries"/>
              <w:rPr>
                <w:b w:val="0"/>
              </w:rPr>
            </w:pPr>
            <w:r w:rsidRPr="00504E7F">
              <w:rPr>
                <w:b w:val="0"/>
              </w:rPr>
              <w:t>INC357</w:t>
            </w:r>
          </w:p>
        </w:tc>
        <w:tc>
          <w:tcPr>
            <w:tcW w:w="771" w:type="pct"/>
          </w:tcPr>
          <w:p w14:paraId="7A6AA969" w14:textId="234E2EE0" w:rsidR="00A76780" w:rsidRPr="00504E7F" w:rsidRDefault="00A76780" w:rsidP="00504E7F">
            <w:pPr>
              <w:pStyle w:val="TableTextEntries"/>
              <w:rPr>
                <w:b w:val="0"/>
              </w:rPr>
            </w:pPr>
            <w:r w:rsidRPr="00504E7F">
              <w:rPr>
                <w:b w:val="0"/>
              </w:rPr>
              <w:t>Ex-</w:t>
            </w:r>
            <w:r w:rsidR="00F35BAA" w:rsidRPr="00504E7F">
              <w:rPr>
                <w:b w:val="0"/>
              </w:rPr>
              <w:t>post evaluation</w:t>
            </w:r>
          </w:p>
        </w:tc>
        <w:tc>
          <w:tcPr>
            <w:tcW w:w="500" w:type="pct"/>
          </w:tcPr>
          <w:p w14:paraId="68F220BF" w14:textId="77777777" w:rsidR="00A76780" w:rsidRPr="00504E7F" w:rsidRDefault="00A76780" w:rsidP="00504E7F">
            <w:pPr>
              <w:pStyle w:val="TableTextEntries"/>
              <w:rPr>
                <w:b w:val="0"/>
              </w:rPr>
            </w:pPr>
            <w:r w:rsidRPr="00504E7F">
              <w:rPr>
                <w:b w:val="0"/>
              </w:rPr>
              <w:t>October 2012</w:t>
            </w:r>
          </w:p>
        </w:tc>
        <w:tc>
          <w:tcPr>
            <w:tcW w:w="500" w:type="pct"/>
          </w:tcPr>
          <w:p w14:paraId="2BDF261D" w14:textId="77777777" w:rsidR="00A76780" w:rsidRPr="00504E7F" w:rsidRDefault="00B11970" w:rsidP="00504E7F">
            <w:pPr>
              <w:pStyle w:val="TableTextEntries"/>
              <w:rPr>
                <w:b w:val="0"/>
              </w:rPr>
            </w:pPr>
            <w:r w:rsidRPr="00504E7F">
              <w:rPr>
                <w:b w:val="0"/>
              </w:rPr>
              <w:t>26 June 2013</w:t>
            </w:r>
          </w:p>
        </w:tc>
        <w:tc>
          <w:tcPr>
            <w:tcW w:w="500" w:type="pct"/>
          </w:tcPr>
          <w:p w14:paraId="2AC60180" w14:textId="77777777" w:rsidR="00A76780" w:rsidRPr="00504E7F" w:rsidRDefault="00B11970" w:rsidP="00504E7F">
            <w:pPr>
              <w:pStyle w:val="TableTextEntries"/>
              <w:rPr>
                <w:b w:val="0"/>
              </w:rPr>
            </w:pPr>
            <w:r w:rsidRPr="00504E7F">
              <w:rPr>
                <w:b w:val="0"/>
              </w:rPr>
              <w:t>NA</w:t>
            </w:r>
          </w:p>
        </w:tc>
        <w:tc>
          <w:tcPr>
            <w:tcW w:w="500" w:type="pct"/>
          </w:tcPr>
          <w:p w14:paraId="0934529C" w14:textId="3AC583E8" w:rsidR="00A76780" w:rsidRPr="00504E7F" w:rsidRDefault="008423D3" w:rsidP="00504E7F">
            <w:pPr>
              <w:pStyle w:val="TableTextEntries"/>
              <w:rPr>
                <w:b w:val="0"/>
              </w:rPr>
            </w:pPr>
            <w:r w:rsidRPr="00504E7F">
              <w:rPr>
                <w:b w:val="0"/>
              </w:rPr>
              <w:t>Yes</w:t>
            </w:r>
          </w:p>
        </w:tc>
      </w:tr>
    </w:tbl>
    <w:p w14:paraId="5CEEF084" w14:textId="77777777" w:rsidR="00071B95" w:rsidRPr="008F6B31" w:rsidRDefault="00071B95" w:rsidP="00071B95">
      <w:pPr>
        <w:rPr>
          <w:b/>
        </w:rPr>
      </w:pPr>
    </w:p>
    <w:p w14:paraId="558DDB9B" w14:textId="77777777" w:rsidR="00071B95" w:rsidRPr="008F6B31" w:rsidRDefault="00071B95" w:rsidP="00071B95">
      <w:pPr>
        <w:pStyle w:val="Caption"/>
      </w:pPr>
      <w:r w:rsidRPr="008F6B31">
        <w:t xml:space="preserve">List of evaluations planned in the next 12 months </w:t>
      </w:r>
    </w:p>
    <w:tbl>
      <w:tblPr>
        <w:tblStyle w:val="APPR1"/>
        <w:tblW w:w="5000" w:type="pct"/>
        <w:tblLook w:val="0600" w:firstRow="0" w:lastRow="0" w:firstColumn="0" w:lastColumn="0" w:noHBand="1" w:noVBand="1"/>
      </w:tblPr>
      <w:tblGrid>
        <w:gridCol w:w="3090"/>
        <w:gridCol w:w="1564"/>
        <w:gridCol w:w="3087"/>
        <w:gridCol w:w="3087"/>
        <w:gridCol w:w="3107"/>
      </w:tblGrid>
      <w:tr w:rsidR="00A76780" w:rsidRPr="008F6B31" w14:paraId="7F3C890B" w14:textId="77777777" w:rsidTr="00504E7F">
        <w:tc>
          <w:tcPr>
            <w:tcW w:w="991" w:type="pct"/>
          </w:tcPr>
          <w:p w14:paraId="3E2EB97A" w14:textId="27D07715" w:rsidR="00A76780" w:rsidRPr="008F6B31" w:rsidRDefault="00A76780" w:rsidP="00504E7F">
            <w:pPr>
              <w:pStyle w:val="TableTextColumnHeading"/>
            </w:pPr>
            <w:r w:rsidRPr="008F6B31">
              <w:t xml:space="preserve">Name of </w:t>
            </w:r>
            <w:r w:rsidR="00F35BAA">
              <w:t>i</w:t>
            </w:r>
            <w:r w:rsidR="00F35BAA" w:rsidRPr="008F6B31">
              <w:t>nitiative</w:t>
            </w:r>
          </w:p>
        </w:tc>
        <w:tc>
          <w:tcPr>
            <w:tcW w:w="500" w:type="pct"/>
          </w:tcPr>
          <w:p w14:paraId="218E53F1" w14:textId="01F87446" w:rsidR="00A76780" w:rsidRPr="008F6B31" w:rsidRDefault="007D56BD" w:rsidP="00504E7F">
            <w:pPr>
              <w:pStyle w:val="TableTextColumnHeading"/>
            </w:pPr>
            <w:proofErr w:type="spellStart"/>
            <w:r w:rsidRPr="008F6B31">
              <w:t>Aid</w:t>
            </w:r>
            <w:r w:rsidR="00D94918">
              <w:t>w</w:t>
            </w:r>
            <w:r w:rsidRPr="008F6B31">
              <w:t>orks</w:t>
            </w:r>
            <w:proofErr w:type="spellEnd"/>
            <w:r w:rsidR="00A76780" w:rsidRPr="008F6B31">
              <w:t xml:space="preserve"> number</w:t>
            </w:r>
          </w:p>
        </w:tc>
        <w:tc>
          <w:tcPr>
            <w:tcW w:w="995" w:type="pct"/>
          </w:tcPr>
          <w:p w14:paraId="6C36F720" w14:textId="77777777" w:rsidR="00A76780" w:rsidRPr="008F6B31" w:rsidRDefault="00A76780" w:rsidP="00504E7F">
            <w:pPr>
              <w:pStyle w:val="TableTextColumnHeading"/>
            </w:pPr>
            <w:r w:rsidRPr="008F6B31">
              <w:t>Type of evaluation</w:t>
            </w:r>
          </w:p>
        </w:tc>
        <w:tc>
          <w:tcPr>
            <w:tcW w:w="995" w:type="pct"/>
          </w:tcPr>
          <w:p w14:paraId="13B377C5" w14:textId="77777777" w:rsidR="00A76780" w:rsidRPr="008F6B31" w:rsidRDefault="00A76780" w:rsidP="00504E7F">
            <w:pPr>
              <w:pStyle w:val="TableTextColumnHeading"/>
            </w:pPr>
            <w:r w:rsidRPr="008F6B31">
              <w:t>Purpose of evaluation</w:t>
            </w:r>
            <w:r w:rsidRPr="008F6B31">
              <w:rPr>
                <w:vertAlign w:val="superscript"/>
              </w:rPr>
              <w:footnoteReference w:id="20"/>
            </w:r>
          </w:p>
        </w:tc>
        <w:tc>
          <w:tcPr>
            <w:tcW w:w="997" w:type="pct"/>
          </w:tcPr>
          <w:p w14:paraId="67067ED4" w14:textId="77777777" w:rsidR="00A76780" w:rsidRPr="008F6B31" w:rsidRDefault="00A76780" w:rsidP="00504E7F">
            <w:pPr>
              <w:pStyle w:val="TableTextColumnHeading"/>
            </w:pPr>
            <w:r w:rsidRPr="008F6B31">
              <w:t>Expected completion date</w:t>
            </w:r>
          </w:p>
        </w:tc>
      </w:tr>
      <w:tr w:rsidR="00A76780" w:rsidRPr="008F6B31" w14:paraId="5339339A" w14:textId="77777777" w:rsidTr="00504E7F">
        <w:tc>
          <w:tcPr>
            <w:tcW w:w="991" w:type="pct"/>
          </w:tcPr>
          <w:p w14:paraId="506258C4" w14:textId="77777777" w:rsidR="00A76780" w:rsidRPr="008F6B31" w:rsidRDefault="00A76780" w:rsidP="00504E7F">
            <w:pPr>
              <w:pStyle w:val="TableTextEntries"/>
            </w:pPr>
            <w:r w:rsidRPr="008F6B31">
              <w:t>Basic Education Sector Reform (SPHERE)</w:t>
            </w:r>
          </w:p>
        </w:tc>
        <w:tc>
          <w:tcPr>
            <w:tcW w:w="500" w:type="pct"/>
          </w:tcPr>
          <w:p w14:paraId="67F43516" w14:textId="77777777" w:rsidR="00A76780" w:rsidRPr="008F6B31" w:rsidRDefault="00A76780" w:rsidP="00504E7F">
            <w:pPr>
              <w:pStyle w:val="TableTextEntries"/>
            </w:pPr>
            <w:r w:rsidRPr="008F6B31">
              <w:t>ING912</w:t>
            </w:r>
          </w:p>
        </w:tc>
        <w:tc>
          <w:tcPr>
            <w:tcW w:w="995" w:type="pct"/>
          </w:tcPr>
          <w:p w14:paraId="1EA57DB0" w14:textId="24AEAAA2" w:rsidR="00A76780" w:rsidRPr="008F6B31" w:rsidRDefault="00A76780" w:rsidP="00504E7F">
            <w:pPr>
              <w:pStyle w:val="TableTextEntries"/>
            </w:pPr>
            <w:r w:rsidRPr="008F6B31">
              <w:t xml:space="preserve">Independent </w:t>
            </w:r>
            <w:r w:rsidR="00F35BAA" w:rsidRPr="008F6B31">
              <w:t>completion r</w:t>
            </w:r>
            <w:r w:rsidRPr="008F6B31">
              <w:t>eview</w:t>
            </w:r>
          </w:p>
        </w:tc>
        <w:tc>
          <w:tcPr>
            <w:tcW w:w="995" w:type="pct"/>
          </w:tcPr>
          <w:p w14:paraId="4DD3839B" w14:textId="3FBBE885" w:rsidR="00A76780" w:rsidRPr="008F6B31" w:rsidRDefault="00A76780" w:rsidP="00504E7F">
            <w:pPr>
              <w:pStyle w:val="TableTextEntries"/>
            </w:pPr>
            <w:r w:rsidRPr="008F6B31">
              <w:t>Assess initiative outcomes</w:t>
            </w:r>
            <w:r w:rsidR="00F35BAA">
              <w:t>.</w:t>
            </w:r>
            <w:r w:rsidR="00F35BAA" w:rsidRPr="008F6B31">
              <w:t xml:space="preserve"> </w:t>
            </w:r>
            <w:r w:rsidRPr="008F6B31">
              <w:t xml:space="preserve">Inform the development of future program/s </w:t>
            </w:r>
          </w:p>
        </w:tc>
        <w:tc>
          <w:tcPr>
            <w:tcW w:w="997" w:type="pct"/>
          </w:tcPr>
          <w:p w14:paraId="466CB3C4" w14:textId="5B2529D2" w:rsidR="00A76780" w:rsidRPr="008F6B31" w:rsidRDefault="00B11970" w:rsidP="00504E7F">
            <w:pPr>
              <w:pStyle w:val="TableTextEntries"/>
            </w:pPr>
            <w:r>
              <w:t>July</w:t>
            </w:r>
            <w:r w:rsidR="00A76780" w:rsidRPr="008F6B31">
              <w:t xml:space="preserve"> 201</w:t>
            </w:r>
            <w:r w:rsidR="00FB540D" w:rsidRPr="008F6B31">
              <w:t>3</w:t>
            </w:r>
          </w:p>
        </w:tc>
      </w:tr>
      <w:tr w:rsidR="00A76780" w:rsidRPr="008F6B31" w14:paraId="67427376" w14:textId="77777777" w:rsidTr="00504E7F">
        <w:tc>
          <w:tcPr>
            <w:tcW w:w="991" w:type="pct"/>
          </w:tcPr>
          <w:p w14:paraId="547D8D23" w14:textId="77777777" w:rsidR="00A76780" w:rsidRPr="008F6B31" w:rsidRDefault="00A76780" w:rsidP="00504E7F">
            <w:pPr>
              <w:pStyle w:val="TableTextEntries"/>
            </w:pPr>
            <w:r w:rsidRPr="008F6B31">
              <w:t>Strengthening Public Private Partnership Program</w:t>
            </w:r>
          </w:p>
        </w:tc>
        <w:tc>
          <w:tcPr>
            <w:tcW w:w="500" w:type="pct"/>
          </w:tcPr>
          <w:p w14:paraId="6F9C4AA8" w14:textId="77777777" w:rsidR="00A76780" w:rsidRPr="008F6B31" w:rsidRDefault="00A76780" w:rsidP="00504E7F">
            <w:pPr>
              <w:pStyle w:val="TableTextEntries"/>
            </w:pPr>
            <w:r w:rsidRPr="008F6B31">
              <w:t>INJ766</w:t>
            </w:r>
          </w:p>
        </w:tc>
        <w:tc>
          <w:tcPr>
            <w:tcW w:w="995" w:type="pct"/>
          </w:tcPr>
          <w:p w14:paraId="59E91228" w14:textId="4FA085B8" w:rsidR="00A76780" w:rsidRPr="008F6B31" w:rsidRDefault="00A2202C" w:rsidP="00504E7F">
            <w:pPr>
              <w:pStyle w:val="TableTextEntries"/>
            </w:pPr>
            <w:r>
              <w:t>Mid</w:t>
            </w:r>
            <w:r w:rsidR="00D94918">
              <w:t>-</w:t>
            </w:r>
            <w:r w:rsidR="00F35BAA">
              <w:t>term r</w:t>
            </w:r>
            <w:r>
              <w:t>eview</w:t>
            </w:r>
          </w:p>
        </w:tc>
        <w:tc>
          <w:tcPr>
            <w:tcW w:w="995" w:type="pct"/>
          </w:tcPr>
          <w:p w14:paraId="5D6A5D93" w14:textId="26D419F9" w:rsidR="00A76780" w:rsidRPr="008F6B31" w:rsidRDefault="00A2202C" w:rsidP="00504E7F">
            <w:pPr>
              <w:pStyle w:val="TableTextEntries"/>
            </w:pPr>
            <w:r>
              <w:t xml:space="preserve">Planning for </w:t>
            </w:r>
            <w:r w:rsidR="00F35BAA">
              <w:t>sustainability</w:t>
            </w:r>
          </w:p>
        </w:tc>
        <w:tc>
          <w:tcPr>
            <w:tcW w:w="997" w:type="pct"/>
          </w:tcPr>
          <w:p w14:paraId="5494B076" w14:textId="77777777" w:rsidR="00A76780" w:rsidRPr="008F6B31" w:rsidRDefault="002A5719" w:rsidP="00504E7F">
            <w:pPr>
              <w:pStyle w:val="TableTextEntries"/>
            </w:pPr>
            <w:r>
              <w:t>July 2013</w:t>
            </w:r>
          </w:p>
        </w:tc>
      </w:tr>
      <w:tr w:rsidR="00A76780" w:rsidRPr="008F6B31" w14:paraId="7F531133" w14:textId="77777777" w:rsidTr="00504E7F">
        <w:tc>
          <w:tcPr>
            <w:tcW w:w="991" w:type="pct"/>
          </w:tcPr>
          <w:p w14:paraId="7B54527A" w14:textId="4CF86D86" w:rsidR="00A76780" w:rsidRPr="008F6B31" w:rsidRDefault="00A76780" w:rsidP="00504E7F">
            <w:pPr>
              <w:pStyle w:val="TableTextEntries"/>
            </w:pPr>
            <w:r w:rsidRPr="008F6B31">
              <w:t>AusAID The Asia Foundation Partnership Philippines</w:t>
            </w:r>
          </w:p>
        </w:tc>
        <w:tc>
          <w:tcPr>
            <w:tcW w:w="500" w:type="pct"/>
          </w:tcPr>
          <w:p w14:paraId="6CECFFA3" w14:textId="77777777" w:rsidR="00A76780" w:rsidRPr="008F6B31" w:rsidRDefault="00A76780" w:rsidP="00504E7F">
            <w:pPr>
              <w:pStyle w:val="TableTextEntries"/>
            </w:pPr>
            <w:r w:rsidRPr="008F6B31">
              <w:t>INJ839</w:t>
            </w:r>
          </w:p>
        </w:tc>
        <w:tc>
          <w:tcPr>
            <w:tcW w:w="995" w:type="pct"/>
          </w:tcPr>
          <w:p w14:paraId="5B181104" w14:textId="2622F3F5" w:rsidR="00A76780" w:rsidRPr="008F6B31" w:rsidRDefault="00A76780" w:rsidP="00504E7F">
            <w:pPr>
              <w:pStyle w:val="TableTextEntries"/>
            </w:pPr>
            <w:r w:rsidRPr="008F6B31">
              <w:t xml:space="preserve">Progress </w:t>
            </w:r>
            <w:r w:rsidR="00F35BAA">
              <w:t>r</w:t>
            </w:r>
            <w:r w:rsidR="00F35BAA" w:rsidRPr="008F6B31">
              <w:t>eview</w:t>
            </w:r>
          </w:p>
        </w:tc>
        <w:tc>
          <w:tcPr>
            <w:tcW w:w="995" w:type="pct"/>
          </w:tcPr>
          <w:p w14:paraId="4551A995" w14:textId="6343CCB1" w:rsidR="00A76780" w:rsidRPr="008F6B31" w:rsidRDefault="00970E75" w:rsidP="00504E7F">
            <w:pPr>
              <w:pStyle w:val="TableTextEntries"/>
            </w:pPr>
            <w:r w:rsidRPr="008F6B31">
              <w:t xml:space="preserve">Inform the decision and key considerations for any additional funding and continue the </w:t>
            </w:r>
            <w:r w:rsidR="00F35BAA">
              <w:t>p</w:t>
            </w:r>
            <w:r w:rsidR="00F35BAA" w:rsidRPr="008F6B31">
              <w:t xml:space="preserve">artnership </w:t>
            </w:r>
            <w:r w:rsidRPr="008F6B31">
              <w:t>and its activities beyond June 2014</w:t>
            </w:r>
          </w:p>
        </w:tc>
        <w:tc>
          <w:tcPr>
            <w:tcW w:w="997" w:type="pct"/>
          </w:tcPr>
          <w:p w14:paraId="68E39EE1" w14:textId="77777777" w:rsidR="00A76780" w:rsidRPr="008F6B31" w:rsidRDefault="00970E75" w:rsidP="00504E7F">
            <w:pPr>
              <w:pStyle w:val="TableTextEntries"/>
            </w:pPr>
            <w:r w:rsidRPr="008F6B31">
              <w:t>November 2013</w:t>
            </w:r>
          </w:p>
        </w:tc>
      </w:tr>
      <w:tr w:rsidR="00A76780" w:rsidRPr="008F6B31" w14:paraId="5E3EFE74" w14:textId="77777777" w:rsidTr="00504E7F">
        <w:tc>
          <w:tcPr>
            <w:tcW w:w="991" w:type="pct"/>
          </w:tcPr>
          <w:p w14:paraId="30C7CE36" w14:textId="3BC247EA" w:rsidR="00A76780" w:rsidRPr="008F6B31" w:rsidRDefault="00A76780" w:rsidP="00504E7F">
            <w:pPr>
              <w:pStyle w:val="TableTextEntries"/>
            </w:pPr>
            <w:r w:rsidRPr="008F6B31">
              <w:t xml:space="preserve">Building Disaster Resilience of Manila Communities </w:t>
            </w:r>
          </w:p>
        </w:tc>
        <w:tc>
          <w:tcPr>
            <w:tcW w:w="500" w:type="pct"/>
          </w:tcPr>
          <w:p w14:paraId="7C3EAAAE" w14:textId="77777777" w:rsidR="00A76780" w:rsidRPr="008F6B31" w:rsidRDefault="00A76780" w:rsidP="00504E7F">
            <w:pPr>
              <w:pStyle w:val="TableTextEntries"/>
            </w:pPr>
            <w:r w:rsidRPr="008F6B31">
              <w:t>INJ138</w:t>
            </w:r>
          </w:p>
        </w:tc>
        <w:tc>
          <w:tcPr>
            <w:tcW w:w="995" w:type="pct"/>
          </w:tcPr>
          <w:p w14:paraId="0B26D6D7" w14:textId="2145E642" w:rsidR="00A76780" w:rsidRPr="008F6B31" w:rsidRDefault="00A76780" w:rsidP="00504E7F">
            <w:pPr>
              <w:pStyle w:val="TableTextEntries"/>
            </w:pPr>
            <w:r w:rsidRPr="008F6B31">
              <w:t xml:space="preserve">Independent </w:t>
            </w:r>
            <w:r w:rsidR="00F35BAA" w:rsidRPr="008F6B31">
              <w:t>completion review</w:t>
            </w:r>
          </w:p>
        </w:tc>
        <w:tc>
          <w:tcPr>
            <w:tcW w:w="995" w:type="pct"/>
          </w:tcPr>
          <w:p w14:paraId="6C0CB2DF" w14:textId="274DA1B1" w:rsidR="00A76780" w:rsidRPr="008F6B31" w:rsidRDefault="00A76780" w:rsidP="00504E7F">
            <w:pPr>
              <w:pStyle w:val="TableTextEntries"/>
            </w:pPr>
            <w:r w:rsidRPr="008F6B31">
              <w:t>Learning purposes and to inform the design of a new program</w:t>
            </w:r>
          </w:p>
        </w:tc>
        <w:tc>
          <w:tcPr>
            <w:tcW w:w="997" w:type="pct"/>
          </w:tcPr>
          <w:p w14:paraId="3E36FAC4" w14:textId="77777777" w:rsidR="00A76780" w:rsidRPr="008F6B31" w:rsidRDefault="00A76780" w:rsidP="00504E7F">
            <w:pPr>
              <w:pStyle w:val="TableTextEntries"/>
            </w:pPr>
            <w:r w:rsidRPr="008F6B31">
              <w:t>December 2013</w:t>
            </w:r>
          </w:p>
        </w:tc>
      </w:tr>
      <w:tr w:rsidR="00A76780" w:rsidRPr="008F6B31" w14:paraId="540CF25F" w14:textId="77777777" w:rsidTr="00504E7F">
        <w:tc>
          <w:tcPr>
            <w:tcW w:w="991" w:type="pct"/>
          </w:tcPr>
          <w:p w14:paraId="31B48C65" w14:textId="77777777" w:rsidR="00A76780" w:rsidRPr="008F6B31" w:rsidRDefault="00A76780" w:rsidP="00504E7F">
            <w:pPr>
              <w:pStyle w:val="TableTextEntries"/>
            </w:pPr>
            <w:r w:rsidRPr="008F6B31">
              <w:t>Philippines: Disaster and Climate Risks Management (Integration Program)</w:t>
            </w:r>
          </w:p>
        </w:tc>
        <w:tc>
          <w:tcPr>
            <w:tcW w:w="500" w:type="pct"/>
          </w:tcPr>
          <w:p w14:paraId="767AD9E0" w14:textId="77777777" w:rsidR="00A76780" w:rsidRPr="008F6B31" w:rsidRDefault="00A76780" w:rsidP="00504E7F">
            <w:pPr>
              <w:pStyle w:val="TableTextEntries"/>
            </w:pPr>
            <w:r w:rsidRPr="008F6B31">
              <w:t>ING581</w:t>
            </w:r>
          </w:p>
        </w:tc>
        <w:tc>
          <w:tcPr>
            <w:tcW w:w="995" w:type="pct"/>
          </w:tcPr>
          <w:p w14:paraId="620568C0" w14:textId="23D3C924" w:rsidR="00A76780" w:rsidRPr="008F6B31" w:rsidRDefault="00A76780" w:rsidP="00504E7F">
            <w:pPr>
              <w:pStyle w:val="TableTextEntries"/>
            </w:pPr>
            <w:r w:rsidRPr="008F6B31">
              <w:t xml:space="preserve">Independent </w:t>
            </w:r>
            <w:r w:rsidR="00F35BAA" w:rsidRPr="008F6B31">
              <w:t>completion r</w:t>
            </w:r>
            <w:r w:rsidRPr="008F6B31">
              <w:t>eview</w:t>
            </w:r>
          </w:p>
        </w:tc>
        <w:tc>
          <w:tcPr>
            <w:tcW w:w="995" w:type="pct"/>
          </w:tcPr>
          <w:p w14:paraId="049069B1" w14:textId="6840DA4A" w:rsidR="00A76780" w:rsidRPr="008F6B31" w:rsidRDefault="00A76780" w:rsidP="00504E7F">
            <w:pPr>
              <w:pStyle w:val="TableTextEntries"/>
            </w:pPr>
            <w:r w:rsidRPr="008F6B31">
              <w:t>Learning purposes and to inform the design of a new program</w:t>
            </w:r>
          </w:p>
        </w:tc>
        <w:tc>
          <w:tcPr>
            <w:tcW w:w="997" w:type="pct"/>
          </w:tcPr>
          <w:p w14:paraId="333359E8" w14:textId="77777777" w:rsidR="00A76780" w:rsidRPr="008F6B31" w:rsidRDefault="00A76780" w:rsidP="00504E7F">
            <w:pPr>
              <w:pStyle w:val="TableTextEntries"/>
            </w:pPr>
            <w:r w:rsidRPr="008F6B31">
              <w:t>December 2013</w:t>
            </w:r>
          </w:p>
        </w:tc>
      </w:tr>
      <w:tr w:rsidR="00A76780" w:rsidRPr="008F6B31" w14:paraId="1AEB74BB" w14:textId="77777777" w:rsidTr="00504E7F">
        <w:tc>
          <w:tcPr>
            <w:tcW w:w="991" w:type="pct"/>
          </w:tcPr>
          <w:p w14:paraId="0FBAFF3B" w14:textId="06CD1225" w:rsidR="00A76780" w:rsidRPr="008F6B31" w:rsidRDefault="00A76780" w:rsidP="005333FF">
            <w:pPr>
              <w:pStyle w:val="TableTextEntries"/>
            </w:pPr>
            <w:r w:rsidRPr="008F6B31">
              <w:t>Basic Education Assistance for ARMM (</w:t>
            </w:r>
            <w:r w:rsidR="005333FF">
              <w:t>Australian Government</w:t>
            </w:r>
            <w:r w:rsidRPr="008F6B31">
              <w:t xml:space="preserve">-GIZ </w:t>
            </w:r>
            <w:r w:rsidR="00F35BAA" w:rsidRPr="008F6B31">
              <w:t xml:space="preserve">delegated cooperation on school </w:t>
            </w:r>
            <w:r w:rsidRPr="008F6B31">
              <w:t>Health)</w:t>
            </w:r>
          </w:p>
        </w:tc>
        <w:tc>
          <w:tcPr>
            <w:tcW w:w="500" w:type="pct"/>
          </w:tcPr>
          <w:p w14:paraId="13DE304F" w14:textId="77777777" w:rsidR="00A76780" w:rsidRPr="008F6B31" w:rsidRDefault="00A76780" w:rsidP="00504E7F">
            <w:pPr>
              <w:pStyle w:val="TableTextEntries"/>
            </w:pPr>
            <w:r w:rsidRPr="008F6B31">
              <w:t>INH947 (11A450)</w:t>
            </w:r>
          </w:p>
        </w:tc>
        <w:tc>
          <w:tcPr>
            <w:tcW w:w="995" w:type="pct"/>
          </w:tcPr>
          <w:p w14:paraId="4DF0112D" w14:textId="02210856" w:rsidR="00A76780" w:rsidRPr="008F6B31" w:rsidRDefault="00A76780" w:rsidP="00504E7F">
            <w:pPr>
              <w:pStyle w:val="TableTextEntries"/>
            </w:pPr>
            <w:r w:rsidRPr="008F6B31">
              <w:t xml:space="preserve">Independent </w:t>
            </w:r>
            <w:r w:rsidR="00F35BAA" w:rsidRPr="008F6B31">
              <w:t>progress r</w:t>
            </w:r>
            <w:r w:rsidRPr="008F6B31">
              <w:t>eview</w:t>
            </w:r>
          </w:p>
        </w:tc>
        <w:tc>
          <w:tcPr>
            <w:tcW w:w="995" w:type="pct"/>
          </w:tcPr>
          <w:p w14:paraId="0DCFDA52" w14:textId="77777777" w:rsidR="00A76780" w:rsidRPr="008F6B31" w:rsidRDefault="00A76780" w:rsidP="00504E7F">
            <w:pPr>
              <w:pStyle w:val="TableTextEntries"/>
            </w:pPr>
            <w:r w:rsidRPr="008F6B31">
              <w:t>Review implementation progress to inform preparation of FMA9-10 for additional funding of a possible scale-up</w:t>
            </w:r>
          </w:p>
        </w:tc>
        <w:tc>
          <w:tcPr>
            <w:tcW w:w="997" w:type="pct"/>
          </w:tcPr>
          <w:p w14:paraId="79F72FA3" w14:textId="77777777" w:rsidR="00A76780" w:rsidRPr="008F6B31" w:rsidRDefault="00A76780" w:rsidP="00504E7F">
            <w:pPr>
              <w:pStyle w:val="TableTextEntries"/>
            </w:pPr>
            <w:r w:rsidRPr="008F6B31">
              <w:t>July 2013</w:t>
            </w:r>
          </w:p>
        </w:tc>
      </w:tr>
      <w:tr w:rsidR="00A76780" w:rsidRPr="008F6B31" w14:paraId="6881AD81" w14:textId="77777777" w:rsidTr="00504E7F">
        <w:tc>
          <w:tcPr>
            <w:tcW w:w="991" w:type="pct"/>
          </w:tcPr>
          <w:p w14:paraId="55E9EECB" w14:textId="2D906A55" w:rsidR="00A76780" w:rsidRPr="008F6B31" w:rsidRDefault="00A76780" w:rsidP="00625167">
            <w:pPr>
              <w:pStyle w:val="TableTextEntries"/>
            </w:pPr>
            <w:r w:rsidRPr="008F6B31">
              <w:t xml:space="preserve">Philippines Social Protection </w:t>
            </w:r>
            <w:r w:rsidR="00A47A1C" w:rsidRPr="00A47A1C">
              <w:t>t</w:t>
            </w:r>
            <w:r w:rsidR="00A47A1C" w:rsidRPr="007D5CE3">
              <w:t>echnical assistance</w:t>
            </w:r>
            <w:r w:rsidRPr="008F6B31">
              <w:t xml:space="preserve"> </w:t>
            </w:r>
            <w:r w:rsidR="00A47A1C">
              <w:t>u</w:t>
            </w:r>
            <w:r w:rsidR="00A47A1C" w:rsidRPr="008F6B31">
              <w:t xml:space="preserve">nit </w:t>
            </w:r>
            <w:r w:rsidRPr="008F6B31">
              <w:t>for Department of Social Welfare and Development Social Protecti</w:t>
            </w:r>
            <w:r w:rsidR="00FB540D" w:rsidRPr="008F6B31">
              <w:t>on Reform Facility</w:t>
            </w:r>
          </w:p>
        </w:tc>
        <w:tc>
          <w:tcPr>
            <w:tcW w:w="500" w:type="pct"/>
          </w:tcPr>
          <w:p w14:paraId="0A7AB8D1" w14:textId="77777777" w:rsidR="00A76780" w:rsidRPr="008F6B31" w:rsidRDefault="00A76780" w:rsidP="00504E7F">
            <w:pPr>
              <w:pStyle w:val="TableTextEntries"/>
            </w:pPr>
            <w:r w:rsidRPr="008F6B31">
              <w:t>INI428 (55809)</w:t>
            </w:r>
          </w:p>
        </w:tc>
        <w:tc>
          <w:tcPr>
            <w:tcW w:w="995" w:type="pct"/>
          </w:tcPr>
          <w:p w14:paraId="2110DFF4" w14:textId="46B768B5" w:rsidR="00A76780" w:rsidRPr="008F6B31" w:rsidRDefault="00A76780" w:rsidP="00504E7F">
            <w:pPr>
              <w:pStyle w:val="TableTextEntries"/>
            </w:pPr>
            <w:r w:rsidRPr="008F6B31">
              <w:t xml:space="preserve">Independent </w:t>
            </w:r>
            <w:r w:rsidR="00F35BAA" w:rsidRPr="008F6B31">
              <w:t>progress review</w:t>
            </w:r>
          </w:p>
        </w:tc>
        <w:tc>
          <w:tcPr>
            <w:tcW w:w="995" w:type="pct"/>
          </w:tcPr>
          <w:p w14:paraId="1F6C45B2" w14:textId="77777777" w:rsidR="00A76780" w:rsidRPr="008F6B31" w:rsidRDefault="00A76780" w:rsidP="00504E7F">
            <w:pPr>
              <w:pStyle w:val="TableTextEntries"/>
            </w:pPr>
            <w:r w:rsidRPr="008F6B31">
              <w:t>Review implementation progress to improve existing program</w:t>
            </w:r>
          </w:p>
        </w:tc>
        <w:tc>
          <w:tcPr>
            <w:tcW w:w="997" w:type="pct"/>
          </w:tcPr>
          <w:p w14:paraId="17BA7E08" w14:textId="77777777" w:rsidR="00A76780" w:rsidRPr="008F6B31" w:rsidRDefault="00A76780" w:rsidP="00504E7F">
            <w:pPr>
              <w:pStyle w:val="TableTextEntries"/>
            </w:pPr>
            <w:r w:rsidRPr="008F6B31">
              <w:t>August 2013</w:t>
            </w:r>
          </w:p>
        </w:tc>
      </w:tr>
      <w:tr w:rsidR="00A76780" w:rsidRPr="008F6B31" w14:paraId="19ADC036" w14:textId="77777777" w:rsidTr="00504E7F">
        <w:tc>
          <w:tcPr>
            <w:tcW w:w="991" w:type="pct"/>
          </w:tcPr>
          <w:p w14:paraId="51EA1B55" w14:textId="77777777" w:rsidR="00A76780" w:rsidRPr="008F6B31" w:rsidRDefault="00A76780" w:rsidP="00504E7F">
            <w:pPr>
              <w:pStyle w:val="TableTextEntries"/>
            </w:pPr>
            <w:r w:rsidRPr="008F6B31">
              <w:t>Public Financial Management Program</w:t>
            </w:r>
          </w:p>
        </w:tc>
        <w:tc>
          <w:tcPr>
            <w:tcW w:w="500" w:type="pct"/>
          </w:tcPr>
          <w:p w14:paraId="1D27742E" w14:textId="3879C4C2" w:rsidR="00A76780" w:rsidRPr="008F6B31" w:rsidRDefault="002F6C34" w:rsidP="00504E7F">
            <w:pPr>
              <w:pStyle w:val="TableTextEntries"/>
            </w:pPr>
            <w:r>
              <w:t>INK078</w:t>
            </w:r>
          </w:p>
        </w:tc>
        <w:tc>
          <w:tcPr>
            <w:tcW w:w="995" w:type="pct"/>
          </w:tcPr>
          <w:p w14:paraId="0DA0DC8F" w14:textId="5C36BB35" w:rsidR="00A76780" w:rsidRPr="008F6B31" w:rsidRDefault="00A76780" w:rsidP="00504E7F">
            <w:pPr>
              <w:pStyle w:val="TableTextEntries"/>
            </w:pPr>
            <w:r w:rsidRPr="008F6B31">
              <w:t>Mid</w:t>
            </w:r>
            <w:r w:rsidR="00D94918">
              <w:t>-</w:t>
            </w:r>
            <w:r w:rsidRPr="008F6B31">
              <w:t xml:space="preserve">term </w:t>
            </w:r>
            <w:r w:rsidR="00F35BAA">
              <w:t>r</w:t>
            </w:r>
            <w:r w:rsidRPr="008F6B31">
              <w:t>eview</w:t>
            </w:r>
          </w:p>
        </w:tc>
        <w:tc>
          <w:tcPr>
            <w:tcW w:w="995" w:type="pct"/>
          </w:tcPr>
          <w:p w14:paraId="6F3A173D" w14:textId="53FA6F0C" w:rsidR="00A76780" w:rsidRPr="008F6B31" w:rsidRDefault="00A76780" w:rsidP="00504E7F">
            <w:pPr>
              <w:pStyle w:val="TableTextEntries"/>
            </w:pPr>
            <w:r w:rsidRPr="008F6B31">
              <w:t xml:space="preserve">To inform decision </w:t>
            </w:r>
            <w:r w:rsidR="00F35BAA">
              <w:t>on</w:t>
            </w:r>
            <w:r w:rsidRPr="008F6B31">
              <w:t xml:space="preserve"> funding of the program for the next </w:t>
            </w:r>
            <w:r w:rsidR="00F35BAA">
              <w:t>two</w:t>
            </w:r>
            <w:r w:rsidR="00F35BAA" w:rsidRPr="008F6B31">
              <w:t xml:space="preserve"> </w:t>
            </w:r>
            <w:r w:rsidRPr="008F6B31">
              <w:t xml:space="preserve">years and beyond </w:t>
            </w:r>
          </w:p>
        </w:tc>
        <w:tc>
          <w:tcPr>
            <w:tcW w:w="997" w:type="pct"/>
          </w:tcPr>
          <w:p w14:paraId="229A6F54" w14:textId="77777777" w:rsidR="00A76780" w:rsidRPr="008F6B31" w:rsidRDefault="00A76780" w:rsidP="00504E7F">
            <w:pPr>
              <w:pStyle w:val="TableTextEntries"/>
            </w:pPr>
            <w:r w:rsidRPr="008F6B31">
              <w:t>Q1 2014</w:t>
            </w:r>
          </w:p>
        </w:tc>
      </w:tr>
    </w:tbl>
    <w:p w14:paraId="39B3912A" w14:textId="77777777" w:rsidR="00F77E6A" w:rsidRDefault="00F77E6A" w:rsidP="00071B95">
      <w:pPr>
        <w:rPr>
          <w:b/>
        </w:rPr>
      </w:pPr>
    </w:p>
    <w:p w14:paraId="045CEE25" w14:textId="77777777" w:rsidR="002758C6" w:rsidRDefault="002758C6" w:rsidP="00071B95">
      <w:pPr>
        <w:rPr>
          <w:b/>
        </w:rPr>
      </w:pPr>
    </w:p>
    <w:sectPr w:rsidR="002758C6" w:rsidSect="00541B3F">
      <w:headerReference w:type="default" r:id="rId31"/>
      <w:footerReference w:type="default" r:id="rId32"/>
      <w:footerReference w:type="first" r:id="rId33"/>
      <w:pgSz w:w="16838" w:h="11906" w:orient="landscape" w:code="9"/>
      <w:pgMar w:top="1871" w:right="2268" w:bottom="1134" w:left="907"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ADFA" w14:textId="77777777" w:rsidR="004A3517" w:rsidRDefault="004A3517" w:rsidP="0050529F">
      <w:r>
        <w:separator/>
      </w:r>
    </w:p>
    <w:p w14:paraId="4C1E23D1" w14:textId="77777777" w:rsidR="004A3517" w:rsidRDefault="004A3517"/>
    <w:p w14:paraId="3B50D428" w14:textId="77777777" w:rsidR="004A3517" w:rsidRDefault="004A3517"/>
  </w:endnote>
  <w:endnote w:type="continuationSeparator" w:id="0">
    <w:p w14:paraId="245AA416" w14:textId="77777777" w:rsidR="004A3517" w:rsidRDefault="004A3517" w:rsidP="0050529F">
      <w:r>
        <w:continuationSeparator/>
      </w:r>
    </w:p>
    <w:p w14:paraId="4455B1E4" w14:textId="77777777" w:rsidR="004A3517" w:rsidRDefault="004A3517"/>
    <w:p w14:paraId="26963FC3" w14:textId="77777777" w:rsidR="004A3517" w:rsidRDefault="004A3517"/>
  </w:endnote>
  <w:endnote w:type="continuationNotice" w:id="1">
    <w:p w14:paraId="6DFE0F44" w14:textId="77777777" w:rsidR="004A3517" w:rsidRDefault="004A3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25FC" w14:textId="1324F944" w:rsidR="004A3517" w:rsidRPr="00541B3F" w:rsidRDefault="004A3517" w:rsidP="00541B3F">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Aid Program Performance Report 2012−13 the Philippines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1184" behindDoc="1" locked="0" layoutInCell="1" allowOverlap="1" wp14:anchorId="0D5FC30B" wp14:editId="2DCA436E">
              <wp:simplePos x="0" y="0"/>
              <wp:positionH relativeFrom="column">
                <wp:posOffset>0</wp:posOffset>
              </wp:positionH>
              <wp:positionV relativeFrom="paragraph">
                <wp:posOffset>8498840</wp:posOffset>
              </wp:positionV>
              <wp:extent cx="7379970" cy="2181860"/>
              <wp:effectExtent l="0" t="2540" r="1905" b="0"/>
              <wp:wrapNone/>
              <wp:docPr id="1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Ry5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B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jkcua&#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0160" behindDoc="1" locked="0" layoutInCell="1" allowOverlap="1" wp14:anchorId="4389A2E9" wp14:editId="123B9738">
              <wp:simplePos x="0" y="0"/>
              <wp:positionH relativeFrom="column">
                <wp:posOffset>0</wp:posOffset>
              </wp:positionH>
              <wp:positionV relativeFrom="paragraph">
                <wp:posOffset>8498840</wp:posOffset>
              </wp:positionV>
              <wp:extent cx="7379970" cy="2181860"/>
              <wp:effectExtent l="0" t="2540" r="1905" b="0"/>
              <wp:wrapNone/>
              <wp:docPr id="1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lWhB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2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3aVa&#10;E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0587" w14:textId="6F0045B3" w:rsidR="004A3517" w:rsidRDefault="004A3517" w:rsidP="00541B3F">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Aid Program Performance Report 2012−13 the Philippines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8112" behindDoc="1" locked="0" layoutInCell="1" allowOverlap="1" wp14:anchorId="16400336" wp14:editId="30C7EDC8">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7088" behindDoc="1" locked="0" layoutInCell="1" allowOverlap="1" wp14:anchorId="00F9F038" wp14:editId="0F8150AA">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A73E" w14:textId="7A257A06" w:rsidR="004A3517" w:rsidRPr="00504E7F" w:rsidRDefault="004A3517" w:rsidP="00541B3F">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Aid Program Performance Report 2012−13 the Philippines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26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0400" behindDoc="1" locked="0" layoutInCell="1" allowOverlap="1" wp14:anchorId="25439EE5" wp14:editId="2E3382B8">
              <wp:simplePos x="0" y="0"/>
              <wp:positionH relativeFrom="column">
                <wp:posOffset>0</wp:posOffset>
              </wp:positionH>
              <wp:positionV relativeFrom="paragraph">
                <wp:posOffset>8498840</wp:posOffset>
              </wp:positionV>
              <wp:extent cx="7379970" cy="2181860"/>
              <wp:effectExtent l="0" t="2540" r="1905" b="0"/>
              <wp:wrapNone/>
              <wp:docPr id="2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7jFx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G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XuM&#10;X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9376" behindDoc="1" locked="0" layoutInCell="1" allowOverlap="1" wp14:anchorId="092AAA48" wp14:editId="44D3530A">
              <wp:simplePos x="0" y="0"/>
              <wp:positionH relativeFrom="column">
                <wp:posOffset>0</wp:posOffset>
              </wp:positionH>
              <wp:positionV relativeFrom="paragraph">
                <wp:posOffset>8498840</wp:posOffset>
              </wp:positionV>
              <wp:extent cx="7379970" cy="2181860"/>
              <wp:effectExtent l="0" t="2540" r="1905" b="0"/>
              <wp:wrapNone/>
              <wp:docPr id="2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3R3V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c/dH&#10;d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02DD" w14:textId="77777777" w:rsidR="004A3517" w:rsidRPr="004C4A3E" w:rsidRDefault="004A351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6912" behindDoc="1" locked="1" layoutInCell="1" allowOverlap="1" wp14:anchorId="5768FFDB" wp14:editId="722C62C6">
              <wp:simplePos x="0" y="0"/>
              <wp:positionH relativeFrom="page">
                <wp:posOffset>0</wp:posOffset>
              </wp:positionH>
              <wp:positionV relativeFrom="page">
                <wp:posOffset>8533130</wp:posOffset>
              </wp:positionV>
              <wp:extent cx="7380000" cy="2181600"/>
              <wp:effectExtent l="0" t="0" r="0" b="9525"/>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71.9pt;width:581.1pt;height:17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GTDa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5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yhkw2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Philippines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31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5888" behindDoc="1" locked="0" layoutInCell="1" allowOverlap="1" wp14:anchorId="2BD64D8D" wp14:editId="5769EB5E">
              <wp:simplePos x="0" y="0"/>
              <wp:positionH relativeFrom="column">
                <wp:posOffset>0</wp:posOffset>
              </wp:positionH>
              <wp:positionV relativeFrom="paragraph">
                <wp:posOffset>8498840</wp:posOffset>
              </wp:positionV>
              <wp:extent cx="7379970" cy="2181860"/>
              <wp:effectExtent l="0" t="2540" r="1905" b="0"/>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69.2pt;width:581.1pt;height:17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5czi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Iq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QeXM4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4864" behindDoc="1" locked="0" layoutInCell="1" allowOverlap="1" wp14:anchorId="15776A7D" wp14:editId="213D021F">
              <wp:simplePos x="0" y="0"/>
              <wp:positionH relativeFrom="column">
                <wp:posOffset>0</wp:posOffset>
              </wp:positionH>
              <wp:positionV relativeFrom="paragraph">
                <wp:posOffset>8498840</wp:posOffset>
              </wp:positionV>
              <wp:extent cx="7379970" cy="2181860"/>
              <wp:effectExtent l="0" t="2540" r="1905" b="0"/>
              <wp:wrapNone/>
              <wp:docPr id="10" name="Rectangle 1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AusAID web address graphic" style="position:absolute;margin-left:0;margin-top:669.2pt;width:581.1pt;height:17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7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YsJey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p w14:paraId="11B4B0DB" w14:textId="77777777" w:rsidR="004A3517" w:rsidRDefault="004A3517"/>
  <w:p w14:paraId="5BF1697E" w14:textId="77777777" w:rsidR="004A3517" w:rsidRDefault="004A35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9B14" w14:textId="396EDA67" w:rsidR="004A3517" w:rsidRPr="00541B3F" w:rsidRDefault="004A3517" w:rsidP="00541B3F">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Aid Program Performance Report 2012−13 the Philippines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7328" behindDoc="1" locked="0" layoutInCell="1" allowOverlap="1" wp14:anchorId="3F381F7F" wp14:editId="671D32FC">
              <wp:simplePos x="0" y="0"/>
              <wp:positionH relativeFrom="column">
                <wp:posOffset>0</wp:posOffset>
              </wp:positionH>
              <wp:positionV relativeFrom="paragraph">
                <wp:posOffset>8498840</wp:posOffset>
              </wp:positionV>
              <wp:extent cx="7379970" cy="2181860"/>
              <wp:effectExtent l="0" t="2540" r="1905" b="0"/>
              <wp:wrapNone/>
              <wp:docPr id="2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dPYZ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a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Z09&#10;h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6304" behindDoc="1" locked="0" layoutInCell="1" allowOverlap="1" wp14:anchorId="6639E44E" wp14:editId="55F880B7">
              <wp:simplePos x="0" y="0"/>
              <wp:positionH relativeFrom="column">
                <wp:posOffset>0</wp:posOffset>
              </wp:positionH>
              <wp:positionV relativeFrom="paragraph">
                <wp:posOffset>8498840</wp:posOffset>
              </wp:positionV>
              <wp:extent cx="7379970" cy="2181860"/>
              <wp:effectExtent l="0" t="2540" r="1905" b="0"/>
              <wp:wrapNone/>
              <wp:docPr id="2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m1F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6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9Kb&#10;U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8E32" w14:textId="152AFE06" w:rsidR="004A3517" w:rsidRPr="00541B3F" w:rsidRDefault="004A3517" w:rsidP="00541B3F">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Philippines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4256" behindDoc="1" locked="0" layoutInCell="1" allowOverlap="1" wp14:anchorId="2A52FB24" wp14:editId="4C7963E0">
              <wp:simplePos x="0" y="0"/>
              <wp:positionH relativeFrom="column">
                <wp:posOffset>0</wp:posOffset>
              </wp:positionH>
              <wp:positionV relativeFrom="paragraph">
                <wp:posOffset>8498840</wp:posOffset>
              </wp:positionV>
              <wp:extent cx="7379970" cy="2181860"/>
              <wp:effectExtent l="0" t="2540" r="1905" b="0"/>
              <wp:wrapNone/>
              <wp:docPr id="1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pgZl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qqYG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3232" behindDoc="1" locked="0" layoutInCell="1" allowOverlap="1" wp14:anchorId="67F9735F" wp14:editId="67CBEC09">
              <wp:simplePos x="0" y="0"/>
              <wp:positionH relativeFrom="column">
                <wp:posOffset>0</wp:posOffset>
              </wp:positionH>
              <wp:positionV relativeFrom="paragraph">
                <wp:posOffset>8498840</wp:posOffset>
              </wp:positionV>
              <wp:extent cx="7379970" cy="2181860"/>
              <wp:effectExtent l="0" t="2540" r="1905" b="0"/>
              <wp:wrapNone/>
              <wp:docPr id="1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AhjR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BgIY0&#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BB45" w14:textId="23FEEFDB" w:rsidR="004A3517" w:rsidRPr="00541B3F" w:rsidRDefault="004A3517" w:rsidP="00541B3F">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Annual Aid Program Performance Report 2012−13 the Philippines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E1DA3">
      <w:rPr>
        <w:rFonts w:ascii="Franklin Gothic Medium" w:eastAsia="Times New Roman" w:hAnsi="Franklin Gothic Medium"/>
        <w:noProof/>
        <w:sz w:val="14"/>
        <w:szCs w:val="14"/>
      </w:rPr>
      <w:t>30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5040" behindDoc="1" locked="0" layoutInCell="1" allowOverlap="1" wp14:anchorId="0B38B349" wp14:editId="1942ACF2">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4016" behindDoc="1" locked="0" layoutInCell="1" allowOverlap="1" wp14:anchorId="2DF186F3" wp14:editId="25D2D33F">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8E31" w14:textId="77777777" w:rsidR="004A3517" w:rsidRPr="00504E7F" w:rsidRDefault="004A3517" w:rsidP="00504E7F">
    <w:pPr>
      <w:tabs>
        <w:tab w:val="left" w:pos="0"/>
        <w:tab w:val="left" w:pos="4155"/>
        <w:tab w:val="right" w:pos="7938"/>
        <w:tab w:val="right" w:pos="14459"/>
      </w:tabs>
      <w:spacing w:line="180" w:lineRule="exact"/>
      <w:ind w:right="-1136"/>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Philippines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30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731968" behindDoc="1" locked="0" layoutInCell="1" allowOverlap="1" wp14:anchorId="5327DCFE" wp14:editId="3B55EB65">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0944" behindDoc="1" locked="0" layoutInCell="1" allowOverlap="1" wp14:anchorId="6A34437A" wp14:editId="720D8B97">
              <wp:simplePos x="0" y="0"/>
              <wp:positionH relativeFrom="column">
                <wp:posOffset>0</wp:posOffset>
              </wp:positionH>
              <wp:positionV relativeFrom="paragraph">
                <wp:posOffset>8498840</wp:posOffset>
              </wp:positionV>
              <wp:extent cx="7379970" cy="2181860"/>
              <wp:effectExtent l="0" t="2540" r="1905" b="0"/>
              <wp:wrapNone/>
              <wp:docPr id="11" name="Rectangle 1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beta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G3rW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36AFA" w14:textId="77777777" w:rsidR="004A3517" w:rsidRDefault="004A3517" w:rsidP="0050529F">
      <w:r>
        <w:separator/>
      </w:r>
    </w:p>
    <w:p w14:paraId="539BD103" w14:textId="77777777" w:rsidR="004A3517" w:rsidRDefault="004A3517"/>
    <w:p w14:paraId="1BAE31EA" w14:textId="77777777" w:rsidR="004A3517" w:rsidRDefault="004A3517"/>
  </w:footnote>
  <w:footnote w:type="continuationSeparator" w:id="0">
    <w:p w14:paraId="79887C70" w14:textId="77777777" w:rsidR="004A3517" w:rsidRDefault="004A3517" w:rsidP="0050529F">
      <w:r>
        <w:continuationSeparator/>
      </w:r>
    </w:p>
    <w:p w14:paraId="041AC78E" w14:textId="77777777" w:rsidR="004A3517" w:rsidRDefault="004A3517"/>
    <w:p w14:paraId="12665799" w14:textId="77777777" w:rsidR="004A3517" w:rsidRDefault="004A3517"/>
  </w:footnote>
  <w:footnote w:type="continuationNotice" w:id="1">
    <w:p w14:paraId="2C2829DA" w14:textId="77777777" w:rsidR="004A3517" w:rsidRDefault="004A3517"/>
  </w:footnote>
  <w:footnote w:id="2">
    <w:p w14:paraId="278E2090" w14:textId="58F59552" w:rsidR="004A3517" w:rsidRDefault="004A3517" w:rsidP="0080598D">
      <w:pPr>
        <w:pStyle w:val="FootnoteText"/>
      </w:pPr>
      <w:r>
        <w:rPr>
          <w:rStyle w:val="FootnoteReference"/>
        </w:rPr>
        <w:footnoteRef/>
      </w:r>
      <w:r>
        <w:t xml:space="preserve"> </w:t>
      </w:r>
      <w:r w:rsidRPr="0080598D">
        <w:t>The roll was reduced 27 per cent from 1 778 443 to 1 300 479 voters.</w:t>
      </w:r>
    </w:p>
  </w:footnote>
  <w:footnote w:id="3">
    <w:p w14:paraId="1283EB3D" w14:textId="77777777" w:rsidR="004A3517" w:rsidRPr="007271D2" w:rsidRDefault="004A3517">
      <w:pPr>
        <w:pStyle w:val="FootnoteText"/>
        <w:rPr>
          <w:sz w:val="18"/>
          <w:szCs w:val="18"/>
        </w:rPr>
      </w:pPr>
      <w:r>
        <w:rPr>
          <w:rStyle w:val="FootnoteReference"/>
        </w:rPr>
        <w:footnoteRef/>
      </w:r>
      <w:r>
        <w:t xml:space="preserve"> </w:t>
      </w:r>
      <w:r w:rsidRPr="001C7FBA">
        <w:rPr>
          <w:color w:val="1F497D" w:themeColor="text2"/>
        </w:rPr>
        <w:t>http://www.transparency.org/cpi2012/results</w:t>
      </w:r>
    </w:p>
  </w:footnote>
  <w:footnote w:id="4">
    <w:p w14:paraId="69E43C1A" w14:textId="77777777" w:rsidR="004A3517" w:rsidRPr="0042194C" w:rsidRDefault="004A3517" w:rsidP="000C46AB">
      <w:pPr>
        <w:pStyle w:val="FootnoteText"/>
        <w:rPr>
          <w:sz w:val="18"/>
        </w:rPr>
      </w:pPr>
      <w:r w:rsidRPr="0042194C">
        <w:rPr>
          <w:rStyle w:val="FootnoteReference"/>
          <w:sz w:val="18"/>
        </w:rPr>
        <w:footnoteRef/>
      </w:r>
      <w:r w:rsidRPr="0042194C">
        <w:rPr>
          <w:sz w:val="18"/>
        </w:rPr>
        <w:t xml:space="preserve"> </w:t>
      </w:r>
      <w:r w:rsidRPr="001C7FBA">
        <w:rPr>
          <w:color w:val="1F497D" w:themeColor="text2"/>
        </w:rPr>
        <w:t>http://hdrstats.undp.org/en/countries/profiles/PHL.html</w:t>
      </w:r>
    </w:p>
  </w:footnote>
  <w:footnote w:id="5">
    <w:p w14:paraId="73E2B371" w14:textId="77777777" w:rsidR="004A3517" w:rsidRPr="007271D2" w:rsidRDefault="004A3517">
      <w:pPr>
        <w:pStyle w:val="FootnoteText"/>
        <w:rPr>
          <w:sz w:val="18"/>
          <w:szCs w:val="18"/>
        </w:rPr>
      </w:pPr>
      <w:r w:rsidRPr="0042194C">
        <w:rPr>
          <w:rStyle w:val="FootnoteReference"/>
          <w:sz w:val="18"/>
        </w:rPr>
        <w:footnoteRef/>
      </w:r>
      <w:r w:rsidRPr="0042194C">
        <w:rPr>
          <w:sz w:val="18"/>
        </w:rPr>
        <w:t xml:space="preserve"> </w:t>
      </w:r>
      <w:hyperlink r:id="rId1" w:history="1">
        <w:r w:rsidRPr="001C7FBA">
          <w:rPr>
            <w:color w:val="1F497D" w:themeColor="text2"/>
          </w:rPr>
          <w:t>http://www.nscb.gov.ph/stats/mdg/mdg_watch.asp</w:t>
        </w:r>
      </w:hyperlink>
    </w:p>
  </w:footnote>
  <w:footnote w:id="6">
    <w:p w14:paraId="5B0AFBDF" w14:textId="77777777" w:rsidR="004A3517" w:rsidRPr="007271D2" w:rsidRDefault="004A3517">
      <w:pPr>
        <w:pStyle w:val="FootnoteText"/>
        <w:rPr>
          <w:sz w:val="18"/>
          <w:szCs w:val="18"/>
        </w:rPr>
      </w:pPr>
      <w:r w:rsidRPr="0042194C">
        <w:rPr>
          <w:rStyle w:val="FootnoteReference"/>
          <w:sz w:val="18"/>
        </w:rPr>
        <w:footnoteRef/>
      </w:r>
      <w:r w:rsidRPr="0042194C">
        <w:rPr>
          <w:sz w:val="18"/>
        </w:rPr>
        <w:t xml:space="preserve"> </w:t>
      </w:r>
      <w:hyperlink r:id="rId2" w:history="1">
        <w:r w:rsidRPr="001C7FBA">
          <w:rPr>
            <w:color w:val="1F497D" w:themeColor="text2"/>
          </w:rPr>
          <w:t>http://www.census.gov.ph/content/employment-rate-january-2013-estimated-929-percent-results-january-2013-labor-force-survey</w:t>
        </w:r>
      </w:hyperlink>
    </w:p>
  </w:footnote>
  <w:footnote w:id="7">
    <w:p w14:paraId="4F6D83BC" w14:textId="4F690707" w:rsidR="004A3517" w:rsidRPr="007271D2" w:rsidRDefault="004A3517">
      <w:pPr>
        <w:pStyle w:val="FootnoteText"/>
        <w:rPr>
          <w:sz w:val="18"/>
          <w:szCs w:val="18"/>
        </w:rPr>
      </w:pPr>
      <w:r w:rsidRPr="0042194C">
        <w:rPr>
          <w:rStyle w:val="FootnoteReference"/>
          <w:sz w:val="18"/>
        </w:rPr>
        <w:footnoteRef/>
      </w:r>
      <w:r w:rsidRPr="0042194C">
        <w:rPr>
          <w:sz w:val="18"/>
        </w:rPr>
        <w:t xml:space="preserve"> </w:t>
      </w:r>
      <w:r w:rsidRPr="005333FF">
        <w:rPr>
          <w:color w:val="1F497D" w:themeColor="text2"/>
          <w:sz w:val="18"/>
          <w:szCs w:val="18"/>
        </w:rPr>
        <w:t>http://aid.dfat.gov.au/Publications/Pages/australia-philippines-strategy-2012-17.aspx</w:t>
      </w:r>
    </w:p>
  </w:footnote>
  <w:footnote w:id="8">
    <w:p w14:paraId="3763A873" w14:textId="0B3F7AFA" w:rsidR="004A3517" w:rsidRPr="00EF5A89" w:rsidRDefault="004A3517" w:rsidP="00721314">
      <w:pPr>
        <w:pStyle w:val="FootnoteText"/>
        <w:rPr>
          <w:sz w:val="18"/>
        </w:rPr>
      </w:pPr>
      <w:r w:rsidRPr="0042194C">
        <w:rPr>
          <w:rStyle w:val="FootnoteReference"/>
          <w:sz w:val="18"/>
        </w:rPr>
        <w:footnoteRef/>
      </w:r>
      <w:r w:rsidRPr="0042194C">
        <w:rPr>
          <w:sz w:val="18"/>
        </w:rPr>
        <w:t xml:space="preserve"> </w:t>
      </w:r>
      <w:proofErr w:type="gramStart"/>
      <w:r w:rsidRPr="00884F5D">
        <w:rPr>
          <w:szCs w:val="16"/>
        </w:rPr>
        <w:t>Australian</w:t>
      </w:r>
      <w:r w:rsidRPr="0080598D">
        <w:t>–World Bank Philippine Development Trust Fund mid-term review.</w:t>
      </w:r>
      <w:proofErr w:type="gramEnd"/>
    </w:p>
  </w:footnote>
  <w:footnote w:id="9">
    <w:p w14:paraId="55B339D8" w14:textId="057E846A" w:rsidR="004A3517" w:rsidRPr="000863CE" w:rsidRDefault="004A3517" w:rsidP="00983C78">
      <w:pPr>
        <w:pStyle w:val="FootnoteText"/>
        <w:rPr>
          <w:sz w:val="18"/>
        </w:rPr>
      </w:pPr>
      <w:r w:rsidRPr="000863CE">
        <w:rPr>
          <w:rStyle w:val="FootnoteReference"/>
          <w:sz w:val="18"/>
        </w:rPr>
        <w:footnoteRef/>
      </w:r>
      <w:r w:rsidRPr="000863CE">
        <w:rPr>
          <w:sz w:val="18"/>
        </w:rPr>
        <w:t xml:space="preserve"> </w:t>
      </w:r>
      <w:proofErr w:type="gramStart"/>
      <w:r w:rsidRPr="0092264C">
        <w:t>Provincial Road Management Facility six-monthly report from July to December 2012, January 2013.</w:t>
      </w:r>
      <w:proofErr w:type="gramEnd"/>
    </w:p>
  </w:footnote>
  <w:footnote w:id="10">
    <w:p w14:paraId="232256AB" w14:textId="033AA723" w:rsidR="004A3517" w:rsidRPr="00EF5A89" w:rsidRDefault="004A3517" w:rsidP="00A8727D">
      <w:pPr>
        <w:pStyle w:val="FootnoteText"/>
        <w:rPr>
          <w:sz w:val="18"/>
          <w:szCs w:val="18"/>
        </w:rPr>
      </w:pPr>
      <w:r w:rsidRPr="00BB17DF">
        <w:rPr>
          <w:rStyle w:val="FootnoteReference"/>
        </w:rPr>
        <w:footnoteRef/>
      </w:r>
      <w:r w:rsidRPr="00BB17DF">
        <w:t xml:space="preserve"> </w:t>
      </w:r>
      <w:r w:rsidRPr="0092264C">
        <w:t>Ibid.</w:t>
      </w:r>
    </w:p>
  </w:footnote>
  <w:footnote w:id="11">
    <w:p w14:paraId="57BEF3E6" w14:textId="7C2A9731" w:rsidR="004A3517" w:rsidRPr="000863CE" w:rsidRDefault="004A3517" w:rsidP="00983C78">
      <w:pPr>
        <w:pStyle w:val="FootnoteText"/>
        <w:rPr>
          <w:sz w:val="18"/>
        </w:rPr>
      </w:pPr>
      <w:r w:rsidRPr="000863CE">
        <w:rPr>
          <w:rStyle w:val="FootnoteReference"/>
          <w:sz w:val="18"/>
        </w:rPr>
        <w:footnoteRef/>
      </w:r>
      <w:r w:rsidRPr="000863CE">
        <w:rPr>
          <w:sz w:val="18"/>
        </w:rPr>
        <w:t xml:space="preserve"> </w:t>
      </w:r>
      <w:r w:rsidRPr="0092264C">
        <w:t>Ibid</w:t>
      </w:r>
      <w:r>
        <w:rPr>
          <w:sz w:val="18"/>
        </w:rPr>
        <w:t>.</w:t>
      </w:r>
    </w:p>
  </w:footnote>
  <w:footnote w:id="12">
    <w:p w14:paraId="539FB5FD" w14:textId="26ACDED3" w:rsidR="004A3517" w:rsidRPr="000863CE" w:rsidRDefault="004A3517" w:rsidP="00983C78">
      <w:pPr>
        <w:pStyle w:val="FootnoteText"/>
        <w:rPr>
          <w:sz w:val="18"/>
        </w:rPr>
      </w:pPr>
      <w:r w:rsidRPr="000863CE">
        <w:rPr>
          <w:rStyle w:val="FootnoteReference"/>
          <w:sz w:val="18"/>
        </w:rPr>
        <w:footnoteRef/>
      </w:r>
      <w:r w:rsidRPr="0092264C">
        <w:t>Provincial Road Management Facility Independent Progress Review, July 2012.</w:t>
      </w:r>
    </w:p>
  </w:footnote>
  <w:footnote w:id="13">
    <w:p w14:paraId="31159948" w14:textId="7FCBC707" w:rsidR="004A3517" w:rsidRPr="00EF5A89" w:rsidRDefault="004A3517">
      <w:pPr>
        <w:pStyle w:val="FootnoteText"/>
        <w:rPr>
          <w:sz w:val="18"/>
          <w:szCs w:val="18"/>
        </w:rPr>
      </w:pPr>
      <w:r>
        <w:rPr>
          <w:rStyle w:val="FootnoteReference"/>
        </w:rPr>
        <w:footnoteRef/>
      </w:r>
      <w:r>
        <w:t xml:space="preserve"> </w:t>
      </w:r>
      <w:proofErr w:type="gramStart"/>
      <w:r w:rsidRPr="0092264C">
        <w:t>Hazards Mapping and Assessment for Effective Community Based Disaster Risk Management (READY) project, independent completion review, August 2012.</w:t>
      </w:r>
      <w:proofErr w:type="gramEnd"/>
    </w:p>
  </w:footnote>
  <w:footnote w:id="14">
    <w:p w14:paraId="24A627FD" w14:textId="4577BD69" w:rsidR="004A3517" w:rsidRDefault="004A3517">
      <w:pPr>
        <w:pStyle w:val="FootnoteText"/>
      </w:pPr>
      <w:r>
        <w:rPr>
          <w:rStyle w:val="FootnoteReference"/>
        </w:rPr>
        <w:footnoteRef/>
      </w:r>
      <w:r>
        <w:t xml:space="preserve"> </w:t>
      </w:r>
      <w:r w:rsidRPr="0092264C">
        <w:t>Post-disaster surveillance in the Philippines: an external review of the SPEED program, 15 July to 10 August 2012.</w:t>
      </w:r>
    </w:p>
  </w:footnote>
  <w:footnote w:id="15">
    <w:p w14:paraId="1558DDAB" w14:textId="6539E670" w:rsidR="004A3517" w:rsidRPr="00A0223D" w:rsidRDefault="004A3517" w:rsidP="005826CB">
      <w:pPr>
        <w:pStyle w:val="FootnoteText"/>
        <w:rPr>
          <w:sz w:val="18"/>
        </w:rPr>
      </w:pPr>
      <w:r w:rsidRPr="00A0223D">
        <w:rPr>
          <w:rStyle w:val="FootnoteReference"/>
          <w:sz w:val="18"/>
        </w:rPr>
        <w:footnoteRef/>
      </w:r>
      <w:r w:rsidRPr="00A0223D">
        <w:rPr>
          <w:sz w:val="18"/>
        </w:rPr>
        <w:t xml:space="preserve"> </w:t>
      </w:r>
      <w:r w:rsidRPr="0092264C">
        <w:t>Philippines–Australia Human Resource and Organisational Development Facility, Independent Evaluation Report, February 2013.</w:t>
      </w:r>
    </w:p>
  </w:footnote>
  <w:footnote w:id="16">
    <w:p w14:paraId="587C187F" w14:textId="490E7751" w:rsidR="004A3517" w:rsidRDefault="004A3517">
      <w:pPr>
        <w:pStyle w:val="FootnoteText"/>
      </w:pPr>
      <w:r>
        <w:rPr>
          <w:rStyle w:val="FootnoteReference"/>
        </w:rPr>
        <w:footnoteRef/>
      </w:r>
      <w:r>
        <w:t xml:space="preserve"> In November 2013 AusAID was integrated into the Department of Foreign Affairs and Trade (DFAT). In this report, ‘AusAID’ is used to refer to the achievements and performance of the organisation prior to the integration; ‘DFAT’ is used to refer to current and future aid commitments of the integrated department.</w:t>
      </w:r>
    </w:p>
  </w:footnote>
  <w:footnote w:id="17">
    <w:p w14:paraId="0D3CAAE9" w14:textId="264564CD" w:rsidR="004A3517" w:rsidRPr="00A0223D" w:rsidRDefault="004A3517" w:rsidP="005826CB">
      <w:pPr>
        <w:pStyle w:val="FootnoteText"/>
        <w:rPr>
          <w:sz w:val="18"/>
        </w:rPr>
      </w:pPr>
      <w:r w:rsidRPr="00A0223D">
        <w:rPr>
          <w:rStyle w:val="FootnoteReference"/>
          <w:sz w:val="18"/>
        </w:rPr>
        <w:footnoteRef/>
      </w:r>
      <w:r w:rsidRPr="00A0223D">
        <w:rPr>
          <w:sz w:val="18"/>
        </w:rPr>
        <w:t xml:space="preserve"> </w:t>
      </w:r>
      <w:r w:rsidRPr="0092264C">
        <w:t>Ibid.</w:t>
      </w:r>
    </w:p>
  </w:footnote>
  <w:footnote w:id="18">
    <w:p w14:paraId="13B8771F" w14:textId="73939CFD" w:rsidR="004A3517" w:rsidRPr="00A0223D" w:rsidRDefault="004A3517" w:rsidP="00071B95">
      <w:pPr>
        <w:pStyle w:val="FootnoteText"/>
        <w:rPr>
          <w:sz w:val="18"/>
        </w:rPr>
      </w:pPr>
      <w:r w:rsidRPr="00A0223D">
        <w:rPr>
          <w:rStyle w:val="FootnoteReference"/>
          <w:sz w:val="18"/>
        </w:rPr>
        <w:footnoteRef/>
      </w:r>
      <w:r w:rsidRPr="00A0223D">
        <w:rPr>
          <w:sz w:val="18"/>
        </w:rPr>
        <w:t xml:space="preserve"> ‘</w:t>
      </w:r>
      <w:r>
        <w:rPr>
          <w:sz w:val="18"/>
        </w:rPr>
        <w:t>C</w:t>
      </w:r>
      <w:r w:rsidRPr="00A0223D">
        <w:rPr>
          <w:sz w:val="18"/>
        </w:rPr>
        <w:t>ompleted’ means the final version of the report has been received</w:t>
      </w:r>
      <w:r>
        <w:rPr>
          <w:sz w:val="18"/>
        </w:rPr>
        <w:t>.</w:t>
      </w:r>
    </w:p>
  </w:footnote>
  <w:footnote w:id="19">
    <w:p w14:paraId="26BEA952" w14:textId="00FA8EA9" w:rsidR="004A3517" w:rsidRPr="00A0223D" w:rsidRDefault="004A3517" w:rsidP="00A76780">
      <w:pPr>
        <w:pStyle w:val="FootnoteText"/>
        <w:rPr>
          <w:sz w:val="18"/>
        </w:rPr>
      </w:pPr>
      <w:r w:rsidRPr="00A0223D">
        <w:rPr>
          <w:rStyle w:val="FootnoteReference"/>
          <w:sz w:val="18"/>
        </w:rPr>
        <w:footnoteRef/>
      </w:r>
      <w:r w:rsidRPr="00A0223D">
        <w:rPr>
          <w:sz w:val="18"/>
        </w:rPr>
        <w:t xml:space="preserve"> </w:t>
      </w:r>
      <w:proofErr w:type="gramStart"/>
      <w:r w:rsidRPr="00A0223D">
        <w:rPr>
          <w:sz w:val="18"/>
        </w:rPr>
        <w:t>e.g</w:t>
      </w:r>
      <w:proofErr w:type="gramEnd"/>
      <w:r w:rsidRPr="00A0223D">
        <w:rPr>
          <w:sz w:val="18"/>
        </w:rPr>
        <w:t xml:space="preserve">. Mid-term review, </w:t>
      </w:r>
      <w:r>
        <w:rPr>
          <w:sz w:val="18"/>
        </w:rPr>
        <w:t>c</w:t>
      </w:r>
      <w:r w:rsidRPr="00A0223D">
        <w:rPr>
          <w:sz w:val="18"/>
        </w:rPr>
        <w:t>ompletion report, partner-led evaluation, joint evaluation</w:t>
      </w:r>
      <w:r>
        <w:rPr>
          <w:sz w:val="18"/>
        </w:rPr>
        <w:t>.</w:t>
      </w:r>
    </w:p>
  </w:footnote>
  <w:footnote w:id="20">
    <w:p w14:paraId="7B726615" w14:textId="68312870" w:rsidR="004A3517" w:rsidRPr="00A0223D" w:rsidRDefault="004A3517" w:rsidP="00A76780">
      <w:pPr>
        <w:pStyle w:val="FootnoteText"/>
        <w:rPr>
          <w:sz w:val="18"/>
        </w:rPr>
      </w:pPr>
      <w:r w:rsidRPr="00A0223D">
        <w:rPr>
          <w:rStyle w:val="FootnoteReference"/>
          <w:sz w:val="18"/>
        </w:rPr>
        <w:footnoteRef/>
      </w:r>
      <w:r w:rsidRPr="00A0223D">
        <w:rPr>
          <w:sz w:val="18"/>
        </w:rPr>
        <w:t xml:space="preserve"> </w:t>
      </w:r>
      <w:proofErr w:type="gramStart"/>
      <w:r>
        <w:rPr>
          <w:sz w:val="18"/>
        </w:rPr>
        <w:t>E</w:t>
      </w:r>
      <w:r w:rsidRPr="00A0223D">
        <w:rPr>
          <w:sz w:val="18"/>
        </w:rPr>
        <w:t>.g. To inform a future phase of program, to improve existing program; to verify program outcomes</w:t>
      </w:r>
      <w:r>
        <w:rPr>
          <w:sz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35C7" w14:textId="14C6DD71" w:rsidR="004A3517" w:rsidRDefault="004A3517">
    <w:pPr>
      <w:pStyle w:val="Header"/>
    </w:pPr>
    <w:r>
      <w:rPr>
        <w:noProof/>
      </w:rPr>
      <w:drawing>
        <wp:anchor distT="0" distB="0" distL="114300" distR="114300" simplePos="0" relativeHeight="251752448" behindDoc="0" locked="0" layoutInCell="1" allowOverlap="1" wp14:anchorId="2C29F6FE" wp14:editId="3A6F6E24">
          <wp:simplePos x="0" y="0"/>
          <wp:positionH relativeFrom="page">
            <wp:align>left</wp:align>
          </wp:positionH>
          <wp:positionV relativeFrom="page">
            <wp:align>top</wp:align>
          </wp:positionV>
          <wp:extent cx="7560000" cy="1440000"/>
          <wp:effectExtent l="0" t="0" r="3175" b="825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51F300C3" w14:textId="77777777" w:rsidR="004A3517" w:rsidRDefault="004A3517"/>
  <w:p w14:paraId="72712136" w14:textId="77777777" w:rsidR="004A3517" w:rsidRDefault="004A3517"/>
  <w:p w14:paraId="791415CA" w14:textId="77777777" w:rsidR="004A3517" w:rsidRDefault="004A35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91DEA" w14:textId="17EFA2A9" w:rsidR="004A3517" w:rsidRDefault="004A3517">
    <w:pPr>
      <w:pStyle w:val="Header"/>
    </w:pPr>
    <w:r>
      <w:rPr>
        <w:noProof/>
      </w:rPr>
      <w:drawing>
        <wp:anchor distT="0" distB="0" distL="114300" distR="114300" simplePos="0" relativeHeight="251754496" behindDoc="0" locked="0" layoutInCell="1" allowOverlap="1" wp14:anchorId="5F3FE3A4" wp14:editId="598F0CEB">
          <wp:simplePos x="0" y="0"/>
          <wp:positionH relativeFrom="page">
            <wp:align>left</wp:align>
          </wp:positionH>
          <wp:positionV relativeFrom="page">
            <wp:align>top</wp:align>
          </wp:positionV>
          <wp:extent cx="7560000" cy="1890000"/>
          <wp:effectExtent l="0" t="0" r="3175"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p w14:paraId="24CD5BF2" w14:textId="77777777" w:rsidR="004A3517" w:rsidRDefault="004A3517"/>
  <w:p w14:paraId="754D26C2" w14:textId="77777777" w:rsidR="004A3517" w:rsidRDefault="004A35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4790" w14:textId="50377478" w:rsidR="004A3517" w:rsidRDefault="004A3517">
    <w:pPr>
      <w:pStyle w:val="Header"/>
    </w:pPr>
  </w:p>
  <w:p w14:paraId="4EB54F08" w14:textId="77777777" w:rsidR="004A3517" w:rsidRDefault="004A3517"/>
  <w:p w14:paraId="1CA5B927" w14:textId="77777777" w:rsidR="004A3517" w:rsidRDefault="004A3517"/>
  <w:p w14:paraId="1CBCDF71" w14:textId="77777777" w:rsidR="004A3517" w:rsidRDefault="004A35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D979" w14:textId="77777777" w:rsidR="004A3517" w:rsidRDefault="004A35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9310" w14:textId="3DD83225" w:rsidR="004A3517" w:rsidRDefault="004A3517">
    <w:pPr>
      <w:pStyle w:val="Header"/>
    </w:pPr>
  </w:p>
  <w:p w14:paraId="6CDF9989" w14:textId="77777777" w:rsidR="004A3517" w:rsidRDefault="004A3517"/>
  <w:p w14:paraId="59121CF8" w14:textId="75E73D99" w:rsidR="004A3517" w:rsidRDefault="004A3517">
    <w:r>
      <w:rPr>
        <w:noProof/>
      </w:rPr>
      <w:drawing>
        <wp:anchor distT="0" distB="0" distL="114300" distR="114300" simplePos="0" relativeHeight="251756544" behindDoc="0" locked="0" layoutInCell="1" allowOverlap="1" wp14:anchorId="43331224" wp14:editId="656FB2D8">
          <wp:simplePos x="0" y="0"/>
          <wp:positionH relativeFrom="page">
            <wp:align>left</wp:align>
          </wp:positionH>
          <wp:positionV relativeFrom="page">
            <wp:align>top</wp:align>
          </wp:positionV>
          <wp:extent cx="7560000" cy="1440000"/>
          <wp:effectExtent l="0" t="0" r="3175" b="825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26EE4E35" w14:textId="77777777" w:rsidR="004A3517" w:rsidRDefault="004A351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523C" w14:textId="7E3332FE" w:rsidR="004A3517" w:rsidRDefault="004A35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2C9ED" w14:textId="77777777" w:rsidR="004A3517" w:rsidRDefault="004A3517">
    <w:pPr>
      <w:pStyle w:val="Header"/>
    </w:pPr>
  </w:p>
  <w:p w14:paraId="43397884" w14:textId="77777777" w:rsidR="004A3517" w:rsidRDefault="004A3517"/>
  <w:p w14:paraId="0ED13DB1" w14:textId="66F0E99D" w:rsidR="004A3517" w:rsidRDefault="004A3517"/>
  <w:p w14:paraId="0C386BB2" w14:textId="77777777" w:rsidR="004A3517" w:rsidRDefault="004A35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07E0300"/>
    <w:multiLevelType w:val="hybridMultilevel"/>
    <w:tmpl w:val="674657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9422DF"/>
    <w:multiLevelType w:val="hybridMultilevel"/>
    <w:tmpl w:val="1AD48830"/>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54291D"/>
    <w:multiLevelType w:val="hybridMultilevel"/>
    <w:tmpl w:val="E070A90E"/>
    <w:lvl w:ilvl="0" w:tplc="94085E98">
      <w:start w:val="1"/>
      <w:numFmt w:val="bullet"/>
      <w:lvlText w:val=""/>
      <w:lvlJc w:val="left"/>
      <w:pPr>
        <w:ind w:left="856"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1DB56658"/>
    <w:multiLevelType w:val="hybridMultilevel"/>
    <w:tmpl w:val="1884D730"/>
    <w:lvl w:ilvl="0" w:tplc="94085E98">
      <w:start w:val="1"/>
      <w:numFmt w:val="bullet"/>
      <w:lvlText w:val=""/>
      <w:lvlJc w:val="left"/>
      <w:pPr>
        <w:ind w:left="856"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1F3D2920"/>
    <w:multiLevelType w:val="hybridMultilevel"/>
    <w:tmpl w:val="F0A2F8D2"/>
    <w:lvl w:ilvl="0" w:tplc="94085E98">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7C080B"/>
    <w:multiLevelType w:val="hybridMultilevel"/>
    <w:tmpl w:val="44106748"/>
    <w:lvl w:ilvl="0" w:tplc="60D686EC">
      <w:start w:val="1"/>
      <w:numFmt w:val="bullet"/>
      <w:lvlText w:val="-"/>
      <w:lvlJc w:val="left"/>
      <w:pPr>
        <w:ind w:left="720" w:hanging="360"/>
      </w:pPr>
      <w:rPr>
        <w:rFonts w:ascii="Sylfaen" w:hAnsi="Sylfae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0777F2"/>
    <w:multiLevelType w:val="multilevel"/>
    <w:tmpl w:val="58368BAA"/>
    <w:lvl w:ilvl="0">
      <w:start w:val="1"/>
      <w:numFmt w:val="bullet"/>
      <w:lvlText w:val=""/>
      <w:lvlJc w:val="left"/>
      <w:pPr>
        <w:ind w:left="788" w:hanging="360"/>
      </w:pPr>
      <w:rPr>
        <w:rFonts w:ascii="Symbol" w:hAnsi="Symbol" w:hint="default"/>
      </w:rPr>
    </w:lvl>
    <w:lvl w:ilvl="1">
      <w:start w:val="1"/>
      <w:numFmt w:val="bullet"/>
      <w:lvlText w:val="o"/>
      <w:lvlJc w:val="left"/>
      <w:pPr>
        <w:ind w:left="1508" w:hanging="360"/>
      </w:pPr>
      <w:rPr>
        <w:rFonts w:ascii="Courier New" w:hAnsi="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hint="default"/>
      </w:rPr>
    </w:lvl>
    <w:lvl w:ilvl="8">
      <w:start w:val="1"/>
      <w:numFmt w:val="bullet"/>
      <w:lvlText w:val=""/>
      <w:lvlJc w:val="left"/>
      <w:pPr>
        <w:ind w:left="6548" w:hanging="360"/>
      </w:pPr>
      <w:rPr>
        <w:rFonts w:ascii="Wingdings" w:hAnsi="Wingdings" w:hint="default"/>
      </w:rPr>
    </w:lvl>
  </w:abstractNum>
  <w:abstractNum w:abstractNumId="14">
    <w:nsid w:val="2A720BAA"/>
    <w:multiLevelType w:val="hybridMultilevel"/>
    <w:tmpl w:val="6278F370"/>
    <w:lvl w:ilvl="0" w:tplc="94085E98">
      <w:start w:val="1"/>
      <w:numFmt w:val="bullet"/>
      <w:lvlText w:val=""/>
      <w:lvlJc w:val="left"/>
      <w:pPr>
        <w:ind w:left="856"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5">
    <w:nsid w:val="2BEE729F"/>
    <w:multiLevelType w:val="hybridMultilevel"/>
    <w:tmpl w:val="1F264FA6"/>
    <w:lvl w:ilvl="0" w:tplc="60D686EC">
      <w:start w:val="1"/>
      <w:numFmt w:val="bullet"/>
      <w:lvlText w:val="-"/>
      <w:lvlJc w:val="left"/>
      <w:pPr>
        <w:ind w:left="720" w:hanging="360"/>
      </w:pPr>
      <w:rPr>
        <w:rFonts w:ascii="Sylfaen" w:hAnsi="Sylfae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C65B70"/>
    <w:multiLevelType w:val="hybridMultilevel"/>
    <w:tmpl w:val="45A67D26"/>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2034D83"/>
    <w:multiLevelType w:val="hybridMultilevel"/>
    <w:tmpl w:val="09C2C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822BCB"/>
    <w:multiLevelType w:val="hybridMultilevel"/>
    <w:tmpl w:val="83FE171A"/>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A6F38"/>
    <w:multiLevelType w:val="hybridMultilevel"/>
    <w:tmpl w:val="E99485C2"/>
    <w:lvl w:ilvl="0" w:tplc="60D686EC">
      <w:start w:val="1"/>
      <w:numFmt w:val="bullet"/>
      <w:lvlText w:val="-"/>
      <w:lvlJc w:val="left"/>
      <w:pPr>
        <w:ind w:left="720" w:hanging="360"/>
      </w:pPr>
      <w:rPr>
        <w:rFonts w:ascii="Sylfaen" w:hAnsi="Sylfae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B6B80"/>
    <w:multiLevelType w:val="hybridMultilevel"/>
    <w:tmpl w:val="BA0A8E42"/>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D2BF9"/>
    <w:multiLevelType w:val="hybridMultilevel"/>
    <w:tmpl w:val="69E04770"/>
    <w:lvl w:ilvl="0" w:tplc="94085E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32" w:hanging="360"/>
      </w:pPr>
      <w:rPr>
        <w:rFonts w:ascii="Courier New" w:hAnsi="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4">
    <w:nsid w:val="413E3BE5"/>
    <w:multiLevelType w:val="hybridMultilevel"/>
    <w:tmpl w:val="EBD02CAC"/>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E9448D4"/>
    <w:multiLevelType w:val="hybridMultilevel"/>
    <w:tmpl w:val="58368BA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7">
    <w:nsid w:val="50D67105"/>
    <w:multiLevelType w:val="hybridMultilevel"/>
    <w:tmpl w:val="16A06E5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8">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4591FD3"/>
    <w:multiLevelType w:val="hybridMultilevel"/>
    <w:tmpl w:val="33DAB3C6"/>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D4474"/>
    <w:multiLevelType w:val="hybridMultilevel"/>
    <w:tmpl w:val="A788BF3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2">
    <w:nsid w:val="56B22EE6"/>
    <w:multiLevelType w:val="hybridMultilevel"/>
    <w:tmpl w:val="D15E860A"/>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B533D1D"/>
    <w:multiLevelType w:val="hybridMultilevel"/>
    <w:tmpl w:val="A58C87F8"/>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06372"/>
    <w:multiLevelType w:val="hybridMultilevel"/>
    <w:tmpl w:val="B7FAA49A"/>
    <w:lvl w:ilvl="0" w:tplc="94085E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32" w:hanging="360"/>
      </w:pPr>
      <w:rPr>
        <w:rFonts w:ascii="Courier New" w:hAnsi="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3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7">
    <w:nsid w:val="657A4EF4"/>
    <w:multiLevelType w:val="hybridMultilevel"/>
    <w:tmpl w:val="3862676C"/>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8A71107"/>
    <w:multiLevelType w:val="hybridMultilevel"/>
    <w:tmpl w:val="F9F0270A"/>
    <w:lvl w:ilvl="0" w:tplc="94085E98">
      <w:start w:val="1"/>
      <w:numFmt w:val="bullet"/>
      <w:lvlText w:val=""/>
      <w:lvlJc w:val="left"/>
      <w:pPr>
        <w:ind w:left="7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787626"/>
    <w:multiLevelType w:val="hybridMultilevel"/>
    <w:tmpl w:val="A3EE63B0"/>
    <w:lvl w:ilvl="0" w:tplc="B2CCE362">
      <w:start w:val="1"/>
      <w:numFmt w:val="lowerRoman"/>
      <w:lvlText w:val="(%1)"/>
      <w:lvlJc w:val="left"/>
      <w:pPr>
        <w:ind w:left="788" w:hanging="72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1">
    <w:nsid w:val="6A1C09AE"/>
    <w:multiLevelType w:val="hybridMultilevel"/>
    <w:tmpl w:val="32AEAD36"/>
    <w:lvl w:ilvl="0" w:tplc="5C38583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BCA6EA5"/>
    <w:multiLevelType w:val="hybridMultilevel"/>
    <w:tmpl w:val="11E00392"/>
    <w:lvl w:ilvl="0" w:tplc="94085E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32" w:hanging="360"/>
      </w:pPr>
      <w:rPr>
        <w:rFonts w:ascii="Courier New" w:hAnsi="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4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4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416608"/>
    <w:multiLevelType w:val="hybridMultilevel"/>
    <w:tmpl w:val="0BF873C0"/>
    <w:lvl w:ilvl="0" w:tplc="94085E98">
      <w:start w:val="1"/>
      <w:numFmt w:val="bullet"/>
      <w:lvlText w:val=""/>
      <w:lvlJc w:val="left"/>
      <w:pPr>
        <w:ind w:left="856"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6">
    <w:nsid w:val="74007702"/>
    <w:multiLevelType w:val="hybridMultilevel"/>
    <w:tmpl w:val="B646238E"/>
    <w:lvl w:ilvl="0" w:tplc="94085E98">
      <w:start w:val="1"/>
      <w:numFmt w:val="bullet"/>
      <w:lvlText w:val=""/>
      <w:lvlJc w:val="left"/>
      <w:pPr>
        <w:ind w:left="856"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7">
    <w:nsid w:val="742A52D4"/>
    <w:multiLevelType w:val="hybridMultilevel"/>
    <w:tmpl w:val="D2083494"/>
    <w:lvl w:ilvl="0" w:tplc="B4942D78">
      <w:numFmt w:val="bullet"/>
      <w:lvlText w:val="-"/>
      <w:lvlJc w:val="left"/>
      <w:pPr>
        <w:ind w:left="428" w:hanging="360"/>
      </w:pPr>
      <w:rPr>
        <w:rFonts w:ascii="Times New Roman" w:eastAsia="Times New Roman" w:hAnsi="Times New Roman" w:cs="Times New Roman"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4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E2650DC"/>
    <w:multiLevelType w:val="hybridMultilevel"/>
    <w:tmpl w:val="AB00B45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0">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3"/>
  </w:num>
  <w:num w:numId="3">
    <w:abstractNumId w:val="8"/>
  </w:num>
  <w:num w:numId="4">
    <w:abstractNumId w:val="33"/>
  </w:num>
  <w:num w:numId="5">
    <w:abstractNumId w:val="5"/>
  </w:num>
  <w:num w:numId="6">
    <w:abstractNumId w:val="29"/>
  </w:num>
  <w:num w:numId="7">
    <w:abstractNumId w:val="25"/>
  </w:num>
  <w:num w:numId="8">
    <w:abstractNumId w:val="21"/>
  </w:num>
  <w:num w:numId="9">
    <w:abstractNumId w:val="38"/>
  </w:num>
  <w:num w:numId="10">
    <w:abstractNumId w:val="3"/>
  </w:num>
  <w:num w:numId="11">
    <w:abstractNumId w:val="28"/>
  </w:num>
  <w:num w:numId="12">
    <w:abstractNumId w:val="44"/>
  </w:num>
  <w:num w:numId="13">
    <w:abstractNumId w:val="10"/>
  </w:num>
  <w:num w:numId="14">
    <w:abstractNumId w:val="48"/>
  </w:num>
  <w:num w:numId="15">
    <w:abstractNumId w:val="50"/>
  </w:num>
  <w:num w:numId="16">
    <w:abstractNumId w:val="17"/>
  </w:num>
  <w:num w:numId="17">
    <w:abstractNumId w:val="0"/>
  </w:num>
  <w:num w:numId="18">
    <w:abstractNumId w:val="2"/>
  </w:num>
  <w:num w:numId="19">
    <w:abstractNumId w:val="20"/>
  </w:num>
  <w:num w:numId="20">
    <w:abstractNumId w:val="12"/>
  </w:num>
  <w:num w:numId="21">
    <w:abstractNumId w:val="15"/>
  </w:num>
  <w:num w:numId="22">
    <w:abstractNumId w:val="47"/>
  </w:num>
  <w:num w:numId="23">
    <w:abstractNumId w:val="18"/>
  </w:num>
  <w:num w:numId="24">
    <w:abstractNumId w:val="8"/>
  </w:num>
  <w:num w:numId="25">
    <w:abstractNumId w:val="8"/>
  </w:num>
  <w:num w:numId="26">
    <w:abstractNumId w:val="37"/>
  </w:num>
  <w:num w:numId="27">
    <w:abstractNumId w:val="1"/>
  </w:num>
  <w:num w:numId="28">
    <w:abstractNumId w:val="4"/>
  </w:num>
  <w:num w:numId="29">
    <w:abstractNumId w:val="31"/>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40"/>
  </w:num>
  <w:num w:numId="46">
    <w:abstractNumId w:val="49"/>
  </w:num>
  <w:num w:numId="47">
    <w:abstractNumId w:val="27"/>
  </w:num>
  <w:num w:numId="48">
    <w:abstractNumId w:val="26"/>
  </w:num>
  <w:num w:numId="49">
    <w:abstractNumId w:val="13"/>
  </w:num>
  <w:num w:numId="50">
    <w:abstractNumId w:val="32"/>
  </w:num>
  <w:num w:numId="51">
    <w:abstractNumId w:val="30"/>
  </w:num>
  <w:num w:numId="52">
    <w:abstractNumId w:val="14"/>
  </w:num>
  <w:num w:numId="53">
    <w:abstractNumId w:val="23"/>
  </w:num>
  <w:num w:numId="54">
    <w:abstractNumId w:val="9"/>
  </w:num>
  <w:num w:numId="55">
    <w:abstractNumId w:val="6"/>
  </w:num>
  <w:num w:numId="56">
    <w:abstractNumId w:val="46"/>
  </w:num>
  <w:num w:numId="57">
    <w:abstractNumId w:val="45"/>
  </w:num>
  <w:num w:numId="58">
    <w:abstractNumId w:val="24"/>
  </w:num>
  <w:num w:numId="59">
    <w:abstractNumId w:val="42"/>
  </w:num>
  <w:num w:numId="60">
    <w:abstractNumId w:val="34"/>
  </w:num>
  <w:num w:numId="61">
    <w:abstractNumId w:val="16"/>
  </w:num>
  <w:num w:numId="62">
    <w:abstractNumId w:val="35"/>
  </w:num>
  <w:num w:numId="63">
    <w:abstractNumId w:val="19"/>
  </w:num>
  <w:num w:numId="64">
    <w:abstractNumId w:val="39"/>
  </w:num>
  <w:num w:numId="65">
    <w:abstractNumId w:val="7"/>
  </w:num>
  <w:num w:numId="66">
    <w:abstractNumId w:val="22"/>
  </w:num>
  <w:num w:numId="6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26E9"/>
    <w:rsid w:val="000039CF"/>
    <w:rsid w:val="0000460C"/>
    <w:rsid w:val="00006BD1"/>
    <w:rsid w:val="00012434"/>
    <w:rsid w:val="00012867"/>
    <w:rsid w:val="00013074"/>
    <w:rsid w:val="00013C17"/>
    <w:rsid w:val="000143D9"/>
    <w:rsid w:val="000154C5"/>
    <w:rsid w:val="000155E5"/>
    <w:rsid w:val="00016448"/>
    <w:rsid w:val="00020121"/>
    <w:rsid w:val="000208EB"/>
    <w:rsid w:val="00021A9E"/>
    <w:rsid w:val="000232E8"/>
    <w:rsid w:val="0002440F"/>
    <w:rsid w:val="0002516A"/>
    <w:rsid w:val="00026FE8"/>
    <w:rsid w:val="000273AE"/>
    <w:rsid w:val="00027942"/>
    <w:rsid w:val="00030111"/>
    <w:rsid w:val="00030380"/>
    <w:rsid w:val="00031100"/>
    <w:rsid w:val="00032309"/>
    <w:rsid w:val="000325A4"/>
    <w:rsid w:val="00032865"/>
    <w:rsid w:val="000331F9"/>
    <w:rsid w:val="00035C2E"/>
    <w:rsid w:val="00035E49"/>
    <w:rsid w:val="000415BA"/>
    <w:rsid w:val="0004216D"/>
    <w:rsid w:val="000440F3"/>
    <w:rsid w:val="00044BF1"/>
    <w:rsid w:val="00047343"/>
    <w:rsid w:val="00054344"/>
    <w:rsid w:val="00054554"/>
    <w:rsid w:val="000627D1"/>
    <w:rsid w:val="000639F0"/>
    <w:rsid w:val="00063CFE"/>
    <w:rsid w:val="0006430D"/>
    <w:rsid w:val="000643C0"/>
    <w:rsid w:val="00065A4B"/>
    <w:rsid w:val="0006654F"/>
    <w:rsid w:val="00070254"/>
    <w:rsid w:val="00071B95"/>
    <w:rsid w:val="0007296E"/>
    <w:rsid w:val="000745E2"/>
    <w:rsid w:val="000763DE"/>
    <w:rsid w:val="000774FD"/>
    <w:rsid w:val="00081321"/>
    <w:rsid w:val="000863CE"/>
    <w:rsid w:val="000878C2"/>
    <w:rsid w:val="000915B1"/>
    <w:rsid w:val="00091D37"/>
    <w:rsid w:val="00094B12"/>
    <w:rsid w:val="000979A0"/>
    <w:rsid w:val="000A0FA6"/>
    <w:rsid w:val="000A1618"/>
    <w:rsid w:val="000A1AB9"/>
    <w:rsid w:val="000A2220"/>
    <w:rsid w:val="000A45B6"/>
    <w:rsid w:val="000A4B06"/>
    <w:rsid w:val="000A62AD"/>
    <w:rsid w:val="000A6F2D"/>
    <w:rsid w:val="000B0995"/>
    <w:rsid w:val="000B3121"/>
    <w:rsid w:val="000B61BF"/>
    <w:rsid w:val="000C09B4"/>
    <w:rsid w:val="000C2517"/>
    <w:rsid w:val="000C29BF"/>
    <w:rsid w:val="000C3FE2"/>
    <w:rsid w:val="000C46AB"/>
    <w:rsid w:val="000C4BDB"/>
    <w:rsid w:val="000C6080"/>
    <w:rsid w:val="000C60A8"/>
    <w:rsid w:val="000C6D0E"/>
    <w:rsid w:val="000C6EE0"/>
    <w:rsid w:val="000D051A"/>
    <w:rsid w:val="000D0F1A"/>
    <w:rsid w:val="000D23DB"/>
    <w:rsid w:val="000D495D"/>
    <w:rsid w:val="000D6B61"/>
    <w:rsid w:val="000E25BB"/>
    <w:rsid w:val="000E7297"/>
    <w:rsid w:val="000F232F"/>
    <w:rsid w:val="000F66D8"/>
    <w:rsid w:val="00100AA2"/>
    <w:rsid w:val="00103E0C"/>
    <w:rsid w:val="0010447B"/>
    <w:rsid w:val="00106B2A"/>
    <w:rsid w:val="00111149"/>
    <w:rsid w:val="00111B25"/>
    <w:rsid w:val="00112E97"/>
    <w:rsid w:val="00112ED5"/>
    <w:rsid w:val="00116065"/>
    <w:rsid w:val="0012093E"/>
    <w:rsid w:val="00120BCA"/>
    <w:rsid w:val="00120FC7"/>
    <w:rsid w:val="001257C6"/>
    <w:rsid w:val="0012733D"/>
    <w:rsid w:val="0013028D"/>
    <w:rsid w:val="001325CD"/>
    <w:rsid w:val="00134153"/>
    <w:rsid w:val="001366B4"/>
    <w:rsid w:val="00141A30"/>
    <w:rsid w:val="00142060"/>
    <w:rsid w:val="001421A6"/>
    <w:rsid w:val="0014243B"/>
    <w:rsid w:val="0014411B"/>
    <w:rsid w:val="00151162"/>
    <w:rsid w:val="001511F0"/>
    <w:rsid w:val="0015166C"/>
    <w:rsid w:val="001557A3"/>
    <w:rsid w:val="0015665D"/>
    <w:rsid w:val="00157A22"/>
    <w:rsid w:val="00160266"/>
    <w:rsid w:val="00160FFD"/>
    <w:rsid w:val="001612CE"/>
    <w:rsid w:val="001620F8"/>
    <w:rsid w:val="001630E0"/>
    <w:rsid w:val="001634EB"/>
    <w:rsid w:val="00165113"/>
    <w:rsid w:val="00165425"/>
    <w:rsid w:val="0016544D"/>
    <w:rsid w:val="00167352"/>
    <w:rsid w:val="00167C64"/>
    <w:rsid w:val="00173C6E"/>
    <w:rsid w:val="001757A7"/>
    <w:rsid w:val="00176599"/>
    <w:rsid w:val="00177023"/>
    <w:rsid w:val="00180B19"/>
    <w:rsid w:val="0018196F"/>
    <w:rsid w:val="00181B34"/>
    <w:rsid w:val="001829BB"/>
    <w:rsid w:val="001853F8"/>
    <w:rsid w:val="00187977"/>
    <w:rsid w:val="00192498"/>
    <w:rsid w:val="0019268A"/>
    <w:rsid w:val="00194806"/>
    <w:rsid w:val="001977F7"/>
    <w:rsid w:val="001A138F"/>
    <w:rsid w:val="001A3885"/>
    <w:rsid w:val="001A3897"/>
    <w:rsid w:val="001A7794"/>
    <w:rsid w:val="001B0A2B"/>
    <w:rsid w:val="001B1A0C"/>
    <w:rsid w:val="001B2370"/>
    <w:rsid w:val="001B61A8"/>
    <w:rsid w:val="001B69A6"/>
    <w:rsid w:val="001C0B0D"/>
    <w:rsid w:val="001C0DC2"/>
    <w:rsid w:val="001C1EA0"/>
    <w:rsid w:val="001C20BA"/>
    <w:rsid w:val="001C507E"/>
    <w:rsid w:val="001C6694"/>
    <w:rsid w:val="001C700E"/>
    <w:rsid w:val="001C7117"/>
    <w:rsid w:val="001C737F"/>
    <w:rsid w:val="001C7FBA"/>
    <w:rsid w:val="001D0F44"/>
    <w:rsid w:val="001D1DB0"/>
    <w:rsid w:val="001D20FC"/>
    <w:rsid w:val="001D210A"/>
    <w:rsid w:val="001D49E7"/>
    <w:rsid w:val="001D5C84"/>
    <w:rsid w:val="001D7BD6"/>
    <w:rsid w:val="001E00B5"/>
    <w:rsid w:val="001E15A0"/>
    <w:rsid w:val="001E2B18"/>
    <w:rsid w:val="001E409E"/>
    <w:rsid w:val="001E4EB6"/>
    <w:rsid w:val="001E5904"/>
    <w:rsid w:val="001E6B01"/>
    <w:rsid w:val="001E6BC9"/>
    <w:rsid w:val="001F1514"/>
    <w:rsid w:val="001F241B"/>
    <w:rsid w:val="001F2ED4"/>
    <w:rsid w:val="001F65C4"/>
    <w:rsid w:val="001F7480"/>
    <w:rsid w:val="00200FDE"/>
    <w:rsid w:val="00204EFA"/>
    <w:rsid w:val="0020617C"/>
    <w:rsid w:val="00207BC2"/>
    <w:rsid w:val="00207EE1"/>
    <w:rsid w:val="002115BD"/>
    <w:rsid w:val="00212308"/>
    <w:rsid w:val="00214C02"/>
    <w:rsid w:val="0021662D"/>
    <w:rsid w:val="00217EFC"/>
    <w:rsid w:val="0022090F"/>
    <w:rsid w:val="0022117E"/>
    <w:rsid w:val="00221570"/>
    <w:rsid w:val="0022231D"/>
    <w:rsid w:val="00230097"/>
    <w:rsid w:val="00230140"/>
    <w:rsid w:val="0023048C"/>
    <w:rsid w:val="002306ED"/>
    <w:rsid w:val="00231D45"/>
    <w:rsid w:val="00234008"/>
    <w:rsid w:val="00236373"/>
    <w:rsid w:val="00237C4B"/>
    <w:rsid w:val="002403F9"/>
    <w:rsid w:val="002405F7"/>
    <w:rsid w:val="00241165"/>
    <w:rsid w:val="0024531E"/>
    <w:rsid w:val="00245961"/>
    <w:rsid w:val="00246E5F"/>
    <w:rsid w:val="00247567"/>
    <w:rsid w:val="00247DF7"/>
    <w:rsid w:val="00250B60"/>
    <w:rsid w:val="00250DDA"/>
    <w:rsid w:val="00251BCF"/>
    <w:rsid w:val="00255F38"/>
    <w:rsid w:val="0026524E"/>
    <w:rsid w:val="00265EEC"/>
    <w:rsid w:val="0027073F"/>
    <w:rsid w:val="00273CD5"/>
    <w:rsid w:val="0027575E"/>
    <w:rsid w:val="002758C6"/>
    <w:rsid w:val="002769CB"/>
    <w:rsid w:val="00277879"/>
    <w:rsid w:val="00282DC3"/>
    <w:rsid w:val="002838AC"/>
    <w:rsid w:val="002849B4"/>
    <w:rsid w:val="00284AC2"/>
    <w:rsid w:val="002853D8"/>
    <w:rsid w:val="00285A31"/>
    <w:rsid w:val="00285CF2"/>
    <w:rsid w:val="0028707D"/>
    <w:rsid w:val="00293EFC"/>
    <w:rsid w:val="00295102"/>
    <w:rsid w:val="00295587"/>
    <w:rsid w:val="0029748F"/>
    <w:rsid w:val="002977B4"/>
    <w:rsid w:val="00297D53"/>
    <w:rsid w:val="002A00F7"/>
    <w:rsid w:val="002A15AC"/>
    <w:rsid w:val="002A1935"/>
    <w:rsid w:val="002A22F7"/>
    <w:rsid w:val="002A242F"/>
    <w:rsid w:val="002A5719"/>
    <w:rsid w:val="002A748C"/>
    <w:rsid w:val="002B11FD"/>
    <w:rsid w:val="002B433A"/>
    <w:rsid w:val="002B4437"/>
    <w:rsid w:val="002B5D79"/>
    <w:rsid w:val="002B682B"/>
    <w:rsid w:val="002B790A"/>
    <w:rsid w:val="002B7968"/>
    <w:rsid w:val="002B79D4"/>
    <w:rsid w:val="002C13D0"/>
    <w:rsid w:val="002C1EAF"/>
    <w:rsid w:val="002C1F96"/>
    <w:rsid w:val="002C2DBE"/>
    <w:rsid w:val="002C5925"/>
    <w:rsid w:val="002C6E4D"/>
    <w:rsid w:val="002C7E90"/>
    <w:rsid w:val="002D0110"/>
    <w:rsid w:val="002D18EC"/>
    <w:rsid w:val="002D211C"/>
    <w:rsid w:val="002D2C33"/>
    <w:rsid w:val="002D417E"/>
    <w:rsid w:val="002D42E9"/>
    <w:rsid w:val="002D6914"/>
    <w:rsid w:val="002D6E6B"/>
    <w:rsid w:val="002D7B01"/>
    <w:rsid w:val="002D7EAC"/>
    <w:rsid w:val="002E28CC"/>
    <w:rsid w:val="002F479A"/>
    <w:rsid w:val="002F5A14"/>
    <w:rsid w:val="002F6C34"/>
    <w:rsid w:val="003019B0"/>
    <w:rsid w:val="00302F75"/>
    <w:rsid w:val="00303038"/>
    <w:rsid w:val="00303738"/>
    <w:rsid w:val="00304825"/>
    <w:rsid w:val="00306393"/>
    <w:rsid w:val="00310426"/>
    <w:rsid w:val="00312205"/>
    <w:rsid w:val="003125BC"/>
    <w:rsid w:val="003139DA"/>
    <w:rsid w:val="00313A88"/>
    <w:rsid w:val="0031400E"/>
    <w:rsid w:val="00315D13"/>
    <w:rsid w:val="00317A6D"/>
    <w:rsid w:val="003223F8"/>
    <w:rsid w:val="003224C9"/>
    <w:rsid w:val="003245F9"/>
    <w:rsid w:val="0032486D"/>
    <w:rsid w:val="003260C0"/>
    <w:rsid w:val="00326B5A"/>
    <w:rsid w:val="003319C1"/>
    <w:rsid w:val="003327F8"/>
    <w:rsid w:val="003362B7"/>
    <w:rsid w:val="00336C60"/>
    <w:rsid w:val="00341177"/>
    <w:rsid w:val="0034131A"/>
    <w:rsid w:val="003415F3"/>
    <w:rsid w:val="003428ED"/>
    <w:rsid w:val="003439AE"/>
    <w:rsid w:val="003451CD"/>
    <w:rsid w:val="00345275"/>
    <w:rsid w:val="00345B8E"/>
    <w:rsid w:val="003463C7"/>
    <w:rsid w:val="00346A23"/>
    <w:rsid w:val="00350243"/>
    <w:rsid w:val="003513DB"/>
    <w:rsid w:val="00351ACA"/>
    <w:rsid w:val="00352AE5"/>
    <w:rsid w:val="003534E9"/>
    <w:rsid w:val="00353683"/>
    <w:rsid w:val="00353C47"/>
    <w:rsid w:val="003545E7"/>
    <w:rsid w:val="003556C4"/>
    <w:rsid w:val="0035573B"/>
    <w:rsid w:val="00357AF7"/>
    <w:rsid w:val="00360662"/>
    <w:rsid w:val="003637C6"/>
    <w:rsid w:val="00363B72"/>
    <w:rsid w:val="00363B7B"/>
    <w:rsid w:val="00365E59"/>
    <w:rsid w:val="0036668E"/>
    <w:rsid w:val="00367950"/>
    <w:rsid w:val="00372E1B"/>
    <w:rsid w:val="00373350"/>
    <w:rsid w:val="003760CB"/>
    <w:rsid w:val="0037624A"/>
    <w:rsid w:val="00377783"/>
    <w:rsid w:val="00377E7B"/>
    <w:rsid w:val="00380309"/>
    <w:rsid w:val="00381E77"/>
    <w:rsid w:val="00383294"/>
    <w:rsid w:val="00387A55"/>
    <w:rsid w:val="00390D99"/>
    <w:rsid w:val="003930FF"/>
    <w:rsid w:val="0039542D"/>
    <w:rsid w:val="00395CFA"/>
    <w:rsid w:val="003960E8"/>
    <w:rsid w:val="0039747A"/>
    <w:rsid w:val="003A2D7B"/>
    <w:rsid w:val="003A3941"/>
    <w:rsid w:val="003A4ADB"/>
    <w:rsid w:val="003A74BF"/>
    <w:rsid w:val="003A7C11"/>
    <w:rsid w:val="003B1358"/>
    <w:rsid w:val="003B318E"/>
    <w:rsid w:val="003B31D0"/>
    <w:rsid w:val="003B4829"/>
    <w:rsid w:val="003B4886"/>
    <w:rsid w:val="003B6C0C"/>
    <w:rsid w:val="003B6E65"/>
    <w:rsid w:val="003C158E"/>
    <w:rsid w:val="003C1BEB"/>
    <w:rsid w:val="003C6892"/>
    <w:rsid w:val="003C7721"/>
    <w:rsid w:val="003D081D"/>
    <w:rsid w:val="003D2940"/>
    <w:rsid w:val="003D2988"/>
    <w:rsid w:val="003D4F0D"/>
    <w:rsid w:val="003D5A83"/>
    <w:rsid w:val="003D5E12"/>
    <w:rsid w:val="003E1B97"/>
    <w:rsid w:val="003E26A3"/>
    <w:rsid w:val="003E4982"/>
    <w:rsid w:val="003E6A89"/>
    <w:rsid w:val="003F1A57"/>
    <w:rsid w:val="003F30B9"/>
    <w:rsid w:val="003F38DC"/>
    <w:rsid w:val="00401A48"/>
    <w:rsid w:val="004042D2"/>
    <w:rsid w:val="00405605"/>
    <w:rsid w:val="00405A31"/>
    <w:rsid w:val="00406F5A"/>
    <w:rsid w:val="00411455"/>
    <w:rsid w:val="00411C9D"/>
    <w:rsid w:val="00412237"/>
    <w:rsid w:val="00413035"/>
    <w:rsid w:val="00413441"/>
    <w:rsid w:val="00413539"/>
    <w:rsid w:val="00414FE3"/>
    <w:rsid w:val="00415A92"/>
    <w:rsid w:val="004200F8"/>
    <w:rsid w:val="004206A6"/>
    <w:rsid w:val="00420A68"/>
    <w:rsid w:val="00420F54"/>
    <w:rsid w:val="00420F76"/>
    <w:rsid w:val="0042194C"/>
    <w:rsid w:val="0042232A"/>
    <w:rsid w:val="004228CD"/>
    <w:rsid w:val="00424517"/>
    <w:rsid w:val="004251A5"/>
    <w:rsid w:val="00425CDD"/>
    <w:rsid w:val="0042608E"/>
    <w:rsid w:val="00426290"/>
    <w:rsid w:val="00426354"/>
    <w:rsid w:val="004332F9"/>
    <w:rsid w:val="004339FC"/>
    <w:rsid w:val="00435270"/>
    <w:rsid w:val="004359B1"/>
    <w:rsid w:val="004360F9"/>
    <w:rsid w:val="0043617B"/>
    <w:rsid w:val="00441725"/>
    <w:rsid w:val="00443639"/>
    <w:rsid w:val="00445A3B"/>
    <w:rsid w:val="004507FD"/>
    <w:rsid w:val="004543D2"/>
    <w:rsid w:val="00455597"/>
    <w:rsid w:val="00462312"/>
    <w:rsid w:val="00467269"/>
    <w:rsid w:val="004700E7"/>
    <w:rsid w:val="00470C52"/>
    <w:rsid w:val="004748B5"/>
    <w:rsid w:val="0047637C"/>
    <w:rsid w:val="00477F41"/>
    <w:rsid w:val="0048102F"/>
    <w:rsid w:val="00481788"/>
    <w:rsid w:val="00481DB8"/>
    <w:rsid w:val="004822F6"/>
    <w:rsid w:val="00483001"/>
    <w:rsid w:val="0048376A"/>
    <w:rsid w:val="00483F98"/>
    <w:rsid w:val="00485ABB"/>
    <w:rsid w:val="0048646C"/>
    <w:rsid w:val="00487077"/>
    <w:rsid w:val="004874DA"/>
    <w:rsid w:val="00491878"/>
    <w:rsid w:val="00492F17"/>
    <w:rsid w:val="00493BFE"/>
    <w:rsid w:val="00493D95"/>
    <w:rsid w:val="004942D9"/>
    <w:rsid w:val="00497832"/>
    <w:rsid w:val="004A023E"/>
    <w:rsid w:val="004A1EB9"/>
    <w:rsid w:val="004A2233"/>
    <w:rsid w:val="004A2BD5"/>
    <w:rsid w:val="004A3517"/>
    <w:rsid w:val="004A5CFB"/>
    <w:rsid w:val="004A7400"/>
    <w:rsid w:val="004B0786"/>
    <w:rsid w:val="004B084B"/>
    <w:rsid w:val="004B0B7C"/>
    <w:rsid w:val="004B1568"/>
    <w:rsid w:val="004B3CA8"/>
    <w:rsid w:val="004B4C82"/>
    <w:rsid w:val="004C0467"/>
    <w:rsid w:val="004C119B"/>
    <w:rsid w:val="004C4A3E"/>
    <w:rsid w:val="004C660D"/>
    <w:rsid w:val="004C73F5"/>
    <w:rsid w:val="004D1529"/>
    <w:rsid w:val="004D19CE"/>
    <w:rsid w:val="004D41D2"/>
    <w:rsid w:val="004D4522"/>
    <w:rsid w:val="004D536F"/>
    <w:rsid w:val="004D5461"/>
    <w:rsid w:val="004D687E"/>
    <w:rsid w:val="004D6F7D"/>
    <w:rsid w:val="004D6FF0"/>
    <w:rsid w:val="004D7482"/>
    <w:rsid w:val="004D7829"/>
    <w:rsid w:val="004E1781"/>
    <w:rsid w:val="004E290E"/>
    <w:rsid w:val="004E407B"/>
    <w:rsid w:val="004E47E8"/>
    <w:rsid w:val="004E5AE0"/>
    <w:rsid w:val="004E6400"/>
    <w:rsid w:val="004E6B27"/>
    <w:rsid w:val="004E6E33"/>
    <w:rsid w:val="004F521E"/>
    <w:rsid w:val="004F65BC"/>
    <w:rsid w:val="00501915"/>
    <w:rsid w:val="005026B3"/>
    <w:rsid w:val="005026E5"/>
    <w:rsid w:val="00503974"/>
    <w:rsid w:val="00504E7F"/>
    <w:rsid w:val="0050529F"/>
    <w:rsid w:val="0050570A"/>
    <w:rsid w:val="00505EA5"/>
    <w:rsid w:val="005076ED"/>
    <w:rsid w:val="00507AD0"/>
    <w:rsid w:val="0051044D"/>
    <w:rsid w:val="00513058"/>
    <w:rsid w:val="00514336"/>
    <w:rsid w:val="00514819"/>
    <w:rsid w:val="00514B5E"/>
    <w:rsid w:val="00514BD0"/>
    <w:rsid w:val="00515B21"/>
    <w:rsid w:val="005210E1"/>
    <w:rsid w:val="0052286C"/>
    <w:rsid w:val="00522AB9"/>
    <w:rsid w:val="00523FB7"/>
    <w:rsid w:val="005265B9"/>
    <w:rsid w:val="00527C79"/>
    <w:rsid w:val="0053138B"/>
    <w:rsid w:val="005333FF"/>
    <w:rsid w:val="00533512"/>
    <w:rsid w:val="00533533"/>
    <w:rsid w:val="00534F06"/>
    <w:rsid w:val="00535E24"/>
    <w:rsid w:val="00541B3F"/>
    <w:rsid w:val="00543BB8"/>
    <w:rsid w:val="005440F6"/>
    <w:rsid w:val="0054557A"/>
    <w:rsid w:val="005467F0"/>
    <w:rsid w:val="00546DD6"/>
    <w:rsid w:val="00550D65"/>
    <w:rsid w:val="0055242E"/>
    <w:rsid w:val="00555CEA"/>
    <w:rsid w:val="00556FAF"/>
    <w:rsid w:val="0055771D"/>
    <w:rsid w:val="00562997"/>
    <w:rsid w:val="0056588D"/>
    <w:rsid w:val="00567FCF"/>
    <w:rsid w:val="00575295"/>
    <w:rsid w:val="005770FD"/>
    <w:rsid w:val="005821C9"/>
    <w:rsid w:val="005826CB"/>
    <w:rsid w:val="0058343A"/>
    <w:rsid w:val="00583701"/>
    <w:rsid w:val="005845CB"/>
    <w:rsid w:val="0058498A"/>
    <w:rsid w:val="00586350"/>
    <w:rsid w:val="00591BCF"/>
    <w:rsid w:val="005943EF"/>
    <w:rsid w:val="00594B67"/>
    <w:rsid w:val="00594E6F"/>
    <w:rsid w:val="00596971"/>
    <w:rsid w:val="00597287"/>
    <w:rsid w:val="005A143A"/>
    <w:rsid w:val="005A15A0"/>
    <w:rsid w:val="005A15A7"/>
    <w:rsid w:val="005A18C5"/>
    <w:rsid w:val="005A2F76"/>
    <w:rsid w:val="005A4B63"/>
    <w:rsid w:val="005A7F4C"/>
    <w:rsid w:val="005B3D5D"/>
    <w:rsid w:val="005B7C71"/>
    <w:rsid w:val="005C44F1"/>
    <w:rsid w:val="005C4A6B"/>
    <w:rsid w:val="005C556F"/>
    <w:rsid w:val="005C6252"/>
    <w:rsid w:val="005D2A59"/>
    <w:rsid w:val="005D7A4F"/>
    <w:rsid w:val="005E0488"/>
    <w:rsid w:val="005E04A7"/>
    <w:rsid w:val="005E096B"/>
    <w:rsid w:val="005E11D2"/>
    <w:rsid w:val="005E4698"/>
    <w:rsid w:val="005E4A4A"/>
    <w:rsid w:val="005E64BC"/>
    <w:rsid w:val="005E7D66"/>
    <w:rsid w:val="005F0C00"/>
    <w:rsid w:val="005F33F2"/>
    <w:rsid w:val="005F6CCC"/>
    <w:rsid w:val="00602CC8"/>
    <w:rsid w:val="006034C2"/>
    <w:rsid w:val="00603D1B"/>
    <w:rsid w:val="006040A7"/>
    <w:rsid w:val="00604567"/>
    <w:rsid w:val="006045D4"/>
    <w:rsid w:val="00605918"/>
    <w:rsid w:val="00607127"/>
    <w:rsid w:val="00611098"/>
    <w:rsid w:val="00612886"/>
    <w:rsid w:val="00614650"/>
    <w:rsid w:val="00614EF1"/>
    <w:rsid w:val="00615FCD"/>
    <w:rsid w:val="006165F3"/>
    <w:rsid w:val="00617518"/>
    <w:rsid w:val="00617BF9"/>
    <w:rsid w:val="00617F30"/>
    <w:rsid w:val="00620B13"/>
    <w:rsid w:val="00620CC2"/>
    <w:rsid w:val="0062125A"/>
    <w:rsid w:val="00621A01"/>
    <w:rsid w:val="00622A80"/>
    <w:rsid w:val="00624CBC"/>
    <w:rsid w:val="00625167"/>
    <w:rsid w:val="006268D8"/>
    <w:rsid w:val="0063058F"/>
    <w:rsid w:val="006321E0"/>
    <w:rsid w:val="00636617"/>
    <w:rsid w:val="006405E2"/>
    <w:rsid w:val="00641A4E"/>
    <w:rsid w:val="006421E3"/>
    <w:rsid w:val="00642305"/>
    <w:rsid w:val="006427B8"/>
    <w:rsid w:val="00642E50"/>
    <w:rsid w:val="00644D59"/>
    <w:rsid w:val="00646049"/>
    <w:rsid w:val="00646E23"/>
    <w:rsid w:val="00650823"/>
    <w:rsid w:val="00652897"/>
    <w:rsid w:val="00653B7D"/>
    <w:rsid w:val="00657108"/>
    <w:rsid w:val="0065774A"/>
    <w:rsid w:val="00663909"/>
    <w:rsid w:val="006671BC"/>
    <w:rsid w:val="00667988"/>
    <w:rsid w:val="00670136"/>
    <w:rsid w:val="00671257"/>
    <w:rsid w:val="00671421"/>
    <w:rsid w:val="0067468F"/>
    <w:rsid w:val="00676F8F"/>
    <w:rsid w:val="00680679"/>
    <w:rsid w:val="006806F3"/>
    <w:rsid w:val="00680A3E"/>
    <w:rsid w:val="00680A71"/>
    <w:rsid w:val="00681F6E"/>
    <w:rsid w:val="00683EF8"/>
    <w:rsid w:val="00683FFB"/>
    <w:rsid w:val="006847AF"/>
    <w:rsid w:val="00690C87"/>
    <w:rsid w:val="00692872"/>
    <w:rsid w:val="00695279"/>
    <w:rsid w:val="00695397"/>
    <w:rsid w:val="006959E2"/>
    <w:rsid w:val="00695AB9"/>
    <w:rsid w:val="00695B3C"/>
    <w:rsid w:val="006A0BBD"/>
    <w:rsid w:val="006A1013"/>
    <w:rsid w:val="006A10AC"/>
    <w:rsid w:val="006A4656"/>
    <w:rsid w:val="006A4D9E"/>
    <w:rsid w:val="006A56A9"/>
    <w:rsid w:val="006A5D17"/>
    <w:rsid w:val="006A5F2C"/>
    <w:rsid w:val="006A6BD3"/>
    <w:rsid w:val="006A6C96"/>
    <w:rsid w:val="006A7351"/>
    <w:rsid w:val="006A74D9"/>
    <w:rsid w:val="006B088B"/>
    <w:rsid w:val="006B1CF1"/>
    <w:rsid w:val="006B31EB"/>
    <w:rsid w:val="006B5FD3"/>
    <w:rsid w:val="006C6800"/>
    <w:rsid w:val="006D272B"/>
    <w:rsid w:val="006D2E37"/>
    <w:rsid w:val="006D43FD"/>
    <w:rsid w:val="006D600F"/>
    <w:rsid w:val="006D6107"/>
    <w:rsid w:val="006E14D8"/>
    <w:rsid w:val="006E1509"/>
    <w:rsid w:val="006E1C0C"/>
    <w:rsid w:val="006E29A1"/>
    <w:rsid w:val="006E31DF"/>
    <w:rsid w:val="006E33E3"/>
    <w:rsid w:val="006E634D"/>
    <w:rsid w:val="006E7E9F"/>
    <w:rsid w:val="006E7FA8"/>
    <w:rsid w:val="006F273A"/>
    <w:rsid w:val="006F3082"/>
    <w:rsid w:val="006F3458"/>
    <w:rsid w:val="006F3546"/>
    <w:rsid w:val="006F4623"/>
    <w:rsid w:val="006F4B40"/>
    <w:rsid w:val="006F7EDD"/>
    <w:rsid w:val="007005E7"/>
    <w:rsid w:val="00701210"/>
    <w:rsid w:val="00701FEA"/>
    <w:rsid w:val="007036DF"/>
    <w:rsid w:val="007048B3"/>
    <w:rsid w:val="00706D6C"/>
    <w:rsid w:val="00706DE1"/>
    <w:rsid w:val="00710406"/>
    <w:rsid w:val="007110C9"/>
    <w:rsid w:val="00714BA3"/>
    <w:rsid w:val="00716B8B"/>
    <w:rsid w:val="00721098"/>
    <w:rsid w:val="00721314"/>
    <w:rsid w:val="007239B7"/>
    <w:rsid w:val="00725AB8"/>
    <w:rsid w:val="007271D2"/>
    <w:rsid w:val="0072770B"/>
    <w:rsid w:val="00727B9E"/>
    <w:rsid w:val="00727BBC"/>
    <w:rsid w:val="00730F09"/>
    <w:rsid w:val="0073281D"/>
    <w:rsid w:val="00733902"/>
    <w:rsid w:val="00733D7D"/>
    <w:rsid w:val="007368B3"/>
    <w:rsid w:val="007371C3"/>
    <w:rsid w:val="00740D5C"/>
    <w:rsid w:val="00742E3A"/>
    <w:rsid w:val="00744353"/>
    <w:rsid w:val="00744923"/>
    <w:rsid w:val="0074500F"/>
    <w:rsid w:val="00746FC7"/>
    <w:rsid w:val="00747548"/>
    <w:rsid w:val="00750169"/>
    <w:rsid w:val="00750E77"/>
    <w:rsid w:val="00751AC6"/>
    <w:rsid w:val="00752578"/>
    <w:rsid w:val="00753AB4"/>
    <w:rsid w:val="00754A8F"/>
    <w:rsid w:val="00760539"/>
    <w:rsid w:val="00760ADA"/>
    <w:rsid w:val="00762C9A"/>
    <w:rsid w:val="00763830"/>
    <w:rsid w:val="00763D6F"/>
    <w:rsid w:val="007656C4"/>
    <w:rsid w:val="0076677C"/>
    <w:rsid w:val="00766BCF"/>
    <w:rsid w:val="00767BD0"/>
    <w:rsid w:val="00767F39"/>
    <w:rsid w:val="007701CB"/>
    <w:rsid w:val="0077244D"/>
    <w:rsid w:val="007726E1"/>
    <w:rsid w:val="00773267"/>
    <w:rsid w:val="00774F4B"/>
    <w:rsid w:val="00776976"/>
    <w:rsid w:val="00777B25"/>
    <w:rsid w:val="007806C8"/>
    <w:rsid w:val="007812F3"/>
    <w:rsid w:val="007826F5"/>
    <w:rsid w:val="00783BD7"/>
    <w:rsid w:val="00786411"/>
    <w:rsid w:val="00787446"/>
    <w:rsid w:val="00787F1B"/>
    <w:rsid w:val="00792355"/>
    <w:rsid w:val="0079256F"/>
    <w:rsid w:val="00795925"/>
    <w:rsid w:val="007A037E"/>
    <w:rsid w:val="007A0CC9"/>
    <w:rsid w:val="007A10F8"/>
    <w:rsid w:val="007A1F20"/>
    <w:rsid w:val="007A291B"/>
    <w:rsid w:val="007A3B3A"/>
    <w:rsid w:val="007A3C6A"/>
    <w:rsid w:val="007A5821"/>
    <w:rsid w:val="007A5D06"/>
    <w:rsid w:val="007A6215"/>
    <w:rsid w:val="007A62E2"/>
    <w:rsid w:val="007B012E"/>
    <w:rsid w:val="007B4AC6"/>
    <w:rsid w:val="007B5124"/>
    <w:rsid w:val="007B51E2"/>
    <w:rsid w:val="007B5E69"/>
    <w:rsid w:val="007C0486"/>
    <w:rsid w:val="007C2A90"/>
    <w:rsid w:val="007C3355"/>
    <w:rsid w:val="007C3DC2"/>
    <w:rsid w:val="007C7C45"/>
    <w:rsid w:val="007D5531"/>
    <w:rsid w:val="007D56BD"/>
    <w:rsid w:val="007D5CE3"/>
    <w:rsid w:val="007D7C81"/>
    <w:rsid w:val="007E1DA3"/>
    <w:rsid w:val="007E2A95"/>
    <w:rsid w:val="007E2F2B"/>
    <w:rsid w:val="007E3B5B"/>
    <w:rsid w:val="007E4324"/>
    <w:rsid w:val="007E447A"/>
    <w:rsid w:val="007E63BC"/>
    <w:rsid w:val="007F082F"/>
    <w:rsid w:val="007F1DAF"/>
    <w:rsid w:val="007F2841"/>
    <w:rsid w:val="007F2E8B"/>
    <w:rsid w:val="007F40CA"/>
    <w:rsid w:val="007F7D64"/>
    <w:rsid w:val="00800EB6"/>
    <w:rsid w:val="00801B16"/>
    <w:rsid w:val="00802A66"/>
    <w:rsid w:val="00803194"/>
    <w:rsid w:val="00803870"/>
    <w:rsid w:val="0080598D"/>
    <w:rsid w:val="00806A06"/>
    <w:rsid w:val="00810801"/>
    <w:rsid w:val="00821541"/>
    <w:rsid w:val="00821EEE"/>
    <w:rsid w:val="008220BF"/>
    <w:rsid w:val="0082518A"/>
    <w:rsid w:val="008257E0"/>
    <w:rsid w:val="00826B2F"/>
    <w:rsid w:val="0082739F"/>
    <w:rsid w:val="008302BA"/>
    <w:rsid w:val="00830647"/>
    <w:rsid w:val="00830E80"/>
    <w:rsid w:val="0083233D"/>
    <w:rsid w:val="0083399C"/>
    <w:rsid w:val="00834666"/>
    <w:rsid w:val="00834CC0"/>
    <w:rsid w:val="00835666"/>
    <w:rsid w:val="008366AC"/>
    <w:rsid w:val="0083706C"/>
    <w:rsid w:val="00837991"/>
    <w:rsid w:val="008404A3"/>
    <w:rsid w:val="008423D3"/>
    <w:rsid w:val="00842BCF"/>
    <w:rsid w:val="00847BDB"/>
    <w:rsid w:val="00852716"/>
    <w:rsid w:val="00853A73"/>
    <w:rsid w:val="00854744"/>
    <w:rsid w:val="00855402"/>
    <w:rsid w:val="0085556F"/>
    <w:rsid w:val="00860C7F"/>
    <w:rsid w:val="00861BDC"/>
    <w:rsid w:val="00862E0D"/>
    <w:rsid w:val="00866C74"/>
    <w:rsid w:val="0086750B"/>
    <w:rsid w:val="0087059A"/>
    <w:rsid w:val="00875B38"/>
    <w:rsid w:val="00877BE8"/>
    <w:rsid w:val="0088009B"/>
    <w:rsid w:val="008810FA"/>
    <w:rsid w:val="0088165E"/>
    <w:rsid w:val="00884878"/>
    <w:rsid w:val="00884F5D"/>
    <w:rsid w:val="00884FF4"/>
    <w:rsid w:val="00885A5E"/>
    <w:rsid w:val="00885B9C"/>
    <w:rsid w:val="008904F6"/>
    <w:rsid w:val="00896927"/>
    <w:rsid w:val="00896FEB"/>
    <w:rsid w:val="008974F0"/>
    <w:rsid w:val="00897E16"/>
    <w:rsid w:val="008A144E"/>
    <w:rsid w:val="008A2C6E"/>
    <w:rsid w:val="008A559F"/>
    <w:rsid w:val="008A63D5"/>
    <w:rsid w:val="008A784F"/>
    <w:rsid w:val="008B30C3"/>
    <w:rsid w:val="008B5F65"/>
    <w:rsid w:val="008B60EF"/>
    <w:rsid w:val="008B6835"/>
    <w:rsid w:val="008B6DB7"/>
    <w:rsid w:val="008C1CB0"/>
    <w:rsid w:val="008C28B6"/>
    <w:rsid w:val="008C293B"/>
    <w:rsid w:val="008C4628"/>
    <w:rsid w:val="008C5919"/>
    <w:rsid w:val="008C6086"/>
    <w:rsid w:val="008C7C28"/>
    <w:rsid w:val="008D15C0"/>
    <w:rsid w:val="008D27EF"/>
    <w:rsid w:val="008D2DC8"/>
    <w:rsid w:val="008D34F9"/>
    <w:rsid w:val="008D4A91"/>
    <w:rsid w:val="008D4C67"/>
    <w:rsid w:val="008D6C1E"/>
    <w:rsid w:val="008D6E83"/>
    <w:rsid w:val="008D745E"/>
    <w:rsid w:val="008D7CC4"/>
    <w:rsid w:val="008E2358"/>
    <w:rsid w:val="008E2B1B"/>
    <w:rsid w:val="008E6D62"/>
    <w:rsid w:val="008F06F2"/>
    <w:rsid w:val="008F07E5"/>
    <w:rsid w:val="008F11EF"/>
    <w:rsid w:val="008F13BE"/>
    <w:rsid w:val="008F1621"/>
    <w:rsid w:val="008F1691"/>
    <w:rsid w:val="008F3463"/>
    <w:rsid w:val="008F34B6"/>
    <w:rsid w:val="008F3956"/>
    <w:rsid w:val="008F4C4B"/>
    <w:rsid w:val="008F4E1F"/>
    <w:rsid w:val="008F4FBA"/>
    <w:rsid w:val="008F5091"/>
    <w:rsid w:val="008F5491"/>
    <w:rsid w:val="008F5D80"/>
    <w:rsid w:val="008F663C"/>
    <w:rsid w:val="008F6B31"/>
    <w:rsid w:val="008F6E3F"/>
    <w:rsid w:val="00902042"/>
    <w:rsid w:val="0090455B"/>
    <w:rsid w:val="00904D5F"/>
    <w:rsid w:val="0091071A"/>
    <w:rsid w:val="00910EA0"/>
    <w:rsid w:val="00911FED"/>
    <w:rsid w:val="00912B18"/>
    <w:rsid w:val="00914979"/>
    <w:rsid w:val="00914A16"/>
    <w:rsid w:val="00914C5B"/>
    <w:rsid w:val="00915CF2"/>
    <w:rsid w:val="00916DF6"/>
    <w:rsid w:val="009179A5"/>
    <w:rsid w:val="0092264C"/>
    <w:rsid w:val="00923CE1"/>
    <w:rsid w:val="00923D3D"/>
    <w:rsid w:val="00924CCB"/>
    <w:rsid w:val="0092520A"/>
    <w:rsid w:val="00927FB9"/>
    <w:rsid w:val="00932FAD"/>
    <w:rsid w:val="00941A96"/>
    <w:rsid w:val="009431A6"/>
    <w:rsid w:val="009440C8"/>
    <w:rsid w:val="0094520F"/>
    <w:rsid w:val="00945F3B"/>
    <w:rsid w:val="009465E0"/>
    <w:rsid w:val="00946650"/>
    <w:rsid w:val="0094665F"/>
    <w:rsid w:val="00946CEA"/>
    <w:rsid w:val="00950A32"/>
    <w:rsid w:val="00950C57"/>
    <w:rsid w:val="009511FE"/>
    <w:rsid w:val="00951562"/>
    <w:rsid w:val="009545E0"/>
    <w:rsid w:val="00954EF3"/>
    <w:rsid w:val="009557DE"/>
    <w:rsid w:val="009563BC"/>
    <w:rsid w:val="00957130"/>
    <w:rsid w:val="00961B3E"/>
    <w:rsid w:val="0096378B"/>
    <w:rsid w:val="009668EF"/>
    <w:rsid w:val="00970E75"/>
    <w:rsid w:val="009729A9"/>
    <w:rsid w:val="00977C5C"/>
    <w:rsid w:val="0098030D"/>
    <w:rsid w:val="00980A26"/>
    <w:rsid w:val="00981BAB"/>
    <w:rsid w:val="00981D56"/>
    <w:rsid w:val="00981E62"/>
    <w:rsid w:val="009837FB"/>
    <w:rsid w:val="0098390C"/>
    <w:rsid w:val="00983C78"/>
    <w:rsid w:val="00985665"/>
    <w:rsid w:val="00985C69"/>
    <w:rsid w:val="009904D8"/>
    <w:rsid w:val="009911C0"/>
    <w:rsid w:val="009923BB"/>
    <w:rsid w:val="00992868"/>
    <w:rsid w:val="00993F93"/>
    <w:rsid w:val="0099441A"/>
    <w:rsid w:val="00995A37"/>
    <w:rsid w:val="00996549"/>
    <w:rsid w:val="009977CE"/>
    <w:rsid w:val="00997FDA"/>
    <w:rsid w:val="009A0453"/>
    <w:rsid w:val="009A0620"/>
    <w:rsid w:val="009A14E5"/>
    <w:rsid w:val="009A1E07"/>
    <w:rsid w:val="009A28D2"/>
    <w:rsid w:val="009A38D5"/>
    <w:rsid w:val="009A3F58"/>
    <w:rsid w:val="009A4D39"/>
    <w:rsid w:val="009A7252"/>
    <w:rsid w:val="009B176B"/>
    <w:rsid w:val="009B2BA7"/>
    <w:rsid w:val="009B455F"/>
    <w:rsid w:val="009B5190"/>
    <w:rsid w:val="009B654F"/>
    <w:rsid w:val="009C1292"/>
    <w:rsid w:val="009C16DF"/>
    <w:rsid w:val="009C4804"/>
    <w:rsid w:val="009C5A6D"/>
    <w:rsid w:val="009C6CEA"/>
    <w:rsid w:val="009C6FC3"/>
    <w:rsid w:val="009D02EC"/>
    <w:rsid w:val="009D0B58"/>
    <w:rsid w:val="009D0E80"/>
    <w:rsid w:val="009D2C3B"/>
    <w:rsid w:val="009D3524"/>
    <w:rsid w:val="009D3C4C"/>
    <w:rsid w:val="009D3DEB"/>
    <w:rsid w:val="009D48CD"/>
    <w:rsid w:val="009D4F6E"/>
    <w:rsid w:val="009D5A5A"/>
    <w:rsid w:val="009D5F69"/>
    <w:rsid w:val="009E114A"/>
    <w:rsid w:val="009E30EC"/>
    <w:rsid w:val="009E3FDF"/>
    <w:rsid w:val="009E6780"/>
    <w:rsid w:val="009F01F7"/>
    <w:rsid w:val="009F2500"/>
    <w:rsid w:val="009F4D99"/>
    <w:rsid w:val="009F50F0"/>
    <w:rsid w:val="009F6354"/>
    <w:rsid w:val="009F79AB"/>
    <w:rsid w:val="009F7F47"/>
    <w:rsid w:val="00A00E61"/>
    <w:rsid w:val="00A01904"/>
    <w:rsid w:val="00A01BB4"/>
    <w:rsid w:val="00A0223D"/>
    <w:rsid w:val="00A03911"/>
    <w:rsid w:val="00A05056"/>
    <w:rsid w:val="00A05140"/>
    <w:rsid w:val="00A052A0"/>
    <w:rsid w:val="00A063C8"/>
    <w:rsid w:val="00A07E59"/>
    <w:rsid w:val="00A10DE1"/>
    <w:rsid w:val="00A14E4C"/>
    <w:rsid w:val="00A16B90"/>
    <w:rsid w:val="00A16FEA"/>
    <w:rsid w:val="00A178EF"/>
    <w:rsid w:val="00A20AF1"/>
    <w:rsid w:val="00A2202C"/>
    <w:rsid w:val="00A22538"/>
    <w:rsid w:val="00A22C5E"/>
    <w:rsid w:val="00A2367D"/>
    <w:rsid w:val="00A236BE"/>
    <w:rsid w:val="00A25BE9"/>
    <w:rsid w:val="00A26E58"/>
    <w:rsid w:val="00A2730A"/>
    <w:rsid w:val="00A30835"/>
    <w:rsid w:val="00A30C52"/>
    <w:rsid w:val="00A3227E"/>
    <w:rsid w:val="00A33720"/>
    <w:rsid w:val="00A34039"/>
    <w:rsid w:val="00A345FE"/>
    <w:rsid w:val="00A3552E"/>
    <w:rsid w:val="00A35DF3"/>
    <w:rsid w:val="00A37365"/>
    <w:rsid w:val="00A417FA"/>
    <w:rsid w:val="00A41D1C"/>
    <w:rsid w:val="00A42760"/>
    <w:rsid w:val="00A43596"/>
    <w:rsid w:val="00A443C7"/>
    <w:rsid w:val="00A44961"/>
    <w:rsid w:val="00A452AF"/>
    <w:rsid w:val="00A46AD2"/>
    <w:rsid w:val="00A47A1C"/>
    <w:rsid w:val="00A529B8"/>
    <w:rsid w:val="00A5339E"/>
    <w:rsid w:val="00A53ABA"/>
    <w:rsid w:val="00A5551F"/>
    <w:rsid w:val="00A56AB8"/>
    <w:rsid w:val="00A571B4"/>
    <w:rsid w:val="00A617EF"/>
    <w:rsid w:val="00A64CB5"/>
    <w:rsid w:val="00A65CAA"/>
    <w:rsid w:val="00A6795E"/>
    <w:rsid w:val="00A75C0B"/>
    <w:rsid w:val="00A766FD"/>
    <w:rsid w:val="00A76780"/>
    <w:rsid w:val="00A767EF"/>
    <w:rsid w:val="00A77844"/>
    <w:rsid w:val="00A77EBB"/>
    <w:rsid w:val="00A80804"/>
    <w:rsid w:val="00A8081C"/>
    <w:rsid w:val="00A80EB1"/>
    <w:rsid w:val="00A820E7"/>
    <w:rsid w:val="00A83074"/>
    <w:rsid w:val="00A84051"/>
    <w:rsid w:val="00A84E31"/>
    <w:rsid w:val="00A86586"/>
    <w:rsid w:val="00A86B79"/>
    <w:rsid w:val="00A8727D"/>
    <w:rsid w:val="00A93D05"/>
    <w:rsid w:val="00A94EC5"/>
    <w:rsid w:val="00A9528E"/>
    <w:rsid w:val="00A953B2"/>
    <w:rsid w:val="00A968C6"/>
    <w:rsid w:val="00A97038"/>
    <w:rsid w:val="00A97190"/>
    <w:rsid w:val="00A979C7"/>
    <w:rsid w:val="00AA06E8"/>
    <w:rsid w:val="00AA2F39"/>
    <w:rsid w:val="00AA4F9F"/>
    <w:rsid w:val="00AA5A30"/>
    <w:rsid w:val="00AA69F1"/>
    <w:rsid w:val="00AA7802"/>
    <w:rsid w:val="00AB2C01"/>
    <w:rsid w:val="00AB3900"/>
    <w:rsid w:val="00AB4BA7"/>
    <w:rsid w:val="00AB7215"/>
    <w:rsid w:val="00AC030C"/>
    <w:rsid w:val="00AC14D5"/>
    <w:rsid w:val="00AC2FE8"/>
    <w:rsid w:val="00AC3716"/>
    <w:rsid w:val="00AC41FC"/>
    <w:rsid w:val="00AC56C2"/>
    <w:rsid w:val="00AC5E07"/>
    <w:rsid w:val="00AC5E19"/>
    <w:rsid w:val="00AD18B0"/>
    <w:rsid w:val="00AD2869"/>
    <w:rsid w:val="00AD5280"/>
    <w:rsid w:val="00AE2265"/>
    <w:rsid w:val="00AE3FC6"/>
    <w:rsid w:val="00AE5C52"/>
    <w:rsid w:val="00AE73C8"/>
    <w:rsid w:val="00AE79CB"/>
    <w:rsid w:val="00AF045F"/>
    <w:rsid w:val="00AF0FA2"/>
    <w:rsid w:val="00AF0FDD"/>
    <w:rsid w:val="00AF3C98"/>
    <w:rsid w:val="00AF4991"/>
    <w:rsid w:val="00AF569C"/>
    <w:rsid w:val="00AF79CB"/>
    <w:rsid w:val="00AF7C67"/>
    <w:rsid w:val="00B008DD"/>
    <w:rsid w:val="00B0176A"/>
    <w:rsid w:val="00B05000"/>
    <w:rsid w:val="00B0539B"/>
    <w:rsid w:val="00B07434"/>
    <w:rsid w:val="00B11970"/>
    <w:rsid w:val="00B144A9"/>
    <w:rsid w:val="00B151CE"/>
    <w:rsid w:val="00B17A9D"/>
    <w:rsid w:val="00B17DEA"/>
    <w:rsid w:val="00B20605"/>
    <w:rsid w:val="00B21C2F"/>
    <w:rsid w:val="00B226E0"/>
    <w:rsid w:val="00B23498"/>
    <w:rsid w:val="00B24E2E"/>
    <w:rsid w:val="00B2528B"/>
    <w:rsid w:val="00B26608"/>
    <w:rsid w:val="00B2764E"/>
    <w:rsid w:val="00B300AE"/>
    <w:rsid w:val="00B30E07"/>
    <w:rsid w:val="00B30E77"/>
    <w:rsid w:val="00B33B5E"/>
    <w:rsid w:val="00B33F27"/>
    <w:rsid w:val="00B34089"/>
    <w:rsid w:val="00B34A08"/>
    <w:rsid w:val="00B34B1F"/>
    <w:rsid w:val="00B354C8"/>
    <w:rsid w:val="00B364BD"/>
    <w:rsid w:val="00B41197"/>
    <w:rsid w:val="00B42C2E"/>
    <w:rsid w:val="00B443B8"/>
    <w:rsid w:val="00B456CC"/>
    <w:rsid w:val="00B46C59"/>
    <w:rsid w:val="00B478EF"/>
    <w:rsid w:val="00B51BAD"/>
    <w:rsid w:val="00B53E37"/>
    <w:rsid w:val="00B55594"/>
    <w:rsid w:val="00B56551"/>
    <w:rsid w:val="00B56CFD"/>
    <w:rsid w:val="00B56FDC"/>
    <w:rsid w:val="00B57AE9"/>
    <w:rsid w:val="00B62585"/>
    <w:rsid w:val="00B638BD"/>
    <w:rsid w:val="00B65EB5"/>
    <w:rsid w:val="00B6700B"/>
    <w:rsid w:val="00B6776A"/>
    <w:rsid w:val="00B70A5F"/>
    <w:rsid w:val="00B71F77"/>
    <w:rsid w:val="00B729B3"/>
    <w:rsid w:val="00B72CEC"/>
    <w:rsid w:val="00B73924"/>
    <w:rsid w:val="00B73E4E"/>
    <w:rsid w:val="00B73ECD"/>
    <w:rsid w:val="00B75F3A"/>
    <w:rsid w:val="00B776A1"/>
    <w:rsid w:val="00B80491"/>
    <w:rsid w:val="00B80707"/>
    <w:rsid w:val="00B80A50"/>
    <w:rsid w:val="00B80B4F"/>
    <w:rsid w:val="00B80F76"/>
    <w:rsid w:val="00B819FC"/>
    <w:rsid w:val="00B81FE2"/>
    <w:rsid w:val="00B84008"/>
    <w:rsid w:val="00B84A65"/>
    <w:rsid w:val="00B86C5A"/>
    <w:rsid w:val="00B87675"/>
    <w:rsid w:val="00B92337"/>
    <w:rsid w:val="00B93F53"/>
    <w:rsid w:val="00B95043"/>
    <w:rsid w:val="00BA3026"/>
    <w:rsid w:val="00BA3EFF"/>
    <w:rsid w:val="00BA4972"/>
    <w:rsid w:val="00BA5FE7"/>
    <w:rsid w:val="00BA70C8"/>
    <w:rsid w:val="00BA74F4"/>
    <w:rsid w:val="00BB17DF"/>
    <w:rsid w:val="00BB1C24"/>
    <w:rsid w:val="00BB5BA3"/>
    <w:rsid w:val="00BB786E"/>
    <w:rsid w:val="00BB7A16"/>
    <w:rsid w:val="00BC069E"/>
    <w:rsid w:val="00BC19B1"/>
    <w:rsid w:val="00BC3233"/>
    <w:rsid w:val="00BC36F0"/>
    <w:rsid w:val="00BC51BC"/>
    <w:rsid w:val="00BC6774"/>
    <w:rsid w:val="00BC6EEF"/>
    <w:rsid w:val="00BC7980"/>
    <w:rsid w:val="00BD0602"/>
    <w:rsid w:val="00BD3B0E"/>
    <w:rsid w:val="00BD4D43"/>
    <w:rsid w:val="00BE0D5C"/>
    <w:rsid w:val="00BE0E71"/>
    <w:rsid w:val="00BE27D4"/>
    <w:rsid w:val="00BE5645"/>
    <w:rsid w:val="00BE65E4"/>
    <w:rsid w:val="00BE6765"/>
    <w:rsid w:val="00BE7323"/>
    <w:rsid w:val="00BF09FA"/>
    <w:rsid w:val="00BF0AA7"/>
    <w:rsid w:val="00BF1983"/>
    <w:rsid w:val="00BF2F97"/>
    <w:rsid w:val="00BF5B1C"/>
    <w:rsid w:val="00BF6260"/>
    <w:rsid w:val="00C00765"/>
    <w:rsid w:val="00C02A39"/>
    <w:rsid w:val="00C05452"/>
    <w:rsid w:val="00C05D7E"/>
    <w:rsid w:val="00C06287"/>
    <w:rsid w:val="00C139EC"/>
    <w:rsid w:val="00C13AFC"/>
    <w:rsid w:val="00C16084"/>
    <w:rsid w:val="00C161FC"/>
    <w:rsid w:val="00C1662E"/>
    <w:rsid w:val="00C167F6"/>
    <w:rsid w:val="00C16B81"/>
    <w:rsid w:val="00C17CCA"/>
    <w:rsid w:val="00C20D5E"/>
    <w:rsid w:val="00C21D3F"/>
    <w:rsid w:val="00C22345"/>
    <w:rsid w:val="00C230C4"/>
    <w:rsid w:val="00C23583"/>
    <w:rsid w:val="00C23F8F"/>
    <w:rsid w:val="00C25134"/>
    <w:rsid w:val="00C300FA"/>
    <w:rsid w:val="00C3010F"/>
    <w:rsid w:val="00C33D46"/>
    <w:rsid w:val="00C35D46"/>
    <w:rsid w:val="00C362A8"/>
    <w:rsid w:val="00C36C67"/>
    <w:rsid w:val="00C375D4"/>
    <w:rsid w:val="00C4066A"/>
    <w:rsid w:val="00C40D0E"/>
    <w:rsid w:val="00C43921"/>
    <w:rsid w:val="00C43B39"/>
    <w:rsid w:val="00C43E12"/>
    <w:rsid w:val="00C43F8F"/>
    <w:rsid w:val="00C463C1"/>
    <w:rsid w:val="00C469FC"/>
    <w:rsid w:val="00C53FDA"/>
    <w:rsid w:val="00C56BAB"/>
    <w:rsid w:val="00C60D92"/>
    <w:rsid w:val="00C62206"/>
    <w:rsid w:val="00C63A98"/>
    <w:rsid w:val="00C63F31"/>
    <w:rsid w:val="00C65930"/>
    <w:rsid w:val="00C67884"/>
    <w:rsid w:val="00C714D9"/>
    <w:rsid w:val="00C71A2B"/>
    <w:rsid w:val="00C7496E"/>
    <w:rsid w:val="00C75AB0"/>
    <w:rsid w:val="00C777B9"/>
    <w:rsid w:val="00C77C74"/>
    <w:rsid w:val="00C8136C"/>
    <w:rsid w:val="00C823AC"/>
    <w:rsid w:val="00C82AA4"/>
    <w:rsid w:val="00C8305C"/>
    <w:rsid w:val="00C851C1"/>
    <w:rsid w:val="00C90054"/>
    <w:rsid w:val="00C900CC"/>
    <w:rsid w:val="00C91143"/>
    <w:rsid w:val="00C92EC8"/>
    <w:rsid w:val="00C95691"/>
    <w:rsid w:val="00CA1ECD"/>
    <w:rsid w:val="00CA21A6"/>
    <w:rsid w:val="00CA473E"/>
    <w:rsid w:val="00CA4C29"/>
    <w:rsid w:val="00CA4C7F"/>
    <w:rsid w:val="00CA6C67"/>
    <w:rsid w:val="00CB1D0A"/>
    <w:rsid w:val="00CB77AB"/>
    <w:rsid w:val="00CC0FE0"/>
    <w:rsid w:val="00CC2571"/>
    <w:rsid w:val="00CC3954"/>
    <w:rsid w:val="00CC3CEB"/>
    <w:rsid w:val="00CC55CF"/>
    <w:rsid w:val="00CC6D6B"/>
    <w:rsid w:val="00CD0398"/>
    <w:rsid w:val="00CD0D33"/>
    <w:rsid w:val="00CD0FA4"/>
    <w:rsid w:val="00CD3FE3"/>
    <w:rsid w:val="00CD5A0F"/>
    <w:rsid w:val="00CD6DBD"/>
    <w:rsid w:val="00CE1C5B"/>
    <w:rsid w:val="00CE3D92"/>
    <w:rsid w:val="00CE59F6"/>
    <w:rsid w:val="00CF1787"/>
    <w:rsid w:val="00CF2EEB"/>
    <w:rsid w:val="00CF3376"/>
    <w:rsid w:val="00CF5974"/>
    <w:rsid w:val="00D008EF"/>
    <w:rsid w:val="00D028E1"/>
    <w:rsid w:val="00D03451"/>
    <w:rsid w:val="00D0608D"/>
    <w:rsid w:val="00D06613"/>
    <w:rsid w:val="00D06E87"/>
    <w:rsid w:val="00D06EFC"/>
    <w:rsid w:val="00D103D2"/>
    <w:rsid w:val="00D10863"/>
    <w:rsid w:val="00D1197E"/>
    <w:rsid w:val="00D12E87"/>
    <w:rsid w:val="00D148DD"/>
    <w:rsid w:val="00D15B49"/>
    <w:rsid w:val="00D15C0B"/>
    <w:rsid w:val="00D1619E"/>
    <w:rsid w:val="00D202E8"/>
    <w:rsid w:val="00D23568"/>
    <w:rsid w:val="00D237BD"/>
    <w:rsid w:val="00D33DA7"/>
    <w:rsid w:val="00D3473C"/>
    <w:rsid w:val="00D43821"/>
    <w:rsid w:val="00D472D8"/>
    <w:rsid w:val="00D522E9"/>
    <w:rsid w:val="00D535BA"/>
    <w:rsid w:val="00D5494E"/>
    <w:rsid w:val="00D56FF4"/>
    <w:rsid w:val="00D608ED"/>
    <w:rsid w:val="00D60E88"/>
    <w:rsid w:val="00D62083"/>
    <w:rsid w:val="00D631B2"/>
    <w:rsid w:val="00D641C0"/>
    <w:rsid w:val="00D675C8"/>
    <w:rsid w:val="00D70F22"/>
    <w:rsid w:val="00D73604"/>
    <w:rsid w:val="00D74036"/>
    <w:rsid w:val="00D808EE"/>
    <w:rsid w:val="00D80E84"/>
    <w:rsid w:val="00D81B7A"/>
    <w:rsid w:val="00D837F5"/>
    <w:rsid w:val="00D9042E"/>
    <w:rsid w:val="00D90FF9"/>
    <w:rsid w:val="00D9185E"/>
    <w:rsid w:val="00D91938"/>
    <w:rsid w:val="00D93526"/>
    <w:rsid w:val="00D93663"/>
    <w:rsid w:val="00D93B97"/>
    <w:rsid w:val="00D94097"/>
    <w:rsid w:val="00D94918"/>
    <w:rsid w:val="00D953AC"/>
    <w:rsid w:val="00D973BD"/>
    <w:rsid w:val="00DA023C"/>
    <w:rsid w:val="00DA11B2"/>
    <w:rsid w:val="00DA1A9C"/>
    <w:rsid w:val="00DA2143"/>
    <w:rsid w:val="00DA39C4"/>
    <w:rsid w:val="00DA54E9"/>
    <w:rsid w:val="00DA7DA7"/>
    <w:rsid w:val="00DB00ED"/>
    <w:rsid w:val="00DB0CB2"/>
    <w:rsid w:val="00DB1620"/>
    <w:rsid w:val="00DB5570"/>
    <w:rsid w:val="00DC168A"/>
    <w:rsid w:val="00DC3DD2"/>
    <w:rsid w:val="00DD03F3"/>
    <w:rsid w:val="00DD4F9A"/>
    <w:rsid w:val="00DD6067"/>
    <w:rsid w:val="00DD7F54"/>
    <w:rsid w:val="00DD7FD9"/>
    <w:rsid w:val="00DE2835"/>
    <w:rsid w:val="00DE4A89"/>
    <w:rsid w:val="00DE55E6"/>
    <w:rsid w:val="00DE7008"/>
    <w:rsid w:val="00DF2757"/>
    <w:rsid w:val="00DF3FBA"/>
    <w:rsid w:val="00DF6AB3"/>
    <w:rsid w:val="00DF710A"/>
    <w:rsid w:val="00E005D1"/>
    <w:rsid w:val="00E03284"/>
    <w:rsid w:val="00E0436A"/>
    <w:rsid w:val="00E04482"/>
    <w:rsid w:val="00E05604"/>
    <w:rsid w:val="00E067D9"/>
    <w:rsid w:val="00E07712"/>
    <w:rsid w:val="00E07968"/>
    <w:rsid w:val="00E10965"/>
    <w:rsid w:val="00E112C5"/>
    <w:rsid w:val="00E12A7C"/>
    <w:rsid w:val="00E138D9"/>
    <w:rsid w:val="00E145F6"/>
    <w:rsid w:val="00E213D2"/>
    <w:rsid w:val="00E2267F"/>
    <w:rsid w:val="00E261CE"/>
    <w:rsid w:val="00E2747C"/>
    <w:rsid w:val="00E27C9F"/>
    <w:rsid w:val="00E27D62"/>
    <w:rsid w:val="00E30DE7"/>
    <w:rsid w:val="00E316ED"/>
    <w:rsid w:val="00E36478"/>
    <w:rsid w:val="00E36A56"/>
    <w:rsid w:val="00E40316"/>
    <w:rsid w:val="00E442F9"/>
    <w:rsid w:val="00E4644B"/>
    <w:rsid w:val="00E47773"/>
    <w:rsid w:val="00E51594"/>
    <w:rsid w:val="00E525E8"/>
    <w:rsid w:val="00E56811"/>
    <w:rsid w:val="00E6139F"/>
    <w:rsid w:val="00E61E1E"/>
    <w:rsid w:val="00E62359"/>
    <w:rsid w:val="00E62387"/>
    <w:rsid w:val="00E64B0C"/>
    <w:rsid w:val="00E64B3B"/>
    <w:rsid w:val="00E65855"/>
    <w:rsid w:val="00E66D95"/>
    <w:rsid w:val="00E71A05"/>
    <w:rsid w:val="00E73354"/>
    <w:rsid w:val="00E73F02"/>
    <w:rsid w:val="00E76E0E"/>
    <w:rsid w:val="00E8376C"/>
    <w:rsid w:val="00E8426F"/>
    <w:rsid w:val="00E84EBD"/>
    <w:rsid w:val="00E86525"/>
    <w:rsid w:val="00E86594"/>
    <w:rsid w:val="00E900A5"/>
    <w:rsid w:val="00E90B9D"/>
    <w:rsid w:val="00E923F1"/>
    <w:rsid w:val="00E92C2D"/>
    <w:rsid w:val="00E968B5"/>
    <w:rsid w:val="00EA0614"/>
    <w:rsid w:val="00EA4580"/>
    <w:rsid w:val="00EB35BB"/>
    <w:rsid w:val="00EB3D8A"/>
    <w:rsid w:val="00EB4AF9"/>
    <w:rsid w:val="00EB5FA1"/>
    <w:rsid w:val="00EB711D"/>
    <w:rsid w:val="00EC03B7"/>
    <w:rsid w:val="00EC0EE5"/>
    <w:rsid w:val="00EC35A0"/>
    <w:rsid w:val="00EC48B0"/>
    <w:rsid w:val="00EC4D46"/>
    <w:rsid w:val="00EC669A"/>
    <w:rsid w:val="00ED2536"/>
    <w:rsid w:val="00ED2B8A"/>
    <w:rsid w:val="00ED3BD2"/>
    <w:rsid w:val="00ED3FDF"/>
    <w:rsid w:val="00ED40C0"/>
    <w:rsid w:val="00ED6F19"/>
    <w:rsid w:val="00EE0E84"/>
    <w:rsid w:val="00EE0F42"/>
    <w:rsid w:val="00EE11BB"/>
    <w:rsid w:val="00EE122D"/>
    <w:rsid w:val="00EE161C"/>
    <w:rsid w:val="00EE308D"/>
    <w:rsid w:val="00EE44C9"/>
    <w:rsid w:val="00EE6726"/>
    <w:rsid w:val="00EE6B92"/>
    <w:rsid w:val="00EF1DB1"/>
    <w:rsid w:val="00EF2769"/>
    <w:rsid w:val="00EF4DF3"/>
    <w:rsid w:val="00EF5A89"/>
    <w:rsid w:val="00EF640F"/>
    <w:rsid w:val="00EF7AA2"/>
    <w:rsid w:val="00F02B08"/>
    <w:rsid w:val="00F06BBB"/>
    <w:rsid w:val="00F0799D"/>
    <w:rsid w:val="00F07CB7"/>
    <w:rsid w:val="00F07DB4"/>
    <w:rsid w:val="00F11320"/>
    <w:rsid w:val="00F12812"/>
    <w:rsid w:val="00F13FC9"/>
    <w:rsid w:val="00F16721"/>
    <w:rsid w:val="00F17C11"/>
    <w:rsid w:val="00F209D8"/>
    <w:rsid w:val="00F27ED1"/>
    <w:rsid w:val="00F3108B"/>
    <w:rsid w:val="00F316DF"/>
    <w:rsid w:val="00F3414E"/>
    <w:rsid w:val="00F35BAA"/>
    <w:rsid w:val="00F3746E"/>
    <w:rsid w:val="00F42520"/>
    <w:rsid w:val="00F46297"/>
    <w:rsid w:val="00F46810"/>
    <w:rsid w:val="00F46ADA"/>
    <w:rsid w:val="00F4740B"/>
    <w:rsid w:val="00F500AA"/>
    <w:rsid w:val="00F5028F"/>
    <w:rsid w:val="00F50833"/>
    <w:rsid w:val="00F5172B"/>
    <w:rsid w:val="00F53655"/>
    <w:rsid w:val="00F557D5"/>
    <w:rsid w:val="00F56873"/>
    <w:rsid w:val="00F6071E"/>
    <w:rsid w:val="00F60DD3"/>
    <w:rsid w:val="00F60FA0"/>
    <w:rsid w:val="00F61EDA"/>
    <w:rsid w:val="00F63770"/>
    <w:rsid w:val="00F64838"/>
    <w:rsid w:val="00F64839"/>
    <w:rsid w:val="00F65284"/>
    <w:rsid w:val="00F6698F"/>
    <w:rsid w:val="00F7003A"/>
    <w:rsid w:val="00F711FF"/>
    <w:rsid w:val="00F71512"/>
    <w:rsid w:val="00F74FA5"/>
    <w:rsid w:val="00F7643B"/>
    <w:rsid w:val="00F77E6A"/>
    <w:rsid w:val="00F81D93"/>
    <w:rsid w:val="00F8666C"/>
    <w:rsid w:val="00F86C62"/>
    <w:rsid w:val="00F86D07"/>
    <w:rsid w:val="00F87617"/>
    <w:rsid w:val="00F9190E"/>
    <w:rsid w:val="00F93164"/>
    <w:rsid w:val="00F940A3"/>
    <w:rsid w:val="00F9413F"/>
    <w:rsid w:val="00F94775"/>
    <w:rsid w:val="00F94D21"/>
    <w:rsid w:val="00F9655E"/>
    <w:rsid w:val="00F972BA"/>
    <w:rsid w:val="00FA0694"/>
    <w:rsid w:val="00FA0CEC"/>
    <w:rsid w:val="00FA11D0"/>
    <w:rsid w:val="00FA2A6C"/>
    <w:rsid w:val="00FA406D"/>
    <w:rsid w:val="00FA414F"/>
    <w:rsid w:val="00FA4570"/>
    <w:rsid w:val="00FA5154"/>
    <w:rsid w:val="00FA6C4E"/>
    <w:rsid w:val="00FA7BCA"/>
    <w:rsid w:val="00FA7BF1"/>
    <w:rsid w:val="00FB2884"/>
    <w:rsid w:val="00FB41B8"/>
    <w:rsid w:val="00FB540D"/>
    <w:rsid w:val="00FB74B2"/>
    <w:rsid w:val="00FB7611"/>
    <w:rsid w:val="00FC19A6"/>
    <w:rsid w:val="00FC3C87"/>
    <w:rsid w:val="00FC62C0"/>
    <w:rsid w:val="00FC6CA4"/>
    <w:rsid w:val="00FC6DC3"/>
    <w:rsid w:val="00FD5D8B"/>
    <w:rsid w:val="00FD7087"/>
    <w:rsid w:val="00FE1536"/>
    <w:rsid w:val="00FE25EE"/>
    <w:rsid w:val="00FE2630"/>
    <w:rsid w:val="00FE4491"/>
    <w:rsid w:val="00FE72D8"/>
    <w:rsid w:val="00FE74AE"/>
    <w:rsid w:val="00FF0425"/>
    <w:rsid w:val="00FF05F5"/>
    <w:rsid w:val="00FF2C60"/>
    <w:rsid w:val="00FF2D07"/>
    <w:rsid w:val="00FF357A"/>
    <w:rsid w:val="00FF383E"/>
    <w:rsid w:val="00FF4330"/>
    <w:rsid w:val="00FF45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03D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5D"/>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80598D"/>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80598D"/>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41B3F"/>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763D6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763D6F"/>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0598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6A5D17"/>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6A5D17"/>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E36A56"/>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80598D"/>
    <w:pPr>
      <w:numPr>
        <w:numId w:val="67"/>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80598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80598D"/>
    <w:pPr>
      <w:spacing w:after="0"/>
      <w:contextualSpacing/>
    </w:pPr>
    <w:rPr>
      <w:sz w:val="16"/>
      <w:szCs w:val="20"/>
    </w:rPr>
  </w:style>
  <w:style w:type="character" w:customStyle="1" w:styleId="FootnoteTextChar">
    <w:name w:val="Footnote Text Char"/>
    <w:basedOn w:val="DefaultParagraphFont"/>
    <w:link w:val="FootnoteText"/>
    <w:uiPriority w:val="99"/>
    <w:rsid w:val="0080598D"/>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A76780"/>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A77844"/>
    <w:rPr>
      <w:rFonts w:ascii="Times New Roman" w:eastAsia="Times New Roman" w:hAnsi="Times New Roman" w:cs="Times New Roman"/>
      <w:szCs w:val="24"/>
    </w:rPr>
  </w:style>
  <w:style w:type="paragraph" w:styleId="HTMLPreformatted">
    <w:name w:val="HTML Preformatted"/>
    <w:basedOn w:val="Normal"/>
    <w:link w:val="HTMLPreformattedChar"/>
    <w:uiPriority w:val="99"/>
    <w:semiHidden/>
    <w:unhideWhenUsed/>
    <w:rsid w:val="00477F41"/>
    <w:rPr>
      <w:rFonts w:ascii="Consolas" w:hAnsi="Consolas"/>
      <w:szCs w:val="20"/>
    </w:rPr>
  </w:style>
  <w:style w:type="character" w:customStyle="1" w:styleId="HTMLPreformattedChar">
    <w:name w:val="HTML Preformatted Char"/>
    <w:basedOn w:val="DefaultParagraphFont"/>
    <w:link w:val="HTMLPreformatted"/>
    <w:uiPriority w:val="99"/>
    <w:semiHidden/>
    <w:rsid w:val="00477F41"/>
    <w:rPr>
      <w:rFonts w:ascii="Consolas" w:eastAsia="SimSun" w:hAnsi="Consolas" w:cs="Times New Roman"/>
      <w:sz w:val="20"/>
      <w:szCs w:val="20"/>
    </w:rPr>
  </w:style>
  <w:style w:type="character" w:customStyle="1" w:styleId="st">
    <w:name w:val="st"/>
    <w:basedOn w:val="DefaultParagraphFont"/>
    <w:rsid w:val="0051044D"/>
  </w:style>
  <w:style w:type="character" w:styleId="Emphasis">
    <w:name w:val="Emphasis"/>
    <w:basedOn w:val="DefaultParagraphFont"/>
    <w:uiPriority w:val="20"/>
    <w:qFormat/>
    <w:rsid w:val="007A3B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5D"/>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80598D"/>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80598D"/>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41B3F"/>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763D6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763D6F"/>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0598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6A5D17"/>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6A5D17"/>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E36A56"/>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80598D"/>
    <w:pPr>
      <w:numPr>
        <w:numId w:val="67"/>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80598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80598D"/>
    <w:pPr>
      <w:spacing w:after="0"/>
      <w:contextualSpacing/>
    </w:pPr>
    <w:rPr>
      <w:sz w:val="16"/>
      <w:szCs w:val="20"/>
    </w:rPr>
  </w:style>
  <w:style w:type="character" w:customStyle="1" w:styleId="FootnoteTextChar">
    <w:name w:val="Footnote Text Char"/>
    <w:basedOn w:val="DefaultParagraphFont"/>
    <w:link w:val="FootnoteText"/>
    <w:uiPriority w:val="99"/>
    <w:rsid w:val="0080598D"/>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A76780"/>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A77844"/>
    <w:rPr>
      <w:rFonts w:ascii="Times New Roman" w:eastAsia="Times New Roman" w:hAnsi="Times New Roman" w:cs="Times New Roman"/>
      <w:szCs w:val="24"/>
    </w:rPr>
  </w:style>
  <w:style w:type="paragraph" w:styleId="HTMLPreformatted">
    <w:name w:val="HTML Preformatted"/>
    <w:basedOn w:val="Normal"/>
    <w:link w:val="HTMLPreformattedChar"/>
    <w:uiPriority w:val="99"/>
    <w:semiHidden/>
    <w:unhideWhenUsed/>
    <w:rsid w:val="00477F41"/>
    <w:rPr>
      <w:rFonts w:ascii="Consolas" w:hAnsi="Consolas"/>
      <w:szCs w:val="20"/>
    </w:rPr>
  </w:style>
  <w:style w:type="character" w:customStyle="1" w:styleId="HTMLPreformattedChar">
    <w:name w:val="HTML Preformatted Char"/>
    <w:basedOn w:val="DefaultParagraphFont"/>
    <w:link w:val="HTMLPreformatted"/>
    <w:uiPriority w:val="99"/>
    <w:semiHidden/>
    <w:rsid w:val="00477F41"/>
    <w:rPr>
      <w:rFonts w:ascii="Consolas" w:eastAsia="SimSun" w:hAnsi="Consolas" w:cs="Times New Roman"/>
      <w:sz w:val="20"/>
      <w:szCs w:val="20"/>
    </w:rPr>
  </w:style>
  <w:style w:type="character" w:customStyle="1" w:styleId="st">
    <w:name w:val="st"/>
    <w:basedOn w:val="DefaultParagraphFont"/>
    <w:rsid w:val="0051044D"/>
  </w:style>
  <w:style w:type="character" w:styleId="Emphasis">
    <w:name w:val="Emphasis"/>
    <w:basedOn w:val="DefaultParagraphFont"/>
    <w:uiPriority w:val="20"/>
    <w:qFormat/>
    <w:rsid w:val="007A3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0701">
      <w:bodyDiv w:val="1"/>
      <w:marLeft w:val="0"/>
      <w:marRight w:val="0"/>
      <w:marTop w:val="0"/>
      <w:marBottom w:val="0"/>
      <w:divBdr>
        <w:top w:val="none" w:sz="0" w:space="0" w:color="auto"/>
        <w:left w:val="none" w:sz="0" w:space="0" w:color="auto"/>
        <w:bottom w:val="none" w:sz="0" w:space="0" w:color="auto"/>
        <w:right w:val="none" w:sz="0" w:space="0" w:color="auto"/>
      </w:divBdr>
    </w:div>
    <w:div w:id="189496942">
      <w:bodyDiv w:val="1"/>
      <w:marLeft w:val="0"/>
      <w:marRight w:val="0"/>
      <w:marTop w:val="0"/>
      <w:marBottom w:val="0"/>
      <w:divBdr>
        <w:top w:val="none" w:sz="0" w:space="0" w:color="auto"/>
        <w:left w:val="none" w:sz="0" w:space="0" w:color="auto"/>
        <w:bottom w:val="none" w:sz="0" w:space="0" w:color="auto"/>
        <w:right w:val="none" w:sz="0" w:space="0" w:color="auto"/>
      </w:divBdr>
      <w:divsChild>
        <w:div w:id="883715637">
          <w:marLeft w:val="0"/>
          <w:marRight w:val="0"/>
          <w:marTop w:val="0"/>
          <w:marBottom w:val="0"/>
          <w:divBdr>
            <w:top w:val="none" w:sz="0" w:space="0" w:color="auto"/>
            <w:left w:val="none" w:sz="0" w:space="0" w:color="auto"/>
            <w:bottom w:val="none" w:sz="0" w:space="0" w:color="auto"/>
            <w:right w:val="none" w:sz="0" w:space="0" w:color="auto"/>
          </w:divBdr>
          <w:divsChild>
            <w:div w:id="1387217746">
              <w:marLeft w:val="0"/>
              <w:marRight w:val="0"/>
              <w:marTop w:val="0"/>
              <w:marBottom w:val="0"/>
              <w:divBdr>
                <w:top w:val="none" w:sz="0" w:space="0" w:color="auto"/>
                <w:left w:val="none" w:sz="0" w:space="0" w:color="auto"/>
                <w:bottom w:val="none" w:sz="0" w:space="0" w:color="auto"/>
                <w:right w:val="none" w:sz="0" w:space="0" w:color="auto"/>
              </w:divBdr>
              <w:divsChild>
                <w:div w:id="2093887340">
                  <w:marLeft w:val="-15"/>
                  <w:marRight w:val="0"/>
                  <w:marTop w:val="0"/>
                  <w:marBottom w:val="0"/>
                  <w:divBdr>
                    <w:top w:val="none" w:sz="0" w:space="0" w:color="auto"/>
                    <w:left w:val="single" w:sz="6" w:space="0" w:color="919B9C"/>
                    <w:bottom w:val="single" w:sz="6" w:space="15" w:color="919B9C"/>
                    <w:right w:val="none" w:sz="0" w:space="0" w:color="auto"/>
                  </w:divBdr>
                  <w:divsChild>
                    <w:div w:id="962151652">
                      <w:marLeft w:val="0"/>
                      <w:marRight w:val="0"/>
                      <w:marTop w:val="0"/>
                      <w:marBottom w:val="0"/>
                      <w:divBdr>
                        <w:top w:val="none" w:sz="0" w:space="0" w:color="auto"/>
                        <w:left w:val="none" w:sz="0" w:space="0" w:color="auto"/>
                        <w:bottom w:val="none" w:sz="0" w:space="0" w:color="auto"/>
                        <w:right w:val="none" w:sz="0" w:space="0" w:color="auto"/>
                      </w:divBdr>
                      <w:divsChild>
                        <w:div w:id="1169634446">
                          <w:marLeft w:val="0"/>
                          <w:marRight w:val="0"/>
                          <w:marTop w:val="0"/>
                          <w:marBottom w:val="0"/>
                          <w:divBdr>
                            <w:top w:val="none" w:sz="0" w:space="0" w:color="auto"/>
                            <w:left w:val="none" w:sz="0" w:space="0" w:color="auto"/>
                            <w:bottom w:val="none" w:sz="0" w:space="0" w:color="auto"/>
                            <w:right w:val="none" w:sz="0" w:space="0" w:color="auto"/>
                          </w:divBdr>
                          <w:divsChild>
                            <w:div w:id="18023783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14995593">
      <w:bodyDiv w:val="1"/>
      <w:marLeft w:val="0"/>
      <w:marRight w:val="0"/>
      <w:marTop w:val="0"/>
      <w:marBottom w:val="0"/>
      <w:divBdr>
        <w:top w:val="none" w:sz="0" w:space="0" w:color="auto"/>
        <w:left w:val="none" w:sz="0" w:space="0" w:color="auto"/>
        <w:bottom w:val="none" w:sz="0" w:space="0" w:color="auto"/>
        <w:right w:val="none" w:sz="0" w:space="0" w:color="auto"/>
      </w:divBdr>
      <w:divsChild>
        <w:div w:id="463697285">
          <w:marLeft w:val="0"/>
          <w:marRight w:val="0"/>
          <w:marTop w:val="0"/>
          <w:marBottom w:val="0"/>
          <w:divBdr>
            <w:top w:val="none" w:sz="0" w:space="0" w:color="auto"/>
            <w:left w:val="none" w:sz="0" w:space="0" w:color="auto"/>
            <w:bottom w:val="none" w:sz="0" w:space="0" w:color="auto"/>
            <w:right w:val="none" w:sz="0" w:space="0" w:color="auto"/>
          </w:divBdr>
          <w:divsChild>
            <w:div w:id="788279947">
              <w:marLeft w:val="0"/>
              <w:marRight w:val="0"/>
              <w:marTop w:val="0"/>
              <w:marBottom w:val="0"/>
              <w:divBdr>
                <w:top w:val="none" w:sz="0" w:space="0" w:color="auto"/>
                <w:left w:val="none" w:sz="0" w:space="0" w:color="auto"/>
                <w:bottom w:val="none" w:sz="0" w:space="0" w:color="auto"/>
                <w:right w:val="none" w:sz="0" w:space="0" w:color="auto"/>
              </w:divBdr>
              <w:divsChild>
                <w:div w:id="316347715">
                  <w:marLeft w:val="-15"/>
                  <w:marRight w:val="0"/>
                  <w:marTop w:val="0"/>
                  <w:marBottom w:val="0"/>
                  <w:divBdr>
                    <w:top w:val="none" w:sz="0" w:space="0" w:color="auto"/>
                    <w:left w:val="single" w:sz="6" w:space="0" w:color="919B9C"/>
                    <w:bottom w:val="single" w:sz="6" w:space="15" w:color="919B9C"/>
                    <w:right w:val="none" w:sz="0" w:space="0" w:color="auto"/>
                  </w:divBdr>
                  <w:divsChild>
                    <w:div w:id="1539706244">
                      <w:marLeft w:val="0"/>
                      <w:marRight w:val="0"/>
                      <w:marTop w:val="0"/>
                      <w:marBottom w:val="0"/>
                      <w:divBdr>
                        <w:top w:val="none" w:sz="0" w:space="0" w:color="auto"/>
                        <w:left w:val="none" w:sz="0" w:space="0" w:color="auto"/>
                        <w:bottom w:val="none" w:sz="0" w:space="0" w:color="auto"/>
                        <w:right w:val="none" w:sz="0" w:space="0" w:color="auto"/>
                      </w:divBdr>
                      <w:divsChild>
                        <w:div w:id="913322580">
                          <w:marLeft w:val="0"/>
                          <w:marRight w:val="0"/>
                          <w:marTop w:val="0"/>
                          <w:marBottom w:val="0"/>
                          <w:divBdr>
                            <w:top w:val="none" w:sz="0" w:space="0" w:color="auto"/>
                            <w:left w:val="none" w:sz="0" w:space="0" w:color="auto"/>
                            <w:bottom w:val="none" w:sz="0" w:space="0" w:color="auto"/>
                            <w:right w:val="none" w:sz="0" w:space="0" w:color="auto"/>
                          </w:divBdr>
                          <w:divsChild>
                            <w:div w:id="18676725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436560402">
      <w:bodyDiv w:val="1"/>
      <w:marLeft w:val="0"/>
      <w:marRight w:val="0"/>
      <w:marTop w:val="0"/>
      <w:marBottom w:val="0"/>
      <w:divBdr>
        <w:top w:val="none" w:sz="0" w:space="0" w:color="auto"/>
        <w:left w:val="none" w:sz="0" w:space="0" w:color="auto"/>
        <w:bottom w:val="none" w:sz="0" w:space="0" w:color="auto"/>
        <w:right w:val="none" w:sz="0" w:space="0" w:color="auto"/>
      </w:divBdr>
    </w:div>
    <w:div w:id="448818544">
      <w:bodyDiv w:val="1"/>
      <w:marLeft w:val="0"/>
      <w:marRight w:val="0"/>
      <w:marTop w:val="0"/>
      <w:marBottom w:val="0"/>
      <w:divBdr>
        <w:top w:val="none" w:sz="0" w:space="0" w:color="auto"/>
        <w:left w:val="none" w:sz="0" w:space="0" w:color="auto"/>
        <w:bottom w:val="none" w:sz="0" w:space="0" w:color="auto"/>
        <w:right w:val="none" w:sz="0" w:space="0" w:color="auto"/>
      </w:divBdr>
    </w:div>
    <w:div w:id="508762953">
      <w:bodyDiv w:val="1"/>
      <w:marLeft w:val="0"/>
      <w:marRight w:val="0"/>
      <w:marTop w:val="0"/>
      <w:marBottom w:val="0"/>
      <w:divBdr>
        <w:top w:val="none" w:sz="0" w:space="0" w:color="auto"/>
        <w:left w:val="none" w:sz="0" w:space="0" w:color="auto"/>
        <w:bottom w:val="none" w:sz="0" w:space="0" w:color="auto"/>
        <w:right w:val="none" w:sz="0" w:space="0" w:color="auto"/>
      </w:divBdr>
    </w:div>
    <w:div w:id="668946013">
      <w:bodyDiv w:val="1"/>
      <w:marLeft w:val="0"/>
      <w:marRight w:val="0"/>
      <w:marTop w:val="0"/>
      <w:marBottom w:val="0"/>
      <w:divBdr>
        <w:top w:val="none" w:sz="0" w:space="0" w:color="auto"/>
        <w:left w:val="none" w:sz="0" w:space="0" w:color="auto"/>
        <w:bottom w:val="none" w:sz="0" w:space="0" w:color="auto"/>
        <w:right w:val="none" w:sz="0" w:space="0" w:color="auto"/>
      </w:divBdr>
    </w:div>
    <w:div w:id="707531928">
      <w:bodyDiv w:val="1"/>
      <w:marLeft w:val="0"/>
      <w:marRight w:val="0"/>
      <w:marTop w:val="0"/>
      <w:marBottom w:val="0"/>
      <w:divBdr>
        <w:top w:val="none" w:sz="0" w:space="0" w:color="auto"/>
        <w:left w:val="none" w:sz="0" w:space="0" w:color="auto"/>
        <w:bottom w:val="none" w:sz="0" w:space="0" w:color="auto"/>
        <w:right w:val="none" w:sz="0" w:space="0" w:color="auto"/>
      </w:divBdr>
    </w:div>
    <w:div w:id="886406031">
      <w:bodyDiv w:val="1"/>
      <w:marLeft w:val="0"/>
      <w:marRight w:val="0"/>
      <w:marTop w:val="0"/>
      <w:marBottom w:val="0"/>
      <w:divBdr>
        <w:top w:val="none" w:sz="0" w:space="0" w:color="auto"/>
        <w:left w:val="none" w:sz="0" w:space="0" w:color="auto"/>
        <w:bottom w:val="none" w:sz="0" w:space="0" w:color="auto"/>
        <w:right w:val="none" w:sz="0" w:space="0" w:color="auto"/>
      </w:divBdr>
    </w:div>
    <w:div w:id="980113479">
      <w:bodyDiv w:val="1"/>
      <w:marLeft w:val="0"/>
      <w:marRight w:val="0"/>
      <w:marTop w:val="0"/>
      <w:marBottom w:val="0"/>
      <w:divBdr>
        <w:top w:val="none" w:sz="0" w:space="0" w:color="auto"/>
        <w:left w:val="none" w:sz="0" w:space="0" w:color="auto"/>
        <w:bottom w:val="none" w:sz="0" w:space="0" w:color="auto"/>
        <w:right w:val="none" w:sz="0" w:space="0" w:color="auto"/>
      </w:divBdr>
    </w:div>
    <w:div w:id="1258632255">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81200999">
      <w:bodyDiv w:val="1"/>
      <w:marLeft w:val="0"/>
      <w:marRight w:val="0"/>
      <w:marTop w:val="0"/>
      <w:marBottom w:val="0"/>
      <w:divBdr>
        <w:top w:val="none" w:sz="0" w:space="0" w:color="auto"/>
        <w:left w:val="none" w:sz="0" w:space="0" w:color="auto"/>
        <w:bottom w:val="none" w:sz="0" w:space="0" w:color="auto"/>
        <w:right w:val="none" w:sz="0" w:space="0" w:color="auto"/>
      </w:divBdr>
    </w:div>
    <w:div w:id="1394935462">
      <w:bodyDiv w:val="1"/>
      <w:marLeft w:val="0"/>
      <w:marRight w:val="0"/>
      <w:marTop w:val="0"/>
      <w:marBottom w:val="0"/>
      <w:divBdr>
        <w:top w:val="none" w:sz="0" w:space="0" w:color="auto"/>
        <w:left w:val="none" w:sz="0" w:space="0" w:color="auto"/>
        <w:bottom w:val="none" w:sz="0" w:space="0" w:color="auto"/>
        <w:right w:val="none" w:sz="0" w:space="0" w:color="auto"/>
      </w:divBdr>
    </w:div>
    <w:div w:id="1706559242">
      <w:bodyDiv w:val="1"/>
      <w:marLeft w:val="0"/>
      <w:marRight w:val="0"/>
      <w:marTop w:val="0"/>
      <w:marBottom w:val="0"/>
      <w:divBdr>
        <w:top w:val="none" w:sz="0" w:space="0" w:color="auto"/>
        <w:left w:val="none" w:sz="0" w:space="0" w:color="auto"/>
        <w:bottom w:val="none" w:sz="0" w:space="0" w:color="auto"/>
        <w:right w:val="none" w:sz="0" w:space="0" w:color="auto"/>
      </w:divBdr>
    </w:div>
    <w:div w:id="1856112525">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70353213">
      <w:bodyDiv w:val="1"/>
      <w:marLeft w:val="0"/>
      <w:marRight w:val="0"/>
      <w:marTop w:val="0"/>
      <w:marBottom w:val="0"/>
      <w:divBdr>
        <w:top w:val="none" w:sz="0" w:space="0" w:color="auto"/>
        <w:left w:val="none" w:sz="0" w:space="0" w:color="auto"/>
        <w:bottom w:val="none" w:sz="0" w:space="0" w:color="auto"/>
        <w:right w:val="none" w:sz="0" w:space="0" w:color="auto"/>
      </w:divBdr>
    </w:div>
    <w:div w:id="21340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footer" Target="footer4.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0.wmf"/><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customXml" Target="../customXml/item1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customXml" Target="../customXml/item9.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census.gov.ph/content/employment-rate-january-2013-estimated-929-percent-results-january-2013-labor-force-survey" TargetMode="External"/><Relationship Id="rId1" Type="http://schemas.openxmlformats.org/officeDocument/2006/relationships/hyperlink" Target="http://www.nscb.gov.ph/stats/mdg/mdg_watch.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28AD-9CA5-41E9-9B2E-68A9E93FA4F5}"/>
</file>

<file path=customXml/itemProps10.xml><?xml version="1.0" encoding="utf-8"?>
<ds:datastoreItem xmlns:ds="http://schemas.openxmlformats.org/officeDocument/2006/customXml" ds:itemID="{515A79B6-2DA3-4BAB-B7B3-CE005B3A911B}"/>
</file>

<file path=customXml/itemProps11.xml><?xml version="1.0" encoding="utf-8"?>
<ds:datastoreItem xmlns:ds="http://schemas.openxmlformats.org/officeDocument/2006/customXml" ds:itemID="{55B7EE9B-40D9-40C7-9DB5-DF3B2493B9B0}"/>
</file>

<file path=customXml/itemProps2.xml><?xml version="1.0" encoding="utf-8"?>
<ds:datastoreItem xmlns:ds="http://schemas.openxmlformats.org/officeDocument/2006/customXml" ds:itemID="{F19E2073-A283-4E99-A1BA-48AC6DE55D95}"/>
</file>

<file path=customXml/itemProps3.xml><?xml version="1.0" encoding="utf-8"?>
<ds:datastoreItem xmlns:ds="http://schemas.openxmlformats.org/officeDocument/2006/customXml" ds:itemID="{3B5016A2-0F77-4113-B05B-8371F648B21D}"/>
</file>

<file path=customXml/itemProps4.xml><?xml version="1.0" encoding="utf-8"?>
<ds:datastoreItem xmlns:ds="http://schemas.openxmlformats.org/officeDocument/2006/customXml" ds:itemID="{B478A063-DA71-4D1C-84E6-68693914B981}"/>
</file>

<file path=customXml/itemProps5.xml><?xml version="1.0" encoding="utf-8"?>
<ds:datastoreItem xmlns:ds="http://schemas.openxmlformats.org/officeDocument/2006/customXml" ds:itemID="{47ED1D41-7708-459E-9351-EF2FF1E5B393}"/>
</file>

<file path=customXml/itemProps6.xml><?xml version="1.0" encoding="utf-8"?>
<ds:datastoreItem xmlns:ds="http://schemas.openxmlformats.org/officeDocument/2006/customXml" ds:itemID="{8A80F826-596E-4974-BD22-137857C97641}"/>
</file>

<file path=customXml/itemProps7.xml><?xml version="1.0" encoding="utf-8"?>
<ds:datastoreItem xmlns:ds="http://schemas.openxmlformats.org/officeDocument/2006/customXml" ds:itemID="{67A7B031-B810-46ED-A443-86DE8E67346B}"/>
</file>

<file path=customXml/itemProps8.xml><?xml version="1.0" encoding="utf-8"?>
<ds:datastoreItem xmlns:ds="http://schemas.openxmlformats.org/officeDocument/2006/customXml" ds:itemID="{DEB30C38-12EB-41B0-880A-1570A3505A0F}"/>
</file>

<file path=customXml/itemProps9.xml><?xml version="1.0" encoding="utf-8"?>
<ds:datastoreItem xmlns:ds="http://schemas.openxmlformats.org/officeDocument/2006/customXml" ds:itemID="{BF0051A9-332F-4638-A4E2-7A84C7E6FD7A}"/>
</file>

<file path=docProps/app.xml><?xml version="1.0" encoding="utf-8"?>
<Properties xmlns="http://schemas.openxmlformats.org/officeDocument/2006/extended-properties" xmlns:vt="http://schemas.openxmlformats.org/officeDocument/2006/docPropsVTypes">
  <Template>Normal.dotm</Template>
  <TotalTime>0</TotalTime>
  <Pages>30</Pages>
  <Words>13272</Words>
  <Characters>75655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2014-01-06T23:34:00Z</dcterms:created>
  <dcterms:modified xsi:type="dcterms:W3CDTF">2014-01-29T03:24:00Z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311900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