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AE7C19" w14:textId="77777777" w:rsidR="00454766" w:rsidRDefault="00454766" w:rsidP="00454766">
      <w:pPr>
        <w:spacing w:before="0"/>
        <w:rPr>
          <w:rFonts w:cs="Arial"/>
        </w:rPr>
      </w:pPr>
      <w:bookmarkStart w:id="0" w:name="_GoBack"/>
      <w:bookmarkEnd w:id="0"/>
    </w:p>
    <w:p w14:paraId="6CAE7C23" w14:textId="7B04AF8D" w:rsidR="00C657FB" w:rsidRDefault="00EB641D" w:rsidP="00C657FB">
      <w:pPr>
        <w:pStyle w:val="DocName"/>
        <w:pBdr>
          <w:top w:val="single" w:sz="4" w:space="12" w:color="FF9900"/>
          <w:bottom w:val="single" w:sz="4" w:space="5" w:color="FF9900"/>
        </w:pBdr>
        <w:shd w:val="clear" w:color="auto" w:fill="FFFFCC"/>
        <w:spacing w:line="360" w:lineRule="auto"/>
        <w:rPr>
          <w:sz w:val="24"/>
          <w:lang w:eastAsia="en-AU"/>
        </w:rPr>
      </w:pPr>
      <w:r>
        <w:rPr>
          <w:sz w:val="24"/>
          <w:lang w:eastAsia="en-AU"/>
        </w:rPr>
        <w:t xml:space="preserve">Independent Review of the Pacific Horticultural and Agricultural Market Access (PHAMA) </w:t>
      </w:r>
      <w:r w:rsidR="00981839">
        <w:rPr>
          <w:sz w:val="24"/>
          <w:lang w:eastAsia="en-AU"/>
        </w:rPr>
        <w:t>Initiative</w:t>
      </w:r>
    </w:p>
    <w:p w14:paraId="6CAE7C24" w14:textId="77777777" w:rsidR="00C657FB" w:rsidRDefault="00F37B61" w:rsidP="00C657FB">
      <w:pPr>
        <w:pStyle w:val="DocName"/>
        <w:pBdr>
          <w:top w:val="single" w:sz="4" w:space="12" w:color="FF9900"/>
          <w:bottom w:val="single" w:sz="4" w:space="5" w:color="FF9900"/>
        </w:pBdr>
        <w:shd w:val="clear" w:color="auto" w:fill="FFFFCC"/>
        <w:spacing w:line="360" w:lineRule="auto"/>
        <w:rPr>
          <w:sz w:val="24"/>
          <w:lang w:eastAsia="en-AU"/>
        </w:rPr>
      </w:pPr>
      <w:r>
        <w:rPr>
          <w:sz w:val="24"/>
          <w:lang w:eastAsia="en-AU"/>
        </w:rPr>
        <w:t>MANAGEMENT RESPONSE</w:t>
      </w:r>
    </w:p>
    <w:p w14:paraId="4EBF3370" w14:textId="77777777" w:rsidR="00EB641D" w:rsidRPr="00D14E4C" w:rsidRDefault="00EB641D" w:rsidP="00EB641D">
      <w:pPr>
        <w:tabs>
          <w:tab w:val="left" w:pos="1539"/>
        </w:tabs>
        <w:spacing w:before="360"/>
        <w:rPr>
          <w:szCs w:val="20"/>
          <w:lang w:eastAsia="en-AU"/>
        </w:rPr>
      </w:pPr>
      <w:r w:rsidRPr="00D14E4C">
        <w:rPr>
          <w:szCs w:val="20"/>
          <w:lang w:eastAsia="en-AU"/>
        </w:rPr>
        <w:t xml:space="preserve">Prepared by: </w:t>
      </w:r>
      <w:r w:rsidRPr="00D14E4C">
        <w:rPr>
          <w:szCs w:val="20"/>
          <w:lang w:eastAsia="en-AU"/>
        </w:rPr>
        <w:tab/>
        <w:t>Pacific Governance &amp; Growth Section</w:t>
      </w:r>
    </w:p>
    <w:p w14:paraId="1825306C" w14:textId="395F3359" w:rsidR="00EB641D" w:rsidRPr="00D14E4C" w:rsidRDefault="00EB641D" w:rsidP="00EB641D">
      <w:pPr>
        <w:tabs>
          <w:tab w:val="left" w:pos="1539"/>
        </w:tabs>
        <w:rPr>
          <w:szCs w:val="20"/>
          <w:lang w:eastAsia="en-AU"/>
        </w:rPr>
      </w:pPr>
      <w:r w:rsidRPr="00D14E4C">
        <w:rPr>
          <w:szCs w:val="20"/>
          <w:lang w:eastAsia="en-AU"/>
        </w:rPr>
        <w:t xml:space="preserve">Approved by: </w:t>
      </w:r>
      <w:r w:rsidRPr="00D14E4C">
        <w:rPr>
          <w:szCs w:val="20"/>
          <w:lang w:eastAsia="en-AU"/>
        </w:rPr>
        <w:tab/>
      </w:r>
      <w:r w:rsidR="00965F3D">
        <w:rPr>
          <w:szCs w:val="20"/>
          <w:lang w:eastAsia="en-AU"/>
        </w:rPr>
        <w:t>Jodie McAlister, Acting Assistant Secretary</w:t>
      </w:r>
      <w:r w:rsidR="00810B8A">
        <w:rPr>
          <w:szCs w:val="20"/>
          <w:lang w:eastAsia="en-AU"/>
        </w:rPr>
        <w:t xml:space="preserve"> Pacific</w:t>
      </w:r>
    </w:p>
    <w:p w14:paraId="65BF65D1" w14:textId="1441A079" w:rsidR="00EB641D" w:rsidRPr="00D14E4C" w:rsidRDefault="00FB48FF" w:rsidP="00EB641D">
      <w:pPr>
        <w:tabs>
          <w:tab w:val="left" w:pos="1539"/>
        </w:tabs>
        <w:rPr>
          <w:szCs w:val="20"/>
          <w:lang w:eastAsia="en-AU"/>
        </w:rPr>
      </w:pPr>
      <w:r>
        <w:rPr>
          <w:szCs w:val="20"/>
          <w:lang w:eastAsia="en-AU"/>
        </w:rPr>
        <w:t>Date</w:t>
      </w:r>
      <w:r w:rsidR="00EB641D" w:rsidRPr="00D14E4C">
        <w:rPr>
          <w:szCs w:val="20"/>
          <w:lang w:eastAsia="en-AU"/>
        </w:rPr>
        <w:t xml:space="preserve">: </w:t>
      </w:r>
      <w:r w:rsidR="00EB641D" w:rsidRPr="00D14E4C">
        <w:rPr>
          <w:szCs w:val="20"/>
          <w:lang w:eastAsia="en-AU"/>
        </w:rPr>
        <w:tab/>
      </w:r>
      <w:r w:rsidR="00965F3D">
        <w:rPr>
          <w:szCs w:val="20"/>
          <w:lang w:eastAsia="en-AU"/>
        </w:rPr>
        <w:t>24 January 2014</w:t>
      </w:r>
    </w:p>
    <w:p w14:paraId="6CAE7C25" w14:textId="77777777" w:rsidR="00C657FB" w:rsidRPr="00D14E4C" w:rsidRDefault="000B520A" w:rsidP="00683EB4">
      <w:pPr>
        <w:pStyle w:val="Heading2"/>
        <w:rPr>
          <w:sz w:val="20"/>
          <w:szCs w:val="20"/>
        </w:rPr>
      </w:pPr>
      <w:r w:rsidRPr="00D14E4C">
        <w:rPr>
          <w:sz w:val="20"/>
          <w:szCs w:val="20"/>
        </w:rPr>
        <w:t xml:space="preserve">Initiative </w:t>
      </w:r>
      <w:r w:rsidR="00C657FB" w:rsidRPr="00D14E4C">
        <w:rPr>
          <w:sz w:val="20"/>
          <w:szCs w:val="20"/>
        </w:rPr>
        <w:t>Summary</w:t>
      </w:r>
    </w:p>
    <w:tbl>
      <w:tblPr>
        <w:tblW w:w="1017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bottom w:w="57" w:type="dxa"/>
        </w:tblCellMar>
        <w:tblLook w:val="01E0" w:firstRow="1" w:lastRow="1" w:firstColumn="1" w:lastColumn="1" w:noHBand="0" w:noVBand="0"/>
      </w:tblPr>
      <w:tblGrid>
        <w:gridCol w:w="2660"/>
        <w:gridCol w:w="2693"/>
        <w:gridCol w:w="1843"/>
        <w:gridCol w:w="2977"/>
      </w:tblGrid>
      <w:tr w:rsidR="00C657FB" w:rsidRPr="00D14E4C" w14:paraId="6CAE7C28" w14:textId="77777777" w:rsidTr="00671675">
        <w:trPr>
          <w:cantSplit/>
          <w:tblHeader/>
        </w:trPr>
        <w:tc>
          <w:tcPr>
            <w:tcW w:w="2660" w:type="dxa"/>
            <w:shd w:val="clear" w:color="auto" w:fill="E0E0E0"/>
            <w:vAlign w:val="center"/>
          </w:tcPr>
          <w:p w14:paraId="6CAE7C26" w14:textId="77777777" w:rsidR="00C657FB" w:rsidRPr="00D14E4C" w:rsidRDefault="00EF02B3" w:rsidP="00175FFC">
            <w:pPr>
              <w:pStyle w:val="Table-normal-text"/>
              <w:spacing w:before="120" w:after="120"/>
              <w:rPr>
                <w:b/>
                <w:szCs w:val="20"/>
              </w:rPr>
            </w:pPr>
            <w:r w:rsidRPr="00D14E4C">
              <w:rPr>
                <w:b/>
                <w:szCs w:val="20"/>
              </w:rPr>
              <w:t>Initiative</w:t>
            </w:r>
            <w:r w:rsidR="00C657FB" w:rsidRPr="00D14E4C">
              <w:rPr>
                <w:b/>
                <w:szCs w:val="20"/>
              </w:rPr>
              <w:t xml:space="preserve"> Name</w:t>
            </w:r>
          </w:p>
        </w:tc>
        <w:tc>
          <w:tcPr>
            <w:tcW w:w="7513" w:type="dxa"/>
            <w:gridSpan w:val="3"/>
            <w:shd w:val="clear" w:color="auto" w:fill="E0E0E0"/>
            <w:vAlign w:val="center"/>
          </w:tcPr>
          <w:p w14:paraId="6CAE7C27" w14:textId="7DCFB638" w:rsidR="00C657FB" w:rsidRPr="00D14E4C" w:rsidRDefault="00981839" w:rsidP="00175FFC">
            <w:pPr>
              <w:pStyle w:val="Table-normal-text"/>
              <w:spacing w:before="120" w:after="120"/>
              <w:rPr>
                <w:b/>
                <w:szCs w:val="20"/>
              </w:rPr>
            </w:pPr>
            <w:r w:rsidRPr="00D14E4C">
              <w:rPr>
                <w:b/>
                <w:szCs w:val="20"/>
              </w:rPr>
              <w:t>Pacific Horticultural and Agricultural Market Access (PHAMA)</w:t>
            </w:r>
          </w:p>
        </w:tc>
      </w:tr>
      <w:tr w:rsidR="00C657FB" w:rsidRPr="00D14E4C" w14:paraId="6CAE7C2B" w14:textId="77777777" w:rsidTr="00671675">
        <w:trPr>
          <w:cantSplit/>
        </w:trPr>
        <w:tc>
          <w:tcPr>
            <w:tcW w:w="2660" w:type="dxa"/>
            <w:shd w:val="clear" w:color="auto" w:fill="auto"/>
          </w:tcPr>
          <w:p w14:paraId="6CAE7C29" w14:textId="77777777" w:rsidR="00C657FB" w:rsidRPr="00D14E4C" w:rsidRDefault="00C657FB" w:rsidP="00175FFC">
            <w:pPr>
              <w:pStyle w:val="Table-normal-text"/>
              <w:rPr>
                <w:szCs w:val="20"/>
              </w:rPr>
            </w:pPr>
            <w:r w:rsidRPr="00D14E4C">
              <w:rPr>
                <w:szCs w:val="20"/>
              </w:rPr>
              <w:t>AidWorks initiative number</w:t>
            </w:r>
          </w:p>
        </w:tc>
        <w:tc>
          <w:tcPr>
            <w:tcW w:w="7513" w:type="dxa"/>
            <w:gridSpan w:val="3"/>
            <w:shd w:val="clear" w:color="auto" w:fill="auto"/>
          </w:tcPr>
          <w:p w14:paraId="6CAE7C2A" w14:textId="248E883E" w:rsidR="00C657FB" w:rsidRPr="00D14E4C" w:rsidRDefault="00981839" w:rsidP="00175FFC">
            <w:pPr>
              <w:pStyle w:val="Table-normal-text"/>
              <w:rPr>
                <w:szCs w:val="20"/>
              </w:rPr>
            </w:pPr>
            <w:r w:rsidRPr="00D14E4C">
              <w:rPr>
                <w:szCs w:val="20"/>
              </w:rPr>
              <w:t>INI851</w:t>
            </w:r>
          </w:p>
        </w:tc>
      </w:tr>
      <w:tr w:rsidR="00C657FB" w:rsidRPr="00D14E4C" w14:paraId="6CAE7C30" w14:textId="77777777" w:rsidTr="00671675">
        <w:trPr>
          <w:cantSplit/>
        </w:trPr>
        <w:tc>
          <w:tcPr>
            <w:tcW w:w="2660" w:type="dxa"/>
            <w:shd w:val="clear" w:color="auto" w:fill="auto"/>
          </w:tcPr>
          <w:p w14:paraId="6CAE7C2C" w14:textId="77777777" w:rsidR="00C657FB" w:rsidRPr="00D14E4C" w:rsidRDefault="00C657FB" w:rsidP="00175FFC">
            <w:pPr>
              <w:pStyle w:val="Table-normal-text"/>
              <w:rPr>
                <w:szCs w:val="20"/>
              </w:rPr>
            </w:pPr>
            <w:r w:rsidRPr="00D14E4C">
              <w:rPr>
                <w:szCs w:val="20"/>
              </w:rPr>
              <w:t>Commencement date</w:t>
            </w:r>
          </w:p>
        </w:tc>
        <w:tc>
          <w:tcPr>
            <w:tcW w:w="2693" w:type="dxa"/>
            <w:shd w:val="clear" w:color="auto" w:fill="auto"/>
          </w:tcPr>
          <w:p w14:paraId="6CAE7C2D" w14:textId="2453C8DE" w:rsidR="00C657FB" w:rsidRPr="00D14E4C" w:rsidRDefault="00981839" w:rsidP="00A232E8">
            <w:pPr>
              <w:pStyle w:val="Table-normal-text"/>
              <w:rPr>
                <w:szCs w:val="20"/>
              </w:rPr>
            </w:pPr>
            <w:r w:rsidRPr="00D14E4C">
              <w:rPr>
                <w:szCs w:val="20"/>
              </w:rPr>
              <w:t>01 July 2010</w:t>
            </w:r>
            <w:r w:rsidR="00D14E4C" w:rsidRPr="00D14E4C">
              <w:rPr>
                <w:szCs w:val="20"/>
              </w:rPr>
              <w:t xml:space="preserve"> (</w:t>
            </w:r>
            <w:r w:rsidR="00A232E8" w:rsidRPr="00D14E4C">
              <w:rPr>
                <w:szCs w:val="20"/>
              </w:rPr>
              <w:t xml:space="preserve">although Program commenced on the </w:t>
            </w:r>
            <w:r w:rsidR="00D14E4C" w:rsidRPr="00D14E4C">
              <w:rPr>
                <w:b/>
                <w:szCs w:val="20"/>
              </w:rPr>
              <w:t>ground in June 2011)</w:t>
            </w:r>
          </w:p>
        </w:tc>
        <w:tc>
          <w:tcPr>
            <w:tcW w:w="1843" w:type="dxa"/>
            <w:shd w:val="clear" w:color="auto" w:fill="auto"/>
          </w:tcPr>
          <w:p w14:paraId="6CAE7C2E" w14:textId="77777777" w:rsidR="00C657FB" w:rsidRPr="00D14E4C" w:rsidRDefault="00C657FB" w:rsidP="00175FFC">
            <w:pPr>
              <w:pStyle w:val="Table-normal-text"/>
              <w:rPr>
                <w:szCs w:val="20"/>
              </w:rPr>
            </w:pPr>
            <w:r w:rsidRPr="00D14E4C">
              <w:rPr>
                <w:szCs w:val="20"/>
              </w:rPr>
              <w:t>Completion date</w:t>
            </w:r>
          </w:p>
        </w:tc>
        <w:tc>
          <w:tcPr>
            <w:tcW w:w="2977" w:type="dxa"/>
            <w:shd w:val="clear" w:color="auto" w:fill="auto"/>
          </w:tcPr>
          <w:p w14:paraId="6CAE7C2F" w14:textId="19104E14" w:rsidR="00C657FB" w:rsidRPr="00D14E4C" w:rsidRDefault="00981839" w:rsidP="00175FFC">
            <w:pPr>
              <w:pStyle w:val="Table-normal-text"/>
              <w:rPr>
                <w:b/>
                <w:szCs w:val="20"/>
              </w:rPr>
            </w:pPr>
            <w:r w:rsidRPr="00D14E4C">
              <w:rPr>
                <w:b/>
                <w:szCs w:val="20"/>
              </w:rPr>
              <w:t>30 June 2013 (phase 1)</w:t>
            </w:r>
          </w:p>
        </w:tc>
      </w:tr>
      <w:tr w:rsidR="00C657FB" w:rsidRPr="00D14E4C" w14:paraId="6CAE7C33" w14:textId="77777777" w:rsidTr="00671675">
        <w:trPr>
          <w:cantSplit/>
        </w:trPr>
        <w:tc>
          <w:tcPr>
            <w:tcW w:w="2660" w:type="dxa"/>
            <w:shd w:val="clear" w:color="auto" w:fill="auto"/>
          </w:tcPr>
          <w:p w14:paraId="6CAE7C31" w14:textId="77777777" w:rsidR="00C657FB" w:rsidRPr="00D14E4C" w:rsidRDefault="00C657FB" w:rsidP="00175FFC">
            <w:pPr>
              <w:pStyle w:val="Table-normal-text"/>
              <w:rPr>
                <w:szCs w:val="20"/>
              </w:rPr>
            </w:pPr>
            <w:r w:rsidRPr="00D14E4C">
              <w:rPr>
                <w:szCs w:val="20"/>
              </w:rPr>
              <w:t>Total Australian $</w:t>
            </w:r>
          </w:p>
        </w:tc>
        <w:tc>
          <w:tcPr>
            <w:tcW w:w="7513" w:type="dxa"/>
            <w:gridSpan w:val="3"/>
            <w:shd w:val="clear" w:color="auto" w:fill="auto"/>
          </w:tcPr>
          <w:p w14:paraId="6CAE7C32" w14:textId="18D3C8B8" w:rsidR="00C657FB" w:rsidRPr="00D14E4C" w:rsidRDefault="00981839" w:rsidP="00175FFC">
            <w:pPr>
              <w:pStyle w:val="Table-normal-text"/>
              <w:rPr>
                <w:szCs w:val="20"/>
              </w:rPr>
            </w:pPr>
            <w:r w:rsidRPr="00D14E4C">
              <w:rPr>
                <w:szCs w:val="20"/>
              </w:rPr>
              <w:t>$13.4 million</w:t>
            </w:r>
            <w:r w:rsidR="00BB5168" w:rsidRPr="00D14E4C">
              <w:rPr>
                <w:szCs w:val="20"/>
              </w:rPr>
              <w:t xml:space="preserve"> </w:t>
            </w:r>
          </w:p>
        </w:tc>
      </w:tr>
      <w:tr w:rsidR="00C657FB" w:rsidRPr="00D14E4C" w14:paraId="6CAE7C39" w14:textId="77777777" w:rsidTr="00671675">
        <w:trPr>
          <w:cantSplit/>
        </w:trPr>
        <w:tc>
          <w:tcPr>
            <w:tcW w:w="2660" w:type="dxa"/>
            <w:shd w:val="clear" w:color="auto" w:fill="auto"/>
          </w:tcPr>
          <w:p w14:paraId="6CAE7C37" w14:textId="77777777" w:rsidR="00C657FB" w:rsidRPr="00D14E4C" w:rsidRDefault="00C657FB" w:rsidP="00175FFC">
            <w:pPr>
              <w:pStyle w:val="Table-normal-text"/>
              <w:rPr>
                <w:szCs w:val="20"/>
              </w:rPr>
            </w:pPr>
            <w:r w:rsidRPr="00D14E4C">
              <w:rPr>
                <w:szCs w:val="20"/>
              </w:rPr>
              <w:t>Delivery organisation(s)</w:t>
            </w:r>
          </w:p>
        </w:tc>
        <w:tc>
          <w:tcPr>
            <w:tcW w:w="7513" w:type="dxa"/>
            <w:gridSpan w:val="3"/>
            <w:shd w:val="clear" w:color="auto" w:fill="auto"/>
          </w:tcPr>
          <w:p w14:paraId="6CAE7C38" w14:textId="451D9325" w:rsidR="00C657FB" w:rsidRPr="00D14E4C" w:rsidRDefault="00671675" w:rsidP="00671675">
            <w:pPr>
              <w:pStyle w:val="Table-normal-text"/>
              <w:rPr>
                <w:szCs w:val="20"/>
              </w:rPr>
            </w:pPr>
            <w:r w:rsidRPr="00D14E4C">
              <w:rPr>
                <w:szCs w:val="20"/>
              </w:rPr>
              <w:t xml:space="preserve">URS Australia Limited (Managing Contractor), </w:t>
            </w:r>
            <w:r w:rsidR="00DD24E3" w:rsidRPr="00D14E4C">
              <w:rPr>
                <w:szCs w:val="20"/>
              </w:rPr>
              <w:t xml:space="preserve">Secretariat </w:t>
            </w:r>
            <w:r w:rsidRPr="00D14E4C">
              <w:rPr>
                <w:szCs w:val="20"/>
              </w:rPr>
              <w:t xml:space="preserve">of the Pacific Community (SPC) and </w:t>
            </w:r>
            <w:r w:rsidR="00DD24E3" w:rsidRPr="00D14E4C">
              <w:rPr>
                <w:szCs w:val="20"/>
              </w:rPr>
              <w:t xml:space="preserve">Department of Agriculture, Fisheries and Forestry (DAFF) </w:t>
            </w:r>
          </w:p>
        </w:tc>
      </w:tr>
      <w:tr w:rsidR="00C657FB" w:rsidRPr="00D14E4C" w14:paraId="6CAE7C3C" w14:textId="77777777" w:rsidTr="00671675">
        <w:trPr>
          <w:cantSplit/>
        </w:trPr>
        <w:tc>
          <w:tcPr>
            <w:tcW w:w="2660" w:type="dxa"/>
            <w:shd w:val="clear" w:color="auto" w:fill="auto"/>
          </w:tcPr>
          <w:p w14:paraId="6CAE7C3A" w14:textId="77777777" w:rsidR="00C657FB" w:rsidRPr="00D14E4C" w:rsidRDefault="00C657FB" w:rsidP="00845B17">
            <w:pPr>
              <w:pStyle w:val="Table-normal-text"/>
              <w:rPr>
                <w:szCs w:val="20"/>
              </w:rPr>
            </w:pPr>
            <w:r w:rsidRPr="00D14E4C">
              <w:rPr>
                <w:szCs w:val="20"/>
              </w:rPr>
              <w:t xml:space="preserve">Implementing </w:t>
            </w:r>
            <w:r w:rsidR="00845B17" w:rsidRPr="00D14E4C">
              <w:rPr>
                <w:szCs w:val="20"/>
              </w:rPr>
              <w:t>partner</w:t>
            </w:r>
            <w:r w:rsidRPr="00D14E4C">
              <w:rPr>
                <w:szCs w:val="20"/>
              </w:rPr>
              <w:t>(s)</w:t>
            </w:r>
          </w:p>
        </w:tc>
        <w:tc>
          <w:tcPr>
            <w:tcW w:w="7513" w:type="dxa"/>
            <w:gridSpan w:val="3"/>
            <w:shd w:val="clear" w:color="auto" w:fill="auto"/>
          </w:tcPr>
          <w:p w14:paraId="6CAE7C3B" w14:textId="3B9C8DA3" w:rsidR="00C657FB" w:rsidRPr="00D14E4C" w:rsidRDefault="00582611" w:rsidP="00175FFC">
            <w:pPr>
              <w:pStyle w:val="Table-normal-text"/>
              <w:rPr>
                <w:szCs w:val="20"/>
              </w:rPr>
            </w:pPr>
            <w:r>
              <w:rPr>
                <w:szCs w:val="20"/>
              </w:rPr>
              <w:t>DFAT</w:t>
            </w:r>
            <w:r w:rsidR="00DD24E3" w:rsidRPr="00D14E4C">
              <w:rPr>
                <w:szCs w:val="20"/>
              </w:rPr>
              <w:t xml:space="preserve"> appointed Managing Contractors, </w:t>
            </w:r>
            <w:r w:rsidR="00DD24E3" w:rsidRPr="00D14E4C">
              <w:rPr>
                <w:i/>
                <w:szCs w:val="20"/>
              </w:rPr>
              <w:t xml:space="preserve">URS-Australia Pty Ltd </w:t>
            </w:r>
            <w:r w:rsidR="00DD24E3" w:rsidRPr="00D14E4C">
              <w:rPr>
                <w:szCs w:val="20"/>
              </w:rPr>
              <w:t xml:space="preserve">and </w:t>
            </w:r>
            <w:r w:rsidR="00DD24E3" w:rsidRPr="00D14E4C">
              <w:rPr>
                <w:i/>
                <w:szCs w:val="20"/>
              </w:rPr>
              <w:t xml:space="preserve">Kalang Consultancy Services Pty Ltd </w:t>
            </w:r>
            <w:r w:rsidR="00DD24E3" w:rsidRPr="00D14E4C">
              <w:rPr>
                <w:szCs w:val="20"/>
              </w:rPr>
              <w:t>(for objectives 1-3 outlined below) and the Biosecurity and Trade Services Team (BATS) of the Secretariat of the Pacific Community (SPC) (for objective 4 outlined below).</w:t>
            </w:r>
          </w:p>
        </w:tc>
      </w:tr>
      <w:tr w:rsidR="00C657FB" w:rsidRPr="00D14E4C" w14:paraId="6CAE7C3F" w14:textId="77777777" w:rsidTr="00671675">
        <w:trPr>
          <w:cantSplit/>
        </w:trPr>
        <w:tc>
          <w:tcPr>
            <w:tcW w:w="2660" w:type="dxa"/>
            <w:shd w:val="clear" w:color="auto" w:fill="auto"/>
          </w:tcPr>
          <w:p w14:paraId="6CAE7C3D" w14:textId="77777777" w:rsidR="00C657FB" w:rsidRPr="00D14E4C" w:rsidRDefault="00C657FB" w:rsidP="00175FFC">
            <w:pPr>
              <w:pStyle w:val="Table-normal-text"/>
              <w:rPr>
                <w:szCs w:val="20"/>
              </w:rPr>
            </w:pPr>
            <w:r w:rsidRPr="00D14E4C">
              <w:rPr>
                <w:szCs w:val="20"/>
              </w:rPr>
              <w:t>Country/Region</w:t>
            </w:r>
          </w:p>
        </w:tc>
        <w:tc>
          <w:tcPr>
            <w:tcW w:w="7513" w:type="dxa"/>
            <w:gridSpan w:val="3"/>
            <w:shd w:val="clear" w:color="auto" w:fill="auto"/>
          </w:tcPr>
          <w:p w14:paraId="6CAE7C3E" w14:textId="17181598" w:rsidR="00C657FB" w:rsidRPr="00D14E4C" w:rsidRDefault="00671675" w:rsidP="00175FFC">
            <w:pPr>
              <w:pStyle w:val="Table-normal-text"/>
              <w:rPr>
                <w:szCs w:val="20"/>
              </w:rPr>
            </w:pPr>
            <w:r w:rsidRPr="00D14E4C">
              <w:rPr>
                <w:szCs w:val="20"/>
              </w:rPr>
              <w:t>Tonga, Samoa, So</w:t>
            </w:r>
            <w:r w:rsidR="00B211FD" w:rsidRPr="00D14E4C">
              <w:rPr>
                <w:szCs w:val="20"/>
              </w:rPr>
              <w:t xml:space="preserve">lomon Islands, Vanuatu and Fiji – through URS Australia Ltd. </w:t>
            </w:r>
            <w:r w:rsidR="00981839" w:rsidRPr="00D14E4C">
              <w:rPr>
                <w:szCs w:val="20"/>
              </w:rPr>
              <w:t>Pacific</w:t>
            </w:r>
            <w:r w:rsidR="00B211FD" w:rsidRPr="00D14E4C">
              <w:rPr>
                <w:szCs w:val="20"/>
              </w:rPr>
              <w:t xml:space="preserve"> region through SPC. </w:t>
            </w:r>
          </w:p>
        </w:tc>
      </w:tr>
      <w:tr w:rsidR="00C657FB" w:rsidRPr="00D14E4C" w14:paraId="6CAE7C42" w14:textId="77777777" w:rsidTr="00671675">
        <w:trPr>
          <w:cantSplit/>
        </w:trPr>
        <w:tc>
          <w:tcPr>
            <w:tcW w:w="2660" w:type="dxa"/>
            <w:shd w:val="clear" w:color="auto" w:fill="auto"/>
          </w:tcPr>
          <w:p w14:paraId="6CAE7C40" w14:textId="77777777" w:rsidR="00C657FB" w:rsidRPr="00D14E4C" w:rsidRDefault="00C657FB" w:rsidP="00845B17">
            <w:pPr>
              <w:pStyle w:val="Table-normal-text"/>
              <w:rPr>
                <w:szCs w:val="20"/>
              </w:rPr>
            </w:pPr>
            <w:r w:rsidRPr="00D14E4C">
              <w:rPr>
                <w:szCs w:val="20"/>
              </w:rPr>
              <w:t xml:space="preserve">Primary </w:t>
            </w:r>
            <w:r w:rsidR="00845B17" w:rsidRPr="00D14E4C">
              <w:rPr>
                <w:szCs w:val="20"/>
              </w:rPr>
              <w:t>sector</w:t>
            </w:r>
          </w:p>
        </w:tc>
        <w:tc>
          <w:tcPr>
            <w:tcW w:w="7513" w:type="dxa"/>
            <w:gridSpan w:val="3"/>
            <w:shd w:val="clear" w:color="auto" w:fill="auto"/>
          </w:tcPr>
          <w:p w14:paraId="6CAE7C41" w14:textId="41D8500D" w:rsidR="00C657FB" w:rsidRPr="00D14E4C" w:rsidRDefault="00274464" w:rsidP="00175FFC">
            <w:pPr>
              <w:pStyle w:val="Table-normal-text"/>
              <w:rPr>
                <w:szCs w:val="20"/>
              </w:rPr>
            </w:pPr>
            <w:r w:rsidRPr="00D14E4C">
              <w:rPr>
                <w:szCs w:val="20"/>
              </w:rPr>
              <w:t>Rural Development</w:t>
            </w:r>
            <w:r w:rsidR="00BB5168" w:rsidRPr="00D14E4C">
              <w:rPr>
                <w:szCs w:val="20"/>
              </w:rPr>
              <w:t xml:space="preserve"> </w:t>
            </w:r>
            <w:r w:rsidR="00BB5168" w:rsidRPr="00D14E4C">
              <w:rPr>
                <w:i/>
                <w:szCs w:val="20"/>
              </w:rPr>
              <w:t>(PHAMA Phase 1 was funded by Food Security Budget Measure)</w:t>
            </w:r>
          </w:p>
        </w:tc>
      </w:tr>
      <w:tr w:rsidR="00C657FB" w:rsidRPr="00D14E4C" w14:paraId="6CAE7C45" w14:textId="77777777" w:rsidTr="00671675">
        <w:trPr>
          <w:cantSplit/>
        </w:trPr>
        <w:tc>
          <w:tcPr>
            <w:tcW w:w="2660" w:type="dxa"/>
            <w:shd w:val="clear" w:color="auto" w:fill="auto"/>
          </w:tcPr>
          <w:p w14:paraId="6CAE7C43" w14:textId="77777777" w:rsidR="00C657FB" w:rsidRPr="00D14E4C" w:rsidRDefault="00390A59" w:rsidP="00175FFC">
            <w:pPr>
              <w:pStyle w:val="Table-normal-text"/>
              <w:rPr>
                <w:szCs w:val="20"/>
              </w:rPr>
            </w:pPr>
            <w:r w:rsidRPr="00D14E4C">
              <w:rPr>
                <w:szCs w:val="20"/>
              </w:rPr>
              <w:t>Initiative</w:t>
            </w:r>
            <w:r w:rsidR="00C657FB" w:rsidRPr="00D14E4C">
              <w:rPr>
                <w:szCs w:val="20"/>
              </w:rPr>
              <w:t xml:space="preserve"> objective</w:t>
            </w:r>
            <w:r w:rsidR="00614E79" w:rsidRPr="00D14E4C">
              <w:rPr>
                <w:szCs w:val="20"/>
              </w:rPr>
              <w:t>/s</w:t>
            </w:r>
          </w:p>
        </w:tc>
        <w:tc>
          <w:tcPr>
            <w:tcW w:w="7513" w:type="dxa"/>
            <w:gridSpan w:val="3"/>
            <w:shd w:val="clear" w:color="auto" w:fill="auto"/>
          </w:tcPr>
          <w:p w14:paraId="353E0929" w14:textId="73349354" w:rsidR="00C657FB" w:rsidRPr="00D14E4C" w:rsidRDefault="00981839" w:rsidP="00175FFC">
            <w:pPr>
              <w:pStyle w:val="Table-normal-text"/>
              <w:rPr>
                <w:szCs w:val="20"/>
              </w:rPr>
            </w:pPr>
            <w:r w:rsidRPr="00D14E4C">
              <w:rPr>
                <w:szCs w:val="20"/>
              </w:rPr>
              <w:t xml:space="preserve">The overall goal is to open greater market opportunities </w:t>
            </w:r>
            <w:r w:rsidR="00551E4E" w:rsidRPr="00D14E4C">
              <w:rPr>
                <w:szCs w:val="20"/>
              </w:rPr>
              <w:t xml:space="preserve">and increase exports of high value primary products </w:t>
            </w:r>
            <w:r w:rsidRPr="00D14E4C">
              <w:rPr>
                <w:szCs w:val="20"/>
              </w:rPr>
              <w:t xml:space="preserve">for primary producers </w:t>
            </w:r>
            <w:r w:rsidR="00551E4E" w:rsidRPr="00D14E4C">
              <w:rPr>
                <w:szCs w:val="20"/>
              </w:rPr>
              <w:t>from Pacific Island Countries and Territories,</w:t>
            </w:r>
            <w:r w:rsidRPr="00D14E4C">
              <w:rPr>
                <w:szCs w:val="20"/>
              </w:rPr>
              <w:t xml:space="preserve"> thereby contributing to increased economic growth and improved rural livelihoods</w:t>
            </w:r>
            <w:r w:rsidR="00551E4E" w:rsidRPr="00D14E4C">
              <w:rPr>
                <w:szCs w:val="20"/>
              </w:rPr>
              <w:t xml:space="preserve"> in these predominantly agricultural-based small country economies</w:t>
            </w:r>
            <w:r w:rsidR="00A232E8" w:rsidRPr="00D14E4C">
              <w:rPr>
                <w:szCs w:val="20"/>
              </w:rPr>
              <w:t xml:space="preserve">. PHAMA has 4 objectives: </w:t>
            </w:r>
          </w:p>
          <w:p w14:paraId="028E5DE2" w14:textId="2FA2D1E7" w:rsidR="00981839" w:rsidRPr="00D14E4C" w:rsidRDefault="00A232E8" w:rsidP="007A0034">
            <w:pPr>
              <w:pStyle w:val="Table-normal-text"/>
              <w:numPr>
                <w:ilvl w:val="0"/>
                <w:numId w:val="8"/>
              </w:numPr>
              <w:rPr>
                <w:szCs w:val="20"/>
              </w:rPr>
            </w:pPr>
            <w:r w:rsidRPr="00D14E4C">
              <w:rPr>
                <w:szCs w:val="20"/>
              </w:rPr>
              <w:t xml:space="preserve">Country led process through </w:t>
            </w:r>
            <w:r w:rsidR="00981839" w:rsidRPr="00D14E4C">
              <w:rPr>
                <w:szCs w:val="20"/>
              </w:rPr>
              <w:t xml:space="preserve">national private public mechanisms </w:t>
            </w:r>
            <w:r w:rsidRPr="00D14E4C">
              <w:rPr>
                <w:szCs w:val="20"/>
              </w:rPr>
              <w:t>for identifying and prioritising</w:t>
            </w:r>
            <w:r w:rsidR="00981839" w:rsidRPr="00D14E4C">
              <w:rPr>
                <w:szCs w:val="20"/>
              </w:rPr>
              <w:t xml:space="preserve"> Market Access submissions.</w:t>
            </w:r>
          </w:p>
          <w:p w14:paraId="16EB48B6" w14:textId="4EB1B009" w:rsidR="00981839" w:rsidRPr="00D14E4C" w:rsidRDefault="00A232E8" w:rsidP="007A0034">
            <w:pPr>
              <w:pStyle w:val="Table-normal-text"/>
              <w:numPr>
                <w:ilvl w:val="0"/>
                <w:numId w:val="8"/>
              </w:numPr>
              <w:rPr>
                <w:szCs w:val="20"/>
              </w:rPr>
            </w:pPr>
            <w:r w:rsidRPr="00D14E4C">
              <w:rPr>
                <w:szCs w:val="20"/>
              </w:rPr>
              <w:t>Strengthened national capacity to i</w:t>
            </w:r>
            <w:r w:rsidR="00981839" w:rsidRPr="00D14E4C">
              <w:rPr>
                <w:szCs w:val="20"/>
              </w:rPr>
              <w:t xml:space="preserve">mplement </w:t>
            </w:r>
            <w:r w:rsidR="007735CF" w:rsidRPr="00D14E4C">
              <w:rPr>
                <w:szCs w:val="20"/>
              </w:rPr>
              <w:t xml:space="preserve">Market Access requirements </w:t>
            </w:r>
            <w:r w:rsidRPr="00D14E4C">
              <w:rPr>
                <w:szCs w:val="20"/>
              </w:rPr>
              <w:t xml:space="preserve">of import countries including quarantine and food safety. </w:t>
            </w:r>
          </w:p>
          <w:p w14:paraId="521B1A8C" w14:textId="77777777" w:rsidR="007735CF" w:rsidRPr="00D14E4C" w:rsidRDefault="007735CF" w:rsidP="007A0034">
            <w:pPr>
              <w:pStyle w:val="Table-normal-text"/>
              <w:numPr>
                <w:ilvl w:val="0"/>
                <w:numId w:val="8"/>
              </w:numPr>
              <w:rPr>
                <w:szCs w:val="20"/>
              </w:rPr>
            </w:pPr>
            <w:r w:rsidRPr="00D14E4C">
              <w:rPr>
                <w:szCs w:val="20"/>
              </w:rPr>
              <w:t>Research and Development including feasibility studies, pest surveys and application of food standards.</w:t>
            </w:r>
          </w:p>
          <w:p w14:paraId="6CAE7C44" w14:textId="426854D1" w:rsidR="007735CF" w:rsidRPr="00D14E4C" w:rsidRDefault="00F9186A" w:rsidP="007A0034">
            <w:pPr>
              <w:pStyle w:val="Table-normal-text"/>
              <w:numPr>
                <w:ilvl w:val="0"/>
                <w:numId w:val="8"/>
              </w:numPr>
              <w:rPr>
                <w:szCs w:val="20"/>
              </w:rPr>
            </w:pPr>
            <w:r w:rsidRPr="00D14E4C">
              <w:rPr>
                <w:szCs w:val="20"/>
              </w:rPr>
              <w:t xml:space="preserve">Stronger SPC capacity through the Biosecurity Trade Services team (BATS) to assist Pacific Countries with market access information and general assistance. </w:t>
            </w:r>
          </w:p>
        </w:tc>
      </w:tr>
    </w:tbl>
    <w:p w14:paraId="6CAE7C46" w14:textId="74D64127" w:rsidR="00C657FB" w:rsidRDefault="00C657FB" w:rsidP="00C657FB">
      <w:pPr>
        <w:pStyle w:val="Heading2"/>
      </w:pPr>
      <w:r>
        <w:t>Evaluation Summary</w:t>
      </w:r>
    </w:p>
    <w:p w14:paraId="048344A9" w14:textId="77777777" w:rsidR="00EE36AA" w:rsidRDefault="00EE36AA" w:rsidP="00201683">
      <w:pPr>
        <w:pStyle w:val="Default"/>
        <w:rPr>
          <w:rFonts w:ascii="Arial" w:hAnsi="Arial" w:cs="Arial"/>
          <w:b/>
          <w:sz w:val="20"/>
          <w:szCs w:val="20"/>
        </w:rPr>
      </w:pPr>
    </w:p>
    <w:p w14:paraId="6057CF47" w14:textId="77777777" w:rsidR="00201683" w:rsidRDefault="00C657FB" w:rsidP="00201683">
      <w:pPr>
        <w:pStyle w:val="Default"/>
        <w:rPr>
          <w:rFonts w:ascii="Arial" w:hAnsi="Arial" w:cs="Arial"/>
          <w:b/>
          <w:sz w:val="20"/>
          <w:szCs w:val="20"/>
        </w:rPr>
      </w:pPr>
      <w:r w:rsidRPr="00201683">
        <w:rPr>
          <w:rFonts w:ascii="Arial" w:hAnsi="Arial" w:cs="Arial"/>
          <w:b/>
          <w:sz w:val="20"/>
          <w:szCs w:val="20"/>
        </w:rPr>
        <w:t xml:space="preserve">Evaluation Objective: </w:t>
      </w:r>
    </w:p>
    <w:p w14:paraId="03EBB4C9" w14:textId="77777777" w:rsidR="00EE36AA" w:rsidRDefault="00EE36AA" w:rsidP="00201683">
      <w:pPr>
        <w:pStyle w:val="Default"/>
        <w:rPr>
          <w:rFonts w:ascii="Arial" w:hAnsi="Arial" w:cs="Arial"/>
          <w:sz w:val="20"/>
          <w:szCs w:val="20"/>
        </w:rPr>
      </w:pPr>
    </w:p>
    <w:p w14:paraId="522CB370" w14:textId="5ED30945" w:rsidR="00A232E8" w:rsidRDefault="00D14E4C" w:rsidP="00201683">
      <w:pPr>
        <w:pStyle w:val="Default"/>
        <w:rPr>
          <w:rFonts w:ascii="Arial" w:hAnsi="Arial" w:cs="Arial"/>
          <w:sz w:val="20"/>
          <w:szCs w:val="20"/>
        </w:rPr>
      </w:pPr>
      <w:r>
        <w:rPr>
          <w:rFonts w:ascii="Arial" w:hAnsi="Arial" w:cs="Arial"/>
          <w:sz w:val="20"/>
          <w:szCs w:val="20"/>
        </w:rPr>
        <w:t>To assess:</w:t>
      </w:r>
    </w:p>
    <w:p w14:paraId="1DB297D6" w14:textId="611785A4" w:rsidR="00201683" w:rsidRDefault="00201683" w:rsidP="007A0034">
      <w:pPr>
        <w:pStyle w:val="Default"/>
        <w:numPr>
          <w:ilvl w:val="0"/>
          <w:numId w:val="12"/>
        </w:numPr>
        <w:rPr>
          <w:rFonts w:ascii="Arial" w:hAnsi="Arial" w:cs="Arial"/>
          <w:sz w:val="20"/>
          <w:szCs w:val="20"/>
        </w:rPr>
      </w:pPr>
      <w:r w:rsidRPr="00201683">
        <w:rPr>
          <w:rFonts w:ascii="Arial" w:hAnsi="Arial" w:cs="Arial"/>
          <w:sz w:val="20"/>
          <w:szCs w:val="20"/>
        </w:rPr>
        <w:t xml:space="preserve">PHAMA achievements to date, </w:t>
      </w:r>
      <w:r w:rsidR="00A232E8">
        <w:rPr>
          <w:rFonts w:ascii="Arial" w:hAnsi="Arial" w:cs="Arial"/>
          <w:sz w:val="20"/>
          <w:szCs w:val="20"/>
        </w:rPr>
        <w:t>including whether the program was</w:t>
      </w:r>
      <w:r w:rsidRPr="00201683">
        <w:rPr>
          <w:rFonts w:ascii="Arial" w:hAnsi="Arial" w:cs="Arial"/>
          <w:sz w:val="20"/>
          <w:szCs w:val="20"/>
        </w:rPr>
        <w:t xml:space="preserve"> delivering results as intended; </w:t>
      </w:r>
    </w:p>
    <w:p w14:paraId="37D0758D" w14:textId="154CC914" w:rsidR="00201683" w:rsidRDefault="00201683" w:rsidP="007A0034">
      <w:pPr>
        <w:pStyle w:val="Default"/>
        <w:numPr>
          <w:ilvl w:val="0"/>
          <w:numId w:val="12"/>
        </w:numPr>
        <w:rPr>
          <w:rFonts w:ascii="Arial" w:hAnsi="Arial" w:cs="Arial"/>
          <w:sz w:val="20"/>
          <w:szCs w:val="20"/>
        </w:rPr>
      </w:pPr>
      <w:r w:rsidRPr="00201683">
        <w:rPr>
          <w:rFonts w:ascii="Arial" w:hAnsi="Arial" w:cs="Arial"/>
          <w:sz w:val="20"/>
          <w:szCs w:val="20"/>
        </w:rPr>
        <w:t xml:space="preserve">whether PHAMA’s present approach and implementation arrangements </w:t>
      </w:r>
      <w:r w:rsidR="00A232E8">
        <w:rPr>
          <w:rFonts w:ascii="Arial" w:hAnsi="Arial" w:cs="Arial"/>
          <w:sz w:val="20"/>
          <w:szCs w:val="20"/>
        </w:rPr>
        <w:t>we</w:t>
      </w:r>
      <w:r w:rsidRPr="00201683">
        <w:rPr>
          <w:rFonts w:ascii="Arial" w:hAnsi="Arial" w:cs="Arial"/>
          <w:sz w:val="20"/>
          <w:szCs w:val="20"/>
        </w:rPr>
        <w:t xml:space="preserve">re sustainable and where possible, draw any lessons that might be useful to inform </w:t>
      </w:r>
      <w:r w:rsidR="00582611">
        <w:rPr>
          <w:rFonts w:ascii="Arial" w:hAnsi="Arial" w:cs="Arial"/>
          <w:sz w:val="20"/>
          <w:szCs w:val="20"/>
        </w:rPr>
        <w:t>DFAT</w:t>
      </w:r>
      <w:r w:rsidRPr="00201683">
        <w:rPr>
          <w:rFonts w:ascii="Arial" w:hAnsi="Arial" w:cs="Arial"/>
          <w:sz w:val="20"/>
          <w:szCs w:val="20"/>
        </w:rPr>
        <w:t xml:space="preserve"> future programming decisions around multi-country/regional programs including within re</w:t>
      </w:r>
      <w:r>
        <w:rPr>
          <w:rFonts w:ascii="Arial" w:hAnsi="Arial" w:cs="Arial"/>
          <w:sz w:val="20"/>
          <w:szCs w:val="20"/>
        </w:rPr>
        <w:t>gional organisations like SPC;</w:t>
      </w:r>
    </w:p>
    <w:p w14:paraId="29E4FEB8" w14:textId="59274511" w:rsidR="00201683" w:rsidRPr="006C597E" w:rsidRDefault="00201683" w:rsidP="007A0034">
      <w:pPr>
        <w:pStyle w:val="Default"/>
        <w:numPr>
          <w:ilvl w:val="0"/>
          <w:numId w:val="12"/>
        </w:numPr>
        <w:rPr>
          <w:rFonts w:ascii="Arial" w:hAnsi="Arial" w:cs="Arial"/>
          <w:sz w:val="20"/>
          <w:szCs w:val="20"/>
        </w:rPr>
      </w:pPr>
      <w:r w:rsidRPr="006C597E">
        <w:rPr>
          <w:rFonts w:ascii="Arial" w:hAnsi="Arial" w:cs="Arial"/>
          <w:sz w:val="20"/>
          <w:szCs w:val="20"/>
        </w:rPr>
        <w:t>Provide suggestions for improvements, if any</w:t>
      </w:r>
      <w:r w:rsidR="00D14E4C">
        <w:rPr>
          <w:rFonts w:ascii="Arial" w:hAnsi="Arial" w:cs="Arial"/>
          <w:sz w:val="20"/>
          <w:szCs w:val="20"/>
        </w:rPr>
        <w:t>,</w:t>
      </w:r>
      <w:r w:rsidRPr="006C597E">
        <w:rPr>
          <w:rFonts w:ascii="Arial" w:hAnsi="Arial" w:cs="Arial"/>
          <w:sz w:val="20"/>
          <w:szCs w:val="20"/>
        </w:rPr>
        <w:t xml:space="preserve"> that would help consolidate PHAMA’s work to date and help strengthe</w:t>
      </w:r>
      <w:r w:rsidR="006C597E">
        <w:rPr>
          <w:rFonts w:ascii="Arial" w:hAnsi="Arial" w:cs="Arial"/>
          <w:sz w:val="20"/>
          <w:szCs w:val="20"/>
        </w:rPr>
        <w:t>n the program in the long term.</w:t>
      </w:r>
    </w:p>
    <w:p w14:paraId="297BF344" w14:textId="77777777" w:rsidR="006C597E" w:rsidRDefault="006C597E" w:rsidP="0049102D">
      <w:pPr>
        <w:pStyle w:val="Default"/>
        <w:rPr>
          <w:rFonts w:ascii="Arial" w:hAnsi="Arial" w:cs="Arial"/>
          <w:sz w:val="20"/>
          <w:szCs w:val="20"/>
        </w:rPr>
      </w:pPr>
    </w:p>
    <w:p w14:paraId="510C9D67" w14:textId="2E6947B6" w:rsidR="00201683" w:rsidRPr="0049102D" w:rsidRDefault="006C597E" w:rsidP="0049102D">
      <w:pPr>
        <w:pStyle w:val="Default"/>
        <w:rPr>
          <w:rFonts w:ascii="Arial" w:hAnsi="Arial" w:cs="Arial"/>
          <w:sz w:val="20"/>
          <w:szCs w:val="20"/>
        </w:rPr>
      </w:pPr>
      <w:r>
        <w:rPr>
          <w:rFonts w:ascii="Arial" w:hAnsi="Arial" w:cs="Arial"/>
          <w:sz w:val="20"/>
          <w:szCs w:val="20"/>
        </w:rPr>
        <w:t xml:space="preserve">The </w:t>
      </w:r>
      <w:r w:rsidR="00FB48FF">
        <w:rPr>
          <w:rFonts w:ascii="Arial" w:hAnsi="Arial" w:cs="Arial"/>
          <w:sz w:val="20"/>
          <w:szCs w:val="20"/>
        </w:rPr>
        <w:t>Evaluation</w:t>
      </w:r>
      <w:r>
        <w:rPr>
          <w:rFonts w:ascii="Arial" w:hAnsi="Arial" w:cs="Arial"/>
          <w:sz w:val="20"/>
          <w:szCs w:val="20"/>
        </w:rPr>
        <w:t xml:space="preserve"> was </w:t>
      </w:r>
      <w:r w:rsidR="00201683" w:rsidRPr="0049102D">
        <w:rPr>
          <w:rFonts w:ascii="Arial" w:hAnsi="Arial" w:cs="Arial"/>
          <w:sz w:val="20"/>
          <w:szCs w:val="20"/>
        </w:rPr>
        <w:t xml:space="preserve">to </w:t>
      </w:r>
      <w:r>
        <w:rPr>
          <w:rFonts w:ascii="Arial" w:hAnsi="Arial" w:cs="Arial"/>
          <w:sz w:val="20"/>
          <w:szCs w:val="20"/>
        </w:rPr>
        <w:t xml:space="preserve">also </w:t>
      </w:r>
      <w:r w:rsidR="00201683" w:rsidRPr="0049102D">
        <w:rPr>
          <w:rFonts w:ascii="Arial" w:hAnsi="Arial" w:cs="Arial"/>
          <w:sz w:val="20"/>
          <w:szCs w:val="20"/>
        </w:rPr>
        <w:t xml:space="preserve">provide: </w:t>
      </w:r>
    </w:p>
    <w:p w14:paraId="6BFF59F9" w14:textId="78EA2EB3" w:rsidR="00201683" w:rsidRPr="00201683" w:rsidRDefault="00201683" w:rsidP="007A0034">
      <w:pPr>
        <w:pStyle w:val="Default"/>
        <w:numPr>
          <w:ilvl w:val="0"/>
          <w:numId w:val="12"/>
        </w:numPr>
        <w:rPr>
          <w:rFonts w:ascii="Arial" w:hAnsi="Arial" w:cs="Arial"/>
          <w:sz w:val="20"/>
          <w:szCs w:val="20"/>
        </w:rPr>
      </w:pPr>
      <w:r w:rsidRPr="00201683">
        <w:rPr>
          <w:rFonts w:ascii="Arial" w:hAnsi="Arial" w:cs="Arial"/>
          <w:sz w:val="20"/>
          <w:szCs w:val="20"/>
        </w:rPr>
        <w:t xml:space="preserve">A preliminary assessment of the M&amp;E system </w:t>
      </w:r>
      <w:r w:rsidR="006C597E">
        <w:rPr>
          <w:rFonts w:ascii="Arial" w:hAnsi="Arial" w:cs="Arial"/>
          <w:sz w:val="20"/>
          <w:szCs w:val="20"/>
        </w:rPr>
        <w:t xml:space="preserve">and its </w:t>
      </w:r>
      <w:r w:rsidRPr="00201683">
        <w:rPr>
          <w:rFonts w:ascii="Arial" w:hAnsi="Arial" w:cs="Arial"/>
          <w:sz w:val="20"/>
          <w:szCs w:val="20"/>
        </w:rPr>
        <w:t xml:space="preserve">change logic </w:t>
      </w:r>
    </w:p>
    <w:p w14:paraId="3E2B9254" w14:textId="1423A4EE" w:rsidR="00201683" w:rsidRPr="00201683" w:rsidRDefault="00201683" w:rsidP="007A0034">
      <w:pPr>
        <w:pStyle w:val="Default"/>
        <w:numPr>
          <w:ilvl w:val="0"/>
          <w:numId w:val="12"/>
        </w:numPr>
        <w:rPr>
          <w:rFonts w:ascii="Arial" w:hAnsi="Arial" w:cs="Arial"/>
          <w:sz w:val="20"/>
          <w:szCs w:val="20"/>
        </w:rPr>
      </w:pPr>
      <w:r w:rsidRPr="00201683">
        <w:rPr>
          <w:rFonts w:ascii="Arial" w:hAnsi="Arial" w:cs="Arial"/>
          <w:sz w:val="20"/>
          <w:szCs w:val="20"/>
        </w:rPr>
        <w:t xml:space="preserve">Suggestions, if any as to how PHAMA might increase gender participation in the long term; </w:t>
      </w:r>
    </w:p>
    <w:p w14:paraId="6D3BBCED" w14:textId="44601C46" w:rsidR="00201683" w:rsidRDefault="00201683" w:rsidP="007A0034">
      <w:pPr>
        <w:pStyle w:val="Default"/>
        <w:numPr>
          <w:ilvl w:val="0"/>
          <w:numId w:val="12"/>
        </w:numPr>
        <w:rPr>
          <w:rFonts w:ascii="Arial" w:hAnsi="Arial" w:cs="Arial"/>
          <w:sz w:val="20"/>
          <w:szCs w:val="20"/>
        </w:rPr>
      </w:pPr>
      <w:r w:rsidRPr="00201683">
        <w:rPr>
          <w:rFonts w:ascii="Arial" w:hAnsi="Arial" w:cs="Arial"/>
          <w:sz w:val="20"/>
          <w:szCs w:val="20"/>
        </w:rPr>
        <w:t xml:space="preserve">Suggestions, if any as to how NZ Ministry for Primary Industries (MPI) and </w:t>
      </w:r>
      <w:r w:rsidR="00C242F1">
        <w:rPr>
          <w:rFonts w:ascii="Arial" w:hAnsi="Arial" w:cs="Arial"/>
          <w:sz w:val="20"/>
          <w:szCs w:val="20"/>
        </w:rPr>
        <w:t>NZ Ministry for Foreign Affairs and Trade (</w:t>
      </w:r>
      <w:r w:rsidRPr="00201683">
        <w:rPr>
          <w:rFonts w:ascii="Arial" w:hAnsi="Arial" w:cs="Arial"/>
          <w:sz w:val="20"/>
          <w:szCs w:val="20"/>
        </w:rPr>
        <w:t>MFAT</w:t>
      </w:r>
      <w:r w:rsidR="00C242F1">
        <w:rPr>
          <w:rFonts w:ascii="Arial" w:hAnsi="Arial" w:cs="Arial"/>
          <w:sz w:val="20"/>
          <w:szCs w:val="20"/>
        </w:rPr>
        <w:t>)</w:t>
      </w:r>
      <w:r w:rsidRPr="00201683">
        <w:rPr>
          <w:rFonts w:ascii="Arial" w:hAnsi="Arial" w:cs="Arial"/>
          <w:sz w:val="20"/>
          <w:szCs w:val="20"/>
        </w:rPr>
        <w:t xml:space="preserve"> existing support for Pacific biosecurity and food safety might strengthen and/or complement PHAMA</w:t>
      </w:r>
      <w:r>
        <w:rPr>
          <w:rFonts w:ascii="Arial" w:hAnsi="Arial" w:cs="Arial"/>
          <w:sz w:val="20"/>
          <w:szCs w:val="20"/>
        </w:rPr>
        <w:t>.</w:t>
      </w:r>
    </w:p>
    <w:p w14:paraId="24198905" w14:textId="77777777" w:rsidR="00201683" w:rsidRPr="00201683" w:rsidRDefault="00201683" w:rsidP="00201683">
      <w:pPr>
        <w:pStyle w:val="Default"/>
        <w:ind w:left="720"/>
        <w:rPr>
          <w:rFonts w:ascii="Arial" w:hAnsi="Arial" w:cs="Arial"/>
          <w:sz w:val="20"/>
          <w:szCs w:val="20"/>
        </w:rPr>
      </w:pPr>
    </w:p>
    <w:p w14:paraId="6CAE7C49" w14:textId="56C21EC8" w:rsidR="00C657FB" w:rsidRDefault="00C657FB" w:rsidP="00201683">
      <w:r w:rsidRPr="00123C3E">
        <w:rPr>
          <w:b/>
        </w:rPr>
        <w:t>Evaluation Completion Date:</w:t>
      </w:r>
      <w:r>
        <w:rPr>
          <w:b/>
        </w:rPr>
        <w:t xml:space="preserve"> </w:t>
      </w:r>
      <w:r w:rsidR="00BB5168">
        <w:t>3</w:t>
      </w:r>
      <w:r w:rsidR="00EE36AA">
        <w:t>1 May 2013</w:t>
      </w:r>
    </w:p>
    <w:p w14:paraId="09D51732" w14:textId="17F0CB1D" w:rsidR="00143427" w:rsidRDefault="00C657FB" w:rsidP="00143427">
      <w:r w:rsidRPr="00123C3E">
        <w:rPr>
          <w:b/>
        </w:rPr>
        <w:t>Evaluation Team:</w:t>
      </w:r>
      <w:r>
        <w:rPr>
          <w:b/>
        </w:rPr>
        <w:t xml:space="preserve"> </w:t>
      </w:r>
      <w:r w:rsidR="00143427">
        <w:t xml:space="preserve">Annalize Struwig </w:t>
      </w:r>
      <w:r w:rsidR="00551E4E">
        <w:t>(Team L</w:t>
      </w:r>
      <w:r w:rsidR="006C597E">
        <w:t xml:space="preserve">eader and Principal Consultant), </w:t>
      </w:r>
      <w:r w:rsidR="00143427">
        <w:t>Peter Wood</w:t>
      </w:r>
      <w:r w:rsidR="00551E4E">
        <w:t xml:space="preserve"> (Independent Consultant) both of</w:t>
      </w:r>
      <w:r w:rsidR="00143427">
        <w:t xml:space="preserve"> International Organisation Development Ltd t/a IOD PARC</w:t>
      </w:r>
      <w:r w:rsidR="00551E4E">
        <w:t>,</w:t>
      </w:r>
      <w:r w:rsidR="00143427">
        <w:t xml:space="preserve"> and Vili Caniogo</w:t>
      </w:r>
      <w:r w:rsidR="007E1B30">
        <w:t xml:space="preserve"> (</w:t>
      </w:r>
      <w:r w:rsidR="00582611">
        <w:t>DFAT</w:t>
      </w:r>
      <w:r w:rsidR="007E1B30">
        <w:t xml:space="preserve"> </w:t>
      </w:r>
      <w:r w:rsidR="00FB48FF">
        <w:t xml:space="preserve">PHAMA </w:t>
      </w:r>
      <w:r w:rsidR="007E1B30">
        <w:t>Evaluation Manager).</w:t>
      </w:r>
    </w:p>
    <w:p w14:paraId="6CAE7C4D" w14:textId="2EE87FF4" w:rsidR="005E3939" w:rsidRPr="008B3156" w:rsidRDefault="00582611" w:rsidP="000D316D">
      <w:pPr>
        <w:rPr>
          <w:b/>
          <w:sz w:val="22"/>
          <w:szCs w:val="22"/>
          <w:lang w:eastAsia="en-AU"/>
        </w:rPr>
      </w:pPr>
      <w:r>
        <w:rPr>
          <w:b/>
          <w:sz w:val="22"/>
          <w:szCs w:val="22"/>
          <w:lang w:eastAsia="en-AU"/>
        </w:rPr>
        <w:t>DFAT</w:t>
      </w:r>
      <w:r w:rsidR="00367DA3" w:rsidRPr="008B3156">
        <w:rPr>
          <w:b/>
          <w:sz w:val="22"/>
          <w:szCs w:val="22"/>
          <w:lang w:eastAsia="en-AU"/>
        </w:rPr>
        <w:t>’s response to the evaluation report</w:t>
      </w:r>
    </w:p>
    <w:p w14:paraId="4FD779EE" w14:textId="5DDC2B81" w:rsidR="007B755F" w:rsidRDefault="00D52E97" w:rsidP="00BE3D47">
      <w:pPr>
        <w:jc w:val="both"/>
        <w:rPr>
          <w:rFonts w:cs="Arial"/>
        </w:rPr>
      </w:pPr>
      <w:r>
        <w:rPr>
          <w:rFonts w:cs="Arial"/>
        </w:rPr>
        <w:t xml:space="preserve">The </w:t>
      </w:r>
      <w:r w:rsidR="001A2A72">
        <w:rPr>
          <w:rFonts w:cs="Arial"/>
        </w:rPr>
        <w:t>Evaluation found that PHAMA was relevant to delivering the strategic goals of the Australian aid program</w:t>
      </w:r>
      <w:r w:rsidR="008969B5">
        <w:rPr>
          <w:rFonts w:cs="Arial"/>
        </w:rPr>
        <w:t>, partner governments and other development partners that worked in the agricultural space</w:t>
      </w:r>
      <w:r w:rsidR="00F9186A">
        <w:rPr>
          <w:rFonts w:cs="Arial"/>
        </w:rPr>
        <w:t>.</w:t>
      </w:r>
      <w:r w:rsidR="001A2A72">
        <w:rPr>
          <w:rFonts w:cs="Arial"/>
        </w:rPr>
        <w:t xml:space="preserve"> It also found the program effective in that it was able to achieve a number of successes for market acc</w:t>
      </w:r>
      <w:r w:rsidR="008969B5">
        <w:rPr>
          <w:rFonts w:cs="Arial"/>
        </w:rPr>
        <w:t xml:space="preserve">ess in a relatively short time. </w:t>
      </w:r>
      <w:r w:rsidR="001A2A72">
        <w:rPr>
          <w:rFonts w:cs="Arial"/>
        </w:rPr>
        <w:t xml:space="preserve"> Integral to the program’s success was the successful establishment of national Market Access Working Groups (MAWG</w:t>
      </w:r>
      <w:r w:rsidR="008969B5">
        <w:rPr>
          <w:rFonts w:cs="Arial"/>
        </w:rPr>
        <w:t>s</w:t>
      </w:r>
      <w:r w:rsidR="001A2A72">
        <w:rPr>
          <w:rFonts w:cs="Arial"/>
        </w:rPr>
        <w:t>) in Samoa, Tonga, Vanuatu, Solomon Islands and Fiji. MAWGs were effective in forging partnerships between the private and public sectors and were providing a clear, structured pathway for addressing market access issues collaboratively</w:t>
      </w:r>
      <w:r w:rsidR="008969B5">
        <w:rPr>
          <w:rFonts w:cs="Arial"/>
        </w:rPr>
        <w:t xml:space="preserve"> at the national level. The </w:t>
      </w:r>
      <w:r w:rsidR="007B755F">
        <w:rPr>
          <w:rFonts w:cs="Arial"/>
        </w:rPr>
        <w:t xml:space="preserve">Evaluation also referred to </w:t>
      </w:r>
      <w:r w:rsidR="008969B5">
        <w:rPr>
          <w:rFonts w:cs="Arial"/>
        </w:rPr>
        <w:t xml:space="preserve">a number of areas that could be strengthened including a stronger monitoring and evaluation framework for the program, </w:t>
      </w:r>
      <w:r w:rsidR="007B755F">
        <w:rPr>
          <w:rFonts w:cs="Arial"/>
        </w:rPr>
        <w:t xml:space="preserve">a clearer strategy for </w:t>
      </w:r>
      <w:r w:rsidR="00284E61">
        <w:rPr>
          <w:rFonts w:cs="Arial"/>
        </w:rPr>
        <w:t xml:space="preserve">capacity </w:t>
      </w:r>
      <w:r w:rsidR="007B755F">
        <w:rPr>
          <w:rFonts w:cs="Arial"/>
        </w:rPr>
        <w:t xml:space="preserve">development for MAWGs and </w:t>
      </w:r>
      <w:r w:rsidR="00284E61">
        <w:rPr>
          <w:rFonts w:cs="Arial"/>
        </w:rPr>
        <w:t>SPC</w:t>
      </w:r>
      <w:r w:rsidR="007B755F">
        <w:rPr>
          <w:rFonts w:cs="Arial"/>
        </w:rPr>
        <w:t>-LRD</w:t>
      </w:r>
      <w:r w:rsidR="00284E61">
        <w:rPr>
          <w:rFonts w:cs="Arial"/>
        </w:rPr>
        <w:t xml:space="preserve"> and </w:t>
      </w:r>
      <w:r w:rsidR="008969B5">
        <w:rPr>
          <w:rFonts w:cs="Arial"/>
        </w:rPr>
        <w:t xml:space="preserve">sustainability. </w:t>
      </w:r>
      <w:r w:rsidR="007B755F">
        <w:rPr>
          <w:rFonts w:cs="Arial"/>
        </w:rPr>
        <w:t xml:space="preserve">The Evaluation recommended that PHAMA be continued to a second phase. </w:t>
      </w:r>
    </w:p>
    <w:p w14:paraId="19AA0207" w14:textId="186D8D62" w:rsidR="008969B5" w:rsidRDefault="008969B5" w:rsidP="00BE3D47">
      <w:pPr>
        <w:jc w:val="both"/>
        <w:rPr>
          <w:rFonts w:cs="Arial"/>
        </w:rPr>
      </w:pPr>
      <w:r>
        <w:rPr>
          <w:rFonts w:cs="Arial"/>
        </w:rPr>
        <w:t>A summary of the key findings are as follows:</w:t>
      </w:r>
    </w:p>
    <w:p w14:paraId="5719E81C" w14:textId="46127FD7" w:rsidR="008969B5" w:rsidRPr="008969B5" w:rsidRDefault="008969B5" w:rsidP="007A0034">
      <w:pPr>
        <w:pStyle w:val="ListParagraph"/>
        <w:numPr>
          <w:ilvl w:val="0"/>
          <w:numId w:val="13"/>
        </w:numPr>
        <w:jc w:val="both"/>
        <w:rPr>
          <w:rFonts w:cs="Arial"/>
        </w:rPr>
      </w:pPr>
      <w:r w:rsidRPr="008969B5">
        <w:rPr>
          <w:rFonts w:cs="Arial"/>
        </w:rPr>
        <w:t xml:space="preserve">The PHAMA program was relevant for a range of stakeholders, including </w:t>
      </w:r>
      <w:r w:rsidR="00302097">
        <w:rPr>
          <w:rFonts w:cs="Arial"/>
        </w:rPr>
        <w:t>DFAT</w:t>
      </w:r>
      <w:r w:rsidRPr="008969B5">
        <w:rPr>
          <w:rFonts w:cs="Arial"/>
        </w:rPr>
        <w:t>, SPC (Land Resources Division - LRD),</w:t>
      </w:r>
      <w:r w:rsidR="00302097">
        <w:rPr>
          <w:rFonts w:cs="Arial"/>
        </w:rPr>
        <w:t xml:space="preserve"> PICTs, as well as other donors</w:t>
      </w:r>
      <w:r w:rsidRPr="008969B5">
        <w:rPr>
          <w:rFonts w:cs="Arial"/>
        </w:rPr>
        <w:t xml:space="preserve"> including </w:t>
      </w:r>
      <w:r w:rsidR="00302097">
        <w:rPr>
          <w:rFonts w:cs="Arial"/>
        </w:rPr>
        <w:t xml:space="preserve">the EU and New Zealand. </w:t>
      </w:r>
      <w:r w:rsidRPr="008969B5">
        <w:rPr>
          <w:rFonts w:cs="Arial"/>
        </w:rPr>
        <w:t xml:space="preserve">Its relevance was in its contribution towards delivering the strategic commitments and priorities of stakeholders in the region, as well as its contribution to supporting, complementing and amplifying the success and impact of other programs such as the MDF, IACT, the EU’s Economic Governance Program and the Enhanced Integrated Framework. PHAMA </w:t>
      </w:r>
      <w:r w:rsidR="00302097">
        <w:rPr>
          <w:rFonts w:cs="Arial"/>
        </w:rPr>
        <w:t>also provided</w:t>
      </w:r>
      <w:r w:rsidRPr="008969B5">
        <w:rPr>
          <w:rFonts w:cs="Arial"/>
        </w:rPr>
        <w:t xml:space="preserve"> focus a</w:t>
      </w:r>
      <w:r w:rsidR="00302097">
        <w:rPr>
          <w:rFonts w:cs="Arial"/>
        </w:rPr>
        <w:t>nd direction to other programs, f</w:t>
      </w:r>
      <w:r w:rsidRPr="008969B5">
        <w:rPr>
          <w:rFonts w:cs="Arial"/>
        </w:rPr>
        <w:t xml:space="preserve">or example, market feasibility assessments </w:t>
      </w:r>
      <w:r w:rsidR="00302097">
        <w:rPr>
          <w:rFonts w:cs="Arial"/>
        </w:rPr>
        <w:t xml:space="preserve">which were providing </w:t>
      </w:r>
      <w:r w:rsidRPr="008969B5">
        <w:rPr>
          <w:rFonts w:cs="Arial"/>
        </w:rPr>
        <w:t>clear and valuable direction to PARDI in terms of directing its research priorities around supply chain development.</w:t>
      </w:r>
    </w:p>
    <w:p w14:paraId="2EEC562B" w14:textId="77777777" w:rsidR="008969B5" w:rsidRDefault="008969B5" w:rsidP="008969B5">
      <w:pPr>
        <w:pStyle w:val="ListParagraph"/>
        <w:jc w:val="both"/>
        <w:rPr>
          <w:rFonts w:cs="Arial"/>
        </w:rPr>
      </w:pPr>
    </w:p>
    <w:p w14:paraId="0D54D0F6" w14:textId="77777777" w:rsidR="00302097" w:rsidRDefault="008969B5" w:rsidP="007A0034">
      <w:pPr>
        <w:pStyle w:val="ListParagraph"/>
        <w:numPr>
          <w:ilvl w:val="0"/>
          <w:numId w:val="13"/>
        </w:numPr>
        <w:jc w:val="both"/>
        <w:rPr>
          <w:rFonts w:cs="Arial"/>
        </w:rPr>
      </w:pPr>
      <w:r w:rsidRPr="008969B5">
        <w:rPr>
          <w:rFonts w:cs="Arial"/>
        </w:rPr>
        <w:t xml:space="preserve">The PHAMA program </w:t>
      </w:r>
      <w:r w:rsidR="00302097">
        <w:rPr>
          <w:rFonts w:cs="Arial"/>
        </w:rPr>
        <w:t xml:space="preserve">was </w:t>
      </w:r>
      <w:r w:rsidRPr="008969B5">
        <w:rPr>
          <w:rFonts w:cs="Arial"/>
        </w:rPr>
        <w:t>effective in implementing a sustained focus on regulatory aspects of biosecurity, quarantine and R&amp;D related MA for high- value fresh and processed primary products</w:t>
      </w:r>
      <w:r w:rsidR="00302097">
        <w:rPr>
          <w:rFonts w:cs="Arial"/>
        </w:rPr>
        <w:t xml:space="preserve">. PHAMA used a </w:t>
      </w:r>
      <w:r w:rsidRPr="008969B5">
        <w:rPr>
          <w:rFonts w:cs="Arial"/>
        </w:rPr>
        <w:t>decentralise</w:t>
      </w:r>
      <w:r w:rsidR="00302097">
        <w:rPr>
          <w:rFonts w:cs="Arial"/>
        </w:rPr>
        <w:t>d, evidence-based and industry-</w:t>
      </w:r>
      <w:r w:rsidRPr="008969B5">
        <w:rPr>
          <w:rFonts w:cs="Arial"/>
        </w:rPr>
        <w:t xml:space="preserve">driven approach to identifying MA priorities </w:t>
      </w:r>
      <w:r w:rsidR="00302097">
        <w:rPr>
          <w:rFonts w:cs="Arial"/>
        </w:rPr>
        <w:t xml:space="preserve">was </w:t>
      </w:r>
      <w:r w:rsidRPr="008969B5">
        <w:rPr>
          <w:rFonts w:cs="Arial"/>
        </w:rPr>
        <w:t xml:space="preserve">key to its effectiveness. </w:t>
      </w:r>
    </w:p>
    <w:p w14:paraId="1E6D9C5B" w14:textId="77777777" w:rsidR="00302097" w:rsidRPr="00302097" w:rsidRDefault="00302097" w:rsidP="00302097">
      <w:pPr>
        <w:pStyle w:val="ListParagraph"/>
        <w:rPr>
          <w:rFonts w:cs="Arial"/>
        </w:rPr>
      </w:pPr>
    </w:p>
    <w:p w14:paraId="00900BE8" w14:textId="3FC31A0A" w:rsidR="007A0034" w:rsidRDefault="008969B5" w:rsidP="007A0034">
      <w:pPr>
        <w:pStyle w:val="ListParagraph"/>
        <w:numPr>
          <w:ilvl w:val="0"/>
          <w:numId w:val="13"/>
        </w:numPr>
        <w:jc w:val="both"/>
        <w:rPr>
          <w:rFonts w:cs="Arial"/>
        </w:rPr>
      </w:pPr>
      <w:r w:rsidRPr="008969B5">
        <w:rPr>
          <w:rFonts w:cs="Arial"/>
        </w:rPr>
        <w:t xml:space="preserve">Significant results </w:t>
      </w:r>
      <w:r w:rsidR="00302097">
        <w:rPr>
          <w:rFonts w:cs="Arial"/>
        </w:rPr>
        <w:t xml:space="preserve">were </w:t>
      </w:r>
      <w:r w:rsidRPr="008969B5">
        <w:rPr>
          <w:rFonts w:cs="Arial"/>
        </w:rPr>
        <w:t xml:space="preserve">achieved during a relatively short implementation period. </w:t>
      </w:r>
      <w:r w:rsidR="00284E61">
        <w:rPr>
          <w:rFonts w:cs="Arial"/>
        </w:rPr>
        <w:t>These included:</w:t>
      </w:r>
    </w:p>
    <w:p w14:paraId="729F94EB" w14:textId="77777777" w:rsidR="00284E61" w:rsidRPr="00284E61" w:rsidRDefault="00284E61" w:rsidP="00284E61">
      <w:pPr>
        <w:pStyle w:val="ListParagraph"/>
        <w:numPr>
          <w:ilvl w:val="0"/>
          <w:numId w:val="13"/>
        </w:numPr>
        <w:spacing w:before="0" w:after="200" w:line="276" w:lineRule="auto"/>
        <w:ind w:left="1418" w:hanging="284"/>
        <w:rPr>
          <w:szCs w:val="20"/>
        </w:rPr>
      </w:pPr>
      <w:r w:rsidRPr="00284E61">
        <w:rPr>
          <w:szCs w:val="20"/>
        </w:rPr>
        <w:t xml:space="preserve">reopening of suspended papaya export pathway to Australia and New Zealand; </w:t>
      </w:r>
    </w:p>
    <w:p w14:paraId="6F20E338" w14:textId="3DAA0474" w:rsidR="00284E61" w:rsidRPr="00284E61" w:rsidRDefault="00FB48FF" w:rsidP="00284E61">
      <w:pPr>
        <w:pStyle w:val="ListParagraph"/>
        <w:numPr>
          <w:ilvl w:val="0"/>
          <w:numId w:val="13"/>
        </w:numPr>
        <w:spacing w:before="0" w:after="200" w:line="276" w:lineRule="auto"/>
        <w:ind w:left="1418" w:hanging="284"/>
        <w:rPr>
          <w:szCs w:val="20"/>
        </w:rPr>
      </w:pPr>
      <w:r>
        <w:rPr>
          <w:szCs w:val="20"/>
        </w:rPr>
        <w:t xml:space="preserve">expansion of </w:t>
      </w:r>
      <w:r w:rsidR="00284E61" w:rsidRPr="00284E61">
        <w:rPr>
          <w:szCs w:val="20"/>
        </w:rPr>
        <w:t xml:space="preserve"> Tongan watermelon exports to New Zealand</w:t>
      </w:r>
      <w:r>
        <w:rPr>
          <w:szCs w:val="20"/>
        </w:rPr>
        <w:t xml:space="preserve"> by over 300 percent</w:t>
      </w:r>
      <w:r w:rsidR="00284E61" w:rsidRPr="00284E61">
        <w:rPr>
          <w:szCs w:val="20"/>
        </w:rPr>
        <w:t xml:space="preserve">; </w:t>
      </w:r>
    </w:p>
    <w:p w14:paraId="5BB9D241" w14:textId="77777777" w:rsidR="00284E61" w:rsidRPr="00284E61" w:rsidRDefault="00284E61" w:rsidP="00284E61">
      <w:pPr>
        <w:pStyle w:val="ListParagraph"/>
        <w:numPr>
          <w:ilvl w:val="0"/>
          <w:numId w:val="13"/>
        </w:numPr>
        <w:spacing w:before="0" w:after="200" w:line="276" w:lineRule="auto"/>
        <w:ind w:left="1418" w:hanging="284"/>
        <w:rPr>
          <w:szCs w:val="20"/>
        </w:rPr>
      </w:pPr>
      <w:r w:rsidRPr="00284E61">
        <w:rPr>
          <w:szCs w:val="20"/>
        </w:rPr>
        <w:t>Approval to export fresh Fiji ginger to Australia;</w:t>
      </w:r>
    </w:p>
    <w:p w14:paraId="02C3EBA6" w14:textId="77777777" w:rsidR="00284E61" w:rsidRPr="00284E61" w:rsidRDefault="00284E61" w:rsidP="00284E61">
      <w:pPr>
        <w:pStyle w:val="ListParagraph"/>
        <w:numPr>
          <w:ilvl w:val="0"/>
          <w:numId w:val="13"/>
        </w:numPr>
        <w:spacing w:before="0" w:after="200" w:line="276" w:lineRule="auto"/>
        <w:ind w:left="1418" w:hanging="284"/>
        <w:rPr>
          <w:szCs w:val="20"/>
        </w:rPr>
      </w:pPr>
      <w:r w:rsidRPr="00284E61">
        <w:rPr>
          <w:szCs w:val="20"/>
        </w:rPr>
        <w:t>Samoan Taro exported to New Zealand following suspension due to taro leaf blight;</w:t>
      </w:r>
    </w:p>
    <w:p w14:paraId="3133DF3A" w14:textId="77777777" w:rsidR="00284E61" w:rsidRPr="00284E61" w:rsidRDefault="00284E61" w:rsidP="00284E61">
      <w:pPr>
        <w:pStyle w:val="ListParagraph"/>
        <w:numPr>
          <w:ilvl w:val="0"/>
          <w:numId w:val="13"/>
        </w:numPr>
        <w:spacing w:before="0" w:after="200" w:line="276" w:lineRule="auto"/>
        <w:ind w:left="1418" w:hanging="284"/>
        <w:rPr>
          <w:szCs w:val="20"/>
        </w:rPr>
      </w:pPr>
      <w:r w:rsidRPr="00284E61">
        <w:rPr>
          <w:szCs w:val="20"/>
        </w:rPr>
        <w:t>Re-opening Tonga-Fiji trade on squash and watermelon;</w:t>
      </w:r>
    </w:p>
    <w:p w14:paraId="2E077616" w14:textId="783DF304" w:rsidR="00284E61" w:rsidRPr="00284E61" w:rsidRDefault="00284E61" w:rsidP="00284E61">
      <w:pPr>
        <w:pStyle w:val="ListParagraph"/>
        <w:numPr>
          <w:ilvl w:val="0"/>
          <w:numId w:val="13"/>
        </w:numPr>
        <w:spacing w:before="0" w:after="200" w:line="276" w:lineRule="auto"/>
        <w:ind w:left="1418" w:hanging="284"/>
        <w:rPr>
          <w:szCs w:val="20"/>
        </w:rPr>
      </w:pPr>
      <w:r w:rsidRPr="00284E61">
        <w:rPr>
          <w:szCs w:val="20"/>
        </w:rPr>
        <w:t>Trial shi</w:t>
      </w:r>
      <w:r w:rsidR="00FB48FF">
        <w:rPr>
          <w:szCs w:val="20"/>
        </w:rPr>
        <w:t xml:space="preserve">pment of </w:t>
      </w:r>
      <w:r w:rsidRPr="00284E61">
        <w:rPr>
          <w:szCs w:val="20"/>
        </w:rPr>
        <w:t xml:space="preserve">dried </w:t>
      </w:r>
      <w:r w:rsidR="00086196">
        <w:rPr>
          <w:szCs w:val="20"/>
        </w:rPr>
        <w:t xml:space="preserve">bananas </w:t>
      </w:r>
      <w:r w:rsidR="00FB48FF">
        <w:rPr>
          <w:szCs w:val="20"/>
        </w:rPr>
        <w:t xml:space="preserve">from </w:t>
      </w:r>
      <w:r w:rsidR="00086196">
        <w:rPr>
          <w:szCs w:val="20"/>
        </w:rPr>
        <w:t>Samoa to NZ;</w:t>
      </w:r>
      <w:r w:rsidRPr="00284E61">
        <w:rPr>
          <w:szCs w:val="20"/>
        </w:rPr>
        <w:t xml:space="preserve"> </w:t>
      </w:r>
    </w:p>
    <w:p w14:paraId="6F49F571" w14:textId="77777777" w:rsidR="00284E61" w:rsidRPr="00284E61" w:rsidRDefault="00284E61" w:rsidP="00284E61">
      <w:pPr>
        <w:pStyle w:val="ListParagraph"/>
        <w:numPr>
          <w:ilvl w:val="0"/>
          <w:numId w:val="13"/>
        </w:numPr>
        <w:spacing w:before="0" w:after="200" w:line="276" w:lineRule="auto"/>
        <w:ind w:left="1418" w:hanging="284"/>
        <w:rPr>
          <w:szCs w:val="20"/>
        </w:rPr>
      </w:pPr>
      <w:r w:rsidRPr="00284E61">
        <w:rPr>
          <w:szCs w:val="20"/>
        </w:rPr>
        <w:t xml:space="preserve">Heads of Quarantine meeting resulted in agreement on progressing harmonisation of several issues of regional concern, including implementation of a Sea Container Hygiene Scheme </w:t>
      </w:r>
      <w:r w:rsidRPr="00284E61">
        <w:rPr>
          <w:szCs w:val="20"/>
        </w:rPr>
        <w:lastRenderedPageBreak/>
        <w:t>and streamlining of import conditions of commonly traded products such as handicrafts and kava;</w:t>
      </w:r>
    </w:p>
    <w:p w14:paraId="0359ECE3" w14:textId="77777777" w:rsidR="00284E61" w:rsidRPr="00284E61" w:rsidRDefault="00284E61" w:rsidP="00284E61">
      <w:pPr>
        <w:pStyle w:val="ListParagraph"/>
        <w:numPr>
          <w:ilvl w:val="0"/>
          <w:numId w:val="13"/>
        </w:numPr>
        <w:spacing w:before="0" w:after="200" w:line="276" w:lineRule="auto"/>
        <w:ind w:left="1418" w:hanging="284"/>
        <w:rPr>
          <w:szCs w:val="20"/>
        </w:rPr>
      </w:pPr>
      <w:r w:rsidRPr="00284E61">
        <w:rPr>
          <w:szCs w:val="20"/>
        </w:rPr>
        <w:t>Enhanced bilateral quarantine agreement between partner countries;</w:t>
      </w:r>
    </w:p>
    <w:p w14:paraId="04576F88" w14:textId="77777777" w:rsidR="00284E61" w:rsidRDefault="00284E61" w:rsidP="00284E61">
      <w:pPr>
        <w:pStyle w:val="ListParagraph"/>
        <w:jc w:val="both"/>
        <w:rPr>
          <w:rFonts w:cs="Arial"/>
        </w:rPr>
      </w:pPr>
    </w:p>
    <w:p w14:paraId="3D424B58" w14:textId="31D2B164" w:rsidR="00284E61" w:rsidRDefault="00EE36AA" w:rsidP="007A0034">
      <w:pPr>
        <w:pStyle w:val="ListParagraph"/>
        <w:numPr>
          <w:ilvl w:val="0"/>
          <w:numId w:val="13"/>
        </w:numPr>
        <w:jc w:val="both"/>
        <w:rPr>
          <w:rFonts w:cs="Arial"/>
        </w:rPr>
      </w:pPr>
      <w:r>
        <w:rPr>
          <w:rFonts w:cs="Arial"/>
        </w:rPr>
        <w:t xml:space="preserve">PHAMA had </w:t>
      </w:r>
      <w:r w:rsidR="00FB48FF">
        <w:rPr>
          <w:rFonts w:cs="Arial"/>
        </w:rPr>
        <w:t xml:space="preserve">also </w:t>
      </w:r>
      <w:r>
        <w:rPr>
          <w:rFonts w:cs="Arial"/>
        </w:rPr>
        <w:t>successfully</w:t>
      </w:r>
      <w:r w:rsidR="008969B5" w:rsidRPr="00284E61">
        <w:rPr>
          <w:rFonts w:cs="Arial"/>
        </w:rPr>
        <w:t xml:space="preserve"> establish</w:t>
      </w:r>
      <w:r>
        <w:rPr>
          <w:rFonts w:cs="Arial"/>
        </w:rPr>
        <w:t>ed</w:t>
      </w:r>
      <w:r w:rsidR="008969B5" w:rsidRPr="00284E61">
        <w:rPr>
          <w:rFonts w:cs="Arial"/>
        </w:rPr>
        <w:t xml:space="preserve"> MAWGs in Fiji, Samoa, Solomon Islands, Tonga and Vanuatu.  </w:t>
      </w:r>
      <w:r w:rsidR="00FB48FF">
        <w:rPr>
          <w:rFonts w:cs="Arial"/>
        </w:rPr>
        <w:t xml:space="preserve">The national </w:t>
      </w:r>
      <w:r w:rsidRPr="00284E61">
        <w:rPr>
          <w:rFonts w:cs="Arial"/>
        </w:rPr>
        <w:t xml:space="preserve">MAWGs were widely acknowledged as being an effective mechanism/model to strengthen connections between growers/exporters and MA regulatory bodies and to facilitate evidence-based negotiation between government and industry to identify export priorities for primary products. </w:t>
      </w:r>
      <w:r>
        <w:rPr>
          <w:rFonts w:cs="Arial"/>
        </w:rPr>
        <w:t xml:space="preserve">This </w:t>
      </w:r>
      <w:r w:rsidR="00284E61" w:rsidRPr="00284E61">
        <w:rPr>
          <w:rFonts w:cs="Arial"/>
        </w:rPr>
        <w:t>was</w:t>
      </w:r>
      <w:r w:rsidR="008969B5" w:rsidRPr="00284E61">
        <w:rPr>
          <w:rFonts w:cs="Arial"/>
        </w:rPr>
        <w:t xml:space="preserve"> remarkable considering</w:t>
      </w:r>
      <w:r w:rsidR="00284E61" w:rsidRPr="00284E61">
        <w:rPr>
          <w:rFonts w:cs="Arial"/>
        </w:rPr>
        <w:t xml:space="preserve"> that membership was honorary and </w:t>
      </w:r>
      <w:r w:rsidR="00FB48FF">
        <w:rPr>
          <w:rFonts w:cs="Arial"/>
        </w:rPr>
        <w:t>was</w:t>
      </w:r>
      <w:r w:rsidR="008969B5" w:rsidRPr="00284E61">
        <w:rPr>
          <w:rFonts w:cs="Arial"/>
        </w:rPr>
        <w:t xml:space="preserve"> a new process of engagement </w:t>
      </w:r>
      <w:r w:rsidR="00FB48FF">
        <w:rPr>
          <w:rFonts w:cs="Arial"/>
        </w:rPr>
        <w:t xml:space="preserve">for several </w:t>
      </w:r>
      <w:r w:rsidR="00284E61" w:rsidRPr="00284E61">
        <w:rPr>
          <w:rFonts w:cs="Arial"/>
        </w:rPr>
        <w:t xml:space="preserve">countries. </w:t>
      </w:r>
      <w:r>
        <w:rPr>
          <w:rFonts w:cs="Arial"/>
        </w:rPr>
        <w:t xml:space="preserve">MAWGS were </w:t>
      </w:r>
      <w:r w:rsidR="00FB48FF">
        <w:rPr>
          <w:rFonts w:cs="Arial"/>
        </w:rPr>
        <w:t xml:space="preserve">therefore </w:t>
      </w:r>
      <w:r>
        <w:rPr>
          <w:rFonts w:cs="Arial"/>
        </w:rPr>
        <w:t xml:space="preserve">helping to facilitate </w:t>
      </w:r>
      <w:r w:rsidR="007B755F">
        <w:rPr>
          <w:rFonts w:cs="Arial"/>
        </w:rPr>
        <w:t xml:space="preserve">a </w:t>
      </w:r>
      <w:r w:rsidR="007B755F" w:rsidRPr="00284E61">
        <w:rPr>
          <w:rFonts w:cs="Arial"/>
        </w:rPr>
        <w:t>greater</w:t>
      </w:r>
      <w:r w:rsidR="008969B5" w:rsidRPr="00284E61">
        <w:rPr>
          <w:rFonts w:cs="Arial"/>
        </w:rPr>
        <w:t xml:space="preserve"> coherence between the export priorities pursued through trade negotiations and the product</w:t>
      </w:r>
      <w:r w:rsidR="00FB48FF">
        <w:rPr>
          <w:rFonts w:cs="Arial"/>
        </w:rPr>
        <w:t>ion ability of the country. Pacific</w:t>
      </w:r>
      <w:r w:rsidR="008969B5" w:rsidRPr="00284E61">
        <w:rPr>
          <w:rFonts w:cs="Arial"/>
        </w:rPr>
        <w:t xml:space="preserve"> governments regard</w:t>
      </w:r>
      <w:r w:rsidR="00284E61">
        <w:rPr>
          <w:rFonts w:cs="Arial"/>
        </w:rPr>
        <w:t>ed</w:t>
      </w:r>
      <w:r w:rsidR="008969B5" w:rsidRPr="00284E61">
        <w:rPr>
          <w:rFonts w:cs="Arial"/>
        </w:rPr>
        <w:t xml:space="preserve"> MAWGs as a replicable model for other sectors and products.</w:t>
      </w:r>
    </w:p>
    <w:p w14:paraId="6EE43528" w14:textId="77777777" w:rsidR="00246B3F" w:rsidRDefault="008969B5" w:rsidP="00246B3F">
      <w:pPr>
        <w:pStyle w:val="ListParagraph"/>
        <w:jc w:val="both"/>
        <w:rPr>
          <w:rFonts w:cs="Arial"/>
        </w:rPr>
      </w:pPr>
      <w:r w:rsidRPr="00284E61">
        <w:rPr>
          <w:rFonts w:cs="Arial"/>
        </w:rPr>
        <w:t xml:space="preserve"> </w:t>
      </w:r>
    </w:p>
    <w:p w14:paraId="25345AC7" w14:textId="257D2A6D" w:rsidR="008969B5" w:rsidRPr="00284E61" w:rsidRDefault="00FB48FF" w:rsidP="007A0034">
      <w:pPr>
        <w:pStyle w:val="ListParagraph"/>
        <w:numPr>
          <w:ilvl w:val="0"/>
          <w:numId w:val="13"/>
        </w:numPr>
        <w:jc w:val="both"/>
        <w:rPr>
          <w:rFonts w:cs="Arial"/>
        </w:rPr>
      </w:pPr>
      <w:r>
        <w:rPr>
          <w:rFonts w:cs="Arial"/>
        </w:rPr>
        <w:t>PHAMA needed a clearer</w:t>
      </w:r>
      <w:r w:rsidR="00EE36AA">
        <w:rPr>
          <w:rFonts w:cs="Arial"/>
        </w:rPr>
        <w:t xml:space="preserve"> strategy for c</w:t>
      </w:r>
      <w:r w:rsidR="008969B5" w:rsidRPr="00284E61">
        <w:rPr>
          <w:rFonts w:cs="Arial"/>
        </w:rPr>
        <w:t>apacity development</w:t>
      </w:r>
      <w:r w:rsidR="00284E61">
        <w:rPr>
          <w:rFonts w:cs="Arial"/>
        </w:rPr>
        <w:t xml:space="preserve"> </w:t>
      </w:r>
      <w:r>
        <w:rPr>
          <w:rFonts w:cs="Arial"/>
        </w:rPr>
        <w:t>for</w:t>
      </w:r>
      <w:r w:rsidR="00EE36AA">
        <w:rPr>
          <w:rFonts w:cs="Arial"/>
        </w:rPr>
        <w:t xml:space="preserve"> SPC-LRD and MAWGs</w:t>
      </w:r>
      <w:r>
        <w:rPr>
          <w:rFonts w:cs="Arial"/>
        </w:rPr>
        <w:t>.</w:t>
      </w:r>
      <w:r w:rsidR="008969B5" w:rsidRPr="00284E61">
        <w:rPr>
          <w:rFonts w:cs="Arial"/>
        </w:rPr>
        <w:t xml:space="preserve"> </w:t>
      </w:r>
      <w:r w:rsidR="00EE36AA">
        <w:rPr>
          <w:rFonts w:cs="Arial"/>
        </w:rPr>
        <w:t xml:space="preserve">This should include </w:t>
      </w:r>
      <w:r w:rsidR="00EE36AA" w:rsidRPr="00284E61">
        <w:rPr>
          <w:rFonts w:cs="Arial"/>
        </w:rPr>
        <w:t>indicators</w:t>
      </w:r>
      <w:r w:rsidR="008969B5" w:rsidRPr="00284E61">
        <w:rPr>
          <w:rFonts w:cs="Arial"/>
        </w:rPr>
        <w:t xml:space="preserve"> for agreed milestones and targets which would guide and signify the achievement of planned results in this regard.</w:t>
      </w:r>
    </w:p>
    <w:p w14:paraId="58AA9148" w14:textId="77777777" w:rsidR="00246B3F" w:rsidRDefault="00246B3F" w:rsidP="00246B3F">
      <w:pPr>
        <w:pStyle w:val="ListParagraph"/>
        <w:jc w:val="both"/>
        <w:rPr>
          <w:rFonts w:cs="Arial"/>
        </w:rPr>
      </w:pPr>
    </w:p>
    <w:p w14:paraId="3C78097C" w14:textId="4B23C280" w:rsidR="00246B3F" w:rsidRDefault="00EE36AA" w:rsidP="00246B3F">
      <w:pPr>
        <w:pStyle w:val="ListParagraph"/>
        <w:numPr>
          <w:ilvl w:val="0"/>
          <w:numId w:val="13"/>
        </w:numPr>
        <w:jc w:val="both"/>
        <w:rPr>
          <w:rFonts w:cs="Arial"/>
        </w:rPr>
      </w:pPr>
      <w:r w:rsidRPr="00FB48FF">
        <w:rPr>
          <w:rFonts w:cs="Arial"/>
        </w:rPr>
        <w:t xml:space="preserve">PHAMA </w:t>
      </w:r>
      <w:r w:rsidR="00246B3F" w:rsidRPr="00FB48FF">
        <w:rPr>
          <w:rFonts w:cs="Arial"/>
        </w:rPr>
        <w:t>provided</w:t>
      </w:r>
      <w:r w:rsidR="008969B5" w:rsidRPr="00FB48FF">
        <w:rPr>
          <w:rFonts w:cs="Arial"/>
        </w:rPr>
        <w:t xml:space="preserve"> a critical opportunity to strengthen efficient MA serviced delivery by LRD. This would complement and reinforce a corporate initiative to enhance organisational efficiency in SPC in response to an organisational review that was conducted in 2012. Improved efficiency of LRD in delivering MA services w</w:t>
      </w:r>
      <w:r w:rsidR="00FB48FF" w:rsidRPr="00FB48FF">
        <w:rPr>
          <w:rFonts w:cs="Arial"/>
        </w:rPr>
        <w:t>ould depend on the space that was</w:t>
      </w:r>
      <w:r w:rsidR="008969B5" w:rsidRPr="00FB48FF">
        <w:rPr>
          <w:rFonts w:cs="Arial"/>
        </w:rPr>
        <w:t xml:space="preserve"> afforded to LRD by SPC, as well as LRD’s “appetite” to adopt innovative alternatives </w:t>
      </w:r>
      <w:r w:rsidR="00FB48FF" w:rsidRPr="00FB48FF">
        <w:rPr>
          <w:rFonts w:cs="Arial"/>
        </w:rPr>
        <w:t>for</w:t>
      </w:r>
      <w:r w:rsidR="008969B5" w:rsidRPr="00FB48FF">
        <w:rPr>
          <w:rFonts w:cs="Arial"/>
        </w:rPr>
        <w:t xml:space="preserve"> MA support, including adopting  good practice from the approach employed </w:t>
      </w:r>
      <w:r w:rsidR="00FB48FF">
        <w:rPr>
          <w:rFonts w:cs="Arial"/>
        </w:rPr>
        <w:t xml:space="preserve">by the PHAMA Project Management Office (PMO). </w:t>
      </w:r>
    </w:p>
    <w:p w14:paraId="6F201DEA" w14:textId="77777777" w:rsidR="00FB48FF" w:rsidRPr="00FB48FF" w:rsidRDefault="00FB48FF" w:rsidP="00FB48FF">
      <w:pPr>
        <w:pStyle w:val="ListParagraph"/>
        <w:rPr>
          <w:rFonts w:cs="Arial"/>
        </w:rPr>
      </w:pPr>
    </w:p>
    <w:p w14:paraId="079C1B41" w14:textId="15942B3B" w:rsidR="008969B5" w:rsidRPr="008969B5" w:rsidRDefault="00246B3F" w:rsidP="007A0034">
      <w:pPr>
        <w:pStyle w:val="ListParagraph"/>
        <w:numPr>
          <w:ilvl w:val="0"/>
          <w:numId w:val="13"/>
        </w:numPr>
        <w:jc w:val="both"/>
        <w:rPr>
          <w:rFonts w:cs="Arial"/>
        </w:rPr>
      </w:pPr>
      <w:r>
        <w:rPr>
          <w:rFonts w:cs="Arial"/>
        </w:rPr>
        <w:t>Insufficient attention had</w:t>
      </w:r>
      <w:r w:rsidR="008969B5" w:rsidRPr="008969B5">
        <w:rPr>
          <w:rFonts w:cs="Arial"/>
        </w:rPr>
        <w:t xml:space="preserve"> been devoted to program sustainability in Phase 1. Progress with capacity development of LRD </w:t>
      </w:r>
      <w:r w:rsidR="00FB48FF">
        <w:rPr>
          <w:rFonts w:cs="Arial"/>
        </w:rPr>
        <w:t xml:space="preserve">for improved MA service delivery had </w:t>
      </w:r>
      <w:r w:rsidR="00FB48FF" w:rsidRPr="008969B5">
        <w:rPr>
          <w:rFonts w:cs="Arial"/>
        </w:rPr>
        <w:t>been</w:t>
      </w:r>
      <w:r w:rsidR="008969B5" w:rsidRPr="008969B5">
        <w:rPr>
          <w:rFonts w:cs="Arial"/>
        </w:rPr>
        <w:t xml:space="preserve"> slowed down significantly by organisational challenges internal to SPC/LRD. </w:t>
      </w:r>
      <w:r>
        <w:rPr>
          <w:rFonts w:cs="Arial"/>
        </w:rPr>
        <w:t xml:space="preserve">Greater attention </w:t>
      </w:r>
      <w:r w:rsidR="00F9186A">
        <w:rPr>
          <w:rFonts w:cs="Arial"/>
        </w:rPr>
        <w:t>was also</w:t>
      </w:r>
      <w:r>
        <w:rPr>
          <w:rFonts w:cs="Arial"/>
        </w:rPr>
        <w:t xml:space="preserve"> needed the</w:t>
      </w:r>
      <w:r w:rsidR="008969B5" w:rsidRPr="008969B5">
        <w:rPr>
          <w:rFonts w:cs="Arial"/>
        </w:rPr>
        <w:t xml:space="preserve"> s</w:t>
      </w:r>
      <w:r>
        <w:rPr>
          <w:rFonts w:cs="Arial"/>
        </w:rPr>
        <w:t>ustainability of MAWGs and NMAC</w:t>
      </w:r>
      <w:r w:rsidR="008969B5" w:rsidRPr="008969B5">
        <w:rPr>
          <w:rFonts w:cs="Arial"/>
        </w:rPr>
        <w:t>.</w:t>
      </w:r>
    </w:p>
    <w:p w14:paraId="6410B41C" w14:textId="77777777" w:rsidR="00246B3F" w:rsidRDefault="00246B3F" w:rsidP="00246B3F">
      <w:pPr>
        <w:pStyle w:val="ListParagraph"/>
        <w:jc w:val="both"/>
        <w:rPr>
          <w:rFonts w:cs="Arial"/>
        </w:rPr>
      </w:pPr>
    </w:p>
    <w:p w14:paraId="0ACE3DC5" w14:textId="446F301C" w:rsidR="008969B5" w:rsidRPr="00246B3F" w:rsidRDefault="00F04907" w:rsidP="007A0034">
      <w:pPr>
        <w:pStyle w:val="ListParagraph"/>
        <w:numPr>
          <w:ilvl w:val="0"/>
          <w:numId w:val="13"/>
        </w:numPr>
        <w:jc w:val="both"/>
        <w:rPr>
          <w:rFonts w:cs="Arial"/>
        </w:rPr>
      </w:pPr>
      <w:r w:rsidRPr="00246B3F">
        <w:rPr>
          <w:rFonts w:cs="Arial"/>
        </w:rPr>
        <w:t>An integrated</w:t>
      </w:r>
      <w:r w:rsidR="008969B5" w:rsidRPr="00246B3F">
        <w:rPr>
          <w:rFonts w:cs="Arial"/>
        </w:rPr>
        <w:t xml:space="preserve"> Theory of Change and results framework </w:t>
      </w:r>
      <w:r w:rsidR="00246B3F" w:rsidRPr="00246B3F">
        <w:rPr>
          <w:rFonts w:cs="Arial"/>
        </w:rPr>
        <w:t xml:space="preserve">would help </w:t>
      </w:r>
      <w:r w:rsidR="008969B5" w:rsidRPr="00246B3F">
        <w:rPr>
          <w:rFonts w:cs="Arial"/>
        </w:rPr>
        <w:t xml:space="preserve">draw out relationships between activities and results within and between </w:t>
      </w:r>
      <w:r w:rsidR="00246B3F" w:rsidRPr="00246B3F">
        <w:rPr>
          <w:rFonts w:cs="Arial"/>
        </w:rPr>
        <w:t>the components delivered by the different providers</w:t>
      </w:r>
      <w:r w:rsidR="008969B5" w:rsidRPr="00246B3F">
        <w:rPr>
          <w:rFonts w:cs="Arial"/>
        </w:rPr>
        <w:t xml:space="preserve">, which </w:t>
      </w:r>
      <w:r w:rsidR="00246B3F" w:rsidRPr="00246B3F">
        <w:rPr>
          <w:rFonts w:cs="Arial"/>
        </w:rPr>
        <w:t xml:space="preserve">would assist monitoring and reporting of results. </w:t>
      </w:r>
      <w:r w:rsidR="008969B5" w:rsidRPr="00246B3F">
        <w:rPr>
          <w:rFonts w:cs="Arial"/>
        </w:rPr>
        <w:t xml:space="preserve"> </w:t>
      </w:r>
      <w:r w:rsidR="00246B3F">
        <w:rPr>
          <w:rFonts w:cs="Arial"/>
        </w:rPr>
        <w:t xml:space="preserve">In addition, </w:t>
      </w:r>
      <w:r w:rsidR="00246B3F" w:rsidRPr="00246B3F">
        <w:rPr>
          <w:rFonts w:cs="Arial"/>
        </w:rPr>
        <w:t>PHAMA’s</w:t>
      </w:r>
      <w:r w:rsidR="008969B5" w:rsidRPr="00246B3F">
        <w:rPr>
          <w:rFonts w:cs="Arial"/>
        </w:rPr>
        <w:t xml:space="preserve"> cross-cutting focus on benefits for marg</w:t>
      </w:r>
      <w:r w:rsidR="00246B3F">
        <w:rPr>
          <w:rFonts w:cs="Arial"/>
        </w:rPr>
        <w:t>inalised households and women was</w:t>
      </w:r>
      <w:r w:rsidR="008969B5" w:rsidRPr="00246B3F">
        <w:rPr>
          <w:rFonts w:cs="Arial"/>
        </w:rPr>
        <w:t xml:space="preserve"> not adequately incorporated in the PHAMA M&amp;E framework. </w:t>
      </w:r>
      <w:r w:rsidR="00246B3F">
        <w:rPr>
          <w:rFonts w:cs="Arial"/>
        </w:rPr>
        <w:t>As such,</w:t>
      </w:r>
      <w:r w:rsidR="008969B5" w:rsidRPr="00246B3F">
        <w:rPr>
          <w:rFonts w:cs="Arial"/>
        </w:rPr>
        <w:t xml:space="preserve"> </w:t>
      </w:r>
      <w:r w:rsidR="00246B3F" w:rsidRPr="00246B3F">
        <w:rPr>
          <w:rFonts w:cs="Arial"/>
        </w:rPr>
        <w:t>PHAMA’s</w:t>
      </w:r>
      <w:r w:rsidR="008969B5" w:rsidRPr="00246B3F">
        <w:rPr>
          <w:rFonts w:cs="Arial"/>
        </w:rPr>
        <w:t xml:space="preserve"> contribution to promoting gender equality remains largely under-reported and invisible.</w:t>
      </w:r>
    </w:p>
    <w:p w14:paraId="1FD857A7" w14:textId="75A5ECFB" w:rsidR="007B755F" w:rsidRDefault="00F04907" w:rsidP="00BE3D47">
      <w:pPr>
        <w:jc w:val="both"/>
        <w:rPr>
          <w:rFonts w:cs="Arial"/>
        </w:rPr>
      </w:pPr>
      <w:r>
        <w:rPr>
          <w:rFonts w:cs="Arial"/>
        </w:rPr>
        <w:t>DFAT agreed to the majorit</w:t>
      </w:r>
      <w:r w:rsidR="007B755F">
        <w:rPr>
          <w:rFonts w:cs="Arial"/>
        </w:rPr>
        <w:t>y of recommendations including the</w:t>
      </w:r>
      <w:r>
        <w:rPr>
          <w:rFonts w:cs="Arial"/>
        </w:rPr>
        <w:t xml:space="preserve"> recommendation </w:t>
      </w:r>
      <w:r w:rsidR="007B755F">
        <w:rPr>
          <w:rFonts w:cs="Arial"/>
        </w:rPr>
        <w:t xml:space="preserve">for a </w:t>
      </w:r>
      <w:r>
        <w:rPr>
          <w:rFonts w:cs="Arial"/>
        </w:rPr>
        <w:t xml:space="preserve">second phase. The suggested improvements around capacity development and results were also seen in the context that the “twin” PHAMA service delivery model (Managing Contractor and SPC) was </w:t>
      </w:r>
      <w:r w:rsidR="008206FF">
        <w:rPr>
          <w:rFonts w:cs="Arial"/>
        </w:rPr>
        <w:t xml:space="preserve">still </w:t>
      </w:r>
      <w:r>
        <w:rPr>
          <w:rFonts w:cs="Arial"/>
        </w:rPr>
        <w:t xml:space="preserve">new </w:t>
      </w:r>
      <w:r w:rsidR="008206FF">
        <w:rPr>
          <w:rFonts w:cs="Arial"/>
        </w:rPr>
        <w:t xml:space="preserve">for both organisations and stakeholders </w:t>
      </w:r>
      <w:r>
        <w:rPr>
          <w:rFonts w:cs="Arial"/>
        </w:rPr>
        <w:t xml:space="preserve">and </w:t>
      </w:r>
      <w:r w:rsidR="00FB48FF">
        <w:rPr>
          <w:rFonts w:cs="Arial"/>
        </w:rPr>
        <w:t>more</w:t>
      </w:r>
      <w:r w:rsidR="008206FF">
        <w:rPr>
          <w:rFonts w:cs="Arial"/>
        </w:rPr>
        <w:t xml:space="preserve"> time </w:t>
      </w:r>
      <w:r w:rsidR="00FB48FF">
        <w:rPr>
          <w:rFonts w:cs="Arial"/>
        </w:rPr>
        <w:t xml:space="preserve">was needed </w:t>
      </w:r>
      <w:r w:rsidR="007B755F">
        <w:rPr>
          <w:rFonts w:cs="Arial"/>
        </w:rPr>
        <w:t xml:space="preserve">for the model </w:t>
      </w:r>
      <w:r w:rsidR="008206FF">
        <w:rPr>
          <w:rFonts w:cs="Arial"/>
        </w:rPr>
        <w:t xml:space="preserve">to </w:t>
      </w:r>
      <w:r>
        <w:rPr>
          <w:rFonts w:cs="Arial"/>
        </w:rPr>
        <w:t xml:space="preserve">be tested. </w:t>
      </w:r>
      <w:r w:rsidR="008206FF">
        <w:rPr>
          <w:rFonts w:cs="Arial"/>
        </w:rPr>
        <w:t>DFAT also noted that m</w:t>
      </w:r>
      <w:r>
        <w:rPr>
          <w:rFonts w:cs="Arial"/>
        </w:rPr>
        <w:t xml:space="preserve">any </w:t>
      </w:r>
      <w:r w:rsidR="008206FF">
        <w:rPr>
          <w:rFonts w:cs="Arial"/>
        </w:rPr>
        <w:t>of the challenges issues attributed to recruitment and retention of technical expertise within SPC-LRD was symptomatic to the whole of SPC</w:t>
      </w:r>
      <w:r w:rsidR="007B755F">
        <w:rPr>
          <w:rFonts w:cs="Arial"/>
        </w:rPr>
        <w:t xml:space="preserve"> which were captured in a recent (and separate) review of SPC. DFAT would be responding to SPC funding and staffing issues as part of that larger review. </w:t>
      </w:r>
    </w:p>
    <w:p w14:paraId="6A8F44C0" w14:textId="6EC9D537" w:rsidR="0032164F" w:rsidRDefault="008206FF" w:rsidP="007B755F">
      <w:pPr>
        <w:jc w:val="both"/>
        <w:rPr>
          <w:rFonts w:cs="Arial"/>
        </w:rPr>
      </w:pPr>
      <w:r>
        <w:rPr>
          <w:rFonts w:cs="Arial"/>
        </w:rPr>
        <w:t xml:space="preserve">DFAT </w:t>
      </w:r>
      <w:r w:rsidR="007B755F">
        <w:rPr>
          <w:rFonts w:cs="Arial"/>
        </w:rPr>
        <w:t>also responded to the findings of the PHAMA Evaluation through a Theory of Change (ToC) Workshop</w:t>
      </w:r>
      <w:r>
        <w:rPr>
          <w:rFonts w:cs="Arial"/>
        </w:rPr>
        <w:t xml:space="preserve"> </w:t>
      </w:r>
      <w:r w:rsidR="007B755F">
        <w:rPr>
          <w:rFonts w:cs="Arial"/>
        </w:rPr>
        <w:t xml:space="preserve">(May 2013) with a view to strengthening Phase 2. Key stakeholders that participated in the Workshop included SPC-LRD, URS Australia Ltd, Australia’s Department of Agriculture, NZ Ministry of Primary Industries and DFAT. A key outcome of the ToC workshop </w:t>
      </w:r>
      <w:r w:rsidR="0032164F">
        <w:rPr>
          <w:rFonts w:cs="Arial"/>
        </w:rPr>
        <w:t>was a framework that contained greater</w:t>
      </w:r>
      <w:r w:rsidR="007B755F">
        <w:rPr>
          <w:rFonts w:cs="Arial"/>
        </w:rPr>
        <w:t xml:space="preserve"> clarity as to the program strategy and goals,</w:t>
      </w:r>
      <w:r w:rsidR="0032164F">
        <w:rPr>
          <w:rFonts w:cs="Arial"/>
        </w:rPr>
        <w:t xml:space="preserve"> clear linkages to activities, performance milestones, opportunities for results capture and a risk management. It was agreed that URS Australia Ltd would develop </w:t>
      </w:r>
      <w:r w:rsidR="00FB48FF">
        <w:rPr>
          <w:rFonts w:cs="Arial"/>
        </w:rPr>
        <w:t xml:space="preserve">further </w:t>
      </w:r>
      <w:r w:rsidR="0032164F">
        <w:rPr>
          <w:rFonts w:cs="Arial"/>
        </w:rPr>
        <w:t>the initial framework early in Phase 2 in consultation with countries. Further details of the ToC discussions are contained in the table below.</w:t>
      </w:r>
    </w:p>
    <w:p w14:paraId="704B22DD" w14:textId="77777777" w:rsidR="00FB48FF" w:rsidRDefault="00FB48FF" w:rsidP="000D316D">
      <w:pPr>
        <w:rPr>
          <w:b/>
          <w:sz w:val="22"/>
          <w:szCs w:val="22"/>
          <w:lang w:eastAsia="en-AU"/>
        </w:rPr>
      </w:pPr>
    </w:p>
    <w:p w14:paraId="6CAE7C54" w14:textId="5848D164" w:rsidR="00C657FB" w:rsidRPr="008B3156" w:rsidRDefault="00582611" w:rsidP="000D316D">
      <w:pPr>
        <w:rPr>
          <w:b/>
          <w:sz w:val="22"/>
          <w:szCs w:val="22"/>
          <w:lang w:eastAsia="en-AU"/>
        </w:rPr>
      </w:pPr>
      <w:r>
        <w:rPr>
          <w:b/>
          <w:sz w:val="22"/>
          <w:szCs w:val="22"/>
          <w:lang w:eastAsia="en-AU"/>
        </w:rPr>
        <w:t>DFAT</w:t>
      </w:r>
      <w:r w:rsidR="00F63B43" w:rsidRPr="008B3156">
        <w:rPr>
          <w:b/>
          <w:sz w:val="22"/>
          <w:szCs w:val="22"/>
          <w:lang w:eastAsia="en-AU"/>
        </w:rPr>
        <w:t>’s r</w:t>
      </w:r>
      <w:r w:rsidR="00C657FB" w:rsidRPr="008B3156">
        <w:rPr>
          <w:b/>
          <w:sz w:val="22"/>
          <w:szCs w:val="22"/>
          <w:lang w:eastAsia="en-AU"/>
        </w:rPr>
        <w:t>esponse to the specific rec</w:t>
      </w:r>
      <w:r w:rsidR="00367DA3" w:rsidRPr="008B3156">
        <w:rPr>
          <w:b/>
          <w:sz w:val="22"/>
          <w:szCs w:val="22"/>
          <w:lang w:eastAsia="en-AU"/>
        </w:rPr>
        <w:t>ommendations made in the report</w:t>
      </w:r>
    </w:p>
    <w:p w14:paraId="6CAE7C55" w14:textId="77777777" w:rsidR="00C657FB" w:rsidRDefault="00C657FB" w:rsidP="00C657FB">
      <w:pPr>
        <w:rPr>
          <w:rFonts w:cs="Arial"/>
        </w:rPr>
      </w:pPr>
    </w:p>
    <w:tbl>
      <w:tblPr>
        <w:tblW w:w="104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57" w:type="dxa"/>
          <w:bottom w:w="57" w:type="dxa"/>
        </w:tblCellMar>
        <w:tblLook w:val="04A0" w:firstRow="1" w:lastRow="0" w:firstColumn="1" w:lastColumn="0" w:noHBand="0" w:noVBand="1"/>
      </w:tblPr>
      <w:tblGrid>
        <w:gridCol w:w="2943"/>
        <w:gridCol w:w="2268"/>
        <w:gridCol w:w="3402"/>
        <w:gridCol w:w="1843"/>
      </w:tblGrid>
      <w:tr w:rsidR="00E6298A" w:rsidRPr="00E6298A" w14:paraId="6CAE7C5A" w14:textId="77777777" w:rsidTr="00730AA6">
        <w:trPr>
          <w:cantSplit/>
          <w:tblHeader/>
        </w:trPr>
        <w:tc>
          <w:tcPr>
            <w:tcW w:w="2943" w:type="dxa"/>
            <w:shd w:val="clear" w:color="auto" w:fill="FFEC9B"/>
            <w:vAlign w:val="center"/>
          </w:tcPr>
          <w:p w14:paraId="6CAE7C56" w14:textId="77777777" w:rsidR="00E6298A" w:rsidRPr="00E6298A" w:rsidRDefault="00E6298A" w:rsidP="001467C6">
            <w:pPr>
              <w:pStyle w:val="Heading2"/>
              <w:spacing w:before="120" w:after="120"/>
              <w:jc w:val="center"/>
              <w:rPr>
                <w:sz w:val="20"/>
                <w:szCs w:val="20"/>
              </w:rPr>
            </w:pPr>
            <w:r w:rsidRPr="00E6298A">
              <w:rPr>
                <w:sz w:val="20"/>
                <w:szCs w:val="20"/>
              </w:rPr>
              <w:lastRenderedPageBreak/>
              <w:t>Recommendation</w:t>
            </w:r>
          </w:p>
        </w:tc>
        <w:tc>
          <w:tcPr>
            <w:tcW w:w="2268" w:type="dxa"/>
            <w:tcBorders>
              <w:right w:val="single" w:sz="4" w:space="0" w:color="auto"/>
            </w:tcBorders>
            <w:shd w:val="clear" w:color="auto" w:fill="FFEC9B"/>
            <w:vAlign w:val="center"/>
          </w:tcPr>
          <w:p w14:paraId="6CAE7C57" w14:textId="77777777" w:rsidR="00E6298A" w:rsidRPr="00E6298A" w:rsidRDefault="00E6298A" w:rsidP="001467C6">
            <w:pPr>
              <w:spacing w:after="120"/>
              <w:jc w:val="center"/>
              <w:rPr>
                <w:rFonts w:cs="Arial"/>
                <w:b/>
                <w:szCs w:val="20"/>
              </w:rPr>
            </w:pPr>
            <w:r w:rsidRPr="00E6298A">
              <w:rPr>
                <w:rFonts w:cs="Arial"/>
                <w:b/>
                <w:szCs w:val="20"/>
              </w:rPr>
              <w:t>Response</w:t>
            </w:r>
          </w:p>
        </w:tc>
        <w:tc>
          <w:tcPr>
            <w:tcW w:w="3402" w:type="dxa"/>
            <w:tcBorders>
              <w:left w:val="single" w:sz="4" w:space="0" w:color="auto"/>
            </w:tcBorders>
            <w:shd w:val="clear" w:color="auto" w:fill="FFEC9B"/>
            <w:vAlign w:val="center"/>
          </w:tcPr>
          <w:p w14:paraId="6CAE7C58" w14:textId="77777777" w:rsidR="00E6298A" w:rsidRPr="00E6298A" w:rsidRDefault="00E6298A" w:rsidP="001467C6">
            <w:pPr>
              <w:spacing w:after="120"/>
              <w:jc w:val="center"/>
              <w:rPr>
                <w:rFonts w:cs="Arial"/>
                <w:b/>
                <w:szCs w:val="20"/>
              </w:rPr>
            </w:pPr>
            <w:r w:rsidRPr="00E6298A">
              <w:rPr>
                <w:rFonts w:cs="Arial"/>
                <w:b/>
                <w:szCs w:val="20"/>
              </w:rPr>
              <w:t>Actions</w:t>
            </w:r>
          </w:p>
        </w:tc>
        <w:tc>
          <w:tcPr>
            <w:tcW w:w="1843" w:type="dxa"/>
            <w:tcBorders>
              <w:left w:val="single" w:sz="4" w:space="0" w:color="auto"/>
            </w:tcBorders>
            <w:shd w:val="clear" w:color="auto" w:fill="FFEC9B"/>
            <w:vAlign w:val="center"/>
          </w:tcPr>
          <w:p w14:paraId="6CAE7C59" w14:textId="77777777" w:rsidR="00E6298A" w:rsidRPr="00E6298A" w:rsidRDefault="00E6298A" w:rsidP="001467C6">
            <w:pPr>
              <w:spacing w:after="120"/>
              <w:jc w:val="center"/>
              <w:rPr>
                <w:rFonts w:cs="Arial"/>
                <w:szCs w:val="20"/>
              </w:rPr>
            </w:pPr>
            <w:r w:rsidRPr="00E6298A">
              <w:rPr>
                <w:b/>
                <w:szCs w:val="20"/>
              </w:rPr>
              <w:t>Responsibility</w:t>
            </w:r>
          </w:p>
        </w:tc>
      </w:tr>
      <w:tr w:rsidR="00602971" w:rsidRPr="00F43CEC" w14:paraId="4CA1F88F" w14:textId="77777777" w:rsidTr="00730AA6">
        <w:trPr>
          <w:cantSplit/>
          <w:trHeight w:val="388"/>
        </w:trPr>
        <w:tc>
          <w:tcPr>
            <w:tcW w:w="10456" w:type="dxa"/>
            <w:gridSpan w:val="4"/>
            <w:shd w:val="clear" w:color="auto" w:fill="auto"/>
          </w:tcPr>
          <w:p w14:paraId="526D7803" w14:textId="5AF3CC41" w:rsidR="00602971" w:rsidRPr="006D75E9" w:rsidRDefault="00602971" w:rsidP="006D75E9">
            <w:pPr>
              <w:spacing w:after="120"/>
              <w:rPr>
                <w:rFonts w:cs="Arial"/>
                <w:b/>
              </w:rPr>
            </w:pPr>
            <w:r w:rsidRPr="006D75E9">
              <w:rPr>
                <w:b/>
              </w:rPr>
              <w:t>GENERAL RECOMMENDATIONS</w:t>
            </w:r>
          </w:p>
        </w:tc>
      </w:tr>
      <w:tr w:rsidR="00E6298A" w:rsidRPr="0095619E" w14:paraId="6CAE7C60" w14:textId="77777777" w:rsidTr="00730AA6">
        <w:trPr>
          <w:cantSplit/>
          <w:trHeight w:val="1064"/>
        </w:trPr>
        <w:tc>
          <w:tcPr>
            <w:tcW w:w="2943" w:type="dxa"/>
            <w:shd w:val="clear" w:color="auto" w:fill="auto"/>
          </w:tcPr>
          <w:p w14:paraId="6CAE7C5B" w14:textId="58B69F2D" w:rsidR="00E6298A" w:rsidRPr="0095619E" w:rsidRDefault="0032164F" w:rsidP="0032164F">
            <w:pPr>
              <w:numPr>
                <w:ilvl w:val="0"/>
                <w:numId w:val="7"/>
              </w:numPr>
              <w:tabs>
                <w:tab w:val="left" w:pos="284"/>
              </w:tabs>
              <w:spacing w:after="120"/>
              <w:ind w:left="142" w:hanging="142"/>
              <w:rPr>
                <w:rFonts w:ascii="Times New Roman" w:hAnsi="Times New Roman"/>
              </w:rPr>
            </w:pPr>
            <w:r>
              <w:rPr>
                <w:rFonts w:ascii="Times New Roman" w:hAnsi="Times New Roman"/>
              </w:rPr>
              <w:t>The</w:t>
            </w:r>
            <w:r w:rsidR="002065C4" w:rsidRPr="0095619E">
              <w:rPr>
                <w:rFonts w:ascii="Times New Roman" w:hAnsi="Times New Roman"/>
              </w:rPr>
              <w:t xml:space="preserve"> program </w:t>
            </w:r>
            <w:r w:rsidR="00810B8A" w:rsidRPr="0095619E">
              <w:rPr>
                <w:rFonts w:ascii="Times New Roman" w:hAnsi="Times New Roman"/>
              </w:rPr>
              <w:t>is</w:t>
            </w:r>
            <w:r w:rsidR="002065C4" w:rsidRPr="0095619E">
              <w:rPr>
                <w:rFonts w:ascii="Times New Roman" w:hAnsi="Times New Roman"/>
              </w:rPr>
              <w:t xml:space="preserve"> continued into Phase 2.</w:t>
            </w:r>
          </w:p>
        </w:tc>
        <w:tc>
          <w:tcPr>
            <w:tcW w:w="2268" w:type="dxa"/>
            <w:tcBorders>
              <w:right w:val="single" w:sz="4" w:space="0" w:color="auto"/>
            </w:tcBorders>
            <w:shd w:val="clear" w:color="auto" w:fill="auto"/>
          </w:tcPr>
          <w:p w14:paraId="6CAE7C5C" w14:textId="3566BCAD" w:rsidR="00E6298A" w:rsidRPr="0095619E" w:rsidRDefault="00602971" w:rsidP="00175FFC">
            <w:pPr>
              <w:spacing w:after="120"/>
              <w:rPr>
                <w:rFonts w:ascii="Times New Roman" w:hAnsi="Times New Roman"/>
              </w:rPr>
            </w:pPr>
            <w:r w:rsidRPr="0095619E">
              <w:rPr>
                <w:rFonts w:ascii="Times New Roman" w:hAnsi="Times New Roman"/>
              </w:rPr>
              <w:t>Agree</w:t>
            </w:r>
            <w:r w:rsidR="00DD24E3" w:rsidRPr="0095619E">
              <w:rPr>
                <w:rFonts w:ascii="Times New Roman" w:hAnsi="Times New Roman"/>
              </w:rPr>
              <w:t>.</w:t>
            </w:r>
          </w:p>
          <w:p w14:paraId="6CAE7C5D" w14:textId="36BC3292" w:rsidR="00E6298A" w:rsidRPr="0095619E" w:rsidRDefault="00E6298A" w:rsidP="00175FFC">
            <w:pPr>
              <w:spacing w:after="120"/>
              <w:rPr>
                <w:rFonts w:ascii="Times New Roman" w:hAnsi="Times New Roman"/>
              </w:rPr>
            </w:pPr>
          </w:p>
        </w:tc>
        <w:tc>
          <w:tcPr>
            <w:tcW w:w="3402" w:type="dxa"/>
            <w:tcBorders>
              <w:left w:val="single" w:sz="4" w:space="0" w:color="auto"/>
            </w:tcBorders>
            <w:shd w:val="clear" w:color="auto" w:fill="auto"/>
          </w:tcPr>
          <w:p w14:paraId="6CAE7C5E" w14:textId="23FEB410" w:rsidR="00E6298A" w:rsidRPr="0095619E" w:rsidRDefault="006D75E9" w:rsidP="0032164F">
            <w:pPr>
              <w:spacing w:after="120"/>
              <w:rPr>
                <w:rFonts w:ascii="Times New Roman" w:hAnsi="Times New Roman"/>
              </w:rPr>
            </w:pPr>
            <w:r w:rsidRPr="0095619E">
              <w:rPr>
                <w:rFonts w:ascii="Times New Roman" w:hAnsi="Times New Roman"/>
              </w:rPr>
              <w:t xml:space="preserve">Preparations for Phase 2 progressed after Review. Phase 2 funding secured </w:t>
            </w:r>
            <w:r w:rsidR="0032164F">
              <w:rPr>
                <w:rFonts w:ascii="Times New Roman" w:hAnsi="Times New Roman"/>
              </w:rPr>
              <w:t xml:space="preserve">and commenced. </w:t>
            </w:r>
          </w:p>
        </w:tc>
        <w:tc>
          <w:tcPr>
            <w:tcW w:w="1843" w:type="dxa"/>
            <w:tcBorders>
              <w:left w:val="single" w:sz="4" w:space="0" w:color="auto"/>
            </w:tcBorders>
            <w:shd w:val="clear" w:color="auto" w:fill="auto"/>
          </w:tcPr>
          <w:p w14:paraId="6CAE7C5F" w14:textId="6DAF3A08" w:rsidR="00E6298A" w:rsidRPr="0095619E" w:rsidRDefault="006D75E9" w:rsidP="0032164F">
            <w:pPr>
              <w:spacing w:after="120"/>
              <w:rPr>
                <w:rFonts w:ascii="Times New Roman" w:hAnsi="Times New Roman"/>
              </w:rPr>
            </w:pPr>
            <w:r w:rsidRPr="0095619E">
              <w:rPr>
                <w:rFonts w:ascii="Times New Roman" w:hAnsi="Times New Roman"/>
              </w:rPr>
              <w:t>DFAT</w:t>
            </w:r>
            <w:r w:rsidR="00602971" w:rsidRPr="0095619E">
              <w:rPr>
                <w:rFonts w:ascii="Times New Roman" w:hAnsi="Times New Roman"/>
              </w:rPr>
              <w:t xml:space="preserve"> </w:t>
            </w:r>
          </w:p>
        </w:tc>
      </w:tr>
      <w:tr w:rsidR="00E6298A" w:rsidRPr="0095619E" w14:paraId="6CAE7C66" w14:textId="77777777" w:rsidTr="00730AA6">
        <w:trPr>
          <w:cantSplit/>
          <w:trHeight w:val="885"/>
        </w:trPr>
        <w:tc>
          <w:tcPr>
            <w:tcW w:w="2943" w:type="dxa"/>
            <w:shd w:val="clear" w:color="auto" w:fill="auto"/>
          </w:tcPr>
          <w:p w14:paraId="6CAE7C61" w14:textId="3A8CD20A" w:rsidR="00E6298A" w:rsidRPr="0095619E" w:rsidRDefault="0032164F" w:rsidP="0032164F">
            <w:pPr>
              <w:numPr>
                <w:ilvl w:val="0"/>
                <w:numId w:val="7"/>
              </w:numPr>
              <w:tabs>
                <w:tab w:val="left" w:pos="284"/>
              </w:tabs>
              <w:spacing w:after="120"/>
              <w:ind w:left="142" w:hanging="142"/>
              <w:rPr>
                <w:rFonts w:ascii="Times New Roman" w:hAnsi="Times New Roman"/>
              </w:rPr>
            </w:pPr>
            <w:r>
              <w:rPr>
                <w:rFonts w:ascii="Times New Roman" w:hAnsi="Times New Roman"/>
              </w:rPr>
              <w:t>The outcome of the R</w:t>
            </w:r>
            <w:r w:rsidR="003A15A0" w:rsidRPr="0095619E">
              <w:rPr>
                <w:rFonts w:ascii="Times New Roman" w:hAnsi="Times New Roman"/>
              </w:rPr>
              <w:t xml:space="preserve">eview, as well as associated recommendations and expectations, </w:t>
            </w:r>
            <w:r w:rsidR="00F9186A" w:rsidRPr="0095619E">
              <w:rPr>
                <w:rFonts w:ascii="Times New Roman" w:hAnsi="Times New Roman"/>
              </w:rPr>
              <w:t>is</w:t>
            </w:r>
            <w:r w:rsidR="003A15A0" w:rsidRPr="0095619E">
              <w:rPr>
                <w:rFonts w:ascii="Times New Roman" w:hAnsi="Times New Roman"/>
              </w:rPr>
              <w:t xml:space="preserve"> communicated to all stakeholders in a clear and timely manner.</w:t>
            </w:r>
          </w:p>
        </w:tc>
        <w:tc>
          <w:tcPr>
            <w:tcW w:w="2268" w:type="dxa"/>
            <w:tcBorders>
              <w:right w:val="single" w:sz="4" w:space="0" w:color="auto"/>
            </w:tcBorders>
            <w:shd w:val="clear" w:color="auto" w:fill="auto"/>
          </w:tcPr>
          <w:p w14:paraId="6CAE7C62" w14:textId="5A562217" w:rsidR="00E6298A" w:rsidRPr="0095619E" w:rsidRDefault="00602971" w:rsidP="00C263B2">
            <w:pPr>
              <w:spacing w:after="120"/>
              <w:rPr>
                <w:rFonts w:ascii="Times New Roman" w:hAnsi="Times New Roman"/>
              </w:rPr>
            </w:pPr>
            <w:r w:rsidRPr="0095619E">
              <w:rPr>
                <w:rFonts w:ascii="Times New Roman" w:hAnsi="Times New Roman"/>
              </w:rPr>
              <w:t>Agree</w:t>
            </w:r>
            <w:r w:rsidR="00DD24E3" w:rsidRPr="0095619E">
              <w:rPr>
                <w:rFonts w:ascii="Times New Roman" w:hAnsi="Times New Roman"/>
              </w:rPr>
              <w:t>.</w:t>
            </w:r>
          </w:p>
          <w:p w14:paraId="6CAE7C63" w14:textId="41407B17" w:rsidR="00E6298A" w:rsidRPr="0095619E" w:rsidRDefault="00E6298A" w:rsidP="00C263B2">
            <w:pPr>
              <w:spacing w:after="120"/>
              <w:rPr>
                <w:rFonts w:ascii="Times New Roman" w:hAnsi="Times New Roman"/>
              </w:rPr>
            </w:pPr>
          </w:p>
        </w:tc>
        <w:tc>
          <w:tcPr>
            <w:tcW w:w="3402" w:type="dxa"/>
            <w:tcBorders>
              <w:left w:val="single" w:sz="4" w:space="0" w:color="auto"/>
            </w:tcBorders>
            <w:shd w:val="clear" w:color="auto" w:fill="auto"/>
          </w:tcPr>
          <w:p w14:paraId="3E3F42B5" w14:textId="77777777" w:rsidR="00E6298A" w:rsidRPr="0095619E" w:rsidRDefault="003E3F82" w:rsidP="003E3F82">
            <w:pPr>
              <w:spacing w:after="120"/>
              <w:rPr>
                <w:rFonts w:ascii="Times New Roman" w:hAnsi="Times New Roman"/>
              </w:rPr>
            </w:pPr>
            <w:r w:rsidRPr="0095619E">
              <w:rPr>
                <w:rFonts w:ascii="Times New Roman" w:hAnsi="Times New Roman"/>
              </w:rPr>
              <w:t>The R</w:t>
            </w:r>
            <w:r w:rsidR="004F6AC4" w:rsidRPr="0095619E">
              <w:rPr>
                <w:rFonts w:ascii="Times New Roman" w:hAnsi="Times New Roman"/>
              </w:rPr>
              <w:t xml:space="preserve">eview </w:t>
            </w:r>
            <w:r w:rsidRPr="0095619E">
              <w:rPr>
                <w:rFonts w:ascii="Times New Roman" w:hAnsi="Times New Roman"/>
              </w:rPr>
              <w:t>draft and final reports were distributed to</w:t>
            </w:r>
            <w:r w:rsidR="004F6AC4" w:rsidRPr="0095619E">
              <w:rPr>
                <w:rFonts w:ascii="Times New Roman" w:hAnsi="Times New Roman"/>
              </w:rPr>
              <w:t xml:space="preserve"> all</w:t>
            </w:r>
            <w:r w:rsidRPr="0095619E">
              <w:rPr>
                <w:rFonts w:ascii="Times New Roman" w:hAnsi="Times New Roman"/>
              </w:rPr>
              <w:t xml:space="preserve"> PHAMA</w:t>
            </w:r>
            <w:r w:rsidR="004F6AC4" w:rsidRPr="0095619E">
              <w:rPr>
                <w:rFonts w:ascii="Times New Roman" w:hAnsi="Times New Roman"/>
              </w:rPr>
              <w:t xml:space="preserve"> stakeholders.</w:t>
            </w:r>
            <w:r w:rsidRPr="0095619E">
              <w:rPr>
                <w:rFonts w:ascii="Times New Roman" w:hAnsi="Times New Roman"/>
              </w:rPr>
              <w:t xml:space="preserve"> Field visits were complemented by a validation workshop involving all PHAMA countries and other partners such as ACIAR in April 2013. </w:t>
            </w:r>
          </w:p>
          <w:p w14:paraId="6CAE7C64" w14:textId="762EAEC9" w:rsidR="003E3F82" w:rsidRPr="0095619E" w:rsidRDefault="003E3F82" w:rsidP="003E3F82">
            <w:pPr>
              <w:spacing w:after="120"/>
              <w:rPr>
                <w:rFonts w:ascii="Times New Roman" w:hAnsi="Times New Roman"/>
              </w:rPr>
            </w:pPr>
            <w:r w:rsidRPr="0095619E">
              <w:rPr>
                <w:rFonts w:ascii="Times New Roman" w:hAnsi="Times New Roman"/>
              </w:rPr>
              <w:t xml:space="preserve">DFAT convened a theory of change workshop to incorporate the Review findings. Participants included URS Australia Ltd, DAFF, SPC, NZ and the review team. </w:t>
            </w:r>
          </w:p>
        </w:tc>
        <w:tc>
          <w:tcPr>
            <w:tcW w:w="1843" w:type="dxa"/>
            <w:tcBorders>
              <w:left w:val="single" w:sz="4" w:space="0" w:color="auto"/>
            </w:tcBorders>
            <w:shd w:val="clear" w:color="auto" w:fill="auto"/>
          </w:tcPr>
          <w:p w14:paraId="6CAE7C65" w14:textId="49DF3B33" w:rsidR="00E6298A" w:rsidRPr="0095619E" w:rsidRDefault="003E3F82" w:rsidP="0032164F">
            <w:pPr>
              <w:spacing w:after="120"/>
              <w:rPr>
                <w:rFonts w:ascii="Times New Roman" w:hAnsi="Times New Roman"/>
              </w:rPr>
            </w:pPr>
            <w:r w:rsidRPr="0095619E">
              <w:rPr>
                <w:rFonts w:ascii="Times New Roman" w:hAnsi="Times New Roman"/>
              </w:rPr>
              <w:t xml:space="preserve">URS Australia Limited and DFAT </w:t>
            </w:r>
          </w:p>
        </w:tc>
      </w:tr>
      <w:tr w:rsidR="003A15A0" w:rsidRPr="0095619E" w14:paraId="142C91E8" w14:textId="77777777" w:rsidTr="00730AA6">
        <w:trPr>
          <w:cantSplit/>
          <w:trHeight w:val="885"/>
        </w:trPr>
        <w:tc>
          <w:tcPr>
            <w:tcW w:w="2943" w:type="dxa"/>
            <w:shd w:val="clear" w:color="auto" w:fill="auto"/>
          </w:tcPr>
          <w:p w14:paraId="1456B049" w14:textId="0CE62C8E" w:rsidR="003A15A0" w:rsidRPr="0095619E" w:rsidRDefault="003A15A0" w:rsidP="0032164F">
            <w:pPr>
              <w:numPr>
                <w:ilvl w:val="0"/>
                <w:numId w:val="7"/>
              </w:numPr>
              <w:tabs>
                <w:tab w:val="left" w:pos="284"/>
              </w:tabs>
              <w:spacing w:after="120"/>
              <w:ind w:left="142" w:hanging="142"/>
              <w:rPr>
                <w:rFonts w:ascii="Times New Roman" w:hAnsi="Times New Roman"/>
              </w:rPr>
            </w:pPr>
            <w:r w:rsidRPr="0095619E">
              <w:rPr>
                <w:rFonts w:ascii="Times New Roman" w:hAnsi="Times New Roman"/>
              </w:rPr>
              <w:t>That the current funding modalities for both implementing partners should be maintained.</w:t>
            </w:r>
          </w:p>
        </w:tc>
        <w:tc>
          <w:tcPr>
            <w:tcW w:w="2268" w:type="dxa"/>
            <w:tcBorders>
              <w:right w:val="single" w:sz="4" w:space="0" w:color="auto"/>
            </w:tcBorders>
            <w:shd w:val="clear" w:color="auto" w:fill="auto"/>
          </w:tcPr>
          <w:p w14:paraId="5CB591E5" w14:textId="1ACE4310" w:rsidR="003A15A0" w:rsidRPr="0095619E" w:rsidRDefault="0032164F" w:rsidP="00730AA6">
            <w:pPr>
              <w:spacing w:after="120"/>
              <w:rPr>
                <w:rFonts w:ascii="Times New Roman" w:hAnsi="Times New Roman"/>
              </w:rPr>
            </w:pPr>
            <w:r>
              <w:rPr>
                <w:rFonts w:ascii="Times New Roman" w:hAnsi="Times New Roman"/>
              </w:rPr>
              <w:t>Agree subject to resource envelope that was made available</w:t>
            </w:r>
            <w:r w:rsidR="00730AA6">
              <w:rPr>
                <w:rFonts w:ascii="Times New Roman" w:hAnsi="Times New Roman"/>
              </w:rPr>
              <w:t xml:space="preserve">. Noted interests by NZ for additional funding. </w:t>
            </w:r>
            <w:r>
              <w:rPr>
                <w:rFonts w:ascii="Times New Roman" w:hAnsi="Times New Roman"/>
              </w:rPr>
              <w:t xml:space="preserve"> </w:t>
            </w:r>
          </w:p>
        </w:tc>
        <w:tc>
          <w:tcPr>
            <w:tcW w:w="3402" w:type="dxa"/>
            <w:tcBorders>
              <w:left w:val="single" w:sz="4" w:space="0" w:color="auto"/>
            </w:tcBorders>
            <w:shd w:val="clear" w:color="auto" w:fill="auto"/>
          </w:tcPr>
          <w:p w14:paraId="3CAAF2EE" w14:textId="4204D7B6" w:rsidR="003A15A0" w:rsidRPr="0095619E" w:rsidRDefault="003E3F82" w:rsidP="00632714">
            <w:pPr>
              <w:spacing w:after="120"/>
              <w:rPr>
                <w:rFonts w:ascii="Times New Roman" w:hAnsi="Times New Roman"/>
              </w:rPr>
            </w:pPr>
            <w:r w:rsidRPr="0095619E">
              <w:rPr>
                <w:rFonts w:ascii="Times New Roman" w:hAnsi="Times New Roman"/>
              </w:rPr>
              <w:t>Phase 2 funding secured early July 2013.</w:t>
            </w:r>
          </w:p>
        </w:tc>
        <w:tc>
          <w:tcPr>
            <w:tcW w:w="1843" w:type="dxa"/>
            <w:tcBorders>
              <w:left w:val="single" w:sz="4" w:space="0" w:color="auto"/>
            </w:tcBorders>
            <w:shd w:val="clear" w:color="auto" w:fill="auto"/>
          </w:tcPr>
          <w:p w14:paraId="05366E27" w14:textId="76522EED" w:rsidR="003A15A0" w:rsidRPr="0095619E" w:rsidRDefault="0032164F" w:rsidP="0032164F">
            <w:pPr>
              <w:spacing w:after="120"/>
              <w:rPr>
                <w:rFonts w:ascii="Times New Roman" w:hAnsi="Times New Roman"/>
              </w:rPr>
            </w:pPr>
            <w:r w:rsidRPr="0095619E">
              <w:rPr>
                <w:rFonts w:ascii="Times New Roman" w:hAnsi="Times New Roman"/>
              </w:rPr>
              <w:t xml:space="preserve">DFAT </w:t>
            </w:r>
          </w:p>
        </w:tc>
      </w:tr>
      <w:tr w:rsidR="003A15A0" w:rsidRPr="0095619E" w14:paraId="04874901" w14:textId="77777777" w:rsidTr="00730AA6">
        <w:trPr>
          <w:cantSplit/>
          <w:trHeight w:val="885"/>
        </w:trPr>
        <w:tc>
          <w:tcPr>
            <w:tcW w:w="2943" w:type="dxa"/>
            <w:shd w:val="clear" w:color="auto" w:fill="auto"/>
          </w:tcPr>
          <w:p w14:paraId="67180CC4" w14:textId="48977489" w:rsidR="003A15A0" w:rsidRPr="0095619E" w:rsidRDefault="0032164F" w:rsidP="0032164F">
            <w:pPr>
              <w:numPr>
                <w:ilvl w:val="0"/>
                <w:numId w:val="7"/>
              </w:numPr>
              <w:tabs>
                <w:tab w:val="left" w:pos="284"/>
              </w:tabs>
              <w:spacing w:after="120"/>
              <w:ind w:left="142" w:hanging="142"/>
              <w:rPr>
                <w:rFonts w:ascii="Times New Roman" w:hAnsi="Times New Roman"/>
              </w:rPr>
            </w:pPr>
            <w:r>
              <w:rPr>
                <w:rFonts w:ascii="Times New Roman" w:hAnsi="Times New Roman"/>
              </w:rPr>
              <w:t>T</w:t>
            </w:r>
            <w:r w:rsidR="003A15A0" w:rsidRPr="0095619E">
              <w:rPr>
                <w:rFonts w:ascii="Times New Roman" w:hAnsi="Times New Roman"/>
              </w:rPr>
              <w:t>imely finalisation of contracts and timely disbursement of first funding tranches to implementing partners to maintain momentum on Market Access</w:t>
            </w:r>
            <w:r w:rsidR="00C242F1" w:rsidRPr="0095619E">
              <w:rPr>
                <w:rFonts w:ascii="Times New Roman" w:hAnsi="Times New Roman"/>
              </w:rPr>
              <w:t xml:space="preserve"> (MA)</w:t>
            </w:r>
            <w:r w:rsidR="003A15A0" w:rsidRPr="0095619E">
              <w:rPr>
                <w:rFonts w:ascii="Times New Roman" w:hAnsi="Times New Roman"/>
              </w:rPr>
              <w:t xml:space="preserve"> activities.</w:t>
            </w:r>
          </w:p>
        </w:tc>
        <w:tc>
          <w:tcPr>
            <w:tcW w:w="2268" w:type="dxa"/>
            <w:tcBorders>
              <w:right w:val="single" w:sz="4" w:space="0" w:color="auto"/>
            </w:tcBorders>
            <w:shd w:val="clear" w:color="auto" w:fill="auto"/>
          </w:tcPr>
          <w:p w14:paraId="20AE9F76" w14:textId="51CF2FE4" w:rsidR="003A15A0" w:rsidRPr="0095619E" w:rsidRDefault="00DE0E2F" w:rsidP="00C263B2">
            <w:pPr>
              <w:spacing w:after="120"/>
              <w:rPr>
                <w:rFonts w:ascii="Times New Roman" w:hAnsi="Times New Roman"/>
              </w:rPr>
            </w:pPr>
            <w:r w:rsidRPr="0095619E">
              <w:rPr>
                <w:rFonts w:ascii="Times New Roman" w:hAnsi="Times New Roman"/>
              </w:rPr>
              <w:t>Agree.</w:t>
            </w:r>
          </w:p>
        </w:tc>
        <w:tc>
          <w:tcPr>
            <w:tcW w:w="3402" w:type="dxa"/>
            <w:tcBorders>
              <w:left w:val="single" w:sz="4" w:space="0" w:color="auto"/>
            </w:tcBorders>
            <w:shd w:val="clear" w:color="auto" w:fill="auto"/>
          </w:tcPr>
          <w:p w14:paraId="662826B1" w14:textId="755E8E86" w:rsidR="003A15A0" w:rsidRPr="0095619E" w:rsidRDefault="0032164F" w:rsidP="00632714">
            <w:pPr>
              <w:spacing w:after="120"/>
              <w:rPr>
                <w:rFonts w:ascii="Times New Roman" w:hAnsi="Times New Roman"/>
              </w:rPr>
            </w:pPr>
            <w:r>
              <w:rPr>
                <w:rFonts w:ascii="Times New Roman" w:hAnsi="Times New Roman"/>
              </w:rPr>
              <w:t>Completed</w:t>
            </w:r>
          </w:p>
        </w:tc>
        <w:tc>
          <w:tcPr>
            <w:tcW w:w="1843" w:type="dxa"/>
            <w:tcBorders>
              <w:left w:val="single" w:sz="4" w:space="0" w:color="auto"/>
            </w:tcBorders>
            <w:shd w:val="clear" w:color="auto" w:fill="auto"/>
          </w:tcPr>
          <w:p w14:paraId="2D613050" w14:textId="7A5B3D56" w:rsidR="003A15A0" w:rsidRPr="0095619E" w:rsidRDefault="00730AA6" w:rsidP="0032164F">
            <w:pPr>
              <w:spacing w:after="120"/>
              <w:rPr>
                <w:rFonts w:ascii="Times New Roman" w:hAnsi="Times New Roman"/>
              </w:rPr>
            </w:pPr>
            <w:r>
              <w:rPr>
                <w:rFonts w:ascii="Times New Roman" w:hAnsi="Times New Roman"/>
              </w:rPr>
              <w:t>DFAT</w:t>
            </w:r>
            <w:r w:rsidR="003A15A0" w:rsidRPr="0095619E">
              <w:rPr>
                <w:rFonts w:ascii="Times New Roman" w:hAnsi="Times New Roman"/>
              </w:rPr>
              <w:t xml:space="preserve"> </w:t>
            </w:r>
            <w:r w:rsidR="0032164F">
              <w:rPr>
                <w:rFonts w:ascii="Times New Roman" w:hAnsi="Times New Roman"/>
              </w:rPr>
              <w:t xml:space="preserve">in </w:t>
            </w:r>
            <w:r w:rsidR="003A15A0" w:rsidRPr="0095619E">
              <w:rPr>
                <w:rFonts w:ascii="Times New Roman" w:hAnsi="Times New Roman"/>
              </w:rPr>
              <w:t xml:space="preserve">consultation with </w:t>
            </w:r>
            <w:r w:rsidR="0032164F">
              <w:rPr>
                <w:rFonts w:ascii="Times New Roman" w:hAnsi="Times New Roman"/>
              </w:rPr>
              <w:t xml:space="preserve">SPC – LRD, URS Australia Ltd and Australian Department of Agriculture </w:t>
            </w:r>
          </w:p>
        </w:tc>
      </w:tr>
      <w:tr w:rsidR="00A640E4" w:rsidRPr="0095619E" w14:paraId="29FBE28C" w14:textId="77777777" w:rsidTr="00A640E4">
        <w:trPr>
          <w:cantSplit/>
          <w:trHeight w:val="621"/>
        </w:trPr>
        <w:tc>
          <w:tcPr>
            <w:tcW w:w="10456" w:type="dxa"/>
            <w:gridSpan w:val="4"/>
            <w:shd w:val="clear" w:color="auto" w:fill="auto"/>
          </w:tcPr>
          <w:p w14:paraId="7CE64BEE" w14:textId="23E5AB2D" w:rsidR="00A640E4" w:rsidRPr="00A640E4" w:rsidRDefault="00A640E4" w:rsidP="00602971">
            <w:pPr>
              <w:spacing w:after="120"/>
              <w:rPr>
                <w:rFonts w:ascii="Times New Roman" w:hAnsi="Times New Roman"/>
                <w:b/>
              </w:rPr>
            </w:pPr>
            <w:r w:rsidRPr="00A640E4">
              <w:rPr>
                <w:rFonts w:ascii="Times New Roman" w:hAnsi="Times New Roman"/>
                <w:b/>
              </w:rPr>
              <w:t xml:space="preserve">OTHER RECOMMENDATIONS </w:t>
            </w:r>
          </w:p>
        </w:tc>
      </w:tr>
      <w:tr w:rsidR="00602971" w:rsidRPr="0095619E" w14:paraId="0776103A" w14:textId="77777777" w:rsidTr="00730AA6">
        <w:trPr>
          <w:cantSplit/>
          <w:trHeight w:val="885"/>
        </w:trPr>
        <w:tc>
          <w:tcPr>
            <w:tcW w:w="2943" w:type="dxa"/>
            <w:shd w:val="clear" w:color="auto" w:fill="auto"/>
          </w:tcPr>
          <w:p w14:paraId="79F24595" w14:textId="306D57D4" w:rsidR="00602971" w:rsidRPr="0095619E" w:rsidRDefault="00730AA6" w:rsidP="00C54303">
            <w:pPr>
              <w:numPr>
                <w:ilvl w:val="0"/>
                <w:numId w:val="7"/>
              </w:numPr>
              <w:tabs>
                <w:tab w:val="left" w:pos="284"/>
              </w:tabs>
              <w:spacing w:after="120"/>
              <w:ind w:left="142" w:hanging="142"/>
              <w:jc w:val="both"/>
              <w:rPr>
                <w:rFonts w:ascii="Times New Roman" w:hAnsi="Times New Roman"/>
              </w:rPr>
            </w:pPr>
            <w:r>
              <w:rPr>
                <w:rFonts w:ascii="Times New Roman" w:hAnsi="Times New Roman"/>
              </w:rPr>
              <w:t>D</w:t>
            </w:r>
            <w:r w:rsidR="00602971" w:rsidRPr="0095619E">
              <w:rPr>
                <w:rFonts w:ascii="Times New Roman" w:hAnsi="Times New Roman"/>
              </w:rPr>
              <w:t>esign of Phase 2 should be a collaborative process between the Program Management Office</w:t>
            </w:r>
            <w:r w:rsidR="00C242F1" w:rsidRPr="0095619E">
              <w:rPr>
                <w:rFonts w:ascii="Times New Roman" w:hAnsi="Times New Roman"/>
              </w:rPr>
              <w:t xml:space="preserve"> (PMO)</w:t>
            </w:r>
            <w:r w:rsidR="00602971" w:rsidRPr="0095619E">
              <w:rPr>
                <w:rFonts w:ascii="Times New Roman" w:hAnsi="Times New Roman"/>
              </w:rPr>
              <w:t xml:space="preserve"> and the </w:t>
            </w:r>
            <w:r w:rsidR="00C242F1" w:rsidRPr="0095619E">
              <w:rPr>
                <w:rFonts w:ascii="Times New Roman" w:hAnsi="Times New Roman"/>
              </w:rPr>
              <w:t>LRD,</w:t>
            </w:r>
            <w:r w:rsidR="00602971" w:rsidRPr="0095619E">
              <w:rPr>
                <w:rFonts w:ascii="Times New Roman" w:hAnsi="Times New Roman"/>
              </w:rPr>
              <w:t xml:space="preserve"> </w:t>
            </w:r>
            <w:r w:rsidR="00EF68DF" w:rsidRPr="0095619E">
              <w:rPr>
                <w:rFonts w:ascii="Times New Roman" w:hAnsi="Times New Roman"/>
              </w:rPr>
              <w:t>with key inputs from National Market Access Coordinators</w:t>
            </w:r>
            <w:r w:rsidR="00C242F1" w:rsidRPr="0095619E">
              <w:rPr>
                <w:rFonts w:ascii="Times New Roman" w:hAnsi="Times New Roman"/>
              </w:rPr>
              <w:t xml:space="preserve"> (NMACs)</w:t>
            </w:r>
            <w:r w:rsidR="00EF68DF" w:rsidRPr="0095619E">
              <w:rPr>
                <w:rFonts w:ascii="Times New Roman" w:hAnsi="Times New Roman"/>
              </w:rPr>
              <w:t>, Market Access Working Groups</w:t>
            </w:r>
            <w:r w:rsidR="00C242F1" w:rsidRPr="0095619E">
              <w:rPr>
                <w:rFonts w:ascii="Times New Roman" w:hAnsi="Times New Roman"/>
              </w:rPr>
              <w:t xml:space="preserve"> (MWAGs)</w:t>
            </w:r>
            <w:r w:rsidR="00EF68DF" w:rsidRPr="0095619E">
              <w:rPr>
                <w:rFonts w:ascii="Times New Roman" w:hAnsi="Times New Roman"/>
              </w:rPr>
              <w:t xml:space="preserve"> and other stakeholders.</w:t>
            </w:r>
          </w:p>
        </w:tc>
        <w:tc>
          <w:tcPr>
            <w:tcW w:w="2268" w:type="dxa"/>
            <w:tcBorders>
              <w:right w:val="single" w:sz="4" w:space="0" w:color="auto"/>
            </w:tcBorders>
            <w:shd w:val="clear" w:color="auto" w:fill="auto"/>
          </w:tcPr>
          <w:p w14:paraId="5E645C7D" w14:textId="16B539D1" w:rsidR="00602971" w:rsidRPr="0095619E" w:rsidRDefault="00730AA6" w:rsidP="00730AA6">
            <w:pPr>
              <w:spacing w:after="120"/>
              <w:rPr>
                <w:rFonts w:ascii="Times New Roman" w:hAnsi="Times New Roman"/>
              </w:rPr>
            </w:pPr>
            <w:r>
              <w:rPr>
                <w:rFonts w:ascii="Times New Roman" w:hAnsi="Times New Roman"/>
              </w:rPr>
              <w:t xml:space="preserve">The PHAMA components were to be retained so as to give the program and model more time.  Design for Phase 2 `updated’ for Evaluation findings. </w:t>
            </w:r>
          </w:p>
        </w:tc>
        <w:tc>
          <w:tcPr>
            <w:tcW w:w="3402" w:type="dxa"/>
            <w:tcBorders>
              <w:left w:val="single" w:sz="4" w:space="0" w:color="auto"/>
            </w:tcBorders>
            <w:shd w:val="clear" w:color="auto" w:fill="auto"/>
          </w:tcPr>
          <w:p w14:paraId="4B3D0EE3" w14:textId="0FDFB9D8" w:rsidR="00602971" w:rsidRPr="0095619E" w:rsidRDefault="00A640E4" w:rsidP="00A640E4">
            <w:pPr>
              <w:spacing w:after="120"/>
              <w:rPr>
                <w:rFonts w:ascii="Times New Roman" w:hAnsi="Times New Roman"/>
              </w:rPr>
            </w:pPr>
            <w:r>
              <w:rPr>
                <w:rFonts w:ascii="Times New Roman" w:hAnsi="Times New Roman"/>
              </w:rPr>
              <w:t xml:space="preserve">Theory of Change framework collaboratively developed by program partners and DFAT. To be further developed with countries in Phase 2. </w:t>
            </w:r>
          </w:p>
        </w:tc>
        <w:tc>
          <w:tcPr>
            <w:tcW w:w="1843" w:type="dxa"/>
            <w:tcBorders>
              <w:left w:val="single" w:sz="4" w:space="0" w:color="auto"/>
            </w:tcBorders>
            <w:shd w:val="clear" w:color="auto" w:fill="auto"/>
          </w:tcPr>
          <w:p w14:paraId="0070EE64" w14:textId="3BCA886D" w:rsidR="00602971" w:rsidRPr="0095619E" w:rsidRDefault="00D047D0" w:rsidP="00602971">
            <w:pPr>
              <w:spacing w:after="120"/>
              <w:rPr>
                <w:rFonts w:ascii="Times New Roman" w:hAnsi="Times New Roman"/>
              </w:rPr>
            </w:pPr>
            <w:r w:rsidRPr="0095619E">
              <w:rPr>
                <w:rFonts w:ascii="Times New Roman" w:hAnsi="Times New Roman"/>
              </w:rPr>
              <w:t>All stakeholders.</w:t>
            </w:r>
          </w:p>
        </w:tc>
      </w:tr>
      <w:tr w:rsidR="00EF68DF" w:rsidRPr="0095619E" w14:paraId="3BF1736C" w14:textId="77777777" w:rsidTr="00730AA6">
        <w:trPr>
          <w:cantSplit/>
          <w:trHeight w:val="885"/>
        </w:trPr>
        <w:tc>
          <w:tcPr>
            <w:tcW w:w="2943" w:type="dxa"/>
            <w:shd w:val="clear" w:color="auto" w:fill="auto"/>
          </w:tcPr>
          <w:p w14:paraId="14755E5E" w14:textId="22F02C0A" w:rsidR="00EF68DF" w:rsidRPr="0095619E" w:rsidRDefault="00730AA6" w:rsidP="00C54303">
            <w:pPr>
              <w:numPr>
                <w:ilvl w:val="0"/>
                <w:numId w:val="7"/>
              </w:numPr>
              <w:tabs>
                <w:tab w:val="left" w:pos="284"/>
              </w:tabs>
              <w:spacing w:after="120"/>
              <w:ind w:left="142" w:hanging="142"/>
              <w:jc w:val="both"/>
              <w:rPr>
                <w:rFonts w:ascii="Times New Roman" w:hAnsi="Times New Roman"/>
              </w:rPr>
            </w:pPr>
            <w:r>
              <w:rPr>
                <w:rFonts w:ascii="Times New Roman" w:hAnsi="Times New Roman"/>
              </w:rPr>
              <w:lastRenderedPageBreak/>
              <w:t>D</w:t>
            </w:r>
            <w:r w:rsidR="00EF68DF" w:rsidRPr="0095619E">
              <w:rPr>
                <w:rFonts w:ascii="Times New Roman" w:hAnsi="Times New Roman"/>
              </w:rPr>
              <w:t>esign of Phase 2 should be facilitated by an appropriately experienced technical specialist with the requisite expertise in capacity development and political governance.</w:t>
            </w:r>
          </w:p>
        </w:tc>
        <w:tc>
          <w:tcPr>
            <w:tcW w:w="2268" w:type="dxa"/>
            <w:tcBorders>
              <w:right w:val="single" w:sz="4" w:space="0" w:color="auto"/>
            </w:tcBorders>
            <w:shd w:val="clear" w:color="auto" w:fill="auto"/>
          </w:tcPr>
          <w:p w14:paraId="75B1E761" w14:textId="2A40E18C" w:rsidR="00EF68DF" w:rsidRPr="0095619E" w:rsidRDefault="00730AA6" w:rsidP="00C263B2">
            <w:pPr>
              <w:spacing w:after="120"/>
              <w:rPr>
                <w:rFonts w:ascii="Times New Roman" w:hAnsi="Times New Roman"/>
              </w:rPr>
            </w:pPr>
            <w:r>
              <w:rPr>
                <w:rFonts w:ascii="Times New Roman" w:hAnsi="Times New Roman"/>
              </w:rPr>
              <w:t xml:space="preserve">Agree to </w:t>
            </w:r>
            <w:r w:rsidR="00A640E4">
              <w:rPr>
                <w:rFonts w:ascii="Times New Roman" w:hAnsi="Times New Roman"/>
              </w:rPr>
              <w:t xml:space="preserve">the development of </w:t>
            </w:r>
            <w:r>
              <w:rPr>
                <w:rFonts w:ascii="Times New Roman" w:hAnsi="Times New Roman"/>
              </w:rPr>
              <w:t xml:space="preserve">a stronger Theory of Change framework. </w:t>
            </w:r>
          </w:p>
        </w:tc>
        <w:tc>
          <w:tcPr>
            <w:tcW w:w="3402" w:type="dxa"/>
            <w:tcBorders>
              <w:left w:val="single" w:sz="4" w:space="0" w:color="auto"/>
            </w:tcBorders>
            <w:shd w:val="clear" w:color="auto" w:fill="auto"/>
          </w:tcPr>
          <w:p w14:paraId="45066D06" w14:textId="3E27F550" w:rsidR="00EF68DF" w:rsidRPr="0095619E" w:rsidRDefault="00730AA6" w:rsidP="00A640E4">
            <w:pPr>
              <w:spacing w:after="120"/>
              <w:rPr>
                <w:rFonts w:ascii="Times New Roman" w:hAnsi="Times New Roman"/>
              </w:rPr>
            </w:pPr>
            <w:r>
              <w:rPr>
                <w:rFonts w:ascii="Times New Roman" w:hAnsi="Times New Roman"/>
              </w:rPr>
              <w:t xml:space="preserve">Theory of Change framework collaboratively developed by program partners and DFAT. </w:t>
            </w:r>
            <w:r w:rsidR="00A640E4">
              <w:rPr>
                <w:rFonts w:ascii="Times New Roman" w:hAnsi="Times New Roman"/>
              </w:rPr>
              <w:t>To be further developed with countries in Phase 2.</w:t>
            </w:r>
          </w:p>
        </w:tc>
        <w:tc>
          <w:tcPr>
            <w:tcW w:w="1843" w:type="dxa"/>
            <w:tcBorders>
              <w:left w:val="single" w:sz="4" w:space="0" w:color="auto"/>
            </w:tcBorders>
            <w:shd w:val="clear" w:color="auto" w:fill="auto"/>
          </w:tcPr>
          <w:p w14:paraId="22915187" w14:textId="4A7C212B" w:rsidR="00EF68DF" w:rsidRPr="0095619E" w:rsidRDefault="00730AA6" w:rsidP="00602971">
            <w:pPr>
              <w:spacing w:after="120"/>
              <w:rPr>
                <w:rFonts w:ascii="Times New Roman" w:hAnsi="Times New Roman"/>
              </w:rPr>
            </w:pPr>
            <w:r>
              <w:rPr>
                <w:rFonts w:ascii="Times New Roman" w:hAnsi="Times New Roman"/>
              </w:rPr>
              <w:t>URS Australia Ltd, SPC and DFAT</w:t>
            </w:r>
          </w:p>
        </w:tc>
      </w:tr>
      <w:tr w:rsidR="00E74B8D" w:rsidRPr="0095619E" w14:paraId="309A7AF4" w14:textId="77777777" w:rsidTr="00730AA6">
        <w:trPr>
          <w:cantSplit/>
          <w:trHeight w:val="885"/>
        </w:trPr>
        <w:tc>
          <w:tcPr>
            <w:tcW w:w="2943" w:type="dxa"/>
            <w:shd w:val="clear" w:color="auto" w:fill="auto"/>
          </w:tcPr>
          <w:p w14:paraId="07A89856" w14:textId="3456A17C" w:rsidR="00E74B8D" w:rsidRPr="0095619E" w:rsidRDefault="00E74B8D" w:rsidP="00C54303">
            <w:pPr>
              <w:numPr>
                <w:ilvl w:val="0"/>
                <w:numId w:val="7"/>
              </w:numPr>
              <w:tabs>
                <w:tab w:val="left" w:pos="284"/>
              </w:tabs>
              <w:spacing w:after="120"/>
              <w:ind w:left="142" w:hanging="142"/>
              <w:jc w:val="both"/>
              <w:rPr>
                <w:rFonts w:ascii="Times New Roman" w:hAnsi="Times New Roman"/>
              </w:rPr>
            </w:pPr>
            <w:r>
              <w:rPr>
                <w:rFonts w:ascii="Times New Roman" w:hAnsi="Times New Roman"/>
              </w:rPr>
              <w:t>E</w:t>
            </w:r>
            <w:r w:rsidRPr="0095619E">
              <w:rPr>
                <w:rFonts w:ascii="Times New Roman" w:hAnsi="Times New Roman"/>
              </w:rPr>
              <w:t xml:space="preserve">stablish stronger coordination and collaboration between the </w:t>
            </w:r>
            <w:r>
              <w:rPr>
                <w:rFonts w:ascii="Times New Roman" w:hAnsi="Times New Roman"/>
              </w:rPr>
              <w:t xml:space="preserve">PHAMA </w:t>
            </w:r>
            <w:r w:rsidRPr="0095619E">
              <w:rPr>
                <w:rFonts w:ascii="Times New Roman" w:hAnsi="Times New Roman"/>
              </w:rPr>
              <w:t xml:space="preserve"> and the LRD specifically through consideration of:</w:t>
            </w:r>
          </w:p>
          <w:p w14:paraId="765AF616" w14:textId="24B06579" w:rsidR="00E74B8D" w:rsidRPr="0095619E" w:rsidRDefault="00E74B8D" w:rsidP="00C54303">
            <w:pPr>
              <w:numPr>
                <w:ilvl w:val="0"/>
                <w:numId w:val="16"/>
              </w:numPr>
              <w:tabs>
                <w:tab w:val="left" w:pos="284"/>
              </w:tabs>
              <w:spacing w:after="120"/>
              <w:ind w:left="142" w:firstLine="0"/>
              <w:jc w:val="both"/>
              <w:rPr>
                <w:rFonts w:ascii="Times New Roman" w:hAnsi="Times New Roman"/>
              </w:rPr>
            </w:pPr>
            <w:r w:rsidRPr="0095619E">
              <w:rPr>
                <w:rFonts w:ascii="Times New Roman" w:hAnsi="Times New Roman"/>
              </w:rPr>
              <w:t>Establishing a public-private partnership between the LRD and a private MA service provider;</w:t>
            </w:r>
          </w:p>
          <w:p w14:paraId="30AA7C23" w14:textId="7EA08424" w:rsidR="00E74B8D" w:rsidRPr="0095619E" w:rsidRDefault="00E74B8D" w:rsidP="00C54303">
            <w:pPr>
              <w:numPr>
                <w:ilvl w:val="0"/>
                <w:numId w:val="16"/>
              </w:numPr>
              <w:tabs>
                <w:tab w:val="left" w:pos="284"/>
              </w:tabs>
              <w:spacing w:after="120"/>
              <w:ind w:left="142" w:firstLine="0"/>
              <w:jc w:val="both"/>
              <w:rPr>
                <w:rFonts w:ascii="Times New Roman" w:hAnsi="Times New Roman"/>
              </w:rPr>
            </w:pPr>
            <w:r w:rsidRPr="0095619E">
              <w:rPr>
                <w:rFonts w:ascii="Times New Roman" w:hAnsi="Times New Roman"/>
              </w:rPr>
              <w:t>Establishing a panel of Short-Term Technical Assistants (ST-TA) that can be used to address regional MA issues, including responding to specific requests for MA support from Pacific Island Countries and Territories (PICTs).</w:t>
            </w:r>
          </w:p>
          <w:p w14:paraId="396C1111" w14:textId="05A88CB5" w:rsidR="00E74B8D" w:rsidRPr="0095619E" w:rsidRDefault="00E74B8D" w:rsidP="00C54303">
            <w:pPr>
              <w:numPr>
                <w:ilvl w:val="0"/>
                <w:numId w:val="16"/>
              </w:numPr>
              <w:tabs>
                <w:tab w:val="left" w:pos="284"/>
              </w:tabs>
              <w:spacing w:after="120"/>
              <w:ind w:left="142" w:firstLine="0"/>
              <w:jc w:val="both"/>
              <w:rPr>
                <w:rFonts w:ascii="Times New Roman" w:hAnsi="Times New Roman"/>
                <w:lang w:eastAsia="en-GB"/>
              </w:rPr>
            </w:pPr>
            <w:r w:rsidRPr="0095619E">
              <w:rPr>
                <w:rFonts w:ascii="Times New Roman" w:hAnsi="Times New Roman"/>
              </w:rPr>
              <w:t>Maintaining MAWGs and decentralising selected MA functions through NMACs, in collaboration with MAWGs.</w:t>
            </w:r>
          </w:p>
        </w:tc>
        <w:tc>
          <w:tcPr>
            <w:tcW w:w="2268" w:type="dxa"/>
            <w:tcBorders>
              <w:right w:val="single" w:sz="4" w:space="0" w:color="auto"/>
            </w:tcBorders>
            <w:shd w:val="clear" w:color="auto" w:fill="auto"/>
          </w:tcPr>
          <w:p w14:paraId="1BF6B11F" w14:textId="77777777" w:rsidR="00E74B8D" w:rsidRDefault="00E74B8D" w:rsidP="00E74B8D">
            <w:pPr>
              <w:spacing w:after="120"/>
              <w:rPr>
                <w:rFonts w:ascii="Times New Roman" w:hAnsi="Times New Roman"/>
              </w:rPr>
            </w:pPr>
            <w:r w:rsidRPr="0095619E">
              <w:rPr>
                <w:rFonts w:ascii="Times New Roman" w:hAnsi="Times New Roman"/>
              </w:rPr>
              <w:t>Agree</w:t>
            </w:r>
            <w:r>
              <w:rPr>
                <w:rFonts w:ascii="Times New Roman" w:hAnsi="Times New Roman"/>
              </w:rPr>
              <w:t xml:space="preserve"> on stronger collaboration between PHAMA and LRD– through a clearer theory of change framework and identification of capacity development opportunities.</w:t>
            </w:r>
          </w:p>
          <w:p w14:paraId="1B99754F" w14:textId="77777777" w:rsidR="00E74B8D" w:rsidRDefault="00E74B8D" w:rsidP="00E74B8D">
            <w:pPr>
              <w:spacing w:after="120"/>
              <w:rPr>
                <w:rFonts w:ascii="Times New Roman" w:hAnsi="Times New Roman"/>
              </w:rPr>
            </w:pPr>
          </w:p>
          <w:p w14:paraId="69361D01" w14:textId="2F0C2049" w:rsidR="00E74B8D" w:rsidRDefault="00E74B8D" w:rsidP="00E74B8D">
            <w:pPr>
              <w:spacing w:after="120"/>
              <w:rPr>
                <w:rFonts w:ascii="Times New Roman" w:hAnsi="Times New Roman"/>
              </w:rPr>
            </w:pPr>
            <w:r>
              <w:rPr>
                <w:rFonts w:ascii="Times New Roman" w:hAnsi="Times New Roman"/>
              </w:rPr>
              <w:t xml:space="preserve">Agree on </w:t>
            </w:r>
            <w:r w:rsidR="00F9186A">
              <w:rPr>
                <w:rFonts w:ascii="Times New Roman" w:hAnsi="Times New Roman"/>
              </w:rPr>
              <w:t>maintaining MAWG</w:t>
            </w:r>
            <w:r>
              <w:rPr>
                <w:rFonts w:ascii="Times New Roman" w:hAnsi="Times New Roman"/>
              </w:rPr>
              <w:t xml:space="preserve"> structures. </w:t>
            </w:r>
          </w:p>
          <w:p w14:paraId="2A4859CA" w14:textId="77777777" w:rsidR="00E74B8D" w:rsidRDefault="00E74B8D" w:rsidP="00E74B8D">
            <w:pPr>
              <w:spacing w:after="120"/>
              <w:rPr>
                <w:rFonts w:ascii="Times New Roman" w:hAnsi="Times New Roman"/>
              </w:rPr>
            </w:pPr>
          </w:p>
          <w:p w14:paraId="01D784B5" w14:textId="38092F52" w:rsidR="00E74B8D" w:rsidRPr="0095619E" w:rsidRDefault="00E74B8D" w:rsidP="00E74B8D">
            <w:pPr>
              <w:spacing w:after="120"/>
              <w:rPr>
                <w:rFonts w:ascii="Times New Roman" w:hAnsi="Times New Roman"/>
              </w:rPr>
            </w:pPr>
            <w:r>
              <w:rPr>
                <w:rFonts w:ascii="Times New Roman" w:hAnsi="Times New Roman"/>
              </w:rPr>
              <w:t xml:space="preserve">Suggestion for further private sector led </w:t>
            </w:r>
            <w:r w:rsidR="00A640E4">
              <w:rPr>
                <w:rFonts w:ascii="Times New Roman" w:hAnsi="Times New Roman"/>
              </w:rPr>
              <w:t>participation with</w:t>
            </w:r>
            <w:r>
              <w:rPr>
                <w:rFonts w:ascii="Times New Roman" w:hAnsi="Times New Roman"/>
              </w:rPr>
              <w:t xml:space="preserve"> SPC also part of SPC review. </w:t>
            </w:r>
          </w:p>
        </w:tc>
        <w:tc>
          <w:tcPr>
            <w:tcW w:w="3402" w:type="dxa"/>
            <w:tcBorders>
              <w:left w:val="single" w:sz="4" w:space="0" w:color="auto"/>
            </w:tcBorders>
            <w:shd w:val="clear" w:color="auto" w:fill="auto"/>
          </w:tcPr>
          <w:p w14:paraId="440ACAD4" w14:textId="2D06845B" w:rsidR="00E74B8D" w:rsidRPr="0095619E" w:rsidRDefault="00E74B8D" w:rsidP="00E74B8D">
            <w:pPr>
              <w:spacing w:after="120"/>
              <w:rPr>
                <w:rFonts w:ascii="Times New Roman" w:hAnsi="Times New Roman"/>
              </w:rPr>
            </w:pPr>
            <w:r>
              <w:rPr>
                <w:rFonts w:ascii="Times New Roman" w:hAnsi="Times New Roman"/>
              </w:rPr>
              <w:t xml:space="preserve">Initial theory of change framework developed by program partners and DFAT. To be further developed with countries, </w:t>
            </w:r>
          </w:p>
        </w:tc>
        <w:tc>
          <w:tcPr>
            <w:tcW w:w="1843" w:type="dxa"/>
            <w:tcBorders>
              <w:left w:val="single" w:sz="4" w:space="0" w:color="auto"/>
            </w:tcBorders>
            <w:shd w:val="clear" w:color="auto" w:fill="auto"/>
          </w:tcPr>
          <w:p w14:paraId="6D13EDE6" w14:textId="1B52064D" w:rsidR="00E74B8D" w:rsidRPr="0095619E" w:rsidRDefault="00E74B8D" w:rsidP="00602971">
            <w:pPr>
              <w:spacing w:after="120"/>
              <w:rPr>
                <w:rFonts w:ascii="Times New Roman" w:hAnsi="Times New Roman"/>
              </w:rPr>
            </w:pPr>
            <w:r>
              <w:rPr>
                <w:rFonts w:ascii="Times New Roman" w:hAnsi="Times New Roman"/>
              </w:rPr>
              <w:t>URS Australia Ltd, SPC and DFAT</w:t>
            </w:r>
          </w:p>
        </w:tc>
      </w:tr>
      <w:tr w:rsidR="00E74B8D" w:rsidRPr="0095619E" w14:paraId="3EFCD5C7" w14:textId="77777777" w:rsidTr="00730AA6">
        <w:trPr>
          <w:cantSplit/>
          <w:trHeight w:val="885"/>
        </w:trPr>
        <w:tc>
          <w:tcPr>
            <w:tcW w:w="2943" w:type="dxa"/>
            <w:shd w:val="clear" w:color="auto" w:fill="auto"/>
          </w:tcPr>
          <w:p w14:paraId="4770DEA3" w14:textId="61F5B5B2" w:rsidR="00E74B8D" w:rsidRPr="0095619E" w:rsidRDefault="00E74B8D" w:rsidP="00C54303">
            <w:pPr>
              <w:numPr>
                <w:ilvl w:val="0"/>
                <w:numId w:val="7"/>
              </w:numPr>
              <w:tabs>
                <w:tab w:val="left" w:pos="284"/>
              </w:tabs>
              <w:spacing w:after="120"/>
              <w:ind w:left="142" w:hanging="142"/>
              <w:jc w:val="both"/>
              <w:rPr>
                <w:rFonts w:ascii="Times New Roman" w:hAnsi="Times New Roman"/>
                <w:lang w:eastAsia="en-GB"/>
              </w:rPr>
            </w:pPr>
            <w:r w:rsidRPr="0095619E">
              <w:rPr>
                <w:rFonts w:ascii="Times New Roman" w:hAnsi="Times New Roman"/>
              </w:rPr>
              <w:t>Capacity development of NMACs and MWAGs, including clarification of their legal status, accountability and financial sustainability.</w:t>
            </w:r>
          </w:p>
        </w:tc>
        <w:tc>
          <w:tcPr>
            <w:tcW w:w="2268" w:type="dxa"/>
            <w:tcBorders>
              <w:right w:val="single" w:sz="4" w:space="0" w:color="auto"/>
            </w:tcBorders>
            <w:shd w:val="clear" w:color="auto" w:fill="auto"/>
          </w:tcPr>
          <w:p w14:paraId="5019EA6E" w14:textId="3A512E6E" w:rsidR="00E74B8D" w:rsidRPr="0095619E" w:rsidRDefault="00E74B8D" w:rsidP="00C263B2">
            <w:pPr>
              <w:spacing w:after="120"/>
              <w:rPr>
                <w:rFonts w:ascii="Times New Roman" w:hAnsi="Times New Roman"/>
              </w:rPr>
            </w:pPr>
            <w:r>
              <w:rPr>
                <w:rFonts w:ascii="Times New Roman" w:hAnsi="Times New Roman"/>
              </w:rPr>
              <w:t xml:space="preserve">Further information required on </w:t>
            </w:r>
            <w:r w:rsidR="00A640E4">
              <w:rPr>
                <w:rFonts w:ascii="Times New Roman" w:hAnsi="Times New Roman"/>
              </w:rPr>
              <w:t xml:space="preserve">similar </w:t>
            </w:r>
            <w:r>
              <w:rPr>
                <w:rFonts w:ascii="Times New Roman" w:hAnsi="Times New Roman"/>
              </w:rPr>
              <w:t xml:space="preserve">sustainable  models that exist elsewhere to help inform countries </w:t>
            </w:r>
          </w:p>
        </w:tc>
        <w:tc>
          <w:tcPr>
            <w:tcW w:w="3402" w:type="dxa"/>
            <w:tcBorders>
              <w:left w:val="single" w:sz="4" w:space="0" w:color="auto"/>
            </w:tcBorders>
            <w:shd w:val="clear" w:color="auto" w:fill="auto"/>
          </w:tcPr>
          <w:p w14:paraId="0D43684A" w14:textId="67D31B22" w:rsidR="00E74B8D" w:rsidRPr="0095619E" w:rsidRDefault="00E74B8D" w:rsidP="00632714">
            <w:pPr>
              <w:spacing w:after="120"/>
              <w:rPr>
                <w:rFonts w:ascii="Times New Roman" w:hAnsi="Times New Roman"/>
              </w:rPr>
            </w:pPr>
            <w:r>
              <w:rPr>
                <w:rFonts w:ascii="Times New Roman" w:hAnsi="Times New Roman"/>
              </w:rPr>
              <w:t>URS Australia Ltd has been asked to prepare a study on industry models that exist in Australia, NZ and elsewhere</w:t>
            </w:r>
          </w:p>
        </w:tc>
        <w:tc>
          <w:tcPr>
            <w:tcW w:w="1843" w:type="dxa"/>
            <w:tcBorders>
              <w:left w:val="single" w:sz="4" w:space="0" w:color="auto"/>
            </w:tcBorders>
            <w:shd w:val="clear" w:color="auto" w:fill="auto"/>
          </w:tcPr>
          <w:p w14:paraId="6E0488B1" w14:textId="098E48DE" w:rsidR="00E74B8D" w:rsidRPr="0095619E" w:rsidRDefault="00E74B8D" w:rsidP="00582611">
            <w:pPr>
              <w:spacing w:after="120"/>
              <w:rPr>
                <w:rFonts w:ascii="Times New Roman" w:hAnsi="Times New Roman"/>
              </w:rPr>
            </w:pPr>
            <w:r>
              <w:rPr>
                <w:rFonts w:ascii="Times New Roman" w:hAnsi="Times New Roman"/>
              </w:rPr>
              <w:t>URS Australia Ltd</w:t>
            </w:r>
          </w:p>
        </w:tc>
      </w:tr>
      <w:tr w:rsidR="00E74B8D" w:rsidRPr="0095619E" w14:paraId="10F88684" w14:textId="77777777" w:rsidTr="00730AA6">
        <w:trPr>
          <w:cantSplit/>
          <w:trHeight w:val="885"/>
        </w:trPr>
        <w:tc>
          <w:tcPr>
            <w:tcW w:w="2943" w:type="dxa"/>
            <w:shd w:val="clear" w:color="auto" w:fill="auto"/>
          </w:tcPr>
          <w:p w14:paraId="560A2AB9" w14:textId="1D2A7DA7" w:rsidR="00E74B8D" w:rsidRPr="0095619E" w:rsidRDefault="00E74B8D" w:rsidP="00C54303">
            <w:pPr>
              <w:numPr>
                <w:ilvl w:val="0"/>
                <w:numId w:val="7"/>
              </w:numPr>
              <w:tabs>
                <w:tab w:val="left" w:pos="284"/>
              </w:tabs>
              <w:spacing w:after="120"/>
              <w:ind w:left="142" w:hanging="142"/>
              <w:jc w:val="both"/>
              <w:rPr>
                <w:rFonts w:ascii="Times New Roman" w:hAnsi="Times New Roman"/>
                <w:lang w:eastAsia="en-GB"/>
              </w:rPr>
            </w:pPr>
            <w:r w:rsidRPr="0095619E">
              <w:rPr>
                <w:rFonts w:ascii="Times New Roman" w:hAnsi="Times New Roman"/>
              </w:rPr>
              <w:t>That the cap for individual Export Development Grants (EDGs) should be raised to AUD $15,000.</w:t>
            </w:r>
            <w:r w:rsidRPr="0095619E">
              <w:rPr>
                <w:rFonts w:ascii="Times New Roman" w:hAnsi="Times New Roman"/>
                <w:lang w:eastAsia="en-GB"/>
              </w:rPr>
              <w:t xml:space="preserve"> </w:t>
            </w:r>
          </w:p>
        </w:tc>
        <w:tc>
          <w:tcPr>
            <w:tcW w:w="2268" w:type="dxa"/>
            <w:tcBorders>
              <w:right w:val="single" w:sz="4" w:space="0" w:color="auto"/>
            </w:tcBorders>
            <w:shd w:val="clear" w:color="auto" w:fill="auto"/>
          </w:tcPr>
          <w:p w14:paraId="5F15E767" w14:textId="4682E5AC" w:rsidR="00E74B8D" w:rsidRPr="0095619E" w:rsidRDefault="00E74B8D" w:rsidP="00C263B2">
            <w:pPr>
              <w:spacing w:after="120"/>
              <w:rPr>
                <w:rFonts w:ascii="Times New Roman" w:hAnsi="Times New Roman"/>
              </w:rPr>
            </w:pPr>
            <w:r>
              <w:rPr>
                <w:rFonts w:ascii="Times New Roman" w:hAnsi="Times New Roman"/>
              </w:rPr>
              <w:t xml:space="preserve">Subject to resourcing envelope. </w:t>
            </w:r>
          </w:p>
        </w:tc>
        <w:tc>
          <w:tcPr>
            <w:tcW w:w="3402" w:type="dxa"/>
            <w:tcBorders>
              <w:left w:val="single" w:sz="4" w:space="0" w:color="auto"/>
            </w:tcBorders>
            <w:shd w:val="clear" w:color="auto" w:fill="auto"/>
          </w:tcPr>
          <w:p w14:paraId="665B3F58" w14:textId="58131D43" w:rsidR="00E74B8D" w:rsidRPr="0095619E" w:rsidRDefault="00A640E4" w:rsidP="00C54303">
            <w:pPr>
              <w:spacing w:after="120"/>
              <w:rPr>
                <w:rFonts w:ascii="Times New Roman" w:hAnsi="Times New Roman"/>
              </w:rPr>
            </w:pPr>
            <w:r>
              <w:rPr>
                <w:rFonts w:ascii="Times New Roman" w:hAnsi="Times New Roman"/>
              </w:rPr>
              <w:t xml:space="preserve">EDG retained but is subject to resource envelope. Longer term this finance facility is </w:t>
            </w:r>
            <w:r w:rsidR="00C54303">
              <w:rPr>
                <w:rFonts w:ascii="Times New Roman" w:hAnsi="Times New Roman"/>
              </w:rPr>
              <w:t>b</w:t>
            </w:r>
            <w:r>
              <w:rPr>
                <w:rFonts w:ascii="Times New Roman" w:hAnsi="Times New Roman"/>
              </w:rPr>
              <w:t xml:space="preserve">etter delivered by </w:t>
            </w:r>
            <w:r w:rsidR="00C54303">
              <w:rPr>
                <w:rFonts w:ascii="Times New Roman" w:hAnsi="Times New Roman"/>
              </w:rPr>
              <w:t xml:space="preserve">specialist </w:t>
            </w:r>
            <w:r>
              <w:rPr>
                <w:rFonts w:ascii="Times New Roman" w:hAnsi="Times New Roman"/>
              </w:rPr>
              <w:t xml:space="preserve">service providers. </w:t>
            </w:r>
          </w:p>
        </w:tc>
        <w:tc>
          <w:tcPr>
            <w:tcW w:w="1843" w:type="dxa"/>
            <w:tcBorders>
              <w:left w:val="single" w:sz="4" w:space="0" w:color="auto"/>
            </w:tcBorders>
            <w:shd w:val="clear" w:color="auto" w:fill="auto"/>
          </w:tcPr>
          <w:p w14:paraId="559A0682" w14:textId="45B69C12" w:rsidR="00E74B8D" w:rsidRPr="0095619E" w:rsidRDefault="00582611" w:rsidP="00A640E4">
            <w:pPr>
              <w:spacing w:after="120"/>
              <w:rPr>
                <w:rFonts w:ascii="Times New Roman" w:hAnsi="Times New Roman"/>
              </w:rPr>
            </w:pPr>
            <w:r>
              <w:rPr>
                <w:rFonts w:ascii="Times New Roman" w:hAnsi="Times New Roman"/>
              </w:rPr>
              <w:t>URS Australia Ltd</w:t>
            </w:r>
          </w:p>
        </w:tc>
      </w:tr>
      <w:tr w:rsidR="00A640E4" w:rsidRPr="0095619E" w14:paraId="6472A9A3" w14:textId="77777777" w:rsidTr="00730AA6">
        <w:trPr>
          <w:cantSplit/>
          <w:trHeight w:val="885"/>
        </w:trPr>
        <w:tc>
          <w:tcPr>
            <w:tcW w:w="2943" w:type="dxa"/>
            <w:shd w:val="clear" w:color="auto" w:fill="auto"/>
          </w:tcPr>
          <w:p w14:paraId="300156C8" w14:textId="44ED967E" w:rsidR="00A640E4" w:rsidRPr="0095619E" w:rsidRDefault="00A640E4" w:rsidP="00C54303">
            <w:pPr>
              <w:numPr>
                <w:ilvl w:val="0"/>
                <w:numId w:val="7"/>
              </w:numPr>
              <w:tabs>
                <w:tab w:val="left" w:pos="284"/>
              </w:tabs>
              <w:spacing w:after="120"/>
              <w:ind w:left="142" w:hanging="142"/>
              <w:jc w:val="both"/>
              <w:rPr>
                <w:rFonts w:ascii="Times New Roman" w:hAnsi="Times New Roman"/>
                <w:lang w:eastAsia="en-GB"/>
              </w:rPr>
            </w:pPr>
            <w:r>
              <w:rPr>
                <w:rFonts w:ascii="Times New Roman" w:hAnsi="Times New Roman"/>
              </w:rPr>
              <w:t>E</w:t>
            </w:r>
            <w:r w:rsidRPr="0095619E">
              <w:rPr>
                <w:rFonts w:ascii="Times New Roman" w:hAnsi="Times New Roman"/>
              </w:rPr>
              <w:t>xisting assessment criteria for EDGs, Value for Money should also be emphasised.</w:t>
            </w:r>
          </w:p>
        </w:tc>
        <w:tc>
          <w:tcPr>
            <w:tcW w:w="2268" w:type="dxa"/>
            <w:tcBorders>
              <w:right w:val="single" w:sz="4" w:space="0" w:color="auto"/>
            </w:tcBorders>
            <w:shd w:val="clear" w:color="auto" w:fill="auto"/>
          </w:tcPr>
          <w:p w14:paraId="3E6AF43F" w14:textId="69B3406E" w:rsidR="00A640E4" w:rsidRPr="0095619E" w:rsidRDefault="00A640E4" w:rsidP="00C263B2">
            <w:pPr>
              <w:spacing w:after="120"/>
              <w:rPr>
                <w:rFonts w:ascii="Times New Roman" w:hAnsi="Times New Roman"/>
              </w:rPr>
            </w:pPr>
            <w:r>
              <w:rPr>
                <w:rFonts w:ascii="Times New Roman" w:hAnsi="Times New Roman"/>
              </w:rPr>
              <w:t xml:space="preserve">Agree. </w:t>
            </w:r>
          </w:p>
        </w:tc>
        <w:tc>
          <w:tcPr>
            <w:tcW w:w="3402" w:type="dxa"/>
            <w:tcBorders>
              <w:left w:val="single" w:sz="4" w:space="0" w:color="auto"/>
            </w:tcBorders>
            <w:shd w:val="clear" w:color="auto" w:fill="auto"/>
          </w:tcPr>
          <w:p w14:paraId="2828FA91" w14:textId="0C661CDB" w:rsidR="00A640E4" w:rsidRPr="0095619E" w:rsidRDefault="00A640E4" w:rsidP="00632714">
            <w:pPr>
              <w:spacing w:after="120"/>
              <w:rPr>
                <w:rFonts w:ascii="Times New Roman" w:hAnsi="Times New Roman"/>
              </w:rPr>
            </w:pPr>
            <w:r>
              <w:rPr>
                <w:rFonts w:ascii="Times New Roman" w:hAnsi="Times New Roman"/>
              </w:rPr>
              <w:t xml:space="preserve">EDG retained but is subject to resource envelope. Longer term this finance facility is perhaps better delivered by other service providers. </w:t>
            </w:r>
          </w:p>
        </w:tc>
        <w:tc>
          <w:tcPr>
            <w:tcW w:w="1843" w:type="dxa"/>
            <w:tcBorders>
              <w:left w:val="single" w:sz="4" w:space="0" w:color="auto"/>
            </w:tcBorders>
            <w:shd w:val="clear" w:color="auto" w:fill="auto"/>
          </w:tcPr>
          <w:p w14:paraId="472152CF" w14:textId="590F1E04" w:rsidR="00A640E4" w:rsidRPr="0095619E" w:rsidRDefault="00A640E4" w:rsidP="00602971">
            <w:pPr>
              <w:spacing w:after="120"/>
              <w:rPr>
                <w:rFonts w:ascii="Times New Roman" w:hAnsi="Times New Roman"/>
              </w:rPr>
            </w:pPr>
            <w:r>
              <w:rPr>
                <w:rFonts w:ascii="Times New Roman" w:hAnsi="Times New Roman"/>
              </w:rPr>
              <w:t xml:space="preserve">URS Australia Ltd </w:t>
            </w:r>
          </w:p>
        </w:tc>
      </w:tr>
      <w:tr w:rsidR="00A640E4" w:rsidRPr="0095619E" w14:paraId="362F543A" w14:textId="77777777" w:rsidTr="00730AA6">
        <w:trPr>
          <w:cantSplit/>
          <w:trHeight w:val="885"/>
        </w:trPr>
        <w:tc>
          <w:tcPr>
            <w:tcW w:w="2943" w:type="dxa"/>
            <w:shd w:val="clear" w:color="auto" w:fill="auto"/>
          </w:tcPr>
          <w:p w14:paraId="70FF889C" w14:textId="3C0661FA" w:rsidR="00A640E4" w:rsidRPr="00A640E4" w:rsidRDefault="00A640E4" w:rsidP="00C54303">
            <w:pPr>
              <w:numPr>
                <w:ilvl w:val="0"/>
                <w:numId w:val="7"/>
              </w:numPr>
              <w:tabs>
                <w:tab w:val="left" w:pos="284"/>
              </w:tabs>
              <w:spacing w:after="120"/>
              <w:ind w:left="142" w:hanging="142"/>
              <w:jc w:val="both"/>
              <w:rPr>
                <w:rFonts w:ascii="Arial Rounded MT Bold" w:hAnsi="Arial Rounded MT Bold"/>
                <w:lang w:eastAsia="en-GB"/>
              </w:rPr>
            </w:pPr>
            <w:r w:rsidRPr="00A640E4">
              <w:rPr>
                <w:rFonts w:ascii="Times New Roman" w:hAnsi="Times New Roman"/>
              </w:rPr>
              <w:lastRenderedPageBreak/>
              <w:t>Distribute the management burden between the PMO and NMACs/MAWGs by developing systems and capacity to devolve management of EDGs to the country level.</w:t>
            </w:r>
          </w:p>
        </w:tc>
        <w:tc>
          <w:tcPr>
            <w:tcW w:w="2268" w:type="dxa"/>
            <w:tcBorders>
              <w:right w:val="single" w:sz="4" w:space="0" w:color="auto"/>
            </w:tcBorders>
            <w:shd w:val="clear" w:color="auto" w:fill="auto"/>
          </w:tcPr>
          <w:p w14:paraId="1628B219" w14:textId="09B511A0" w:rsidR="00A640E4" w:rsidRPr="0095619E" w:rsidRDefault="00040154" w:rsidP="00C263B2">
            <w:pPr>
              <w:spacing w:after="120"/>
              <w:rPr>
                <w:rFonts w:ascii="Times New Roman" w:hAnsi="Times New Roman"/>
              </w:rPr>
            </w:pPr>
            <w:r>
              <w:rPr>
                <w:rFonts w:ascii="Times New Roman" w:hAnsi="Times New Roman"/>
              </w:rPr>
              <w:t xml:space="preserve">To be explored by URS Australia Ltd. </w:t>
            </w:r>
          </w:p>
        </w:tc>
        <w:tc>
          <w:tcPr>
            <w:tcW w:w="3402" w:type="dxa"/>
            <w:tcBorders>
              <w:left w:val="single" w:sz="4" w:space="0" w:color="auto"/>
            </w:tcBorders>
            <w:shd w:val="clear" w:color="auto" w:fill="auto"/>
          </w:tcPr>
          <w:p w14:paraId="32453270" w14:textId="61148341" w:rsidR="00A640E4" w:rsidRPr="0095619E" w:rsidRDefault="00A640E4" w:rsidP="00040154">
            <w:pPr>
              <w:spacing w:after="120"/>
              <w:rPr>
                <w:rFonts w:ascii="Times New Roman" w:hAnsi="Times New Roman"/>
              </w:rPr>
            </w:pPr>
            <w:r>
              <w:rPr>
                <w:rFonts w:ascii="Times New Roman" w:hAnsi="Times New Roman"/>
              </w:rPr>
              <w:t xml:space="preserve">While EDGs have been retained, </w:t>
            </w:r>
            <w:r w:rsidR="00040154">
              <w:rPr>
                <w:rFonts w:ascii="Times New Roman" w:hAnsi="Times New Roman"/>
              </w:rPr>
              <w:t xml:space="preserve">the </w:t>
            </w:r>
            <w:r>
              <w:rPr>
                <w:rFonts w:ascii="Times New Roman" w:hAnsi="Times New Roman"/>
              </w:rPr>
              <w:t xml:space="preserve">resourcing envelope for Phase 2 is limited. </w:t>
            </w:r>
            <w:r w:rsidR="00040154">
              <w:rPr>
                <w:rFonts w:ascii="Times New Roman" w:hAnsi="Times New Roman"/>
              </w:rPr>
              <w:t xml:space="preserve">National buy in to country offices is necessary for country offices although there is also the option with scaling MA delivery at SPC or for the PPPO.  This issue is to part of continued dialogue by PHAMA and national governments.  </w:t>
            </w:r>
          </w:p>
        </w:tc>
        <w:tc>
          <w:tcPr>
            <w:tcW w:w="1843" w:type="dxa"/>
            <w:tcBorders>
              <w:left w:val="single" w:sz="4" w:space="0" w:color="auto"/>
            </w:tcBorders>
            <w:shd w:val="clear" w:color="auto" w:fill="auto"/>
          </w:tcPr>
          <w:p w14:paraId="23ACC5DC" w14:textId="7E063EE6" w:rsidR="00A640E4" w:rsidRPr="0095619E" w:rsidRDefault="00A640E4" w:rsidP="00602971">
            <w:pPr>
              <w:spacing w:after="120"/>
              <w:rPr>
                <w:rFonts w:ascii="Times New Roman" w:hAnsi="Times New Roman"/>
              </w:rPr>
            </w:pPr>
            <w:r>
              <w:rPr>
                <w:rFonts w:ascii="Times New Roman" w:hAnsi="Times New Roman"/>
              </w:rPr>
              <w:t xml:space="preserve">URS Australia Ltd, DFAT </w:t>
            </w:r>
          </w:p>
        </w:tc>
      </w:tr>
      <w:tr w:rsidR="00A640E4" w:rsidRPr="0095619E" w14:paraId="677B5115" w14:textId="77777777" w:rsidTr="00730AA6">
        <w:trPr>
          <w:cantSplit/>
          <w:trHeight w:val="885"/>
        </w:trPr>
        <w:tc>
          <w:tcPr>
            <w:tcW w:w="2943" w:type="dxa"/>
            <w:shd w:val="clear" w:color="auto" w:fill="auto"/>
          </w:tcPr>
          <w:p w14:paraId="46368371" w14:textId="1D1AE007" w:rsidR="00A640E4" w:rsidRPr="0095619E" w:rsidRDefault="00A640E4" w:rsidP="00C54303">
            <w:pPr>
              <w:numPr>
                <w:ilvl w:val="0"/>
                <w:numId w:val="7"/>
              </w:numPr>
              <w:tabs>
                <w:tab w:val="left" w:pos="284"/>
              </w:tabs>
              <w:spacing w:after="120"/>
              <w:ind w:left="142" w:hanging="142"/>
              <w:jc w:val="both"/>
              <w:rPr>
                <w:rFonts w:ascii="Times New Roman" w:hAnsi="Times New Roman"/>
                <w:lang w:eastAsia="en-GB"/>
              </w:rPr>
            </w:pPr>
            <w:r>
              <w:rPr>
                <w:rFonts w:ascii="Times New Roman" w:hAnsi="Times New Roman"/>
              </w:rPr>
              <w:t xml:space="preserve">Assumptions and </w:t>
            </w:r>
            <w:r w:rsidRPr="0095619E">
              <w:rPr>
                <w:rFonts w:ascii="Times New Roman" w:hAnsi="Times New Roman"/>
              </w:rPr>
              <w:t>expectations of the implementing partners to work in a more collaborative manner in order to strengthen LRD’s capacity should be “unpacked” into clear roles, responsibilities, milestones and results.</w:t>
            </w:r>
          </w:p>
        </w:tc>
        <w:tc>
          <w:tcPr>
            <w:tcW w:w="2268" w:type="dxa"/>
            <w:tcBorders>
              <w:right w:val="single" w:sz="4" w:space="0" w:color="auto"/>
            </w:tcBorders>
            <w:shd w:val="clear" w:color="auto" w:fill="auto"/>
          </w:tcPr>
          <w:p w14:paraId="345D6210" w14:textId="0807431D" w:rsidR="00A640E4" w:rsidRPr="0095619E" w:rsidRDefault="00A640E4" w:rsidP="00C263B2">
            <w:pPr>
              <w:spacing w:after="120"/>
              <w:rPr>
                <w:rFonts w:ascii="Times New Roman" w:hAnsi="Times New Roman"/>
              </w:rPr>
            </w:pPr>
            <w:r w:rsidRPr="0095619E">
              <w:rPr>
                <w:rFonts w:ascii="Times New Roman" w:hAnsi="Times New Roman"/>
              </w:rPr>
              <w:t>Agree.</w:t>
            </w:r>
          </w:p>
        </w:tc>
        <w:tc>
          <w:tcPr>
            <w:tcW w:w="3402" w:type="dxa"/>
            <w:tcBorders>
              <w:left w:val="single" w:sz="4" w:space="0" w:color="auto"/>
            </w:tcBorders>
            <w:shd w:val="clear" w:color="auto" w:fill="auto"/>
          </w:tcPr>
          <w:p w14:paraId="7D87DBBF" w14:textId="77A9A766" w:rsidR="00A640E4" w:rsidRPr="0095619E" w:rsidRDefault="00A640E4" w:rsidP="00A640E4">
            <w:pPr>
              <w:spacing w:after="120"/>
              <w:rPr>
                <w:rFonts w:ascii="Times New Roman" w:hAnsi="Times New Roman"/>
              </w:rPr>
            </w:pPr>
            <w:r>
              <w:rPr>
                <w:rFonts w:ascii="Times New Roman" w:hAnsi="Times New Roman"/>
              </w:rPr>
              <w:t>Captured in a Theory of Change framework developed by program partners and DFAT. To be further developed with countries in Phase 2.</w:t>
            </w:r>
          </w:p>
        </w:tc>
        <w:tc>
          <w:tcPr>
            <w:tcW w:w="1843" w:type="dxa"/>
            <w:tcBorders>
              <w:left w:val="single" w:sz="4" w:space="0" w:color="auto"/>
            </w:tcBorders>
            <w:shd w:val="clear" w:color="auto" w:fill="auto"/>
          </w:tcPr>
          <w:p w14:paraId="600629B8" w14:textId="6777F73A" w:rsidR="00A640E4" w:rsidRPr="0095619E" w:rsidRDefault="00582611" w:rsidP="00602971">
            <w:pPr>
              <w:spacing w:after="120"/>
              <w:rPr>
                <w:rFonts w:ascii="Times New Roman" w:hAnsi="Times New Roman"/>
              </w:rPr>
            </w:pPr>
            <w:r>
              <w:rPr>
                <w:rFonts w:ascii="Times New Roman" w:hAnsi="Times New Roman"/>
              </w:rPr>
              <w:t>DFAT</w:t>
            </w:r>
            <w:r w:rsidR="00A640E4" w:rsidRPr="0095619E">
              <w:rPr>
                <w:rFonts w:ascii="Times New Roman" w:hAnsi="Times New Roman"/>
              </w:rPr>
              <w:t xml:space="preserve"> Canberra / Posts, SPC, DAFF &amp; NZMAF. </w:t>
            </w:r>
          </w:p>
        </w:tc>
      </w:tr>
      <w:tr w:rsidR="00A640E4" w:rsidRPr="0095619E" w14:paraId="39CDE383" w14:textId="77777777" w:rsidTr="00730AA6">
        <w:trPr>
          <w:cantSplit/>
          <w:trHeight w:val="885"/>
        </w:trPr>
        <w:tc>
          <w:tcPr>
            <w:tcW w:w="2943" w:type="dxa"/>
            <w:shd w:val="clear" w:color="auto" w:fill="auto"/>
          </w:tcPr>
          <w:p w14:paraId="6E0E5833" w14:textId="12135E0F" w:rsidR="00A640E4" w:rsidRPr="0095619E" w:rsidRDefault="00A640E4" w:rsidP="00C54303">
            <w:pPr>
              <w:numPr>
                <w:ilvl w:val="0"/>
                <w:numId w:val="7"/>
              </w:numPr>
              <w:tabs>
                <w:tab w:val="left" w:pos="284"/>
              </w:tabs>
              <w:spacing w:after="120"/>
              <w:ind w:left="142" w:hanging="142"/>
              <w:jc w:val="both"/>
              <w:rPr>
                <w:rFonts w:ascii="Times New Roman" w:hAnsi="Times New Roman"/>
              </w:rPr>
            </w:pPr>
            <w:r>
              <w:rPr>
                <w:rFonts w:ascii="Times New Roman" w:hAnsi="Times New Roman"/>
              </w:rPr>
              <w:t>D</w:t>
            </w:r>
            <w:r w:rsidRPr="0095619E">
              <w:rPr>
                <w:rFonts w:ascii="Times New Roman" w:hAnsi="Times New Roman"/>
              </w:rPr>
              <w:t xml:space="preserve">edicated </w:t>
            </w:r>
            <w:r>
              <w:rPr>
                <w:rFonts w:ascii="Times New Roman" w:hAnsi="Times New Roman"/>
              </w:rPr>
              <w:t xml:space="preserve">TA </w:t>
            </w:r>
            <w:r w:rsidRPr="0095619E">
              <w:rPr>
                <w:rFonts w:ascii="Times New Roman" w:hAnsi="Times New Roman"/>
              </w:rPr>
              <w:t xml:space="preserve">to facilitate a collaborative relationship between the PMO and the LRD, within the larger organisational context of SPC. This relationship would then be conducive to developing LRD’s capacity in MA service delivery.  </w:t>
            </w:r>
          </w:p>
        </w:tc>
        <w:tc>
          <w:tcPr>
            <w:tcW w:w="2268" w:type="dxa"/>
            <w:tcBorders>
              <w:right w:val="single" w:sz="4" w:space="0" w:color="auto"/>
            </w:tcBorders>
            <w:shd w:val="clear" w:color="auto" w:fill="auto"/>
          </w:tcPr>
          <w:p w14:paraId="375A83C8" w14:textId="6ACA263F" w:rsidR="00A640E4" w:rsidRPr="0095619E" w:rsidRDefault="00A640E4" w:rsidP="00A640E4">
            <w:pPr>
              <w:spacing w:after="120"/>
              <w:rPr>
                <w:rFonts w:ascii="Times New Roman" w:hAnsi="Times New Roman"/>
              </w:rPr>
            </w:pPr>
            <w:r>
              <w:rPr>
                <w:rFonts w:ascii="Times New Roman" w:hAnsi="Times New Roman"/>
              </w:rPr>
              <w:t>Funding is already provided for a Market Access Issues Adviser at SPC that will bridge SPC and PHAMA</w:t>
            </w:r>
          </w:p>
        </w:tc>
        <w:tc>
          <w:tcPr>
            <w:tcW w:w="3402" w:type="dxa"/>
            <w:tcBorders>
              <w:left w:val="single" w:sz="4" w:space="0" w:color="auto"/>
            </w:tcBorders>
            <w:shd w:val="clear" w:color="auto" w:fill="auto"/>
          </w:tcPr>
          <w:p w14:paraId="267E4ED3" w14:textId="799989FE" w:rsidR="00A640E4" w:rsidRPr="0095619E" w:rsidRDefault="0029328E" w:rsidP="00632714">
            <w:pPr>
              <w:spacing w:after="120"/>
              <w:rPr>
                <w:rFonts w:ascii="Times New Roman" w:hAnsi="Times New Roman"/>
              </w:rPr>
            </w:pPr>
            <w:r>
              <w:rPr>
                <w:rFonts w:ascii="Times New Roman" w:hAnsi="Times New Roman"/>
              </w:rPr>
              <w:t xml:space="preserve">Constrained by recruitment delays. Model is new and also needs time to be tested. </w:t>
            </w:r>
          </w:p>
        </w:tc>
        <w:tc>
          <w:tcPr>
            <w:tcW w:w="1843" w:type="dxa"/>
            <w:tcBorders>
              <w:left w:val="single" w:sz="4" w:space="0" w:color="auto"/>
            </w:tcBorders>
            <w:shd w:val="clear" w:color="auto" w:fill="auto"/>
          </w:tcPr>
          <w:p w14:paraId="56A2ACD9" w14:textId="60249C83" w:rsidR="00A640E4" w:rsidRPr="0095619E" w:rsidRDefault="0029328E" w:rsidP="00602971">
            <w:pPr>
              <w:spacing w:after="120"/>
              <w:rPr>
                <w:rFonts w:ascii="Times New Roman" w:hAnsi="Times New Roman"/>
              </w:rPr>
            </w:pPr>
            <w:r>
              <w:rPr>
                <w:rFonts w:ascii="Times New Roman" w:hAnsi="Times New Roman"/>
              </w:rPr>
              <w:t>SPC-LRD, URS Australia Ltd, DFAT</w:t>
            </w:r>
          </w:p>
        </w:tc>
      </w:tr>
      <w:tr w:rsidR="00A640E4" w:rsidRPr="0095619E" w14:paraId="7EA35C65" w14:textId="77777777" w:rsidTr="00730AA6">
        <w:trPr>
          <w:cantSplit/>
          <w:trHeight w:val="885"/>
        </w:trPr>
        <w:tc>
          <w:tcPr>
            <w:tcW w:w="2943" w:type="dxa"/>
            <w:shd w:val="clear" w:color="auto" w:fill="auto"/>
          </w:tcPr>
          <w:p w14:paraId="724CAE8E" w14:textId="17F5A117" w:rsidR="00A640E4" w:rsidRPr="0095619E" w:rsidRDefault="00A640E4" w:rsidP="00C54303">
            <w:pPr>
              <w:numPr>
                <w:ilvl w:val="0"/>
                <w:numId w:val="7"/>
              </w:numPr>
              <w:tabs>
                <w:tab w:val="left" w:pos="284"/>
              </w:tabs>
              <w:spacing w:after="120"/>
              <w:ind w:left="142" w:hanging="142"/>
              <w:jc w:val="both"/>
              <w:rPr>
                <w:rFonts w:ascii="Times New Roman" w:hAnsi="Times New Roman"/>
              </w:rPr>
            </w:pPr>
            <w:r w:rsidRPr="0095619E">
              <w:rPr>
                <w:rFonts w:ascii="Times New Roman" w:hAnsi="Times New Roman"/>
              </w:rPr>
              <w:t xml:space="preserve">Technical support should be mobilised to assist with the legal-financial institutionalisation of </w:t>
            </w:r>
            <w:r w:rsidR="00040154">
              <w:rPr>
                <w:rFonts w:ascii="Times New Roman" w:hAnsi="Times New Roman"/>
              </w:rPr>
              <w:t xml:space="preserve">country offices </w:t>
            </w:r>
            <w:r w:rsidRPr="0095619E">
              <w:rPr>
                <w:rFonts w:ascii="Times New Roman" w:hAnsi="Times New Roman"/>
              </w:rPr>
              <w:t>and developing longer-term plans for the political-economic institutionalisation of MAWGs.</w:t>
            </w:r>
          </w:p>
        </w:tc>
        <w:tc>
          <w:tcPr>
            <w:tcW w:w="2268" w:type="dxa"/>
            <w:tcBorders>
              <w:right w:val="single" w:sz="4" w:space="0" w:color="auto"/>
            </w:tcBorders>
            <w:shd w:val="clear" w:color="auto" w:fill="auto"/>
          </w:tcPr>
          <w:p w14:paraId="02D179AC" w14:textId="4531BD0E" w:rsidR="00A640E4" w:rsidRPr="0095619E" w:rsidRDefault="0029328E" w:rsidP="0029328E">
            <w:pPr>
              <w:spacing w:after="120"/>
              <w:rPr>
                <w:rFonts w:ascii="Times New Roman" w:hAnsi="Times New Roman"/>
              </w:rPr>
            </w:pPr>
            <w:r>
              <w:rPr>
                <w:rFonts w:ascii="Times New Roman" w:hAnsi="Times New Roman"/>
              </w:rPr>
              <w:t>To be considered</w:t>
            </w:r>
            <w:r w:rsidR="00040154">
              <w:rPr>
                <w:rFonts w:ascii="Times New Roman" w:hAnsi="Times New Roman"/>
              </w:rPr>
              <w:t xml:space="preserve"> within sustainability. </w:t>
            </w:r>
          </w:p>
        </w:tc>
        <w:tc>
          <w:tcPr>
            <w:tcW w:w="3402" w:type="dxa"/>
            <w:tcBorders>
              <w:left w:val="single" w:sz="4" w:space="0" w:color="auto"/>
            </w:tcBorders>
            <w:shd w:val="clear" w:color="auto" w:fill="auto"/>
          </w:tcPr>
          <w:p w14:paraId="3935672B" w14:textId="5B466550" w:rsidR="00A640E4" w:rsidRPr="0095619E" w:rsidRDefault="0029328E" w:rsidP="00632714">
            <w:pPr>
              <w:spacing w:after="120"/>
              <w:rPr>
                <w:rFonts w:ascii="Times New Roman" w:hAnsi="Times New Roman"/>
              </w:rPr>
            </w:pPr>
            <w:r>
              <w:rPr>
                <w:rFonts w:ascii="Times New Roman" w:hAnsi="Times New Roman"/>
              </w:rPr>
              <w:t>Subject to demand, country buy-in and resourcing.</w:t>
            </w:r>
          </w:p>
        </w:tc>
        <w:tc>
          <w:tcPr>
            <w:tcW w:w="1843" w:type="dxa"/>
            <w:tcBorders>
              <w:left w:val="single" w:sz="4" w:space="0" w:color="auto"/>
            </w:tcBorders>
            <w:shd w:val="clear" w:color="auto" w:fill="auto"/>
          </w:tcPr>
          <w:p w14:paraId="50C3B27E" w14:textId="684A52BE" w:rsidR="00A640E4" w:rsidRPr="0095619E" w:rsidRDefault="0029328E" w:rsidP="00602971">
            <w:pPr>
              <w:spacing w:after="120"/>
              <w:rPr>
                <w:rFonts w:ascii="Times New Roman" w:hAnsi="Times New Roman"/>
              </w:rPr>
            </w:pPr>
            <w:r>
              <w:rPr>
                <w:rFonts w:ascii="Times New Roman" w:hAnsi="Times New Roman"/>
              </w:rPr>
              <w:t>URS Australia Ltd, DFAT</w:t>
            </w:r>
          </w:p>
        </w:tc>
      </w:tr>
      <w:tr w:rsidR="00A640E4" w:rsidRPr="0095619E" w14:paraId="15C551EE" w14:textId="77777777" w:rsidTr="00730AA6">
        <w:trPr>
          <w:cantSplit/>
          <w:trHeight w:val="885"/>
        </w:trPr>
        <w:tc>
          <w:tcPr>
            <w:tcW w:w="2943" w:type="dxa"/>
            <w:shd w:val="clear" w:color="auto" w:fill="auto"/>
          </w:tcPr>
          <w:p w14:paraId="035D3643" w14:textId="4FA121A2" w:rsidR="00A640E4" w:rsidRPr="0095619E" w:rsidRDefault="0029328E" w:rsidP="00C54303">
            <w:pPr>
              <w:numPr>
                <w:ilvl w:val="0"/>
                <w:numId w:val="7"/>
              </w:numPr>
              <w:tabs>
                <w:tab w:val="left" w:pos="284"/>
              </w:tabs>
              <w:spacing w:after="120"/>
              <w:ind w:left="142" w:hanging="142"/>
              <w:jc w:val="both"/>
              <w:rPr>
                <w:rFonts w:ascii="Times New Roman" w:hAnsi="Times New Roman"/>
              </w:rPr>
            </w:pPr>
            <w:r>
              <w:rPr>
                <w:rFonts w:ascii="Times New Roman" w:hAnsi="Times New Roman"/>
              </w:rPr>
              <w:t>R</w:t>
            </w:r>
            <w:r w:rsidR="00A640E4" w:rsidRPr="0095619E">
              <w:rPr>
                <w:rFonts w:ascii="Times New Roman" w:hAnsi="Times New Roman"/>
              </w:rPr>
              <w:t>eview the role structure and workload of NMACs to ensure that all aspects of this role are carried out effectively.</w:t>
            </w:r>
          </w:p>
        </w:tc>
        <w:tc>
          <w:tcPr>
            <w:tcW w:w="2268" w:type="dxa"/>
            <w:tcBorders>
              <w:right w:val="single" w:sz="4" w:space="0" w:color="auto"/>
            </w:tcBorders>
            <w:shd w:val="clear" w:color="auto" w:fill="auto"/>
          </w:tcPr>
          <w:p w14:paraId="29F75D04" w14:textId="4434318F" w:rsidR="00A640E4" w:rsidRPr="0095619E" w:rsidRDefault="0029328E" w:rsidP="00C263B2">
            <w:pPr>
              <w:spacing w:after="120"/>
              <w:rPr>
                <w:rFonts w:ascii="Times New Roman" w:hAnsi="Times New Roman"/>
              </w:rPr>
            </w:pPr>
            <w:r>
              <w:rPr>
                <w:rFonts w:ascii="Times New Roman" w:hAnsi="Times New Roman"/>
              </w:rPr>
              <w:t>Agree</w:t>
            </w:r>
          </w:p>
        </w:tc>
        <w:tc>
          <w:tcPr>
            <w:tcW w:w="3402" w:type="dxa"/>
            <w:tcBorders>
              <w:left w:val="single" w:sz="4" w:space="0" w:color="auto"/>
            </w:tcBorders>
            <w:shd w:val="clear" w:color="auto" w:fill="auto"/>
          </w:tcPr>
          <w:p w14:paraId="11B83088" w14:textId="3FF36DE3" w:rsidR="00A640E4" w:rsidRPr="0095619E" w:rsidRDefault="0029328E" w:rsidP="00632714">
            <w:pPr>
              <w:spacing w:after="120"/>
              <w:rPr>
                <w:rFonts w:ascii="Times New Roman" w:hAnsi="Times New Roman"/>
              </w:rPr>
            </w:pPr>
            <w:r>
              <w:rPr>
                <w:rFonts w:ascii="Times New Roman" w:hAnsi="Times New Roman"/>
              </w:rPr>
              <w:t xml:space="preserve">Different countries have different demands and workloads. This can be considered within the existing program. </w:t>
            </w:r>
          </w:p>
        </w:tc>
        <w:tc>
          <w:tcPr>
            <w:tcW w:w="1843" w:type="dxa"/>
            <w:tcBorders>
              <w:left w:val="single" w:sz="4" w:space="0" w:color="auto"/>
            </w:tcBorders>
            <w:shd w:val="clear" w:color="auto" w:fill="auto"/>
          </w:tcPr>
          <w:p w14:paraId="622A8F38" w14:textId="6AC919E6" w:rsidR="00A640E4" w:rsidRPr="0095619E" w:rsidRDefault="0029328E" w:rsidP="00602971">
            <w:pPr>
              <w:spacing w:after="120"/>
              <w:rPr>
                <w:rFonts w:ascii="Times New Roman" w:hAnsi="Times New Roman"/>
              </w:rPr>
            </w:pPr>
            <w:r>
              <w:rPr>
                <w:rFonts w:ascii="Times New Roman" w:hAnsi="Times New Roman"/>
              </w:rPr>
              <w:t>URS Australia Ltd</w:t>
            </w:r>
          </w:p>
        </w:tc>
      </w:tr>
      <w:tr w:rsidR="00A640E4" w:rsidRPr="0095619E" w14:paraId="67758BCA" w14:textId="77777777" w:rsidTr="00730AA6">
        <w:trPr>
          <w:cantSplit/>
          <w:trHeight w:val="885"/>
        </w:trPr>
        <w:tc>
          <w:tcPr>
            <w:tcW w:w="2943" w:type="dxa"/>
            <w:shd w:val="clear" w:color="auto" w:fill="auto"/>
          </w:tcPr>
          <w:p w14:paraId="3D8CE6A8" w14:textId="070DF2AD" w:rsidR="00A640E4" w:rsidRPr="0095619E" w:rsidRDefault="00A640E4" w:rsidP="00C54303">
            <w:pPr>
              <w:numPr>
                <w:ilvl w:val="0"/>
                <w:numId w:val="7"/>
              </w:numPr>
              <w:tabs>
                <w:tab w:val="left" w:pos="284"/>
              </w:tabs>
              <w:spacing w:after="120"/>
              <w:ind w:left="142" w:hanging="142"/>
              <w:jc w:val="both"/>
              <w:rPr>
                <w:rFonts w:ascii="Times New Roman" w:hAnsi="Times New Roman"/>
              </w:rPr>
            </w:pPr>
            <w:r w:rsidRPr="0095619E">
              <w:rPr>
                <w:rFonts w:ascii="Times New Roman" w:hAnsi="Times New Roman"/>
              </w:rPr>
              <w:t xml:space="preserve">The PMO, in consultation with LRD, should develop a Communication Strategy to clarify lines of communication between PMO TAs, NMACs, MAWGs, PICT National Plant Protection Organisations (NPPOs) and NZ MPI and DAFF. </w:t>
            </w:r>
          </w:p>
        </w:tc>
        <w:tc>
          <w:tcPr>
            <w:tcW w:w="2268" w:type="dxa"/>
            <w:tcBorders>
              <w:right w:val="single" w:sz="4" w:space="0" w:color="auto"/>
            </w:tcBorders>
            <w:shd w:val="clear" w:color="auto" w:fill="auto"/>
          </w:tcPr>
          <w:p w14:paraId="6179A0A2" w14:textId="1741E1E5" w:rsidR="00A640E4" w:rsidRPr="0095619E" w:rsidRDefault="0029328E" w:rsidP="00C263B2">
            <w:pPr>
              <w:spacing w:after="120"/>
              <w:rPr>
                <w:rFonts w:ascii="Times New Roman" w:hAnsi="Times New Roman"/>
              </w:rPr>
            </w:pPr>
            <w:r>
              <w:rPr>
                <w:rFonts w:ascii="Times New Roman" w:hAnsi="Times New Roman"/>
              </w:rPr>
              <w:t>Agree</w:t>
            </w:r>
          </w:p>
        </w:tc>
        <w:tc>
          <w:tcPr>
            <w:tcW w:w="3402" w:type="dxa"/>
            <w:tcBorders>
              <w:left w:val="single" w:sz="4" w:space="0" w:color="auto"/>
            </w:tcBorders>
            <w:shd w:val="clear" w:color="auto" w:fill="auto"/>
          </w:tcPr>
          <w:p w14:paraId="12144C62" w14:textId="6F76B9E4" w:rsidR="00A640E4" w:rsidRPr="0095619E" w:rsidRDefault="0029328E" w:rsidP="0029328E">
            <w:pPr>
              <w:spacing w:after="120"/>
              <w:rPr>
                <w:rFonts w:ascii="Times New Roman" w:hAnsi="Times New Roman"/>
              </w:rPr>
            </w:pPr>
            <w:r>
              <w:rPr>
                <w:rFonts w:ascii="Times New Roman" w:hAnsi="Times New Roman"/>
              </w:rPr>
              <w:t xml:space="preserve">To be considered in line with the Theory of Change  Framework </w:t>
            </w:r>
          </w:p>
        </w:tc>
        <w:tc>
          <w:tcPr>
            <w:tcW w:w="1843" w:type="dxa"/>
            <w:tcBorders>
              <w:left w:val="single" w:sz="4" w:space="0" w:color="auto"/>
            </w:tcBorders>
            <w:shd w:val="clear" w:color="auto" w:fill="auto"/>
          </w:tcPr>
          <w:p w14:paraId="2FC303CD" w14:textId="2AB1D3F1" w:rsidR="00A640E4" w:rsidRPr="0095619E" w:rsidRDefault="0029328E" w:rsidP="00602971">
            <w:pPr>
              <w:spacing w:after="120"/>
              <w:rPr>
                <w:rFonts w:ascii="Times New Roman" w:hAnsi="Times New Roman"/>
              </w:rPr>
            </w:pPr>
            <w:r>
              <w:rPr>
                <w:rFonts w:ascii="Times New Roman" w:hAnsi="Times New Roman"/>
              </w:rPr>
              <w:t>URS Australia Ltd</w:t>
            </w:r>
          </w:p>
        </w:tc>
      </w:tr>
      <w:tr w:rsidR="00A640E4" w:rsidRPr="0095619E" w14:paraId="3F4014B5" w14:textId="77777777" w:rsidTr="00730AA6">
        <w:trPr>
          <w:cantSplit/>
          <w:trHeight w:val="885"/>
        </w:trPr>
        <w:tc>
          <w:tcPr>
            <w:tcW w:w="2943" w:type="dxa"/>
            <w:shd w:val="clear" w:color="auto" w:fill="auto"/>
          </w:tcPr>
          <w:p w14:paraId="339FF31C" w14:textId="0D4BAF2A" w:rsidR="00A640E4" w:rsidRPr="0029328E" w:rsidRDefault="00A640E4" w:rsidP="00C54303">
            <w:pPr>
              <w:numPr>
                <w:ilvl w:val="0"/>
                <w:numId w:val="7"/>
              </w:numPr>
              <w:tabs>
                <w:tab w:val="left" w:pos="284"/>
              </w:tabs>
              <w:spacing w:after="120"/>
              <w:ind w:left="142" w:hanging="142"/>
              <w:jc w:val="both"/>
              <w:rPr>
                <w:rFonts w:ascii="Times New Roman" w:hAnsi="Times New Roman"/>
              </w:rPr>
            </w:pPr>
            <w:r w:rsidRPr="0029328E">
              <w:rPr>
                <w:rFonts w:ascii="Times New Roman" w:hAnsi="Times New Roman"/>
              </w:rPr>
              <w:lastRenderedPageBreak/>
              <w:t>Shifting the focus of the PHAMA program’s results and accountability to LRD’s strategic plan would complement and reinforce, from the “bottom up”, the “top-down” implementation of SPC’s M&amp;E Corporate Policy.</w:t>
            </w:r>
          </w:p>
        </w:tc>
        <w:tc>
          <w:tcPr>
            <w:tcW w:w="2268" w:type="dxa"/>
            <w:tcBorders>
              <w:right w:val="single" w:sz="4" w:space="0" w:color="auto"/>
            </w:tcBorders>
            <w:shd w:val="clear" w:color="auto" w:fill="auto"/>
          </w:tcPr>
          <w:p w14:paraId="1A3E59AF" w14:textId="68E0C7C1" w:rsidR="00A640E4" w:rsidRPr="0095619E" w:rsidRDefault="00A640E4" w:rsidP="00C263B2">
            <w:pPr>
              <w:spacing w:after="120"/>
              <w:rPr>
                <w:rFonts w:ascii="Times New Roman" w:hAnsi="Times New Roman"/>
              </w:rPr>
            </w:pPr>
            <w:r w:rsidRPr="0095619E">
              <w:rPr>
                <w:rFonts w:ascii="Times New Roman" w:hAnsi="Times New Roman"/>
              </w:rPr>
              <w:t>Agree.</w:t>
            </w:r>
          </w:p>
        </w:tc>
        <w:tc>
          <w:tcPr>
            <w:tcW w:w="3402" w:type="dxa"/>
            <w:tcBorders>
              <w:left w:val="single" w:sz="4" w:space="0" w:color="auto"/>
            </w:tcBorders>
            <w:shd w:val="clear" w:color="auto" w:fill="auto"/>
          </w:tcPr>
          <w:p w14:paraId="65034040" w14:textId="379496A6" w:rsidR="00A640E4" w:rsidRPr="0095619E" w:rsidRDefault="0029328E" w:rsidP="0029328E">
            <w:pPr>
              <w:spacing w:after="120"/>
              <w:rPr>
                <w:rFonts w:ascii="Times New Roman" w:hAnsi="Times New Roman"/>
              </w:rPr>
            </w:pPr>
            <w:r>
              <w:rPr>
                <w:rFonts w:ascii="Times New Roman" w:hAnsi="Times New Roman"/>
              </w:rPr>
              <w:t xml:space="preserve">Noted that </w:t>
            </w:r>
            <w:r w:rsidRPr="0095619E">
              <w:rPr>
                <w:rFonts w:ascii="Times New Roman" w:hAnsi="Times New Roman"/>
              </w:rPr>
              <w:t>the</w:t>
            </w:r>
            <w:r w:rsidR="00A640E4" w:rsidRPr="0095619E">
              <w:rPr>
                <w:rFonts w:ascii="Times New Roman" w:hAnsi="Times New Roman"/>
              </w:rPr>
              <w:t xml:space="preserve"> </w:t>
            </w:r>
            <w:r w:rsidR="00A640E4" w:rsidRPr="0095619E">
              <w:rPr>
                <w:rFonts w:ascii="Times New Roman" w:eastAsia="Georgia" w:hAnsi="Times New Roman"/>
                <w:noProof/>
                <w:lang w:val="en-US" w:eastAsia="zh-TW"/>
              </w:rPr>
              <w:t>SPC M&amp;E Policy will focus on institutionalising a more results-orientated planning, decision-making and accountability “culture” within SPC. PHAMA will look to capitalise on this throughout the design update process.</w:t>
            </w:r>
          </w:p>
        </w:tc>
        <w:tc>
          <w:tcPr>
            <w:tcW w:w="1843" w:type="dxa"/>
            <w:tcBorders>
              <w:left w:val="single" w:sz="4" w:space="0" w:color="auto"/>
            </w:tcBorders>
            <w:shd w:val="clear" w:color="auto" w:fill="auto"/>
          </w:tcPr>
          <w:p w14:paraId="48C4C180" w14:textId="6245456F" w:rsidR="00A640E4" w:rsidRPr="0095619E" w:rsidRDefault="0029328E" w:rsidP="00602971">
            <w:pPr>
              <w:spacing w:after="120"/>
              <w:rPr>
                <w:rFonts w:ascii="Times New Roman" w:hAnsi="Times New Roman"/>
              </w:rPr>
            </w:pPr>
            <w:r>
              <w:rPr>
                <w:rFonts w:ascii="Times New Roman" w:hAnsi="Times New Roman"/>
              </w:rPr>
              <w:t>SPC, DFAT</w:t>
            </w:r>
          </w:p>
        </w:tc>
      </w:tr>
      <w:tr w:rsidR="00A640E4" w:rsidRPr="0095619E" w14:paraId="6147A10D" w14:textId="77777777" w:rsidTr="00730AA6">
        <w:trPr>
          <w:cantSplit/>
          <w:trHeight w:val="885"/>
        </w:trPr>
        <w:tc>
          <w:tcPr>
            <w:tcW w:w="2943" w:type="dxa"/>
            <w:shd w:val="clear" w:color="auto" w:fill="auto"/>
          </w:tcPr>
          <w:p w14:paraId="76C56483" w14:textId="1458A162" w:rsidR="00A640E4" w:rsidRPr="0029328E" w:rsidRDefault="00A640E4" w:rsidP="00C54303">
            <w:pPr>
              <w:numPr>
                <w:ilvl w:val="0"/>
                <w:numId w:val="7"/>
              </w:numPr>
              <w:tabs>
                <w:tab w:val="left" w:pos="284"/>
              </w:tabs>
              <w:spacing w:after="120"/>
              <w:ind w:left="142" w:hanging="142"/>
              <w:jc w:val="both"/>
              <w:rPr>
                <w:rFonts w:ascii="Times New Roman" w:hAnsi="Times New Roman"/>
              </w:rPr>
            </w:pPr>
            <w:r w:rsidRPr="0095619E">
              <w:rPr>
                <w:rFonts w:ascii="Times New Roman" w:hAnsi="Times New Roman"/>
              </w:rPr>
              <w:t xml:space="preserve">MAWGs and NMACs to take </w:t>
            </w:r>
            <w:r w:rsidR="0029328E">
              <w:rPr>
                <w:rFonts w:ascii="Times New Roman" w:hAnsi="Times New Roman"/>
              </w:rPr>
              <w:t xml:space="preserve">more </w:t>
            </w:r>
            <w:r w:rsidRPr="0095619E">
              <w:rPr>
                <w:rFonts w:ascii="Times New Roman" w:hAnsi="Times New Roman"/>
              </w:rPr>
              <w:t>ownership of the program results and become actively involved in monitoring of progress towards the achievement of results.</w:t>
            </w:r>
          </w:p>
        </w:tc>
        <w:tc>
          <w:tcPr>
            <w:tcW w:w="2268" w:type="dxa"/>
            <w:tcBorders>
              <w:right w:val="single" w:sz="4" w:space="0" w:color="auto"/>
            </w:tcBorders>
            <w:shd w:val="clear" w:color="auto" w:fill="auto"/>
          </w:tcPr>
          <w:p w14:paraId="0DADDAAC" w14:textId="2733E806" w:rsidR="00A640E4" w:rsidRPr="0095619E" w:rsidRDefault="0029328E" w:rsidP="00C263B2">
            <w:pPr>
              <w:spacing w:after="120"/>
              <w:rPr>
                <w:rFonts w:ascii="Times New Roman" w:hAnsi="Times New Roman"/>
              </w:rPr>
            </w:pPr>
            <w:r>
              <w:rPr>
                <w:rFonts w:ascii="Times New Roman" w:hAnsi="Times New Roman"/>
              </w:rPr>
              <w:t>Agree</w:t>
            </w:r>
          </w:p>
        </w:tc>
        <w:tc>
          <w:tcPr>
            <w:tcW w:w="3402" w:type="dxa"/>
            <w:tcBorders>
              <w:left w:val="single" w:sz="4" w:space="0" w:color="auto"/>
            </w:tcBorders>
            <w:shd w:val="clear" w:color="auto" w:fill="auto"/>
          </w:tcPr>
          <w:p w14:paraId="61AAAD4F" w14:textId="7A370308" w:rsidR="00A640E4" w:rsidRPr="0095619E" w:rsidRDefault="00582611" w:rsidP="00F148E5">
            <w:pPr>
              <w:spacing w:after="120"/>
              <w:rPr>
                <w:rFonts w:ascii="Times New Roman" w:hAnsi="Times New Roman"/>
              </w:rPr>
            </w:pPr>
            <w:r>
              <w:rPr>
                <w:rFonts w:ascii="Times New Roman" w:hAnsi="Times New Roman"/>
              </w:rPr>
              <w:t>Strategy and possible resourcing needs to be developed through Theory of Change framework</w:t>
            </w:r>
          </w:p>
        </w:tc>
        <w:tc>
          <w:tcPr>
            <w:tcW w:w="1843" w:type="dxa"/>
            <w:tcBorders>
              <w:left w:val="single" w:sz="4" w:space="0" w:color="auto"/>
            </w:tcBorders>
            <w:shd w:val="clear" w:color="auto" w:fill="auto"/>
          </w:tcPr>
          <w:p w14:paraId="6BC78BB5" w14:textId="12602FE6" w:rsidR="00A640E4" w:rsidRPr="0095619E" w:rsidRDefault="0029328E" w:rsidP="00602971">
            <w:pPr>
              <w:spacing w:after="120"/>
              <w:rPr>
                <w:rFonts w:ascii="Times New Roman" w:hAnsi="Times New Roman"/>
              </w:rPr>
            </w:pPr>
            <w:r>
              <w:rPr>
                <w:rFonts w:ascii="Times New Roman" w:hAnsi="Times New Roman"/>
              </w:rPr>
              <w:t>URS Australia Ltd. DFAT and SPC-LRD</w:t>
            </w:r>
          </w:p>
        </w:tc>
      </w:tr>
      <w:tr w:rsidR="00A640E4" w:rsidRPr="0095619E" w14:paraId="5FA6CF73" w14:textId="77777777" w:rsidTr="00730AA6">
        <w:trPr>
          <w:cantSplit/>
          <w:trHeight w:val="885"/>
        </w:trPr>
        <w:tc>
          <w:tcPr>
            <w:tcW w:w="2943" w:type="dxa"/>
            <w:shd w:val="clear" w:color="auto" w:fill="auto"/>
          </w:tcPr>
          <w:p w14:paraId="230E9780" w14:textId="7762B42B" w:rsidR="00A640E4" w:rsidRPr="0095619E" w:rsidRDefault="00A640E4" w:rsidP="00C54303">
            <w:pPr>
              <w:numPr>
                <w:ilvl w:val="0"/>
                <w:numId w:val="7"/>
              </w:numPr>
              <w:tabs>
                <w:tab w:val="left" w:pos="284"/>
              </w:tabs>
              <w:spacing w:after="120"/>
              <w:ind w:left="142" w:hanging="142"/>
              <w:jc w:val="both"/>
              <w:rPr>
                <w:rFonts w:ascii="Times New Roman" w:hAnsi="Times New Roman"/>
              </w:rPr>
            </w:pPr>
            <w:r w:rsidRPr="00582611">
              <w:rPr>
                <w:rFonts w:ascii="Times New Roman" w:hAnsi="Times New Roman"/>
              </w:rPr>
              <w:t xml:space="preserve">M&amp;E framework and strategy should be costed and adequately resourced to ensure that </w:t>
            </w:r>
            <w:r w:rsidR="00582611">
              <w:rPr>
                <w:rFonts w:ascii="Times New Roman" w:hAnsi="Times New Roman"/>
              </w:rPr>
              <w:t xml:space="preserve">it produces </w:t>
            </w:r>
            <w:r w:rsidRPr="00582611">
              <w:rPr>
                <w:rFonts w:ascii="Times New Roman" w:hAnsi="Times New Roman"/>
              </w:rPr>
              <w:t>appropriate results in a timely manner to inform the ongoing effectiveness and efficiency of program implementation, as well as final evaluation of the program.</w:t>
            </w:r>
          </w:p>
        </w:tc>
        <w:tc>
          <w:tcPr>
            <w:tcW w:w="2268" w:type="dxa"/>
            <w:tcBorders>
              <w:right w:val="single" w:sz="4" w:space="0" w:color="auto"/>
            </w:tcBorders>
            <w:shd w:val="clear" w:color="auto" w:fill="auto"/>
          </w:tcPr>
          <w:p w14:paraId="69E3E3CB" w14:textId="77777777" w:rsidR="00A640E4" w:rsidRPr="0095619E" w:rsidRDefault="00A640E4" w:rsidP="00C263B2">
            <w:pPr>
              <w:spacing w:after="120"/>
              <w:rPr>
                <w:rFonts w:ascii="Times New Roman" w:hAnsi="Times New Roman"/>
              </w:rPr>
            </w:pPr>
            <w:r w:rsidRPr="0095619E">
              <w:rPr>
                <w:rFonts w:ascii="Times New Roman" w:hAnsi="Times New Roman"/>
              </w:rPr>
              <w:t>Agree.</w:t>
            </w:r>
          </w:p>
          <w:p w14:paraId="01D6C167" w14:textId="40232ABA" w:rsidR="00A640E4" w:rsidRPr="0095619E" w:rsidRDefault="00A640E4" w:rsidP="00C033BB">
            <w:pPr>
              <w:spacing w:after="120"/>
              <w:rPr>
                <w:rFonts w:ascii="Times New Roman" w:hAnsi="Times New Roman"/>
              </w:rPr>
            </w:pPr>
          </w:p>
        </w:tc>
        <w:tc>
          <w:tcPr>
            <w:tcW w:w="3402" w:type="dxa"/>
            <w:tcBorders>
              <w:left w:val="single" w:sz="4" w:space="0" w:color="auto"/>
            </w:tcBorders>
            <w:shd w:val="clear" w:color="auto" w:fill="auto"/>
          </w:tcPr>
          <w:p w14:paraId="7946A86E" w14:textId="413DB170" w:rsidR="00A640E4" w:rsidRPr="0095619E" w:rsidRDefault="00A640E4" w:rsidP="00C033BB">
            <w:pPr>
              <w:spacing w:after="120"/>
              <w:rPr>
                <w:rFonts w:ascii="Times New Roman" w:hAnsi="Times New Roman"/>
              </w:rPr>
            </w:pPr>
            <w:r w:rsidRPr="0095619E">
              <w:rPr>
                <w:rFonts w:ascii="Times New Roman" w:hAnsi="Times New Roman"/>
              </w:rPr>
              <w:t xml:space="preserve">The current PHAMA M&amp;E system is adjudged as adequate. The system is geared heavily to </w:t>
            </w:r>
            <w:r w:rsidR="00582611">
              <w:rPr>
                <w:rFonts w:ascii="Times New Roman" w:hAnsi="Times New Roman"/>
              </w:rPr>
              <w:t>DFAT</w:t>
            </w:r>
            <w:r w:rsidRPr="0095619E">
              <w:rPr>
                <w:rFonts w:ascii="Times New Roman" w:hAnsi="Times New Roman"/>
              </w:rPr>
              <w:t xml:space="preserve"> reporting </w:t>
            </w:r>
            <w:r w:rsidR="00582611">
              <w:rPr>
                <w:rFonts w:ascii="Times New Roman" w:hAnsi="Times New Roman"/>
              </w:rPr>
              <w:t xml:space="preserve">and as such </w:t>
            </w:r>
            <w:r w:rsidRPr="0095619E">
              <w:rPr>
                <w:rFonts w:ascii="Times New Roman" w:hAnsi="Times New Roman"/>
              </w:rPr>
              <w:t xml:space="preserve">focuses on </w:t>
            </w:r>
            <w:r w:rsidR="00582611">
              <w:rPr>
                <w:rFonts w:ascii="Times New Roman" w:hAnsi="Times New Roman"/>
              </w:rPr>
              <w:t xml:space="preserve">activities </w:t>
            </w:r>
            <w:r w:rsidRPr="0095619E">
              <w:rPr>
                <w:rFonts w:ascii="Times New Roman" w:hAnsi="Times New Roman"/>
              </w:rPr>
              <w:t xml:space="preserve">rather than the broader </w:t>
            </w:r>
            <w:r w:rsidR="00582611">
              <w:rPr>
                <w:rFonts w:ascii="Times New Roman" w:hAnsi="Times New Roman"/>
              </w:rPr>
              <w:t xml:space="preserve">outcomes. </w:t>
            </w:r>
            <w:r w:rsidRPr="0095619E">
              <w:rPr>
                <w:rFonts w:ascii="Times New Roman" w:hAnsi="Times New Roman"/>
              </w:rPr>
              <w:t>.</w:t>
            </w:r>
          </w:p>
          <w:p w14:paraId="0934088A" w14:textId="77777777" w:rsidR="00A640E4" w:rsidRPr="0095619E" w:rsidRDefault="00A640E4" w:rsidP="00C033BB">
            <w:pPr>
              <w:spacing w:after="120"/>
              <w:rPr>
                <w:rFonts w:ascii="Times New Roman" w:hAnsi="Times New Roman"/>
              </w:rPr>
            </w:pPr>
            <w:r w:rsidRPr="0095619E">
              <w:rPr>
                <w:rFonts w:ascii="Times New Roman" w:hAnsi="Times New Roman"/>
              </w:rPr>
              <w:t>Currently the resourcing is not sufficient to have a more developed M&amp;E system and there is a legitimate expectation that some of the information could be improved at the higher levels.</w:t>
            </w:r>
          </w:p>
          <w:p w14:paraId="09421159" w14:textId="7DEBB091" w:rsidR="00A640E4" w:rsidRPr="0095619E" w:rsidRDefault="00A640E4" w:rsidP="00C033BB">
            <w:pPr>
              <w:spacing w:after="120"/>
              <w:rPr>
                <w:rFonts w:ascii="Times New Roman" w:hAnsi="Times New Roman"/>
              </w:rPr>
            </w:pPr>
            <w:r w:rsidRPr="0095619E">
              <w:rPr>
                <w:rFonts w:ascii="Times New Roman" w:hAnsi="Times New Roman"/>
              </w:rPr>
              <w:t>It is estimated that only 2-3 percent of the program is currently earmarked for M&amp;E.</w:t>
            </w:r>
            <w:r w:rsidR="00582611">
              <w:rPr>
                <w:rFonts w:ascii="Times New Roman" w:hAnsi="Times New Roman"/>
              </w:rPr>
              <w:t xml:space="preserve"> </w:t>
            </w:r>
            <w:r w:rsidRPr="0095619E">
              <w:rPr>
                <w:rFonts w:ascii="Times New Roman" w:hAnsi="Times New Roman"/>
              </w:rPr>
              <w:t>In Phase 2, the following could be addressed:</w:t>
            </w:r>
          </w:p>
          <w:p w14:paraId="4DDB384F" w14:textId="77777777" w:rsidR="00A640E4" w:rsidRPr="0095619E" w:rsidRDefault="00A640E4" w:rsidP="00582611">
            <w:pPr>
              <w:pStyle w:val="ListParagraph"/>
              <w:numPr>
                <w:ilvl w:val="0"/>
                <w:numId w:val="17"/>
              </w:numPr>
              <w:spacing w:after="120"/>
              <w:ind w:left="318" w:hanging="142"/>
              <w:rPr>
                <w:rFonts w:ascii="Times New Roman" w:hAnsi="Times New Roman"/>
              </w:rPr>
            </w:pPr>
            <w:r w:rsidRPr="0095619E">
              <w:rPr>
                <w:rFonts w:ascii="Times New Roman" w:hAnsi="Times New Roman"/>
              </w:rPr>
              <w:t>Increase visibility of M&amp;E results for all stakeholders – especially national governments.</w:t>
            </w:r>
          </w:p>
          <w:p w14:paraId="41F8C295" w14:textId="77777777" w:rsidR="00A640E4" w:rsidRPr="0095619E" w:rsidRDefault="00A640E4" w:rsidP="00582611">
            <w:pPr>
              <w:pStyle w:val="ListParagraph"/>
              <w:numPr>
                <w:ilvl w:val="0"/>
                <w:numId w:val="17"/>
              </w:numPr>
              <w:spacing w:after="120"/>
              <w:ind w:left="318" w:hanging="142"/>
              <w:rPr>
                <w:rFonts w:ascii="Times New Roman" w:hAnsi="Times New Roman"/>
              </w:rPr>
            </w:pPr>
            <w:r w:rsidRPr="0095619E">
              <w:rPr>
                <w:rFonts w:ascii="Times New Roman" w:hAnsi="Times New Roman"/>
              </w:rPr>
              <w:t>Capture unintended impacts.</w:t>
            </w:r>
          </w:p>
          <w:p w14:paraId="298C5906" w14:textId="77777777" w:rsidR="00A640E4" w:rsidRPr="0095619E" w:rsidRDefault="00A640E4" w:rsidP="00582611">
            <w:pPr>
              <w:pStyle w:val="ListParagraph"/>
              <w:numPr>
                <w:ilvl w:val="0"/>
                <w:numId w:val="17"/>
              </w:numPr>
              <w:spacing w:after="120"/>
              <w:ind w:left="318" w:hanging="142"/>
              <w:rPr>
                <w:rFonts w:ascii="Times New Roman" w:hAnsi="Times New Roman"/>
              </w:rPr>
            </w:pPr>
            <w:r w:rsidRPr="0095619E">
              <w:rPr>
                <w:rFonts w:ascii="Times New Roman" w:hAnsi="Times New Roman"/>
              </w:rPr>
              <w:t>Clarity as to how SPC might monitor and report PHAMA results.</w:t>
            </w:r>
          </w:p>
          <w:p w14:paraId="192E1537" w14:textId="265EF5C3" w:rsidR="00A640E4" w:rsidRPr="0095619E" w:rsidRDefault="00A640E4" w:rsidP="00582611">
            <w:pPr>
              <w:pStyle w:val="ListParagraph"/>
              <w:numPr>
                <w:ilvl w:val="0"/>
                <w:numId w:val="17"/>
              </w:numPr>
              <w:spacing w:after="120"/>
              <w:ind w:left="318" w:hanging="142"/>
              <w:rPr>
                <w:rFonts w:ascii="Times New Roman" w:hAnsi="Times New Roman"/>
              </w:rPr>
            </w:pPr>
            <w:r w:rsidRPr="0095619E">
              <w:rPr>
                <w:rFonts w:ascii="Times New Roman" w:hAnsi="Times New Roman"/>
              </w:rPr>
              <w:t xml:space="preserve">Clarity as to status of agriculture sector contribution to </w:t>
            </w:r>
            <w:r w:rsidR="00582611">
              <w:rPr>
                <w:rFonts w:ascii="Times New Roman" w:hAnsi="Times New Roman"/>
              </w:rPr>
              <w:t>program/DFAT</w:t>
            </w:r>
            <w:r w:rsidRPr="0095619E">
              <w:rPr>
                <w:rFonts w:ascii="Times New Roman" w:hAnsi="Times New Roman"/>
              </w:rPr>
              <w:t xml:space="preserve"> </w:t>
            </w:r>
            <w:r w:rsidR="00582611">
              <w:rPr>
                <w:rFonts w:ascii="Times New Roman" w:hAnsi="Times New Roman"/>
              </w:rPr>
              <w:t>key indicators/outcomes</w:t>
            </w:r>
          </w:p>
          <w:p w14:paraId="26C62CDD" w14:textId="576D5A4D" w:rsidR="00A640E4" w:rsidRPr="0095619E" w:rsidRDefault="00A640E4" w:rsidP="00C033BB">
            <w:pPr>
              <w:spacing w:after="120"/>
              <w:rPr>
                <w:rFonts w:ascii="Times New Roman" w:hAnsi="Times New Roman"/>
              </w:rPr>
            </w:pPr>
          </w:p>
        </w:tc>
        <w:tc>
          <w:tcPr>
            <w:tcW w:w="1843" w:type="dxa"/>
            <w:tcBorders>
              <w:left w:val="single" w:sz="4" w:space="0" w:color="auto"/>
            </w:tcBorders>
            <w:shd w:val="clear" w:color="auto" w:fill="auto"/>
          </w:tcPr>
          <w:p w14:paraId="1BB3E6B8" w14:textId="3C04704A" w:rsidR="00A640E4" w:rsidRPr="0095619E" w:rsidRDefault="00582611" w:rsidP="00602971">
            <w:pPr>
              <w:spacing w:after="120"/>
              <w:rPr>
                <w:rFonts w:ascii="Times New Roman" w:hAnsi="Times New Roman"/>
              </w:rPr>
            </w:pPr>
            <w:r>
              <w:rPr>
                <w:rFonts w:ascii="Times New Roman" w:hAnsi="Times New Roman"/>
              </w:rPr>
              <w:t>URS Australia Ltd. DFAT and SPC-LRD</w:t>
            </w:r>
          </w:p>
        </w:tc>
      </w:tr>
      <w:tr w:rsidR="00A640E4" w:rsidRPr="0095619E" w14:paraId="44F6717E" w14:textId="77777777" w:rsidTr="00730AA6">
        <w:trPr>
          <w:cantSplit/>
          <w:trHeight w:val="885"/>
        </w:trPr>
        <w:tc>
          <w:tcPr>
            <w:tcW w:w="2943" w:type="dxa"/>
            <w:shd w:val="clear" w:color="auto" w:fill="auto"/>
          </w:tcPr>
          <w:p w14:paraId="543DDCA3" w14:textId="2931FC95" w:rsidR="00A640E4" w:rsidRPr="0095619E" w:rsidRDefault="00A640E4" w:rsidP="00C54303">
            <w:pPr>
              <w:numPr>
                <w:ilvl w:val="0"/>
                <w:numId w:val="7"/>
              </w:numPr>
              <w:tabs>
                <w:tab w:val="left" w:pos="284"/>
              </w:tabs>
              <w:spacing w:after="120"/>
              <w:ind w:left="142" w:hanging="142"/>
              <w:jc w:val="both"/>
              <w:rPr>
                <w:rFonts w:ascii="Times New Roman" w:eastAsia="Georgia" w:hAnsi="Times New Roman"/>
              </w:rPr>
            </w:pPr>
            <w:r w:rsidRPr="0095619E">
              <w:rPr>
                <w:rFonts w:ascii="Times New Roman" w:hAnsi="Times New Roman"/>
              </w:rPr>
              <w:t>That the M&amp;E framework be adjusted to adequately monitor and measure results for marginalised households and women.</w:t>
            </w:r>
          </w:p>
        </w:tc>
        <w:tc>
          <w:tcPr>
            <w:tcW w:w="2268" w:type="dxa"/>
            <w:tcBorders>
              <w:right w:val="single" w:sz="4" w:space="0" w:color="auto"/>
            </w:tcBorders>
            <w:shd w:val="clear" w:color="auto" w:fill="auto"/>
          </w:tcPr>
          <w:p w14:paraId="64462F88" w14:textId="755C0586" w:rsidR="00A640E4" w:rsidRPr="0095619E" w:rsidRDefault="00A640E4" w:rsidP="00C263B2">
            <w:pPr>
              <w:spacing w:after="120"/>
              <w:rPr>
                <w:rFonts w:ascii="Times New Roman" w:hAnsi="Times New Roman"/>
              </w:rPr>
            </w:pPr>
            <w:r w:rsidRPr="0095619E">
              <w:rPr>
                <w:rFonts w:ascii="Times New Roman" w:hAnsi="Times New Roman"/>
              </w:rPr>
              <w:t>Agree.</w:t>
            </w:r>
          </w:p>
        </w:tc>
        <w:tc>
          <w:tcPr>
            <w:tcW w:w="3402" w:type="dxa"/>
            <w:tcBorders>
              <w:left w:val="single" w:sz="4" w:space="0" w:color="auto"/>
            </w:tcBorders>
            <w:shd w:val="clear" w:color="auto" w:fill="auto"/>
          </w:tcPr>
          <w:p w14:paraId="739A57D5" w14:textId="374A3B05" w:rsidR="00A640E4" w:rsidRPr="0095619E" w:rsidRDefault="00582611" w:rsidP="00582611">
            <w:pPr>
              <w:spacing w:after="120"/>
              <w:rPr>
                <w:rFonts w:ascii="Times New Roman" w:hAnsi="Times New Roman"/>
              </w:rPr>
            </w:pPr>
            <w:r>
              <w:rPr>
                <w:rFonts w:ascii="Times New Roman" w:hAnsi="Times New Roman"/>
              </w:rPr>
              <w:t>To</w:t>
            </w:r>
            <w:r w:rsidR="00A640E4" w:rsidRPr="0095619E">
              <w:rPr>
                <w:rFonts w:ascii="Times New Roman" w:hAnsi="Times New Roman"/>
              </w:rPr>
              <w:t xml:space="preserve"> be considered as part </w:t>
            </w:r>
            <w:r>
              <w:rPr>
                <w:rFonts w:ascii="Times New Roman" w:hAnsi="Times New Roman"/>
              </w:rPr>
              <w:t xml:space="preserve">an updated M&amp;E framework. </w:t>
            </w:r>
            <w:r w:rsidR="00A640E4" w:rsidRPr="0095619E">
              <w:rPr>
                <w:rFonts w:ascii="Times New Roman" w:hAnsi="Times New Roman"/>
              </w:rPr>
              <w:t>This will include examination of selected indicators at the outcome level, as well as possible addition of carefully selected criteria to the indices for Performance Assessments of MAWGs, NMACs, PMO and LRD.</w:t>
            </w:r>
          </w:p>
        </w:tc>
        <w:tc>
          <w:tcPr>
            <w:tcW w:w="1843" w:type="dxa"/>
            <w:tcBorders>
              <w:left w:val="single" w:sz="4" w:space="0" w:color="auto"/>
            </w:tcBorders>
            <w:shd w:val="clear" w:color="auto" w:fill="auto"/>
          </w:tcPr>
          <w:p w14:paraId="03288802" w14:textId="35C7091B" w:rsidR="00A640E4" w:rsidRPr="0095619E" w:rsidRDefault="00582611" w:rsidP="00602971">
            <w:pPr>
              <w:spacing w:after="120"/>
              <w:rPr>
                <w:rFonts w:ascii="Times New Roman" w:hAnsi="Times New Roman"/>
              </w:rPr>
            </w:pPr>
            <w:r>
              <w:rPr>
                <w:rFonts w:ascii="Times New Roman" w:hAnsi="Times New Roman"/>
              </w:rPr>
              <w:t>URS Australia Ltd, DFAT</w:t>
            </w:r>
          </w:p>
        </w:tc>
      </w:tr>
      <w:tr w:rsidR="00A640E4" w:rsidRPr="0095619E" w14:paraId="1BD8E550" w14:textId="77777777" w:rsidTr="00730AA6">
        <w:trPr>
          <w:cantSplit/>
          <w:trHeight w:val="885"/>
        </w:trPr>
        <w:tc>
          <w:tcPr>
            <w:tcW w:w="2943" w:type="dxa"/>
            <w:shd w:val="clear" w:color="auto" w:fill="auto"/>
          </w:tcPr>
          <w:p w14:paraId="49B647FB" w14:textId="1B4074B9" w:rsidR="00A640E4" w:rsidRPr="00582611" w:rsidRDefault="00A640E4" w:rsidP="00C54303">
            <w:pPr>
              <w:numPr>
                <w:ilvl w:val="0"/>
                <w:numId w:val="7"/>
              </w:numPr>
              <w:tabs>
                <w:tab w:val="left" w:pos="284"/>
              </w:tabs>
              <w:spacing w:after="120"/>
              <w:ind w:left="142" w:hanging="142"/>
              <w:jc w:val="both"/>
              <w:rPr>
                <w:rFonts w:ascii="Times New Roman" w:hAnsi="Times New Roman"/>
              </w:rPr>
            </w:pPr>
            <w:r w:rsidRPr="00582611">
              <w:rPr>
                <w:rFonts w:ascii="Times New Roman" w:hAnsi="Times New Roman"/>
              </w:rPr>
              <w:lastRenderedPageBreak/>
              <w:t>That the program evaluation strategy should clarify issues of attribution and contribution across all levels of results.</w:t>
            </w:r>
          </w:p>
        </w:tc>
        <w:tc>
          <w:tcPr>
            <w:tcW w:w="2268" w:type="dxa"/>
            <w:tcBorders>
              <w:right w:val="single" w:sz="4" w:space="0" w:color="auto"/>
            </w:tcBorders>
            <w:shd w:val="clear" w:color="auto" w:fill="auto"/>
          </w:tcPr>
          <w:p w14:paraId="70F453B4" w14:textId="12CAABBC" w:rsidR="00A640E4" w:rsidRPr="0095619E" w:rsidRDefault="00A640E4" w:rsidP="00C263B2">
            <w:pPr>
              <w:spacing w:after="120"/>
              <w:rPr>
                <w:rFonts w:ascii="Times New Roman" w:hAnsi="Times New Roman"/>
              </w:rPr>
            </w:pPr>
            <w:r w:rsidRPr="0095619E">
              <w:rPr>
                <w:rFonts w:ascii="Times New Roman" w:hAnsi="Times New Roman"/>
              </w:rPr>
              <w:t>Agree.</w:t>
            </w:r>
          </w:p>
        </w:tc>
        <w:tc>
          <w:tcPr>
            <w:tcW w:w="3402" w:type="dxa"/>
            <w:tcBorders>
              <w:left w:val="single" w:sz="4" w:space="0" w:color="auto"/>
            </w:tcBorders>
            <w:shd w:val="clear" w:color="auto" w:fill="auto"/>
          </w:tcPr>
          <w:p w14:paraId="683C1354" w14:textId="142802F6" w:rsidR="00A640E4" w:rsidRPr="0095619E" w:rsidRDefault="00F9186A" w:rsidP="00582611">
            <w:pPr>
              <w:spacing w:after="120"/>
              <w:rPr>
                <w:rFonts w:ascii="Times New Roman" w:hAnsi="Times New Roman"/>
              </w:rPr>
            </w:pPr>
            <w:r>
              <w:rPr>
                <w:rFonts w:ascii="Times New Roman" w:hAnsi="Times New Roman"/>
              </w:rPr>
              <w:t xml:space="preserve">Development of M&amp;E framework and theory of change to capture attribution at </w:t>
            </w:r>
            <w:r w:rsidRPr="0095619E">
              <w:rPr>
                <w:rFonts w:ascii="Times New Roman" w:hAnsi="Times New Roman"/>
              </w:rPr>
              <w:t>ou</w:t>
            </w:r>
            <w:r>
              <w:rPr>
                <w:rFonts w:ascii="Times New Roman" w:hAnsi="Times New Roman"/>
              </w:rPr>
              <w:t xml:space="preserve">tcome and impact level including </w:t>
            </w:r>
            <w:r w:rsidRPr="0095619E">
              <w:rPr>
                <w:rFonts w:ascii="Times New Roman" w:hAnsi="Times New Roman"/>
              </w:rPr>
              <w:t>acknowledge</w:t>
            </w:r>
            <w:r>
              <w:rPr>
                <w:rFonts w:ascii="Times New Roman" w:hAnsi="Times New Roman"/>
              </w:rPr>
              <w:t xml:space="preserve">ment of the contribution </w:t>
            </w:r>
            <w:r w:rsidRPr="0095619E">
              <w:rPr>
                <w:rFonts w:ascii="Times New Roman" w:hAnsi="Times New Roman"/>
              </w:rPr>
              <w:t xml:space="preserve">of specific stakeholders. </w:t>
            </w:r>
          </w:p>
        </w:tc>
        <w:tc>
          <w:tcPr>
            <w:tcW w:w="1843" w:type="dxa"/>
            <w:tcBorders>
              <w:left w:val="single" w:sz="4" w:space="0" w:color="auto"/>
            </w:tcBorders>
            <w:shd w:val="clear" w:color="auto" w:fill="auto"/>
          </w:tcPr>
          <w:p w14:paraId="63BE6FEE" w14:textId="42DB9699" w:rsidR="00A640E4" w:rsidRPr="0095619E" w:rsidRDefault="00582611" w:rsidP="00602971">
            <w:pPr>
              <w:spacing w:after="120"/>
              <w:rPr>
                <w:rFonts w:ascii="Times New Roman" w:hAnsi="Times New Roman"/>
              </w:rPr>
            </w:pPr>
            <w:r>
              <w:rPr>
                <w:rFonts w:ascii="Times New Roman" w:hAnsi="Times New Roman"/>
              </w:rPr>
              <w:t>URS Australia Ltd, DFAT</w:t>
            </w:r>
          </w:p>
        </w:tc>
      </w:tr>
      <w:tr w:rsidR="00A640E4" w:rsidRPr="0095619E" w14:paraId="1FE5DA51" w14:textId="77777777" w:rsidTr="00730AA6">
        <w:trPr>
          <w:cantSplit/>
          <w:trHeight w:val="885"/>
        </w:trPr>
        <w:tc>
          <w:tcPr>
            <w:tcW w:w="2943" w:type="dxa"/>
            <w:shd w:val="clear" w:color="auto" w:fill="auto"/>
          </w:tcPr>
          <w:p w14:paraId="1C31965D" w14:textId="4E475916" w:rsidR="00A640E4" w:rsidRPr="00582611" w:rsidRDefault="00A640E4" w:rsidP="00C54303">
            <w:pPr>
              <w:numPr>
                <w:ilvl w:val="0"/>
                <w:numId w:val="7"/>
              </w:numPr>
              <w:tabs>
                <w:tab w:val="left" w:pos="284"/>
              </w:tabs>
              <w:spacing w:after="120"/>
              <w:ind w:left="142" w:hanging="142"/>
              <w:jc w:val="both"/>
              <w:rPr>
                <w:rFonts w:ascii="Times New Roman" w:hAnsi="Times New Roman"/>
              </w:rPr>
            </w:pPr>
            <w:r w:rsidRPr="0095619E">
              <w:rPr>
                <w:rFonts w:ascii="Times New Roman" w:hAnsi="Times New Roman"/>
              </w:rPr>
              <w:t xml:space="preserve">PHAMA </w:t>
            </w:r>
            <w:r w:rsidR="0029328E">
              <w:rPr>
                <w:rFonts w:ascii="Times New Roman" w:hAnsi="Times New Roman"/>
              </w:rPr>
              <w:t>l</w:t>
            </w:r>
            <w:r w:rsidRPr="0095619E">
              <w:rPr>
                <w:rFonts w:ascii="Times New Roman" w:hAnsi="Times New Roman"/>
              </w:rPr>
              <w:t>ook</w:t>
            </w:r>
            <w:r w:rsidR="0029328E">
              <w:rPr>
                <w:rFonts w:ascii="Times New Roman" w:hAnsi="Times New Roman"/>
              </w:rPr>
              <w:t>s</w:t>
            </w:r>
            <w:r w:rsidRPr="0095619E">
              <w:rPr>
                <w:rFonts w:ascii="Times New Roman" w:hAnsi="Times New Roman"/>
              </w:rPr>
              <w:t xml:space="preserve"> for opportunities for strengthening cooperation between Australia and New Zealand, by increasing the involvement of the New Zealand Aid Programme in PHAMA through a combination of co-funding, alignment and/or complementarity.</w:t>
            </w:r>
          </w:p>
        </w:tc>
        <w:tc>
          <w:tcPr>
            <w:tcW w:w="2268" w:type="dxa"/>
            <w:tcBorders>
              <w:right w:val="single" w:sz="4" w:space="0" w:color="auto"/>
            </w:tcBorders>
            <w:shd w:val="clear" w:color="auto" w:fill="auto"/>
          </w:tcPr>
          <w:p w14:paraId="56005873" w14:textId="77777777" w:rsidR="00A640E4" w:rsidRPr="0095619E" w:rsidRDefault="00A640E4" w:rsidP="00C263B2">
            <w:pPr>
              <w:spacing w:after="120"/>
              <w:rPr>
                <w:rFonts w:ascii="Times New Roman" w:hAnsi="Times New Roman"/>
              </w:rPr>
            </w:pPr>
            <w:r w:rsidRPr="0095619E">
              <w:rPr>
                <w:rFonts w:ascii="Times New Roman" w:hAnsi="Times New Roman"/>
              </w:rPr>
              <w:t>Agree.</w:t>
            </w:r>
          </w:p>
          <w:p w14:paraId="35622169" w14:textId="320D76AB" w:rsidR="00A640E4" w:rsidRPr="0095619E" w:rsidRDefault="0029328E" w:rsidP="00C263B2">
            <w:pPr>
              <w:spacing w:after="120"/>
              <w:rPr>
                <w:rFonts w:ascii="Times New Roman" w:hAnsi="Times New Roman"/>
              </w:rPr>
            </w:pPr>
            <w:r>
              <w:rPr>
                <w:rFonts w:ascii="Times New Roman" w:hAnsi="Times New Roman"/>
              </w:rPr>
              <w:t xml:space="preserve">NZ has </w:t>
            </w:r>
            <w:r w:rsidR="00F9186A">
              <w:rPr>
                <w:rFonts w:ascii="Times New Roman" w:hAnsi="Times New Roman"/>
              </w:rPr>
              <w:t>expressed</w:t>
            </w:r>
            <w:r>
              <w:rPr>
                <w:rFonts w:ascii="Times New Roman" w:hAnsi="Times New Roman"/>
              </w:rPr>
              <w:t xml:space="preserve"> interest in co-funding PHAMA</w:t>
            </w:r>
          </w:p>
        </w:tc>
        <w:tc>
          <w:tcPr>
            <w:tcW w:w="3402" w:type="dxa"/>
            <w:tcBorders>
              <w:left w:val="single" w:sz="4" w:space="0" w:color="auto"/>
            </w:tcBorders>
            <w:shd w:val="clear" w:color="auto" w:fill="auto"/>
          </w:tcPr>
          <w:p w14:paraId="10A898C2" w14:textId="35D16908" w:rsidR="00A640E4" w:rsidRPr="0095619E" w:rsidRDefault="00040154" w:rsidP="00040154">
            <w:pPr>
              <w:spacing w:after="120"/>
              <w:rPr>
                <w:rFonts w:ascii="Times New Roman" w:hAnsi="Times New Roman"/>
              </w:rPr>
            </w:pPr>
            <w:r>
              <w:rPr>
                <w:rFonts w:ascii="Times New Roman" w:hAnsi="Times New Roman"/>
                <w:lang w:eastAsia="en-GB"/>
              </w:rPr>
              <w:t>DFAT continued to share key  program documents with NZ and will continue to co</w:t>
            </w:r>
            <w:r w:rsidR="0029328E">
              <w:rPr>
                <w:rFonts w:ascii="Times New Roman" w:hAnsi="Times New Roman"/>
                <w:lang w:eastAsia="en-GB"/>
              </w:rPr>
              <w:t xml:space="preserve">ntinue to </w:t>
            </w:r>
            <w:r>
              <w:rPr>
                <w:rFonts w:ascii="Times New Roman" w:hAnsi="Times New Roman"/>
                <w:lang w:eastAsia="en-GB"/>
              </w:rPr>
              <w:t xml:space="preserve">hold </w:t>
            </w:r>
            <w:r w:rsidR="0029328E">
              <w:rPr>
                <w:rFonts w:ascii="Times New Roman" w:hAnsi="Times New Roman"/>
                <w:lang w:eastAsia="en-GB"/>
              </w:rPr>
              <w:t xml:space="preserve">dialogue </w:t>
            </w:r>
            <w:r>
              <w:rPr>
                <w:rFonts w:ascii="Times New Roman" w:hAnsi="Times New Roman"/>
                <w:lang w:eastAsia="en-GB"/>
              </w:rPr>
              <w:t xml:space="preserve">including with </w:t>
            </w:r>
            <w:r w:rsidR="0029328E">
              <w:rPr>
                <w:rFonts w:ascii="Times New Roman" w:hAnsi="Times New Roman"/>
                <w:lang w:eastAsia="en-GB"/>
              </w:rPr>
              <w:t xml:space="preserve">other development partners. </w:t>
            </w:r>
          </w:p>
        </w:tc>
        <w:tc>
          <w:tcPr>
            <w:tcW w:w="1843" w:type="dxa"/>
            <w:tcBorders>
              <w:left w:val="single" w:sz="4" w:space="0" w:color="auto"/>
            </w:tcBorders>
            <w:shd w:val="clear" w:color="auto" w:fill="auto"/>
          </w:tcPr>
          <w:p w14:paraId="2EF8F543" w14:textId="52EBD433" w:rsidR="00A640E4" w:rsidRPr="0095619E" w:rsidRDefault="0029328E" w:rsidP="00DF2AD6">
            <w:pPr>
              <w:spacing w:after="120"/>
              <w:rPr>
                <w:rFonts w:ascii="Times New Roman" w:hAnsi="Times New Roman"/>
              </w:rPr>
            </w:pPr>
            <w:r>
              <w:rPr>
                <w:rFonts w:ascii="Times New Roman" w:hAnsi="Times New Roman"/>
              </w:rPr>
              <w:t>SPC-LRD, URS Australia Ltd, DFAT</w:t>
            </w:r>
            <w:r w:rsidR="00A640E4" w:rsidRPr="0095619E">
              <w:rPr>
                <w:rFonts w:ascii="Times New Roman" w:hAnsi="Times New Roman"/>
              </w:rPr>
              <w:t>.</w:t>
            </w:r>
          </w:p>
        </w:tc>
      </w:tr>
      <w:tr w:rsidR="00A640E4" w:rsidRPr="0095619E" w14:paraId="5B2749BB" w14:textId="77777777" w:rsidTr="00730AA6">
        <w:trPr>
          <w:cantSplit/>
          <w:trHeight w:val="885"/>
        </w:trPr>
        <w:tc>
          <w:tcPr>
            <w:tcW w:w="2943" w:type="dxa"/>
            <w:shd w:val="clear" w:color="auto" w:fill="auto"/>
          </w:tcPr>
          <w:p w14:paraId="19E6D875" w14:textId="2F9C8B77" w:rsidR="00A640E4" w:rsidRPr="0095619E" w:rsidRDefault="0029328E" w:rsidP="00C54303">
            <w:pPr>
              <w:numPr>
                <w:ilvl w:val="0"/>
                <w:numId w:val="7"/>
              </w:numPr>
              <w:tabs>
                <w:tab w:val="left" w:pos="284"/>
              </w:tabs>
              <w:spacing w:after="120"/>
              <w:ind w:left="142" w:hanging="142"/>
              <w:jc w:val="both"/>
              <w:rPr>
                <w:rFonts w:ascii="Times New Roman" w:hAnsi="Times New Roman"/>
              </w:rPr>
            </w:pPr>
            <w:r>
              <w:rPr>
                <w:rFonts w:ascii="Times New Roman" w:hAnsi="Times New Roman"/>
              </w:rPr>
              <w:t xml:space="preserve"> H</w:t>
            </w:r>
            <w:r w:rsidR="00A640E4" w:rsidRPr="0095619E">
              <w:rPr>
                <w:rFonts w:ascii="Times New Roman" w:hAnsi="Times New Roman"/>
              </w:rPr>
              <w:t>armonisation and coordination with key donors and initiatives relevant to the PHAMA program be strengthened at different levels.</w:t>
            </w:r>
          </w:p>
        </w:tc>
        <w:tc>
          <w:tcPr>
            <w:tcW w:w="2268" w:type="dxa"/>
            <w:tcBorders>
              <w:right w:val="single" w:sz="4" w:space="0" w:color="auto"/>
            </w:tcBorders>
            <w:shd w:val="clear" w:color="auto" w:fill="auto"/>
          </w:tcPr>
          <w:p w14:paraId="480AB4CE" w14:textId="5B794AA2" w:rsidR="00A640E4" w:rsidRPr="0095619E" w:rsidRDefault="00A640E4" w:rsidP="00C263B2">
            <w:pPr>
              <w:spacing w:after="120"/>
              <w:rPr>
                <w:rFonts w:ascii="Times New Roman" w:hAnsi="Times New Roman"/>
              </w:rPr>
            </w:pPr>
            <w:r w:rsidRPr="0095619E">
              <w:rPr>
                <w:rFonts w:ascii="Times New Roman" w:hAnsi="Times New Roman"/>
              </w:rPr>
              <w:t>Agree.</w:t>
            </w:r>
          </w:p>
        </w:tc>
        <w:tc>
          <w:tcPr>
            <w:tcW w:w="3402" w:type="dxa"/>
            <w:tcBorders>
              <w:left w:val="single" w:sz="4" w:space="0" w:color="auto"/>
            </w:tcBorders>
            <w:shd w:val="clear" w:color="auto" w:fill="auto"/>
          </w:tcPr>
          <w:p w14:paraId="5DC7146E" w14:textId="58669B87" w:rsidR="00A640E4" w:rsidRPr="0095619E" w:rsidRDefault="00582611" w:rsidP="00582611">
            <w:pPr>
              <w:spacing w:after="120"/>
              <w:rPr>
                <w:rFonts w:ascii="Times New Roman" w:hAnsi="Times New Roman"/>
                <w:lang w:eastAsia="en-GB"/>
              </w:rPr>
            </w:pPr>
            <w:r>
              <w:rPr>
                <w:rFonts w:ascii="Times New Roman" w:hAnsi="Times New Roman"/>
                <w:lang w:eastAsia="en-GB"/>
              </w:rPr>
              <w:t>Also explore/strengthen opportunities for harmonisation and coordination for this sector within SPC and other CROP agencies</w:t>
            </w:r>
          </w:p>
        </w:tc>
        <w:tc>
          <w:tcPr>
            <w:tcW w:w="1843" w:type="dxa"/>
            <w:tcBorders>
              <w:left w:val="single" w:sz="4" w:space="0" w:color="auto"/>
            </w:tcBorders>
            <w:shd w:val="clear" w:color="auto" w:fill="auto"/>
          </w:tcPr>
          <w:p w14:paraId="3967B8BF" w14:textId="57311A98" w:rsidR="00A640E4" w:rsidRPr="0095619E" w:rsidRDefault="00A640E4" w:rsidP="00DF2AD6">
            <w:pPr>
              <w:spacing w:after="120"/>
              <w:rPr>
                <w:rFonts w:ascii="Times New Roman" w:hAnsi="Times New Roman"/>
              </w:rPr>
            </w:pPr>
            <w:r w:rsidRPr="0095619E">
              <w:rPr>
                <w:rFonts w:ascii="Times New Roman" w:hAnsi="Times New Roman"/>
              </w:rPr>
              <w:t>All stakeholders.</w:t>
            </w:r>
          </w:p>
        </w:tc>
      </w:tr>
    </w:tbl>
    <w:p w14:paraId="6CAE7C67" w14:textId="734E8478" w:rsidR="00C657FB" w:rsidRPr="0095619E" w:rsidRDefault="00C657FB" w:rsidP="00C657FB">
      <w:pPr>
        <w:rPr>
          <w:rFonts w:ascii="Times New Roman" w:hAnsi="Times New Roman"/>
        </w:rPr>
      </w:pPr>
    </w:p>
    <w:p w14:paraId="6CAE7C68" w14:textId="77777777" w:rsidR="00C657FB" w:rsidRDefault="00C657FB" w:rsidP="00C657FB">
      <w:pPr>
        <w:rPr>
          <w:rFonts w:cs="Arial"/>
        </w:rPr>
      </w:pPr>
    </w:p>
    <w:p w14:paraId="6CAE7C69" w14:textId="77777777" w:rsidR="00C657FB" w:rsidRDefault="00C657FB" w:rsidP="00C657FB">
      <w:pPr>
        <w:rPr>
          <w:rFonts w:cs="Arial"/>
        </w:rPr>
      </w:pPr>
    </w:p>
    <w:p w14:paraId="6CAE7C6A" w14:textId="77777777" w:rsidR="00C657FB" w:rsidRDefault="001E3D24" w:rsidP="001E3D24">
      <w:pPr>
        <w:pStyle w:val="Heading2"/>
      </w:pPr>
      <w:r>
        <w:t xml:space="preserve"> </w:t>
      </w:r>
    </w:p>
    <w:p w14:paraId="6CAE7C6B" w14:textId="77777777" w:rsidR="00913F5E" w:rsidRPr="00913F5E" w:rsidRDefault="00913F5E" w:rsidP="00C657FB">
      <w:pPr>
        <w:pStyle w:val="Heading2"/>
      </w:pPr>
    </w:p>
    <w:sectPr w:rsidR="00913F5E" w:rsidRPr="00913F5E" w:rsidSect="0005470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567" w:footer="6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AE7C72" w14:textId="77777777" w:rsidR="00FB48FF" w:rsidRDefault="00FB48FF">
      <w:pPr>
        <w:pStyle w:val="Table-list-number"/>
      </w:pPr>
      <w:r>
        <w:separator/>
      </w:r>
    </w:p>
  </w:endnote>
  <w:endnote w:type="continuationSeparator" w:id="0">
    <w:p w14:paraId="6CAE7C73" w14:textId="77777777" w:rsidR="00FB48FF" w:rsidRDefault="00FB48FF">
      <w:pPr>
        <w:pStyle w:val="Table-list-numb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84C89" w14:textId="77777777" w:rsidR="00A219DA" w:rsidRDefault="00A219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E7C75" w14:textId="2D7B31FB" w:rsidR="00FB48FF" w:rsidRPr="00AE52D5" w:rsidRDefault="00FB48FF" w:rsidP="00AE52D5">
    <w:pPr>
      <w:pStyle w:val="Footer"/>
      <w:pBdr>
        <w:top w:val="single" w:sz="4" w:space="7" w:color="333333"/>
      </w:pBdr>
      <w:tabs>
        <w:tab w:val="clear" w:pos="4153"/>
        <w:tab w:val="clear" w:pos="8306"/>
        <w:tab w:val="right" w:pos="9639"/>
      </w:tabs>
      <w:rPr>
        <w:rStyle w:val="PageNumber"/>
      </w:rPr>
    </w:pPr>
    <w:r w:rsidRPr="00AE52D5">
      <w:tab/>
      <w:t xml:space="preserve">Page </w:t>
    </w:r>
    <w:r w:rsidRPr="00AE52D5">
      <w:rPr>
        <w:rStyle w:val="PageNumber"/>
      </w:rPr>
      <w:fldChar w:fldCharType="begin"/>
    </w:r>
    <w:r w:rsidRPr="00AE52D5">
      <w:rPr>
        <w:rStyle w:val="PageNumber"/>
      </w:rPr>
      <w:instrText xml:space="preserve"> PAGE </w:instrText>
    </w:r>
    <w:r w:rsidRPr="00AE52D5">
      <w:rPr>
        <w:rStyle w:val="PageNumber"/>
      </w:rPr>
      <w:fldChar w:fldCharType="separate"/>
    </w:r>
    <w:r w:rsidR="00A219DA">
      <w:rPr>
        <w:rStyle w:val="PageNumber"/>
        <w:noProof/>
      </w:rPr>
      <w:t>1</w:t>
    </w:r>
    <w:r w:rsidRPr="00AE52D5">
      <w:rPr>
        <w:rStyle w:val="PageNumber"/>
      </w:rPr>
      <w:fldChar w:fldCharType="end"/>
    </w:r>
    <w:r w:rsidRPr="00AE52D5">
      <w:rPr>
        <w:rStyle w:val="PageNumber"/>
      </w:rPr>
      <w:t xml:space="preserve"> of </w:t>
    </w:r>
    <w:r w:rsidRPr="00AE52D5">
      <w:rPr>
        <w:rStyle w:val="PageNumber"/>
      </w:rPr>
      <w:fldChar w:fldCharType="begin"/>
    </w:r>
    <w:r w:rsidRPr="00AE52D5">
      <w:rPr>
        <w:rStyle w:val="PageNumber"/>
      </w:rPr>
      <w:instrText xml:space="preserve"> NUMPAGES </w:instrText>
    </w:r>
    <w:r w:rsidRPr="00AE52D5">
      <w:rPr>
        <w:rStyle w:val="PageNumber"/>
      </w:rPr>
      <w:fldChar w:fldCharType="separate"/>
    </w:r>
    <w:r w:rsidR="00A219DA">
      <w:rPr>
        <w:rStyle w:val="PageNumber"/>
        <w:noProof/>
      </w:rPr>
      <w:t>8</w:t>
    </w:r>
    <w:r w:rsidRPr="00AE52D5">
      <w:rPr>
        <w:rStyle w:val="PageNumber"/>
      </w:rPr>
      <w:fldChar w:fldCharType="end"/>
    </w:r>
  </w:p>
  <w:p w14:paraId="6CAE7C76" w14:textId="5A0A3275" w:rsidR="00FB48FF" w:rsidRPr="00AE52D5" w:rsidRDefault="00FB48FF" w:rsidP="00AE52D5">
    <w:pPr>
      <w:pStyle w:val="Footer"/>
      <w:pBdr>
        <w:top w:val="single" w:sz="4" w:space="7" w:color="333333"/>
      </w:pBdr>
      <w:tabs>
        <w:tab w:val="clear" w:pos="4153"/>
        <w:tab w:val="clear" w:pos="8306"/>
        <w:tab w:val="right" w:pos="9639"/>
      </w:tabs>
    </w:pPr>
    <w:r w:rsidRPr="00AE52D5">
      <w:tab/>
    </w:r>
    <w:r w:rsidRPr="00AE52D5">
      <w:rPr>
        <w:rStyle w:val="PageNumber"/>
      </w:rPr>
      <w:t>UNCLASSIFIED</w:t>
    </w:r>
  </w:p>
  <w:p w14:paraId="6CAE7C77" w14:textId="77777777" w:rsidR="00FB48FF" w:rsidRPr="000815FC" w:rsidRDefault="00FB48FF" w:rsidP="00887304">
    <w:pPr>
      <w:pStyle w:val="Footer"/>
      <w:pBdr>
        <w:top w:val="single" w:sz="4" w:space="8" w:color="999999"/>
      </w:pBdr>
      <w:tabs>
        <w:tab w:val="clear" w:pos="4153"/>
        <w:tab w:val="clear" w:pos="8306"/>
        <w:tab w:val="right" w:pos="9639"/>
      </w:tabs>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F4F83" w14:textId="77777777" w:rsidR="00A219DA" w:rsidRDefault="00A219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E7C70" w14:textId="77777777" w:rsidR="00FB48FF" w:rsidRDefault="00FB48FF">
      <w:pPr>
        <w:pStyle w:val="Table-list-number"/>
      </w:pPr>
      <w:r>
        <w:separator/>
      </w:r>
    </w:p>
  </w:footnote>
  <w:footnote w:type="continuationSeparator" w:id="0">
    <w:p w14:paraId="6CAE7C71" w14:textId="77777777" w:rsidR="00FB48FF" w:rsidRDefault="00FB48FF">
      <w:pPr>
        <w:pStyle w:val="Table-list-numb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58554C" w14:textId="77777777" w:rsidR="00A219DA" w:rsidRDefault="00A219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AE7C74" w14:textId="77777777" w:rsidR="00FB48FF" w:rsidRPr="00077243" w:rsidRDefault="00FB48FF" w:rsidP="00077243">
    <w:pPr>
      <w:pStyle w:val="Header"/>
      <w:jc w:val="center"/>
      <w:rPr>
        <w:caps/>
      </w:rPr>
    </w:pPr>
    <w:r w:rsidRPr="00077243">
      <w:rPr>
        <w:caps/>
      </w:rPr>
      <w:t>Unclassified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CE495" w14:textId="77777777" w:rsidR="00A219DA" w:rsidRDefault="00A21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59B"/>
    <w:multiLevelType w:val="hybridMultilevel"/>
    <w:tmpl w:val="6C88096A"/>
    <w:lvl w:ilvl="0" w:tplc="6E0052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4322B40"/>
    <w:multiLevelType w:val="hybridMultilevel"/>
    <w:tmpl w:val="A400354C"/>
    <w:lvl w:ilvl="0" w:tplc="214850A0">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nsid w:val="092929E6"/>
    <w:multiLevelType w:val="hybridMultilevel"/>
    <w:tmpl w:val="2BB08866"/>
    <w:lvl w:ilvl="0" w:tplc="AC2E0D00">
      <w:start w:val="1"/>
      <w:numFmt w:val="decimal"/>
      <w:pStyle w:val="Table-list-number"/>
      <w:lvlText w:val="%1."/>
      <w:lvlJc w:val="left"/>
      <w:pPr>
        <w:tabs>
          <w:tab w:val="num" w:pos="360"/>
        </w:tabs>
        <w:ind w:left="35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362420"/>
    <w:multiLevelType w:val="multilevel"/>
    <w:tmpl w:val="D848DC06"/>
    <w:lvl w:ilvl="0">
      <w:start w:val="1"/>
      <w:numFmt w:val="bullet"/>
      <w:lvlText w:val=""/>
      <w:lvlJc w:val="left"/>
      <w:pPr>
        <w:tabs>
          <w:tab w:val="num" w:pos="576"/>
        </w:tabs>
        <w:ind w:left="576" w:hanging="567"/>
      </w:pPr>
      <w:rPr>
        <w:rFonts w:ascii="Symbol" w:hAnsi="Symbol" w:hint="default"/>
        <w:b/>
        <w:i w:val="0"/>
        <w:color w:val="B7144C"/>
      </w:rPr>
    </w:lvl>
    <w:lvl w:ilvl="1">
      <w:start w:val="1"/>
      <w:numFmt w:val="lowerLetter"/>
      <w:lvlText w:val="%2."/>
      <w:lvlJc w:val="left"/>
      <w:pPr>
        <w:tabs>
          <w:tab w:val="num" w:pos="1143"/>
        </w:tabs>
        <w:ind w:left="1143" w:hanging="567"/>
      </w:pPr>
      <w:rPr>
        <w:rFonts w:hint="default"/>
        <w:color w:val="A0354E"/>
        <w:u w:val="none"/>
      </w:rPr>
    </w:lvl>
    <w:lvl w:ilvl="2">
      <w:start w:val="1"/>
      <w:numFmt w:val="lowerRoman"/>
      <w:lvlText w:val="%3."/>
      <w:lvlJc w:val="left"/>
      <w:pPr>
        <w:tabs>
          <w:tab w:val="num" w:pos="1710"/>
        </w:tabs>
        <w:ind w:left="1710" w:hanging="567"/>
      </w:pPr>
      <w:rPr>
        <w:rFonts w:hint="default"/>
        <w:color w:val="A0354E"/>
      </w:rPr>
    </w:lvl>
    <w:lvl w:ilvl="3">
      <w:start w:val="1"/>
      <w:numFmt w:val="none"/>
      <w:lvlText w:val="%4."/>
      <w:lvlJc w:val="left"/>
      <w:pPr>
        <w:tabs>
          <w:tab w:val="num" w:pos="2172"/>
        </w:tabs>
        <w:ind w:left="2172" w:hanging="360"/>
      </w:pPr>
      <w:rPr>
        <w:rFonts w:hint="default"/>
      </w:rPr>
    </w:lvl>
    <w:lvl w:ilvl="4">
      <w:start w:val="1"/>
      <w:numFmt w:val="none"/>
      <w:lvlText w:val="%5."/>
      <w:lvlJc w:val="left"/>
      <w:pPr>
        <w:tabs>
          <w:tab w:val="num" w:pos="2892"/>
        </w:tabs>
        <w:ind w:left="2892" w:hanging="360"/>
      </w:pPr>
      <w:rPr>
        <w:rFonts w:hint="default"/>
      </w:rPr>
    </w:lvl>
    <w:lvl w:ilvl="5">
      <w:start w:val="1"/>
      <w:numFmt w:val="none"/>
      <w:lvlText w:val="%6."/>
      <w:lvlJc w:val="right"/>
      <w:pPr>
        <w:tabs>
          <w:tab w:val="num" w:pos="3612"/>
        </w:tabs>
        <w:ind w:left="3612" w:hanging="180"/>
      </w:pPr>
      <w:rPr>
        <w:rFonts w:hint="default"/>
      </w:rPr>
    </w:lvl>
    <w:lvl w:ilvl="6">
      <w:start w:val="1"/>
      <w:numFmt w:val="none"/>
      <w:lvlText w:val="%7."/>
      <w:lvlJc w:val="left"/>
      <w:pPr>
        <w:tabs>
          <w:tab w:val="num" w:pos="4332"/>
        </w:tabs>
        <w:ind w:left="4332" w:hanging="360"/>
      </w:pPr>
      <w:rPr>
        <w:rFonts w:hint="default"/>
      </w:rPr>
    </w:lvl>
    <w:lvl w:ilvl="7">
      <w:start w:val="1"/>
      <w:numFmt w:val="none"/>
      <w:lvlText w:val="%8."/>
      <w:lvlJc w:val="left"/>
      <w:pPr>
        <w:tabs>
          <w:tab w:val="num" w:pos="5052"/>
        </w:tabs>
        <w:ind w:left="5052" w:hanging="360"/>
      </w:pPr>
      <w:rPr>
        <w:rFonts w:hint="default"/>
      </w:rPr>
    </w:lvl>
    <w:lvl w:ilvl="8">
      <w:start w:val="1"/>
      <w:numFmt w:val="none"/>
      <w:lvlText w:val="%9."/>
      <w:lvlJc w:val="right"/>
      <w:pPr>
        <w:tabs>
          <w:tab w:val="num" w:pos="5772"/>
        </w:tabs>
        <w:ind w:left="5772" w:hanging="180"/>
      </w:pPr>
      <w:rPr>
        <w:rFonts w:hint="default"/>
      </w:rPr>
    </w:lvl>
  </w:abstractNum>
  <w:abstractNum w:abstractNumId="4">
    <w:nsid w:val="183601E0"/>
    <w:multiLevelType w:val="hybridMultilevel"/>
    <w:tmpl w:val="533A668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nsid w:val="196A2C7F"/>
    <w:multiLevelType w:val="hybridMultilevel"/>
    <w:tmpl w:val="749623F2"/>
    <w:lvl w:ilvl="0" w:tplc="0C090001">
      <w:start w:val="1"/>
      <w:numFmt w:val="bullet"/>
      <w:lvlText w:val=""/>
      <w:lvlJc w:val="left"/>
      <w:pPr>
        <w:ind w:left="1080" w:hanging="72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5264A5A"/>
    <w:multiLevelType w:val="hybridMultilevel"/>
    <w:tmpl w:val="0D2C9A66"/>
    <w:lvl w:ilvl="0" w:tplc="48FC474E">
      <w:start w:val="1"/>
      <w:numFmt w:val="bullet"/>
      <w:pStyle w:val="List-bullet-1"/>
      <w:lvlText w:val=""/>
      <w:lvlJc w:val="left"/>
      <w:pPr>
        <w:tabs>
          <w:tab w:val="num" w:pos="720"/>
        </w:tabs>
        <w:ind w:left="720" w:hanging="363"/>
      </w:pPr>
      <w:rPr>
        <w:rFonts w:ascii="Symbol" w:hAnsi="Symbol" w:hint="default"/>
        <w:color w:val="auto"/>
        <w:sz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
    <w:nsid w:val="2AE67E4F"/>
    <w:multiLevelType w:val="hybridMultilevel"/>
    <w:tmpl w:val="CBC6059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FBD11B4"/>
    <w:multiLevelType w:val="multilevel"/>
    <w:tmpl w:val="88B61454"/>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8D460F3"/>
    <w:multiLevelType w:val="hybridMultilevel"/>
    <w:tmpl w:val="2152C1A4"/>
    <w:lvl w:ilvl="0" w:tplc="03B0FA2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4216019"/>
    <w:multiLevelType w:val="hybridMultilevel"/>
    <w:tmpl w:val="D00CD83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47531147"/>
    <w:multiLevelType w:val="hybridMultilevel"/>
    <w:tmpl w:val="D5B06BB0"/>
    <w:lvl w:ilvl="0" w:tplc="C5B0958A">
      <w:start w:val="1"/>
      <w:numFmt w:val="bullet"/>
      <w:pStyle w:val="List-bullet-2"/>
      <w:lvlText w:val="–"/>
      <w:lvlJc w:val="left"/>
      <w:pPr>
        <w:tabs>
          <w:tab w:val="num" w:pos="1021"/>
        </w:tabs>
        <w:ind w:left="1021" w:hanging="301"/>
      </w:pPr>
      <w:rPr>
        <w:rFonts w:hint="default"/>
        <w:color w:val="auto"/>
        <w:sz w:val="20"/>
      </w:rPr>
    </w:lvl>
    <w:lvl w:ilvl="1" w:tplc="416EABDE">
      <w:start w:val="1"/>
      <w:numFmt w:val="bullet"/>
      <w:lvlText w:val="–"/>
      <w:lvlJc w:val="left"/>
      <w:pPr>
        <w:tabs>
          <w:tab w:val="num" w:pos="1724"/>
        </w:tabs>
        <w:ind w:left="1724" w:hanging="363"/>
      </w:pPr>
      <w:rPr>
        <w:rFonts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nsid w:val="565E2D0D"/>
    <w:multiLevelType w:val="multilevel"/>
    <w:tmpl w:val="071895EA"/>
    <w:lvl w:ilvl="0">
      <w:start w:val="1"/>
      <w:numFmt w:val="bullet"/>
      <w:pStyle w:val="IODPARCBullets"/>
      <w:lvlText w:val=""/>
      <w:lvlJc w:val="left"/>
      <w:pPr>
        <w:ind w:left="360" w:hanging="360"/>
      </w:pPr>
      <w:rPr>
        <w:rFonts w:ascii="Symbol" w:hAnsi="Symbol" w:hint="default"/>
        <w:b w:val="0"/>
        <w:i w:val="0"/>
        <w:color w:val="CCCC00"/>
        <w:sz w:val="28"/>
        <w:szCs w:val="22"/>
      </w:rPr>
    </w:lvl>
    <w:lvl w:ilvl="1">
      <w:start w:val="1"/>
      <w:numFmt w:val="bullet"/>
      <w:suff w:val="space"/>
      <w:lvlText w:val="-"/>
      <w:lvlJc w:val="left"/>
      <w:pPr>
        <w:ind w:left="284" w:hanging="114"/>
      </w:pPr>
      <w:rPr>
        <w:rFonts w:ascii="Georgia" w:hAnsi="Georgia" w:hint="default"/>
        <w:b w:val="0"/>
        <w:i w:val="0"/>
        <w:color w:val="666666"/>
        <w:sz w:val="18"/>
      </w:rPr>
    </w:lvl>
    <w:lvl w:ilvl="2">
      <w:start w:val="1"/>
      <w:numFmt w:val="bullet"/>
      <w:lvlText w:val="-"/>
      <w:lvlJc w:val="left"/>
      <w:pPr>
        <w:ind w:left="851" w:hanging="284"/>
      </w:pPr>
      <w:rPr>
        <w:rFonts w:ascii="Georgia" w:hAnsi="Georgia" w:hint="default"/>
        <w:color w:val="666666"/>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3">
    <w:nsid w:val="641B3406"/>
    <w:multiLevelType w:val="hybridMultilevel"/>
    <w:tmpl w:val="973A3892"/>
    <w:lvl w:ilvl="0" w:tplc="0C09000F">
      <w:start w:val="1"/>
      <w:numFmt w:val="decimal"/>
      <w:lvlText w:val="%1."/>
      <w:lvlJc w:val="left"/>
      <w:pPr>
        <w:ind w:left="177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DA47BD8"/>
    <w:multiLevelType w:val="hybridMultilevel"/>
    <w:tmpl w:val="B1C2DE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7286401F"/>
    <w:multiLevelType w:val="multilevel"/>
    <w:tmpl w:val="5F303A0A"/>
    <w:lvl w:ilvl="0">
      <w:start w:val="1"/>
      <w:numFmt w:val="decimal"/>
      <w:lvlText w:val="%1"/>
      <w:lvlJc w:val="left"/>
      <w:pPr>
        <w:tabs>
          <w:tab w:val="num" w:pos="357"/>
        </w:tabs>
        <w:ind w:left="357" w:hanging="357"/>
      </w:pPr>
      <w:rPr>
        <w:rFonts w:hint="default"/>
      </w:rPr>
    </w:lvl>
    <w:lvl w:ilvl="1">
      <w:start w:val="1"/>
      <w:numFmt w:val="decimal"/>
      <w:pStyle w:val="Heading2numbered"/>
      <w:lvlText w:val="%2."/>
      <w:lvlJc w:val="left"/>
      <w:pPr>
        <w:tabs>
          <w:tab w:val="num" w:pos="357"/>
        </w:tabs>
        <w:ind w:left="357" w:hanging="357"/>
      </w:pPr>
      <w:rPr>
        <w:rFonts w:hint="default"/>
      </w:rPr>
    </w:lvl>
    <w:lvl w:ilvl="2">
      <w:start w:val="1"/>
      <w:numFmt w:val="decimal"/>
      <w:pStyle w:val="Heading3numbered"/>
      <w:lvlText w:val="%2.%3"/>
      <w:lvlJc w:val="left"/>
      <w:pPr>
        <w:tabs>
          <w:tab w:val="num" w:pos="851"/>
        </w:tabs>
        <w:ind w:left="851" w:hanging="494"/>
      </w:pPr>
      <w:rPr>
        <w:rFonts w:ascii="Arial" w:hAnsi="Arial" w:hint="default"/>
        <w:b/>
        <w:i/>
        <w:sz w:val="22"/>
        <w:szCs w:val="18"/>
      </w:rPr>
    </w:lvl>
    <w:lvl w:ilvl="3">
      <w:start w:val="1"/>
      <w:numFmt w:val="lowerLetter"/>
      <w:pStyle w:val="List-outline-numbered"/>
      <w:lvlText w:val="%4."/>
      <w:lvlJc w:val="left"/>
      <w:pPr>
        <w:tabs>
          <w:tab w:val="num" w:pos="737"/>
        </w:tabs>
        <w:ind w:left="737" w:hanging="380"/>
      </w:pPr>
      <w:rPr>
        <w:rFonts w:hint="default"/>
      </w:rPr>
    </w:lvl>
    <w:lvl w:ilvl="4">
      <w:start w:val="1"/>
      <w:numFmt w:val="decimal"/>
      <w:lvlText w:val="%1.%2.%3.%4.%5"/>
      <w:lvlJc w:val="left"/>
      <w:pPr>
        <w:tabs>
          <w:tab w:val="num" w:pos="1080"/>
        </w:tabs>
        <w:ind w:left="1080" w:hanging="1008"/>
      </w:pPr>
      <w:rPr>
        <w:rFonts w:hint="default"/>
      </w:rPr>
    </w:lvl>
    <w:lvl w:ilvl="5">
      <w:start w:val="1"/>
      <w:numFmt w:val="decimal"/>
      <w:lvlText w:val="%1.%2.%3.%4.%5.%6"/>
      <w:lvlJc w:val="left"/>
      <w:pPr>
        <w:tabs>
          <w:tab w:val="num" w:pos="1224"/>
        </w:tabs>
        <w:ind w:left="1224" w:hanging="1152"/>
      </w:pPr>
      <w:rPr>
        <w:rFonts w:hint="default"/>
      </w:rPr>
    </w:lvl>
    <w:lvl w:ilvl="6">
      <w:start w:val="1"/>
      <w:numFmt w:val="decimal"/>
      <w:lvlText w:val="%1.%2.%3.%4.%5.%6.%7"/>
      <w:lvlJc w:val="left"/>
      <w:pPr>
        <w:tabs>
          <w:tab w:val="num" w:pos="1368"/>
        </w:tabs>
        <w:ind w:left="1368" w:hanging="1296"/>
      </w:pPr>
      <w:rPr>
        <w:rFonts w:hint="default"/>
      </w:rPr>
    </w:lvl>
    <w:lvl w:ilvl="7">
      <w:start w:val="1"/>
      <w:numFmt w:val="decimal"/>
      <w:lvlText w:val="%1.%2.%3.%4.%5.%6.%7.%8"/>
      <w:lvlJc w:val="left"/>
      <w:pPr>
        <w:tabs>
          <w:tab w:val="num" w:pos="1512"/>
        </w:tabs>
        <w:ind w:left="1512" w:hanging="1440"/>
      </w:pPr>
      <w:rPr>
        <w:rFonts w:hint="default"/>
      </w:rPr>
    </w:lvl>
    <w:lvl w:ilvl="8">
      <w:start w:val="1"/>
      <w:numFmt w:val="decimal"/>
      <w:lvlText w:val="%1.%2.%3.%4.%5.%6.%7.%8.%9"/>
      <w:lvlJc w:val="left"/>
      <w:pPr>
        <w:tabs>
          <w:tab w:val="num" w:pos="1656"/>
        </w:tabs>
        <w:ind w:left="1656" w:hanging="1584"/>
      </w:pPr>
      <w:rPr>
        <w:rFonts w:hint="default"/>
      </w:rPr>
    </w:lvl>
  </w:abstractNum>
  <w:abstractNum w:abstractNumId="16">
    <w:nsid w:val="774868B9"/>
    <w:multiLevelType w:val="hybridMultilevel"/>
    <w:tmpl w:val="A02AF9EA"/>
    <w:lvl w:ilvl="0" w:tplc="F33CF392">
      <w:start w:val="1"/>
      <w:numFmt w:val="bullet"/>
      <w:pStyle w:val="Table-list-bullet"/>
      <w:lvlText w:val="–"/>
      <w:lvlJc w:val="left"/>
      <w:pPr>
        <w:tabs>
          <w:tab w:val="num" w:pos="357"/>
        </w:tabs>
        <w:ind w:left="357" w:hanging="35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1"/>
  </w:num>
  <w:num w:numId="3">
    <w:abstractNumId w:val="8"/>
  </w:num>
  <w:num w:numId="4">
    <w:abstractNumId w:val="15"/>
  </w:num>
  <w:num w:numId="5">
    <w:abstractNumId w:val="16"/>
  </w:num>
  <w:num w:numId="6">
    <w:abstractNumId w:val="2"/>
  </w:num>
  <w:num w:numId="7">
    <w:abstractNumId w:val="13"/>
  </w:num>
  <w:num w:numId="8">
    <w:abstractNumId w:val="14"/>
  </w:num>
  <w:num w:numId="9">
    <w:abstractNumId w:val="1"/>
  </w:num>
  <w:num w:numId="10">
    <w:abstractNumId w:val="12"/>
  </w:num>
  <w:num w:numId="11">
    <w:abstractNumId w:val="0"/>
  </w:num>
  <w:num w:numId="12">
    <w:abstractNumId w:val="7"/>
  </w:num>
  <w:num w:numId="13">
    <w:abstractNumId w:val="9"/>
  </w:num>
  <w:num w:numId="14">
    <w:abstractNumId w:val="3"/>
  </w:num>
  <w:num w:numId="15">
    <w:abstractNumId w:val="4"/>
  </w:num>
  <w:num w:numId="16">
    <w:abstractNumId w:val="10"/>
  </w:num>
  <w:num w:numId="17">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removePersonalInformation/>
  <w:removeDateAndTime/>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drawingGridVerticalSpacing w:val="181"/>
  <w:displayVertic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735"/>
    <w:rsid w:val="000119E7"/>
    <w:rsid w:val="00012070"/>
    <w:rsid w:val="00012E96"/>
    <w:rsid w:val="000135D5"/>
    <w:rsid w:val="00015371"/>
    <w:rsid w:val="000163BD"/>
    <w:rsid w:val="000272E0"/>
    <w:rsid w:val="00031779"/>
    <w:rsid w:val="00037D21"/>
    <w:rsid w:val="00040154"/>
    <w:rsid w:val="000412DD"/>
    <w:rsid w:val="000500A6"/>
    <w:rsid w:val="00052316"/>
    <w:rsid w:val="00054700"/>
    <w:rsid w:val="00067C95"/>
    <w:rsid w:val="00070722"/>
    <w:rsid w:val="0007162A"/>
    <w:rsid w:val="00071CEC"/>
    <w:rsid w:val="000728D3"/>
    <w:rsid w:val="000733A7"/>
    <w:rsid w:val="0007572E"/>
    <w:rsid w:val="000765F5"/>
    <w:rsid w:val="00077243"/>
    <w:rsid w:val="000815FC"/>
    <w:rsid w:val="00086196"/>
    <w:rsid w:val="000869CE"/>
    <w:rsid w:val="00094CE2"/>
    <w:rsid w:val="000A77DB"/>
    <w:rsid w:val="000B520A"/>
    <w:rsid w:val="000B7AFD"/>
    <w:rsid w:val="000C4574"/>
    <w:rsid w:val="000C7666"/>
    <w:rsid w:val="000D23D3"/>
    <w:rsid w:val="000D316D"/>
    <w:rsid w:val="000D38AE"/>
    <w:rsid w:val="000E1475"/>
    <w:rsid w:val="000E1958"/>
    <w:rsid w:val="000F51D5"/>
    <w:rsid w:val="000F5FF5"/>
    <w:rsid w:val="0010006D"/>
    <w:rsid w:val="00102362"/>
    <w:rsid w:val="00104963"/>
    <w:rsid w:val="001077BF"/>
    <w:rsid w:val="00113C84"/>
    <w:rsid w:val="00116D39"/>
    <w:rsid w:val="00121F43"/>
    <w:rsid w:val="001236CF"/>
    <w:rsid w:val="00123C3E"/>
    <w:rsid w:val="0012582F"/>
    <w:rsid w:val="00134B6C"/>
    <w:rsid w:val="001378B7"/>
    <w:rsid w:val="00140289"/>
    <w:rsid w:val="00143427"/>
    <w:rsid w:val="00144AF1"/>
    <w:rsid w:val="001461C8"/>
    <w:rsid w:val="001467C6"/>
    <w:rsid w:val="00151891"/>
    <w:rsid w:val="00153F2A"/>
    <w:rsid w:val="001614B0"/>
    <w:rsid w:val="0016457C"/>
    <w:rsid w:val="00173632"/>
    <w:rsid w:val="00175FFC"/>
    <w:rsid w:val="00177AC0"/>
    <w:rsid w:val="00184728"/>
    <w:rsid w:val="001874BC"/>
    <w:rsid w:val="001917F6"/>
    <w:rsid w:val="001A2A72"/>
    <w:rsid w:val="001B1EE4"/>
    <w:rsid w:val="001B5DEE"/>
    <w:rsid w:val="001D7353"/>
    <w:rsid w:val="001E3D24"/>
    <w:rsid w:val="001E4372"/>
    <w:rsid w:val="001E4FCC"/>
    <w:rsid w:val="001F548E"/>
    <w:rsid w:val="00201683"/>
    <w:rsid w:val="00201759"/>
    <w:rsid w:val="00206132"/>
    <w:rsid w:val="002065C4"/>
    <w:rsid w:val="00211C2C"/>
    <w:rsid w:val="00214F7F"/>
    <w:rsid w:val="0021519D"/>
    <w:rsid w:val="00221D53"/>
    <w:rsid w:val="00223581"/>
    <w:rsid w:val="00225A44"/>
    <w:rsid w:val="00232239"/>
    <w:rsid w:val="002425E0"/>
    <w:rsid w:val="00245265"/>
    <w:rsid w:val="00246B3F"/>
    <w:rsid w:val="00247B10"/>
    <w:rsid w:val="00250414"/>
    <w:rsid w:val="00250CB9"/>
    <w:rsid w:val="002524DA"/>
    <w:rsid w:val="002546B7"/>
    <w:rsid w:val="00255DF0"/>
    <w:rsid w:val="0025797B"/>
    <w:rsid w:val="00264366"/>
    <w:rsid w:val="002718B0"/>
    <w:rsid w:val="00274464"/>
    <w:rsid w:val="00276F45"/>
    <w:rsid w:val="002824B7"/>
    <w:rsid w:val="002839B9"/>
    <w:rsid w:val="00284E61"/>
    <w:rsid w:val="0029328E"/>
    <w:rsid w:val="0029717D"/>
    <w:rsid w:val="002B2279"/>
    <w:rsid w:val="002B2BA6"/>
    <w:rsid w:val="002B5216"/>
    <w:rsid w:val="002C25D2"/>
    <w:rsid w:val="002D1173"/>
    <w:rsid w:val="002D4C96"/>
    <w:rsid w:val="002D7944"/>
    <w:rsid w:val="002E0EA2"/>
    <w:rsid w:val="002E7065"/>
    <w:rsid w:val="002E7A09"/>
    <w:rsid w:val="002F001E"/>
    <w:rsid w:val="002F1368"/>
    <w:rsid w:val="002F13CD"/>
    <w:rsid w:val="002F3803"/>
    <w:rsid w:val="00302097"/>
    <w:rsid w:val="0030264B"/>
    <w:rsid w:val="00310523"/>
    <w:rsid w:val="00310FA6"/>
    <w:rsid w:val="0032164F"/>
    <w:rsid w:val="00326D2A"/>
    <w:rsid w:val="00334E51"/>
    <w:rsid w:val="00342870"/>
    <w:rsid w:val="00345F77"/>
    <w:rsid w:val="00350917"/>
    <w:rsid w:val="0035724B"/>
    <w:rsid w:val="00367DA3"/>
    <w:rsid w:val="003719DB"/>
    <w:rsid w:val="00371B8D"/>
    <w:rsid w:val="00373EB2"/>
    <w:rsid w:val="0037535E"/>
    <w:rsid w:val="0038169E"/>
    <w:rsid w:val="0039002F"/>
    <w:rsid w:val="00390A59"/>
    <w:rsid w:val="00394C72"/>
    <w:rsid w:val="00394F98"/>
    <w:rsid w:val="00397F85"/>
    <w:rsid w:val="003A0013"/>
    <w:rsid w:val="003A09AD"/>
    <w:rsid w:val="003A15A0"/>
    <w:rsid w:val="003A273C"/>
    <w:rsid w:val="003A36D5"/>
    <w:rsid w:val="003A4D26"/>
    <w:rsid w:val="003A7859"/>
    <w:rsid w:val="003B518A"/>
    <w:rsid w:val="003C0A67"/>
    <w:rsid w:val="003C24EC"/>
    <w:rsid w:val="003C25ED"/>
    <w:rsid w:val="003C3B71"/>
    <w:rsid w:val="003D0C24"/>
    <w:rsid w:val="003D236A"/>
    <w:rsid w:val="003D4CAC"/>
    <w:rsid w:val="003D548A"/>
    <w:rsid w:val="003D5CFC"/>
    <w:rsid w:val="003D6E0A"/>
    <w:rsid w:val="003D7317"/>
    <w:rsid w:val="003E0DFE"/>
    <w:rsid w:val="003E2603"/>
    <w:rsid w:val="003E3E3E"/>
    <w:rsid w:val="003E3F82"/>
    <w:rsid w:val="003E6561"/>
    <w:rsid w:val="003E7BC4"/>
    <w:rsid w:val="003F0F7E"/>
    <w:rsid w:val="003F2997"/>
    <w:rsid w:val="003F43CF"/>
    <w:rsid w:val="003F43F9"/>
    <w:rsid w:val="003F7C64"/>
    <w:rsid w:val="004032D0"/>
    <w:rsid w:val="00406563"/>
    <w:rsid w:val="00406867"/>
    <w:rsid w:val="00406CD2"/>
    <w:rsid w:val="00411862"/>
    <w:rsid w:val="00416565"/>
    <w:rsid w:val="004221A5"/>
    <w:rsid w:val="00434134"/>
    <w:rsid w:val="00444D45"/>
    <w:rsid w:val="00454766"/>
    <w:rsid w:val="004555E2"/>
    <w:rsid w:val="00455F94"/>
    <w:rsid w:val="00456E9B"/>
    <w:rsid w:val="00461D80"/>
    <w:rsid w:val="00466CDA"/>
    <w:rsid w:val="004707CB"/>
    <w:rsid w:val="00473AA7"/>
    <w:rsid w:val="00476FDC"/>
    <w:rsid w:val="0047719C"/>
    <w:rsid w:val="0049102D"/>
    <w:rsid w:val="00496DB3"/>
    <w:rsid w:val="004A100E"/>
    <w:rsid w:val="004A56A0"/>
    <w:rsid w:val="004C00C0"/>
    <w:rsid w:val="004C429D"/>
    <w:rsid w:val="004C675F"/>
    <w:rsid w:val="004D2187"/>
    <w:rsid w:val="004D3454"/>
    <w:rsid w:val="004D7D12"/>
    <w:rsid w:val="004E0A16"/>
    <w:rsid w:val="004E150A"/>
    <w:rsid w:val="004E37BD"/>
    <w:rsid w:val="004F5F17"/>
    <w:rsid w:val="004F6AC4"/>
    <w:rsid w:val="00504689"/>
    <w:rsid w:val="005077AB"/>
    <w:rsid w:val="00511D20"/>
    <w:rsid w:val="00512149"/>
    <w:rsid w:val="005149FE"/>
    <w:rsid w:val="005154F9"/>
    <w:rsid w:val="0052010E"/>
    <w:rsid w:val="00522766"/>
    <w:rsid w:val="00523BBF"/>
    <w:rsid w:val="00530283"/>
    <w:rsid w:val="0054778F"/>
    <w:rsid w:val="005477B9"/>
    <w:rsid w:val="00550E26"/>
    <w:rsid w:val="00551E4E"/>
    <w:rsid w:val="005672CB"/>
    <w:rsid w:val="00576EED"/>
    <w:rsid w:val="00582611"/>
    <w:rsid w:val="005829CA"/>
    <w:rsid w:val="005830B4"/>
    <w:rsid w:val="00586B72"/>
    <w:rsid w:val="0059065C"/>
    <w:rsid w:val="005928E6"/>
    <w:rsid w:val="00593DB7"/>
    <w:rsid w:val="0059519C"/>
    <w:rsid w:val="00596949"/>
    <w:rsid w:val="005A4455"/>
    <w:rsid w:val="005A47C3"/>
    <w:rsid w:val="005A6B4A"/>
    <w:rsid w:val="005A7156"/>
    <w:rsid w:val="005A7776"/>
    <w:rsid w:val="005D008B"/>
    <w:rsid w:val="005D3F4B"/>
    <w:rsid w:val="005E0F91"/>
    <w:rsid w:val="005E3939"/>
    <w:rsid w:val="00602971"/>
    <w:rsid w:val="00611E1D"/>
    <w:rsid w:val="0061231E"/>
    <w:rsid w:val="00614E79"/>
    <w:rsid w:val="00614EC8"/>
    <w:rsid w:val="006153BC"/>
    <w:rsid w:val="00630522"/>
    <w:rsid w:val="00632714"/>
    <w:rsid w:val="00636F15"/>
    <w:rsid w:val="00642F53"/>
    <w:rsid w:val="00654BC0"/>
    <w:rsid w:val="00656E2F"/>
    <w:rsid w:val="00670D9D"/>
    <w:rsid w:val="00671675"/>
    <w:rsid w:val="00677BF8"/>
    <w:rsid w:val="00681953"/>
    <w:rsid w:val="00681FC6"/>
    <w:rsid w:val="00683EB4"/>
    <w:rsid w:val="00691182"/>
    <w:rsid w:val="00696A03"/>
    <w:rsid w:val="006A069A"/>
    <w:rsid w:val="006A33F8"/>
    <w:rsid w:val="006A50A3"/>
    <w:rsid w:val="006A6864"/>
    <w:rsid w:val="006B0754"/>
    <w:rsid w:val="006B0F3C"/>
    <w:rsid w:val="006B204D"/>
    <w:rsid w:val="006B4A7A"/>
    <w:rsid w:val="006B5E30"/>
    <w:rsid w:val="006B7BFE"/>
    <w:rsid w:val="006C2142"/>
    <w:rsid w:val="006C597E"/>
    <w:rsid w:val="006D31BA"/>
    <w:rsid w:val="006D7297"/>
    <w:rsid w:val="006D75E9"/>
    <w:rsid w:val="006E0843"/>
    <w:rsid w:val="006E08F6"/>
    <w:rsid w:val="007104C5"/>
    <w:rsid w:val="0071620A"/>
    <w:rsid w:val="0072064D"/>
    <w:rsid w:val="00730AA6"/>
    <w:rsid w:val="007336DD"/>
    <w:rsid w:val="00741661"/>
    <w:rsid w:val="00743FDA"/>
    <w:rsid w:val="00744139"/>
    <w:rsid w:val="007478C2"/>
    <w:rsid w:val="00747B90"/>
    <w:rsid w:val="00755ECE"/>
    <w:rsid w:val="007617BD"/>
    <w:rsid w:val="00762F7B"/>
    <w:rsid w:val="00767EB4"/>
    <w:rsid w:val="007717B2"/>
    <w:rsid w:val="0077265D"/>
    <w:rsid w:val="007735CF"/>
    <w:rsid w:val="00773D1A"/>
    <w:rsid w:val="0077790F"/>
    <w:rsid w:val="007820D0"/>
    <w:rsid w:val="00783EFE"/>
    <w:rsid w:val="00783F58"/>
    <w:rsid w:val="007A0034"/>
    <w:rsid w:val="007B042E"/>
    <w:rsid w:val="007B755F"/>
    <w:rsid w:val="007C0E48"/>
    <w:rsid w:val="007C5FAB"/>
    <w:rsid w:val="007D2631"/>
    <w:rsid w:val="007E1B30"/>
    <w:rsid w:val="007E37A6"/>
    <w:rsid w:val="007E4E22"/>
    <w:rsid w:val="007E4FE8"/>
    <w:rsid w:val="007E60A1"/>
    <w:rsid w:val="007E694D"/>
    <w:rsid w:val="007F3EE5"/>
    <w:rsid w:val="00800650"/>
    <w:rsid w:val="00802A54"/>
    <w:rsid w:val="00804AEF"/>
    <w:rsid w:val="00804D49"/>
    <w:rsid w:val="00806888"/>
    <w:rsid w:val="00810B8A"/>
    <w:rsid w:val="00814D47"/>
    <w:rsid w:val="0081654C"/>
    <w:rsid w:val="00816584"/>
    <w:rsid w:val="00817570"/>
    <w:rsid w:val="008206FF"/>
    <w:rsid w:val="00820986"/>
    <w:rsid w:val="00822C00"/>
    <w:rsid w:val="0083078D"/>
    <w:rsid w:val="00831FE2"/>
    <w:rsid w:val="00840B5D"/>
    <w:rsid w:val="00843412"/>
    <w:rsid w:val="00843D42"/>
    <w:rsid w:val="00845B17"/>
    <w:rsid w:val="00847FA2"/>
    <w:rsid w:val="00864A76"/>
    <w:rsid w:val="0087604D"/>
    <w:rsid w:val="00886689"/>
    <w:rsid w:val="00887304"/>
    <w:rsid w:val="00894472"/>
    <w:rsid w:val="008969B5"/>
    <w:rsid w:val="008A451B"/>
    <w:rsid w:val="008B3156"/>
    <w:rsid w:val="008B7666"/>
    <w:rsid w:val="008D105C"/>
    <w:rsid w:val="008D6B75"/>
    <w:rsid w:val="008D716B"/>
    <w:rsid w:val="008D7666"/>
    <w:rsid w:val="008E0C4C"/>
    <w:rsid w:val="008F36C7"/>
    <w:rsid w:val="0091135C"/>
    <w:rsid w:val="00913F5E"/>
    <w:rsid w:val="00921CBF"/>
    <w:rsid w:val="00923B0C"/>
    <w:rsid w:val="009247FD"/>
    <w:rsid w:val="00933765"/>
    <w:rsid w:val="00936948"/>
    <w:rsid w:val="00944BC2"/>
    <w:rsid w:val="009526A3"/>
    <w:rsid w:val="00953FAD"/>
    <w:rsid w:val="0095619E"/>
    <w:rsid w:val="0095688C"/>
    <w:rsid w:val="00963C76"/>
    <w:rsid w:val="00963FE5"/>
    <w:rsid w:val="00965F3D"/>
    <w:rsid w:val="00975EFF"/>
    <w:rsid w:val="00981839"/>
    <w:rsid w:val="00982318"/>
    <w:rsid w:val="00983442"/>
    <w:rsid w:val="00993D41"/>
    <w:rsid w:val="009A0025"/>
    <w:rsid w:val="009A4B0D"/>
    <w:rsid w:val="009B1EDE"/>
    <w:rsid w:val="009B4B2D"/>
    <w:rsid w:val="009B6244"/>
    <w:rsid w:val="009B6A20"/>
    <w:rsid w:val="009C235A"/>
    <w:rsid w:val="009C34DA"/>
    <w:rsid w:val="009C73C2"/>
    <w:rsid w:val="009D62FF"/>
    <w:rsid w:val="009D6DE1"/>
    <w:rsid w:val="009D7187"/>
    <w:rsid w:val="009E74C0"/>
    <w:rsid w:val="009F1184"/>
    <w:rsid w:val="00A02130"/>
    <w:rsid w:val="00A04888"/>
    <w:rsid w:val="00A219DA"/>
    <w:rsid w:val="00A232E8"/>
    <w:rsid w:val="00A236A7"/>
    <w:rsid w:val="00A2540E"/>
    <w:rsid w:val="00A268C7"/>
    <w:rsid w:val="00A32596"/>
    <w:rsid w:val="00A33696"/>
    <w:rsid w:val="00A36EBD"/>
    <w:rsid w:val="00A435F6"/>
    <w:rsid w:val="00A44E49"/>
    <w:rsid w:val="00A5059C"/>
    <w:rsid w:val="00A519CC"/>
    <w:rsid w:val="00A5273A"/>
    <w:rsid w:val="00A53647"/>
    <w:rsid w:val="00A558C5"/>
    <w:rsid w:val="00A55C90"/>
    <w:rsid w:val="00A640E4"/>
    <w:rsid w:val="00A71362"/>
    <w:rsid w:val="00A75B48"/>
    <w:rsid w:val="00A85757"/>
    <w:rsid w:val="00A91D3A"/>
    <w:rsid w:val="00A94B71"/>
    <w:rsid w:val="00AA0645"/>
    <w:rsid w:val="00AA4991"/>
    <w:rsid w:val="00AA6EB1"/>
    <w:rsid w:val="00AA709A"/>
    <w:rsid w:val="00AB6960"/>
    <w:rsid w:val="00AC3332"/>
    <w:rsid w:val="00AD1B8A"/>
    <w:rsid w:val="00AE250D"/>
    <w:rsid w:val="00AE52D5"/>
    <w:rsid w:val="00AE5F85"/>
    <w:rsid w:val="00AE7561"/>
    <w:rsid w:val="00AF0B20"/>
    <w:rsid w:val="00AF1433"/>
    <w:rsid w:val="00AF367C"/>
    <w:rsid w:val="00AF4FCA"/>
    <w:rsid w:val="00B008B4"/>
    <w:rsid w:val="00B04101"/>
    <w:rsid w:val="00B045C1"/>
    <w:rsid w:val="00B06A1E"/>
    <w:rsid w:val="00B07AD5"/>
    <w:rsid w:val="00B1125D"/>
    <w:rsid w:val="00B11A4D"/>
    <w:rsid w:val="00B211FD"/>
    <w:rsid w:val="00B2593F"/>
    <w:rsid w:val="00B35F23"/>
    <w:rsid w:val="00B362C7"/>
    <w:rsid w:val="00B369D1"/>
    <w:rsid w:val="00B41A17"/>
    <w:rsid w:val="00B432DE"/>
    <w:rsid w:val="00B4437C"/>
    <w:rsid w:val="00B61CCB"/>
    <w:rsid w:val="00B67F3E"/>
    <w:rsid w:val="00B75863"/>
    <w:rsid w:val="00B766F4"/>
    <w:rsid w:val="00B8200C"/>
    <w:rsid w:val="00B84249"/>
    <w:rsid w:val="00B86E2F"/>
    <w:rsid w:val="00B91940"/>
    <w:rsid w:val="00B92588"/>
    <w:rsid w:val="00B93E67"/>
    <w:rsid w:val="00B9551F"/>
    <w:rsid w:val="00BA3C47"/>
    <w:rsid w:val="00BB5168"/>
    <w:rsid w:val="00BB53D4"/>
    <w:rsid w:val="00BC2C84"/>
    <w:rsid w:val="00BC5D5C"/>
    <w:rsid w:val="00BE3D47"/>
    <w:rsid w:val="00BE5849"/>
    <w:rsid w:val="00BF3562"/>
    <w:rsid w:val="00BF3735"/>
    <w:rsid w:val="00C00100"/>
    <w:rsid w:val="00C01019"/>
    <w:rsid w:val="00C033BB"/>
    <w:rsid w:val="00C0509D"/>
    <w:rsid w:val="00C0520A"/>
    <w:rsid w:val="00C13229"/>
    <w:rsid w:val="00C16B9D"/>
    <w:rsid w:val="00C20446"/>
    <w:rsid w:val="00C221F1"/>
    <w:rsid w:val="00C242F1"/>
    <w:rsid w:val="00C263B2"/>
    <w:rsid w:val="00C41D8A"/>
    <w:rsid w:val="00C42279"/>
    <w:rsid w:val="00C441FE"/>
    <w:rsid w:val="00C4776D"/>
    <w:rsid w:val="00C51434"/>
    <w:rsid w:val="00C53398"/>
    <w:rsid w:val="00C54303"/>
    <w:rsid w:val="00C6299D"/>
    <w:rsid w:val="00C64683"/>
    <w:rsid w:val="00C64B11"/>
    <w:rsid w:val="00C65145"/>
    <w:rsid w:val="00C657FB"/>
    <w:rsid w:val="00C65A25"/>
    <w:rsid w:val="00C65DDC"/>
    <w:rsid w:val="00C66849"/>
    <w:rsid w:val="00C66DAE"/>
    <w:rsid w:val="00C679C9"/>
    <w:rsid w:val="00C700FD"/>
    <w:rsid w:val="00C77C7A"/>
    <w:rsid w:val="00C8100B"/>
    <w:rsid w:val="00C8709B"/>
    <w:rsid w:val="00CA2397"/>
    <w:rsid w:val="00CA5F98"/>
    <w:rsid w:val="00CA6081"/>
    <w:rsid w:val="00CB0D9F"/>
    <w:rsid w:val="00CB13C6"/>
    <w:rsid w:val="00CB24A3"/>
    <w:rsid w:val="00CC30D7"/>
    <w:rsid w:val="00CC5199"/>
    <w:rsid w:val="00CC6594"/>
    <w:rsid w:val="00CC7AE9"/>
    <w:rsid w:val="00CD0227"/>
    <w:rsid w:val="00CD287D"/>
    <w:rsid w:val="00CE0C47"/>
    <w:rsid w:val="00CF00C2"/>
    <w:rsid w:val="00CF08F0"/>
    <w:rsid w:val="00D02F70"/>
    <w:rsid w:val="00D047D0"/>
    <w:rsid w:val="00D1382A"/>
    <w:rsid w:val="00D14E4C"/>
    <w:rsid w:val="00D17961"/>
    <w:rsid w:val="00D23A98"/>
    <w:rsid w:val="00D273CD"/>
    <w:rsid w:val="00D34B08"/>
    <w:rsid w:val="00D35C20"/>
    <w:rsid w:val="00D4711F"/>
    <w:rsid w:val="00D52E97"/>
    <w:rsid w:val="00D66ACD"/>
    <w:rsid w:val="00D709F8"/>
    <w:rsid w:val="00D721A2"/>
    <w:rsid w:val="00D72611"/>
    <w:rsid w:val="00D81AE0"/>
    <w:rsid w:val="00D82FCE"/>
    <w:rsid w:val="00D84AED"/>
    <w:rsid w:val="00D91610"/>
    <w:rsid w:val="00D9527A"/>
    <w:rsid w:val="00D95EB1"/>
    <w:rsid w:val="00D97C41"/>
    <w:rsid w:val="00DA497C"/>
    <w:rsid w:val="00DA71F1"/>
    <w:rsid w:val="00DB1297"/>
    <w:rsid w:val="00DB20B2"/>
    <w:rsid w:val="00DB66EB"/>
    <w:rsid w:val="00DC06C0"/>
    <w:rsid w:val="00DC4205"/>
    <w:rsid w:val="00DC5878"/>
    <w:rsid w:val="00DC73A5"/>
    <w:rsid w:val="00DC7D35"/>
    <w:rsid w:val="00DD24E3"/>
    <w:rsid w:val="00DE0E2F"/>
    <w:rsid w:val="00DE11AB"/>
    <w:rsid w:val="00DE2470"/>
    <w:rsid w:val="00DF2AD6"/>
    <w:rsid w:val="00DF62D0"/>
    <w:rsid w:val="00E10870"/>
    <w:rsid w:val="00E12A1C"/>
    <w:rsid w:val="00E12F7B"/>
    <w:rsid w:val="00E20030"/>
    <w:rsid w:val="00E245E4"/>
    <w:rsid w:val="00E27F4A"/>
    <w:rsid w:val="00E30F79"/>
    <w:rsid w:val="00E33E4E"/>
    <w:rsid w:val="00E36400"/>
    <w:rsid w:val="00E44075"/>
    <w:rsid w:val="00E50AA1"/>
    <w:rsid w:val="00E5268B"/>
    <w:rsid w:val="00E5344F"/>
    <w:rsid w:val="00E54ACC"/>
    <w:rsid w:val="00E57B1B"/>
    <w:rsid w:val="00E605EE"/>
    <w:rsid w:val="00E6298A"/>
    <w:rsid w:val="00E67963"/>
    <w:rsid w:val="00E74B8D"/>
    <w:rsid w:val="00E77EAF"/>
    <w:rsid w:val="00E854B4"/>
    <w:rsid w:val="00E86F3D"/>
    <w:rsid w:val="00E879FB"/>
    <w:rsid w:val="00E9095B"/>
    <w:rsid w:val="00E9260F"/>
    <w:rsid w:val="00E9448D"/>
    <w:rsid w:val="00EA1AA0"/>
    <w:rsid w:val="00EA5124"/>
    <w:rsid w:val="00EA6987"/>
    <w:rsid w:val="00EA6FCD"/>
    <w:rsid w:val="00EB3E0E"/>
    <w:rsid w:val="00EB3F2D"/>
    <w:rsid w:val="00EB641D"/>
    <w:rsid w:val="00EB74F2"/>
    <w:rsid w:val="00EC262F"/>
    <w:rsid w:val="00EC54C2"/>
    <w:rsid w:val="00EC6A26"/>
    <w:rsid w:val="00EE36AA"/>
    <w:rsid w:val="00EF02B3"/>
    <w:rsid w:val="00EF116F"/>
    <w:rsid w:val="00EF51DB"/>
    <w:rsid w:val="00EF68DF"/>
    <w:rsid w:val="00F00F21"/>
    <w:rsid w:val="00F01177"/>
    <w:rsid w:val="00F04907"/>
    <w:rsid w:val="00F0610B"/>
    <w:rsid w:val="00F13AF9"/>
    <w:rsid w:val="00F148E5"/>
    <w:rsid w:val="00F22FFA"/>
    <w:rsid w:val="00F2336C"/>
    <w:rsid w:val="00F31F3B"/>
    <w:rsid w:val="00F36188"/>
    <w:rsid w:val="00F3700D"/>
    <w:rsid w:val="00F37595"/>
    <w:rsid w:val="00F37B61"/>
    <w:rsid w:val="00F37DD4"/>
    <w:rsid w:val="00F4512D"/>
    <w:rsid w:val="00F52AAB"/>
    <w:rsid w:val="00F52EA1"/>
    <w:rsid w:val="00F570DB"/>
    <w:rsid w:val="00F63B43"/>
    <w:rsid w:val="00F65114"/>
    <w:rsid w:val="00F67830"/>
    <w:rsid w:val="00F9186A"/>
    <w:rsid w:val="00F931EC"/>
    <w:rsid w:val="00FA2BD3"/>
    <w:rsid w:val="00FA5AC3"/>
    <w:rsid w:val="00FB4715"/>
    <w:rsid w:val="00FB48FF"/>
    <w:rsid w:val="00FC2E73"/>
    <w:rsid w:val="00FC32FD"/>
    <w:rsid w:val="00FD0353"/>
    <w:rsid w:val="00FE16B3"/>
    <w:rsid w:val="00FE5571"/>
    <w:rsid w:val="00FF0910"/>
    <w:rsid w:val="00FF247F"/>
    <w:rsid w:val="00FF3066"/>
    <w:rsid w:val="00FF31DD"/>
    <w:rsid w:val="00FF5A97"/>
    <w:rsid w:val="00FF6C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6CAE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4"/>
      </w:numPr>
    </w:pPr>
  </w:style>
  <w:style w:type="paragraph" w:customStyle="1" w:styleId="Heading3numbered">
    <w:name w:val="Heading 3 numbered"/>
    <w:basedOn w:val="Heading3"/>
    <w:next w:val="Normal"/>
    <w:rsid w:val="002B2279"/>
    <w:pPr>
      <w:numPr>
        <w:ilvl w:val="2"/>
        <w:numId w:val="4"/>
      </w:numPr>
    </w:pPr>
  </w:style>
  <w:style w:type="paragraph" w:customStyle="1" w:styleId="List-bullet-2">
    <w:name w:val="List-bullet-2"/>
    <w:basedOn w:val="Normal"/>
    <w:rsid w:val="002B2279"/>
    <w:pPr>
      <w:numPr>
        <w:numId w:val="2"/>
      </w:numPr>
      <w:spacing w:before="80"/>
    </w:pPr>
    <w:rPr>
      <w:rFonts w:cs="Arial"/>
      <w:szCs w:val="22"/>
      <w:lang w:val="en-US"/>
    </w:rPr>
  </w:style>
  <w:style w:type="paragraph" w:customStyle="1" w:styleId="List-number-2">
    <w:name w:val="List-number-2"/>
    <w:basedOn w:val="Normal"/>
    <w:link w:val="List-number-2Char"/>
    <w:rsid w:val="002B2279"/>
    <w:pPr>
      <w:numPr>
        <w:ilvl w:val="1"/>
        <w:numId w:val="3"/>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5"/>
      </w:numPr>
    </w:pPr>
  </w:style>
  <w:style w:type="paragraph" w:customStyle="1" w:styleId="Table-list-number">
    <w:name w:val="Table-list-number"/>
    <w:basedOn w:val="Table-normal-text"/>
    <w:rsid w:val="002B2279"/>
    <w:pPr>
      <w:numPr>
        <w:numId w:val="6"/>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4"/>
      </w:numPr>
    </w:pPr>
  </w:style>
  <w:style w:type="paragraph" w:customStyle="1" w:styleId="List-bullet-1">
    <w:name w:val="List-bullet-1"/>
    <w:basedOn w:val="Normal"/>
    <w:rsid w:val="002B2279"/>
    <w:pPr>
      <w:numPr>
        <w:numId w:val="1"/>
      </w:numPr>
    </w:pPr>
    <w:rPr>
      <w:rFonts w:cs="Arial"/>
      <w:szCs w:val="22"/>
    </w:rPr>
  </w:style>
  <w:style w:type="paragraph" w:customStyle="1" w:styleId="List-number-1">
    <w:name w:val="List-number-1"/>
    <w:basedOn w:val="Normal"/>
    <w:rsid w:val="002B2279"/>
    <w:pPr>
      <w:numPr>
        <w:numId w:val="3"/>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eastAsia="en-US"/>
    </w:rPr>
  </w:style>
  <w:style w:type="table" w:customStyle="1" w:styleId="Tablewithnoheader">
    <w:name w:val="Table with no header"/>
    <w:basedOn w:val="TableNormal"/>
    <w:rsid w:val="002B2279"/>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style>
  <w:style w:type="table" w:customStyle="1" w:styleId="Tablewithheader">
    <w:name w:val="Table with header"/>
    <w:basedOn w:val="Tablewithnoheader"/>
    <w:rsid w:val="002B2279"/>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paragraph" w:customStyle="1" w:styleId="Default">
    <w:name w:val="Default"/>
    <w:rsid w:val="00201683"/>
    <w:pPr>
      <w:autoSpaceDE w:val="0"/>
      <w:autoSpaceDN w:val="0"/>
      <w:adjustRightInd w:val="0"/>
    </w:pPr>
    <w:rPr>
      <w:color w:val="000000"/>
      <w:sz w:val="24"/>
      <w:szCs w:val="24"/>
    </w:rPr>
  </w:style>
  <w:style w:type="paragraph" w:styleId="ListParagraph">
    <w:name w:val="List Paragraph"/>
    <w:basedOn w:val="Normal"/>
    <w:uiPriority w:val="34"/>
    <w:qFormat/>
    <w:rsid w:val="000119E7"/>
    <w:pPr>
      <w:ind w:left="720"/>
      <w:contextualSpacing/>
    </w:pPr>
  </w:style>
  <w:style w:type="paragraph" w:customStyle="1" w:styleId="IODPARCBullets">
    <w:name w:val="IOD PARC Bullets"/>
    <w:basedOn w:val="Normal"/>
    <w:link w:val="IODPARCBulletsChar"/>
    <w:uiPriority w:val="1"/>
    <w:qFormat/>
    <w:rsid w:val="00822C00"/>
    <w:pPr>
      <w:numPr>
        <w:numId w:val="10"/>
      </w:numPr>
      <w:tabs>
        <w:tab w:val="left" w:pos="567"/>
        <w:tab w:val="left" w:pos="992"/>
      </w:tabs>
      <w:spacing w:before="0" w:after="120"/>
      <w:ind w:right="454"/>
    </w:pPr>
    <w:rPr>
      <w:rFonts w:ascii="Georgia" w:hAnsi="Georgia" w:cs="Arial"/>
      <w:sz w:val="22"/>
      <w:lang w:val="en-GB" w:eastAsia="en-GB"/>
    </w:rPr>
  </w:style>
  <w:style w:type="character" w:customStyle="1" w:styleId="IODPARCBulletsChar">
    <w:name w:val="IOD PARC Bullets Char"/>
    <w:link w:val="IODPARCBullets"/>
    <w:uiPriority w:val="1"/>
    <w:rsid w:val="00822C00"/>
    <w:rPr>
      <w:rFonts w:ascii="Georgia" w:hAnsi="Georgia" w:cs="Arial"/>
      <w:sz w:val="22"/>
      <w:szCs w:val="24"/>
      <w:lang w:val="en-GB" w:eastAsia="en-GB"/>
    </w:rPr>
  </w:style>
  <w:style w:type="paragraph" w:styleId="FootnoteText">
    <w:name w:val="footnote text"/>
    <w:aliases w:val="IOD PARC Footnote Text"/>
    <w:basedOn w:val="Normal"/>
    <w:link w:val="FootnoteTextChar"/>
    <w:uiPriority w:val="99"/>
    <w:rsid w:val="00AA0645"/>
    <w:pPr>
      <w:spacing w:before="0"/>
    </w:pPr>
    <w:rPr>
      <w:rFonts w:ascii="Georgia" w:eastAsia="Georgia" w:hAnsi="Georgia"/>
      <w:sz w:val="15"/>
      <w:szCs w:val="20"/>
      <w:lang w:val="en-GB"/>
    </w:rPr>
  </w:style>
  <w:style w:type="character" w:customStyle="1" w:styleId="FootnoteTextChar">
    <w:name w:val="Footnote Text Char"/>
    <w:aliases w:val="IOD PARC Footnote Text Char"/>
    <w:basedOn w:val="DefaultParagraphFont"/>
    <w:link w:val="FootnoteText"/>
    <w:uiPriority w:val="99"/>
    <w:rsid w:val="00AA0645"/>
    <w:rPr>
      <w:rFonts w:ascii="Georgia" w:eastAsia="Georgia" w:hAnsi="Georgia"/>
      <w:sz w:val="15"/>
      <w:lang w:val="en-GB" w:eastAsia="en-US"/>
    </w:rPr>
  </w:style>
  <w:style w:type="character" w:styleId="FootnoteReference">
    <w:name w:val="footnote reference"/>
    <w:uiPriority w:val="99"/>
    <w:unhideWhenUsed/>
    <w:rsid w:val="00AA0645"/>
    <w:rPr>
      <w:vertAlign w:val="superscript"/>
    </w:rPr>
  </w:style>
  <w:style w:type="paragraph" w:styleId="BodyText">
    <w:name w:val="Body Text"/>
    <w:basedOn w:val="Normal"/>
    <w:link w:val="BodyTextChar"/>
    <w:uiPriority w:val="1"/>
    <w:qFormat/>
    <w:rsid w:val="008969B5"/>
    <w:pPr>
      <w:widowControl w:val="0"/>
      <w:spacing w:before="0"/>
      <w:ind w:left="117"/>
    </w:pPr>
    <w:rPr>
      <w:rFonts w:ascii="Georgia" w:eastAsia="Georgia" w:hAnsi="Georgia" w:cstheme="minorBidi"/>
      <w:sz w:val="22"/>
      <w:szCs w:val="22"/>
      <w:lang w:val="en-US"/>
    </w:rPr>
  </w:style>
  <w:style w:type="character" w:customStyle="1" w:styleId="BodyTextChar">
    <w:name w:val="Body Text Char"/>
    <w:basedOn w:val="DefaultParagraphFont"/>
    <w:link w:val="BodyText"/>
    <w:uiPriority w:val="1"/>
    <w:rsid w:val="008969B5"/>
    <w:rPr>
      <w:rFonts w:ascii="Georgia" w:eastAsia="Georgia" w:hAnsi="Georgia"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77DB"/>
    <w:pPr>
      <w:spacing w:before="120"/>
    </w:pPr>
    <w:rPr>
      <w:rFonts w:ascii="Arial" w:hAnsi="Arial"/>
      <w:szCs w:val="24"/>
      <w:lang w:eastAsia="en-US"/>
    </w:rPr>
  </w:style>
  <w:style w:type="paragraph" w:styleId="Heading1">
    <w:name w:val="heading 1"/>
    <w:next w:val="Normal"/>
    <w:qFormat/>
    <w:rsid w:val="002B2279"/>
    <w:pPr>
      <w:keepNext/>
      <w:spacing w:before="240" w:after="60"/>
      <w:outlineLvl w:val="0"/>
    </w:pPr>
    <w:rPr>
      <w:rFonts w:ascii="Arial" w:hAnsi="Arial" w:cs="Arial"/>
      <w:b/>
      <w:sz w:val="26"/>
      <w:szCs w:val="32"/>
    </w:rPr>
  </w:style>
  <w:style w:type="paragraph" w:styleId="Heading2">
    <w:name w:val="heading 2"/>
    <w:basedOn w:val="Heading1"/>
    <w:next w:val="Normal"/>
    <w:link w:val="Heading2Char"/>
    <w:qFormat/>
    <w:rsid w:val="002B2279"/>
    <w:pPr>
      <w:outlineLvl w:val="1"/>
    </w:pPr>
    <w:rPr>
      <w:iCs/>
      <w:sz w:val="24"/>
      <w:szCs w:val="22"/>
    </w:rPr>
  </w:style>
  <w:style w:type="paragraph" w:styleId="Heading3">
    <w:name w:val="heading 3"/>
    <w:next w:val="Normal"/>
    <w:qFormat/>
    <w:rsid w:val="002B2279"/>
    <w:pPr>
      <w:keepNext/>
      <w:spacing w:before="160" w:after="60"/>
      <w:outlineLvl w:val="2"/>
    </w:pPr>
    <w:rPr>
      <w:rFonts w:ascii="Arial" w:hAnsi="Arial"/>
      <w:b/>
      <w:bCs/>
      <w:i/>
      <w:i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Name">
    <w:name w:val="DocName"/>
    <w:basedOn w:val="Normal"/>
    <w:link w:val="DocNameChar"/>
    <w:rsid w:val="002B2279"/>
    <w:pPr>
      <w:spacing w:before="0"/>
      <w:jc w:val="center"/>
    </w:pPr>
    <w:rPr>
      <w:b/>
      <w:bCs/>
      <w:sz w:val="28"/>
    </w:rPr>
  </w:style>
  <w:style w:type="paragraph" w:customStyle="1" w:styleId="DocStatus">
    <w:name w:val="DocStatus"/>
    <w:basedOn w:val="Normal"/>
    <w:rsid w:val="002B2279"/>
    <w:pPr>
      <w:spacing w:after="60"/>
      <w:jc w:val="center"/>
    </w:pPr>
    <w:rPr>
      <w:b/>
      <w:sz w:val="22"/>
    </w:rPr>
  </w:style>
  <w:style w:type="paragraph" w:customStyle="1" w:styleId="Heading2numbered">
    <w:name w:val="Heading 2 numbered"/>
    <w:basedOn w:val="Heading2"/>
    <w:next w:val="Normal"/>
    <w:rsid w:val="002B2279"/>
    <w:pPr>
      <w:numPr>
        <w:ilvl w:val="1"/>
        <w:numId w:val="4"/>
      </w:numPr>
    </w:pPr>
  </w:style>
  <w:style w:type="paragraph" w:customStyle="1" w:styleId="Heading3numbered">
    <w:name w:val="Heading 3 numbered"/>
    <w:basedOn w:val="Heading3"/>
    <w:next w:val="Normal"/>
    <w:rsid w:val="002B2279"/>
    <w:pPr>
      <w:numPr>
        <w:ilvl w:val="2"/>
        <w:numId w:val="4"/>
      </w:numPr>
    </w:pPr>
  </w:style>
  <w:style w:type="paragraph" w:customStyle="1" w:styleId="List-bullet-2">
    <w:name w:val="List-bullet-2"/>
    <w:basedOn w:val="Normal"/>
    <w:rsid w:val="002B2279"/>
    <w:pPr>
      <w:numPr>
        <w:numId w:val="2"/>
      </w:numPr>
      <w:spacing w:before="80"/>
    </w:pPr>
    <w:rPr>
      <w:rFonts w:cs="Arial"/>
      <w:szCs w:val="22"/>
      <w:lang w:val="en-US"/>
    </w:rPr>
  </w:style>
  <w:style w:type="paragraph" w:customStyle="1" w:styleId="List-number-2">
    <w:name w:val="List-number-2"/>
    <w:basedOn w:val="Normal"/>
    <w:link w:val="List-number-2Char"/>
    <w:rsid w:val="002B2279"/>
    <w:pPr>
      <w:numPr>
        <w:ilvl w:val="1"/>
        <w:numId w:val="3"/>
      </w:numPr>
    </w:pPr>
  </w:style>
  <w:style w:type="paragraph" w:customStyle="1" w:styleId="Normal-indent">
    <w:name w:val="Normal-indent"/>
    <w:basedOn w:val="Normal"/>
    <w:rsid w:val="002B2279"/>
    <w:pPr>
      <w:ind w:left="357"/>
    </w:pPr>
    <w:rPr>
      <w:lang w:eastAsia="en-AU"/>
    </w:rPr>
  </w:style>
  <w:style w:type="character" w:styleId="CommentReference">
    <w:name w:val="annotation reference"/>
    <w:semiHidden/>
    <w:rsid w:val="002B2279"/>
    <w:rPr>
      <w:sz w:val="16"/>
      <w:szCs w:val="16"/>
    </w:rPr>
  </w:style>
  <w:style w:type="paragraph" w:customStyle="1" w:styleId="TableHeader">
    <w:name w:val="TableHeader"/>
    <w:basedOn w:val="Normal"/>
    <w:rsid w:val="002B2279"/>
    <w:pPr>
      <w:keepNext/>
      <w:spacing w:before="60" w:after="40"/>
      <w:jc w:val="center"/>
    </w:pPr>
    <w:rPr>
      <w:rFonts w:cs="Arial"/>
      <w:b/>
    </w:rPr>
  </w:style>
  <w:style w:type="paragraph" w:customStyle="1" w:styleId="Table-normal-text">
    <w:name w:val="Table-normal-text"/>
    <w:basedOn w:val="Normal"/>
    <w:rsid w:val="002B2279"/>
    <w:pPr>
      <w:spacing w:before="60"/>
    </w:pPr>
  </w:style>
  <w:style w:type="paragraph" w:customStyle="1" w:styleId="Table-list-bullet">
    <w:name w:val="Table-list-bullet"/>
    <w:basedOn w:val="Table-normal-text"/>
    <w:rsid w:val="002B2279"/>
    <w:pPr>
      <w:numPr>
        <w:numId w:val="5"/>
      </w:numPr>
    </w:pPr>
  </w:style>
  <w:style w:type="paragraph" w:customStyle="1" w:styleId="Table-list-number">
    <w:name w:val="Table-list-number"/>
    <w:basedOn w:val="Table-normal-text"/>
    <w:rsid w:val="002B2279"/>
    <w:pPr>
      <w:numPr>
        <w:numId w:val="6"/>
      </w:numPr>
    </w:pPr>
  </w:style>
  <w:style w:type="paragraph" w:customStyle="1" w:styleId="TableTitle">
    <w:name w:val="TableTitle"/>
    <w:basedOn w:val="Normal"/>
    <w:next w:val="Table-normal-text"/>
    <w:rsid w:val="002B2279"/>
    <w:pPr>
      <w:keepNext/>
      <w:spacing w:before="240" w:after="120"/>
      <w:jc w:val="center"/>
    </w:pPr>
    <w:rPr>
      <w:b/>
    </w:rPr>
  </w:style>
  <w:style w:type="paragraph" w:styleId="Header">
    <w:name w:val="header"/>
    <w:basedOn w:val="Normal"/>
    <w:rsid w:val="002B2279"/>
    <w:pPr>
      <w:tabs>
        <w:tab w:val="center" w:pos="4153"/>
        <w:tab w:val="right" w:pos="8306"/>
      </w:tabs>
    </w:pPr>
    <w:rPr>
      <w:sz w:val="16"/>
    </w:rPr>
  </w:style>
  <w:style w:type="paragraph" w:styleId="Footer">
    <w:name w:val="footer"/>
    <w:basedOn w:val="Normal"/>
    <w:rsid w:val="002B2279"/>
    <w:pPr>
      <w:tabs>
        <w:tab w:val="center" w:pos="4153"/>
        <w:tab w:val="right" w:pos="8306"/>
      </w:tabs>
    </w:pPr>
    <w:rPr>
      <w:sz w:val="16"/>
    </w:rPr>
  </w:style>
  <w:style w:type="character" w:styleId="PageNumber">
    <w:name w:val="page number"/>
    <w:rsid w:val="002B2279"/>
    <w:rPr>
      <w:rFonts w:ascii="Arial" w:hAnsi="Arial"/>
      <w:sz w:val="16"/>
    </w:rPr>
  </w:style>
  <w:style w:type="character" w:styleId="Hyperlink">
    <w:name w:val="Hyperlink"/>
    <w:rsid w:val="002B2279"/>
    <w:rPr>
      <w:rFonts w:ascii="Arial" w:hAnsi="Arial"/>
      <w:color w:val="0000FF"/>
      <w:u w:val="single"/>
    </w:rPr>
  </w:style>
  <w:style w:type="paragraph" w:customStyle="1" w:styleId="List-outline-numbered">
    <w:name w:val="List-outline-numbered"/>
    <w:basedOn w:val="Normal"/>
    <w:rsid w:val="002B2279"/>
    <w:pPr>
      <w:numPr>
        <w:ilvl w:val="3"/>
        <w:numId w:val="4"/>
      </w:numPr>
    </w:pPr>
  </w:style>
  <w:style w:type="paragraph" w:customStyle="1" w:styleId="List-bullet-1">
    <w:name w:val="List-bullet-1"/>
    <w:basedOn w:val="Normal"/>
    <w:rsid w:val="002B2279"/>
    <w:pPr>
      <w:numPr>
        <w:numId w:val="1"/>
      </w:numPr>
    </w:pPr>
    <w:rPr>
      <w:rFonts w:cs="Arial"/>
      <w:szCs w:val="22"/>
    </w:rPr>
  </w:style>
  <w:style w:type="paragraph" w:customStyle="1" w:styleId="List-number-1">
    <w:name w:val="List-number-1"/>
    <w:basedOn w:val="Normal"/>
    <w:rsid w:val="002B2279"/>
    <w:pPr>
      <w:numPr>
        <w:numId w:val="3"/>
      </w:numPr>
    </w:pPr>
  </w:style>
  <w:style w:type="paragraph" w:styleId="BalloonText">
    <w:name w:val="Balloon Text"/>
    <w:basedOn w:val="Normal"/>
    <w:semiHidden/>
    <w:rsid w:val="002B2279"/>
    <w:rPr>
      <w:rFonts w:ascii="Tahoma" w:hAnsi="Tahoma" w:cs="Tahoma"/>
      <w:sz w:val="16"/>
      <w:szCs w:val="16"/>
    </w:rPr>
  </w:style>
  <w:style w:type="table" w:styleId="TableGrid">
    <w:name w:val="Table Grid"/>
    <w:basedOn w:val="TableNormal"/>
    <w:rsid w:val="002B2279"/>
    <w:pPr>
      <w:spacing w:before="60"/>
    </w:pPr>
    <w:rPr>
      <w:rFonts w:ascii="Arial" w:hAnsi="Arial"/>
      <w:sz w:val="18"/>
      <w:szCs w:val="18"/>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28" w:type="dxa"/>
        <w:right w:w="57" w:type="dxa"/>
      </w:tblCellMar>
    </w:tblPr>
    <w:trPr>
      <w:cantSplit/>
    </w:trPr>
    <w:tblStylePr w:type="firstRow">
      <w:pPr>
        <w:jc w:val="center"/>
      </w:pPr>
      <w:rPr>
        <w:rFonts w:ascii="Arial" w:hAnsi="Arial"/>
        <w:b/>
        <w:sz w:val="18"/>
      </w:rPr>
      <w:tblPr/>
      <w:trPr>
        <w:tblHeader/>
      </w:trPr>
      <w:tcPr>
        <w:shd w:val="clear" w:color="auto" w:fill="E0E0E0"/>
        <w:vAlign w:val="center"/>
      </w:tcPr>
    </w:tblStylePr>
  </w:style>
  <w:style w:type="table" w:customStyle="1" w:styleId="TableCheckList-1">
    <w:name w:val="TableCheckList-1"/>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firstCol">
      <w:tblPr/>
      <w:tcPr>
        <w:tcBorders>
          <w:bottom w:val="nil"/>
          <w:insideH w:val="single" w:sz="4" w:space="0" w:color="999999"/>
        </w:tcBorders>
      </w:tcPr>
    </w:tblStylePr>
  </w:style>
  <w:style w:type="table" w:customStyle="1" w:styleId="TableCheckList-2">
    <w:name w:val="TableCheckList-2"/>
    <w:basedOn w:val="TableNormal"/>
    <w:rsid w:val="002B2279"/>
    <w:pPr>
      <w:spacing w:before="60"/>
    </w:pPr>
    <w:rPr>
      <w:rFonts w:ascii="Arial" w:hAnsi="Arial"/>
      <w:sz w:val="18"/>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57" w:type="dxa"/>
        <w:left w:w="57" w:type="dxa"/>
        <w:bottom w:w="0" w:type="dxa"/>
        <w:right w:w="57" w:type="dxa"/>
      </w:tblCellMar>
    </w:tblPr>
    <w:tblStylePr w:type="lastCol">
      <w:tblPr/>
      <w:tcPr>
        <w:tcBorders>
          <w:bottom w:val="single" w:sz="4" w:space="0" w:color="999999"/>
          <w:insideH w:val="single" w:sz="4" w:space="0" w:color="999999"/>
        </w:tcBorders>
      </w:tcPr>
    </w:tblStylePr>
  </w:style>
  <w:style w:type="paragraph" w:styleId="CommentText">
    <w:name w:val="annotation text"/>
    <w:basedOn w:val="Normal"/>
    <w:semiHidden/>
    <w:rsid w:val="002B2279"/>
    <w:rPr>
      <w:szCs w:val="20"/>
    </w:rPr>
  </w:style>
  <w:style w:type="paragraph" w:styleId="CommentSubject">
    <w:name w:val="annotation subject"/>
    <w:basedOn w:val="CommentText"/>
    <w:next w:val="CommentText"/>
    <w:semiHidden/>
    <w:rsid w:val="002B2279"/>
    <w:rPr>
      <w:b/>
      <w:bCs/>
    </w:rPr>
  </w:style>
  <w:style w:type="character" w:customStyle="1" w:styleId="List-number-2Char">
    <w:name w:val="List-number-2 Char"/>
    <w:link w:val="List-number-2"/>
    <w:rsid w:val="002B2279"/>
    <w:rPr>
      <w:rFonts w:ascii="Arial" w:hAnsi="Arial"/>
      <w:szCs w:val="24"/>
      <w:lang w:eastAsia="en-US"/>
    </w:rPr>
  </w:style>
  <w:style w:type="table" w:customStyle="1" w:styleId="Tablewithnoheader">
    <w:name w:val="Table with no header"/>
    <w:basedOn w:val="TableNormal"/>
    <w:rsid w:val="002B2279"/>
    <w:rPr>
      <w:rFonts w:ascii="Arial" w:hAnsi="Arial"/>
    </w:rPr>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style>
  <w:style w:type="table" w:customStyle="1" w:styleId="Tablewithheader">
    <w:name w:val="Table with header"/>
    <w:basedOn w:val="Tablewithnoheader"/>
    <w:rsid w:val="002B2279"/>
    <w:tblPr>
      <w:tblInd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108" w:type="dxa"/>
        <w:bottom w:w="57" w:type="dxa"/>
        <w:right w:w="108" w:type="dxa"/>
      </w:tblCellMar>
    </w:tblPr>
    <w:trPr>
      <w:cantSplit/>
    </w:trPr>
    <w:tcPr>
      <w:shd w:val="clear" w:color="auto" w:fill="auto"/>
    </w:tcPr>
    <w:tblStylePr w:type="firstRow">
      <w:pPr>
        <w:jc w:val="center"/>
      </w:pPr>
      <w:rPr>
        <w:rFonts w:ascii="Arial" w:hAnsi="Arial"/>
        <w:b/>
        <w:sz w:val="20"/>
      </w:rPr>
      <w:tblPr/>
      <w:trPr>
        <w:tblHeader/>
      </w:trPr>
      <w:tcPr>
        <w:shd w:val="clear" w:color="auto" w:fill="E0E0E0"/>
        <w:vAlign w:val="center"/>
      </w:tcPr>
    </w:tblStylePr>
  </w:style>
  <w:style w:type="paragraph" w:styleId="TOC1">
    <w:name w:val="toc 1"/>
    <w:basedOn w:val="Normal"/>
    <w:next w:val="Normal"/>
    <w:autoRedefine/>
    <w:semiHidden/>
    <w:rsid w:val="002B2279"/>
    <w:pPr>
      <w:tabs>
        <w:tab w:val="left" w:pos="798"/>
      </w:tabs>
      <w:ind w:left="456"/>
    </w:pPr>
  </w:style>
  <w:style w:type="paragraph" w:styleId="TOC2">
    <w:name w:val="toc 2"/>
    <w:basedOn w:val="Normal"/>
    <w:next w:val="Normal"/>
    <w:autoRedefine/>
    <w:semiHidden/>
    <w:rsid w:val="002B2279"/>
    <w:pPr>
      <w:tabs>
        <w:tab w:val="left" w:pos="855"/>
      </w:tabs>
      <w:spacing w:before="80"/>
      <w:ind w:left="454"/>
    </w:pPr>
  </w:style>
  <w:style w:type="paragraph" w:styleId="TOC3">
    <w:name w:val="toc 3"/>
    <w:basedOn w:val="Normal"/>
    <w:next w:val="Normal"/>
    <w:autoRedefine/>
    <w:semiHidden/>
    <w:rsid w:val="002B2279"/>
    <w:pPr>
      <w:tabs>
        <w:tab w:val="left" w:pos="1311"/>
      </w:tabs>
      <w:spacing w:before="40"/>
      <w:ind w:left="856"/>
    </w:pPr>
  </w:style>
  <w:style w:type="character" w:customStyle="1" w:styleId="DocNameChar">
    <w:name w:val="DocName Char"/>
    <w:link w:val="DocName"/>
    <w:rsid w:val="003D6E0A"/>
    <w:rPr>
      <w:rFonts w:ascii="Arial" w:hAnsi="Arial"/>
      <w:b/>
      <w:bCs/>
      <w:sz w:val="28"/>
      <w:szCs w:val="24"/>
      <w:lang w:val="en-AU" w:eastAsia="en-US" w:bidi="ar-SA"/>
    </w:rPr>
  </w:style>
  <w:style w:type="character" w:customStyle="1" w:styleId="Heading2Char">
    <w:name w:val="Heading 2 Char"/>
    <w:link w:val="Heading2"/>
    <w:rsid w:val="00C657FB"/>
    <w:rPr>
      <w:rFonts w:ascii="Arial" w:hAnsi="Arial" w:cs="Arial"/>
      <w:b/>
      <w:iCs/>
      <w:sz w:val="24"/>
      <w:szCs w:val="22"/>
    </w:rPr>
  </w:style>
  <w:style w:type="character" w:styleId="FollowedHyperlink">
    <w:name w:val="FollowedHyperlink"/>
    <w:basedOn w:val="DefaultParagraphFont"/>
    <w:rsid w:val="00077243"/>
    <w:rPr>
      <w:color w:val="800080" w:themeColor="followedHyperlink"/>
      <w:u w:val="single"/>
    </w:rPr>
  </w:style>
  <w:style w:type="paragraph" w:customStyle="1" w:styleId="Default">
    <w:name w:val="Default"/>
    <w:rsid w:val="00201683"/>
    <w:pPr>
      <w:autoSpaceDE w:val="0"/>
      <w:autoSpaceDN w:val="0"/>
      <w:adjustRightInd w:val="0"/>
    </w:pPr>
    <w:rPr>
      <w:color w:val="000000"/>
      <w:sz w:val="24"/>
      <w:szCs w:val="24"/>
    </w:rPr>
  </w:style>
  <w:style w:type="paragraph" w:styleId="ListParagraph">
    <w:name w:val="List Paragraph"/>
    <w:basedOn w:val="Normal"/>
    <w:uiPriority w:val="34"/>
    <w:qFormat/>
    <w:rsid w:val="000119E7"/>
    <w:pPr>
      <w:ind w:left="720"/>
      <w:contextualSpacing/>
    </w:pPr>
  </w:style>
  <w:style w:type="paragraph" w:customStyle="1" w:styleId="IODPARCBullets">
    <w:name w:val="IOD PARC Bullets"/>
    <w:basedOn w:val="Normal"/>
    <w:link w:val="IODPARCBulletsChar"/>
    <w:uiPriority w:val="1"/>
    <w:qFormat/>
    <w:rsid w:val="00822C00"/>
    <w:pPr>
      <w:numPr>
        <w:numId w:val="10"/>
      </w:numPr>
      <w:tabs>
        <w:tab w:val="left" w:pos="567"/>
        <w:tab w:val="left" w:pos="992"/>
      </w:tabs>
      <w:spacing w:before="0" w:after="120"/>
      <w:ind w:right="454"/>
    </w:pPr>
    <w:rPr>
      <w:rFonts w:ascii="Georgia" w:hAnsi="Georgia" w:cs="Arial"/>
      <w:sz w:val="22"/>
      <w:lang w:val="en-GB" w:eastAsia="en-GB"/>
    </w:rPr>
  </w:style>
  <w:style w:type="character" w:customStyle="1" w:styleId="IODPARCBulletsChar">
    <w:name w:val="IOD PARC Bullets Char"/>
    <w:link w:val="IODPARCBullets"/>
    <w:uiPriority w:val="1"/>
    <w:rsid w:val="00822C00"/>
    <w:rPr>
      <w:rFonts w:ascii="Georgia" w:hAnsi="Georgia" w:cs="Arial"/>
      <w:sz w:val="22"/>
      <w:szCs w:val="24"/>
      <w:lang w:val="en-GB" w:eastAsia="en-GB"/>
    </w:rPr>
  </w:style>
  <w:style w:type="paragraph" w:styleId="FootnoteText">
    <w:name w:val="footnote text"/>
    <w:aliases w:val="IOD PARC Footnote Text"/>
    <w:basedOn w:val="Normal"/>
    <w:link w:val="FootnoteTextChar"/>
    <w:uiPriority w:val="99"/>
    <w:rsid w:val="00AA0645"/>
    <w:pPr>
      <w:spacing w:before="0"/>
    </w:pPr>
    <w:rPr>
      <w:rFonts w:ascii="Georgia" w:eastAsia="Georgia" w:hAnsi="Georgia"/>
      <w:sz w:val="15"/>
      <w:szCs w:val="20"/>
      <w:lang w:val="en-GB"/>
    </w:rPr>
  </w:style>
  <w:style w:type="character" w:customStyle="1" w:styleId="FootnoteTextChar">
    <w:name w:val="Footnote Text Char"/>
    <w:aliases w:val="IOD PARC Footnote Text Char"/>
    <w:basedOn w:val="DefaultParagraphFont"/>
    <w:link w:val="FootnoteText"/>
    <w:uiPriority w:val="99"/>
    <w:rsid w:val="00AA0645"/>
    <w:rPr>
      <w:rFonts w:ascii="Georgia" w:eastAsia="Georgia" w:hAnsi="Georgia"/>
      <w:sz w:val="15"/>
      <w:lang w:val="en-GB" w:eastAsia="en-US"/>
    </w:rPr>
  </w:style>
  <w:style w:type="character" w:styleId="FootnoteReference">
    <w:name w:val="footnote reference"/>
    <w:uiPriority w:val="99"/>
    <w:unhideWhenUsed/>
    <w:rsid w:val="00AA0645"/>
    <w:rPr>
      <w:vertAlign w:val="superscript"/>
    </w:rPr>
  </w:style>
  <w:style w:type="paragraph" w:styleId="BodyText">
    <w:name w:val="Body Text"/>
    <w:basedOn w:val="Normal"/>
    <w:link w:val="BodyTextChar"/>
    <w:uiPriority w:val="1"/>
    <w:qFormat/>
    <w:rsid w:val="008969B5"/>
    <w:pPr>
      <w:widowControl w:val="0"/>
      <w:spacing w:before="0"/>
      <w:ind w:left="117"/>
    </w:pPr>
    <w:rPr>
      <w:rFonts w:ascii="Georgia" w:eastAsia="Georgia" w:hAnsi="Georgia" w:cstheme="minorBidi"/>
      <w:sz w:val="22"/>
      <w:szCs w:val="22"/>
      <w:lang w:val="en-US"/>
    </w:rPr>
  </w:style>
  <w:style w:type="character" w:customStyle="1" w:styleId="BodyTextChar">
    <w:name w:val="Body Text Char"/>
    <w:basedOn w:val="DefaultParagraphFont"/>
    <w:link w:val="BodyText"/>
    <w:uiPriority w:val="1"/>
    <w:rsid w:val="008969B5"/>
    <w:rPr>
      <w:rFonts w:ascii="Georgia" w:eastAsia="Georgia" w:hAnsi="Georgia"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312CAE-B531-46B8-BFFD-556AD5AF2FAB}"/>
</file>

<file path=customXml/itemProps2.xml><?xml version="1.0" encoding="utf-8"?>
<ds:datastoreItem xmlns:ds="http://schemas.openxmlformats.org/officeDocument/2006/customXml" ds:itemID="{F43E5852-E050-4DED-ADD4-975C54CD7608}"/>
</file>

<file path=customXml/itemProps3.xml><?xml version="1.0" encoding="utf-8"?>
<ds:datastoreItem xmlns:ds="http://schemas.openxmlformats.org/officeDocument/2006/customXml" ds:itemID="{AFD00DE7-2861-438C-86F6-63F0547BF609}"/>
</file>

<file path=customXml/itemProps4.xml><?xml version="1.0" encoding="utf-8"?>
<ds:datastoreItem xmlns:ds="http://schemas.openxmlformats.org/officeDocument/2006/customXml" ds:itemID="{B596E048-47DE-4E67-B2E8-3CF287CC0BF7}"/>
</file>

<file path=docProps/app.xml><?xml version="1.0" encoding="utf-8"?>
<Properties xmlns="http://schemas.openxmlformats.org/officeDocument/2006/extended-properties" xmlns:vt="http://schemas.openxmlformats.org/officeDocument/2006/docPropsVTypes">
  <Template>Normal.dotm</Template>
  <TotalTime>0</TotalTime>
  <Pages>8</Pages>
  <Words>2958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2014-02-26T22:47:00Z</dcterms:created>
  <dcterms:modified xsi:type="dcterms:W3CDTF">2014-02-26T22:47:00Z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2800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