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AA" w:rsidRPr="00BC0230" w:rsidRDefault="00BA4EAA" w:rsidP="00BA4EAA">
      <w:pPr>
        <w:rPr>
          <w:rFonts w:ascii="Calibri" w:hAnsi="Calibri"/>
          <w:b/>
          <w:sz w:val="36"/>
          <w:szCs w:val="36"/>
        </w:rPr>
      </w:pPr>
      <w:bookmarkStart w:id="0" w:name="_GoBack"/>
      <w:bookmarkEnd w:id="0"/>
      <w:r w:rsidRPr="00BC0230">
        <w:rPr>
          <w:rFonts w:ascii="Calibri" w:hAnsi="Calibri"/>
          <w:b/>
          <w:sz w:val="36"/>
          <w:szCs w:val="36"/>
        </w:rPr>
        <w:t xml:space="preserve">Incentivising Public Financial Management Reform in </w:t>
      </w:r>
      <w:smartTag w:uri="urn:schemas-microsoft-com:office:smarttags" w:element="place">
        <w:r w:rsidRPr="00BC0230">
          <w:rPr>
            <w:rFonts w:ascii="Calibri" w:hAnsi="Calibri"/>
            <w:b/>
            <w:sz w:val="36"/>
            <w:szCs w:val="36"/>
          </w:rPr>
          <w:t>Samoa</w:t>
        </w:r>
      </w:smartTag>
    </w:p>
    <w:p w:rsidR="00BA4EAA" w:rsidRPr="00BC0230" w:rsidRDefault="00BA4EAA" w:rsidP="00BA4EAA">
      <w:pPr>
        <w:rPr>
          <w:rFonts w:ascii="Calibri" w:hAnsi="Calibri"/>
          <w:b/>
          <w:sz w:val="32"/>
          <w:szCs w:val="32"/>
        </w:rPr>
      </w:pPr>
    </w:p>
    <w:p w:rsidR="00BA4EAA" w:rsidRPr="00BC0230" w:rsidRDefault="00BA4EAA" w:rsidP="00BA4EAA">
      <w:pPr>
        <w:rPr>
          <w:rFonts w:ascii="Calibri" w:hAnsi="Calibri"/>
          <w:b/>
          <w:sz w:val="32"/>
          <w:szCs w:val="32"/>
        </w:rPr>
      </w:pPr>
    </w:p>
    <w:p w:rsidR="00BA4EAA" w:rsidRPr="00BC0230" w:rsidRDefault="00BA4EAA" w:rsidP="00BA4EAA">
      <w:pPr>
        <w:rPr>
          <w:rFonts w:ascii="Calibri" w:hAnsi="Calibri"/>
          <w:b/>
          <w:sz w:val="32"/>
          <w:szCs w:val="32"/>
        </w:rPr>
      </w:pPr>
      <w:r w:rsidRPr="00BC0230">
        <w:rPr>
          <w:rFonts w:ascii="Calibri" w:hAnsi="Calibri"/>
          <w:b/>
          <w:sz w:val="32"/>
          <w:szCs w:val="32"/>
        </w:rPr>
        <w:t>Independent Assessment of Progress</w:t>
      </w:r>
    </w:p>
    <w:p w:rsidR="00BA4EAA" w:rsidRPr="00BC0230" w:rsidRDefault="00BA4EAA" w:rsidP="00BA4EAA">
      <w:pPr>
        <w:rPr>
          <w:rFonts w:ascii="Calibri" w:hAnsi="Calibri"/>
          <w:b/>
          <w:sz w:val="32"/>
          <w:szCs w:val="32"/>
        </w:rPr>
      </w:pPr>
    </w:p>
    <w:p w:rsidR="00BA4EAA" w:rsidRPr="00BC0230" w:rsidRDefault="00BA4EAA" w:rsidP="00BA4EAA">
      <w:pPr>
        <w:rPr>
          <w:rFonts w:ascii="Calibri" w:hAnsi="Calibri"/>
          <w:b/>
          <w:sz w:val="32"/>
          <w:szCs w:val="32"/>
        </w:rPr>
      </w:pPr>
    </w:p>
    <w:p w:rsidR="00BA4EAA" w:rsidRPr="00BC0230" w:rsidRDefault="00BA4EAA" w:rsidP="00BA4EAA">
      <w:pPr>
        <w:rPr>
          <w:rFonts w:ascii="Calibri" w:hAnsi="Calibri"/>
          <w:b/>
          <w:sz w:val="28"/>
          <w:szCs w:val="28"/>
        </w:rPr>
      </w:pPr>
      <w:r w:rsidRPr="00BC0230">
        <w:rPr>
          <w:rFonts w:ascii="Calibri" w:hAnsi="Calibri"/>
          <w:b/>
          <w:sz w:val="32"/>
          <w:szCs w:val="32"/>
        </w:rPr>
        <w:t>April 2012</w:t>
      </w:r>
    </w:p>
    <w:p w:rsidR="005160D4" w:rsidRPr="00BC0230" w:rsidRDefault="005160D4"/>
    <w:p w:rsidR="00BA4EAA" w:rsidRPr="00BC0230" w:rsidRDefault="00BA4EAA">
      <w:pPr>
        <w:sectPr w:rsidR="00BA4EAA" w:rsidRPr="00BC0230">
          <w:pgSz w:w="11906" w:h="16838"/>
          <w:pgMar w:top="1440" w:right="1440" w:bottom="1440" w:left="1440" w:header="720" w:footer="720" w:gutter="0"/>
          <w:cols w:space="720"/>
          <w:docGrid w:linePitch="360"/>
        </w:sectPr>
      </w:pPr>
    </w:p>
    <w:p w:rsidR="00BA4EAA" w:rsidRPr="00BC0230" w:rsidRDefault="00BA4EAA"/>
    <w:sdt>
      <w:sdtPr>
        <w:rPr>
          <w:rFonts w:ascii="Times New Roman" w:eastAsia="Times New Roman" w:hAnsi="Times New Roman" w:cs="Times New Roman"/>
          <w:b w:val="0"/>
          <w:bCs w:val="0"/>
          <w:color w:val="auto"/>
          <w:sz w:val="24"/>
          <w:szCs w:val="24"/>
          <w:lang w:val="en-AU" w:eastAsia="en-AU"/>
        </w:rPr>
        <w:id w:val="829484534"/>
        <w:docPartObj>
          <w:docPartGallery w:val="Table of Contents"/>
          <w:docPartUnique/>
        </w:docPartObj>
      </w:sdtPr>
      <w:sdtEndPr>
        <w:rPr>
          <w:noProof/>
        </w:rPr>
      </w:sdtEndPr>
      <w:sdtContent>
        <w:p w:rsidR="0057747F" w:rsidRPr="00BC0230" w:rsidRDefault="0057747F">
          <w:pPr>
            <w:pStyle w:val="TOCHeading"/>
            <w:rPr>
              <w:lang w:val="en-AU"/>
            </w:rPr>
          </w:pPr>
          <w:r w:rsidRPr="00BC0230">
            <w:rPr>
              <w:lang w:val="en-AU"/>
            </w:rPr>
            <w:t>Contents</w:t>
          </w:r>
        </w:p>
        <w:p w:rsidR="005937B9" w:rsidRDefault="0057747F">
          <w:pPr>
            <w:pStyle w:val="TOC1"/>
            <w:tabs>
              <w:tab w:val="right" w:leader="dot" w:pos="9016"/>
            </w:tabs>
            <w:rPr>
              <w:rFonts w:asciiTheme="minorHAnsi" w:eastAsiaTheme="minorEastAsia" w:hAnsiTheme="minorHAnsi" w:cstheme="minorBidi"/>
              <w:noProof/>
              <w:sz w:val="22"/>
              <w:szCs w:val="22"/>
            </w:rPr>
          </w:pPr>
          <w:r w:rsidRPr="00BC0230">
            <w:fldChar w:fldCharType="begin"/>
          </w:r>
          <w:r w:rsidRPr="00BC0230">
            <w:instrText xml:space="preserve"> TOC \o "1-3" \h \z \u </w:instrText>
          </w:r>
          <w:r w:rsidRPr="00BC0230">
            <w:fldChar w:fldCharType="separate"/>
          </w:r>
          <w:hyperlink w:anchor="_Toc322921223" w:history="1">
            <w:r w:rsidR="005937B9" w:rsidRPr="001A6E20">
              <w:rPr>
                <w:rStyle w:val="Hyperlink"/>
                <w:noProof/>
              </w:rPr>
              <w:t>Abbreviations</w:t>
            </w:r>
            <w:r w:rsidR="005937B9">
              <w:rPr>
                <w:noProof/>
                <w:webHidden/>
              </w:rPr>
              <w:tab/>
            </w:r>
            <w:r w:rsidR="005937B9">
              <w:rPr>
                <w:noProof/>
                <w:webHidden/>
              </w:rPr>
              <w:fldChar w:fldCharType="begin"/>
            </w:r>
            <w:r w:rsidR="005937B9">
              <w:rPr>
                <w:noProof/>
                <w:webHidden/>
              </w:rPr>
              <w:instrText xml:space="preserve"> PAGEREF _Toc322921223 \h </w:instrText>
            </w:r>
            <w:r w:rsidR="005937B9">
              <w:rPr>
                <w:noProof/>
                <w:webHidden/>
              </w:rPr>
            </w:r>
            <w:r w:rsidR="005937B9">
              <w:rPr>
                <w:noProof/>
                <w:webHidden/>
              </w:rPr>
              <w:fldChar w:fldCharType="separate"/>
            </w:r>
            <w:r w:rsidR="005937B9">
              <w:rPr>
                <w:noProof/>
                <w:webHidden/>
              </w:rPr>
              <w:t>3</w:t>
            </w:r>
            <w:r w:rsidR="005937B9">
              <w:rPr>
                <w:noProof/>
                <w:webHidden/>
              </w:rPr>
              <w:fldChar w:fldCharType="end"/>
            </w:r>
          </w:hyperlink>
        </w:p>
        <w:p w:rsidR="005937B9" w:rsidRDefault="006B2864">
          <w:pPr>
            <w:pStyle w:val="TOC1"/>
            <w:tabs>
              <w:tab w:val="right" w:leader="dot" w:pos="9016"/>
            </w:tabs>
            <w:rPr>
              <w:rFonts w:asciiTheme="minorHAnsi" w:eastAsiaTheme="minorEastAsia" w:hAnsiTheme="minorHAnsi" w:cstheme="minorBidi"/>
              <w:noProof/>
              <w:sz w:val="22"/>
              <w:szCs w:val="22"/>
            </w:rPr>
          </w:pPr>
          <w:hyperlink w:anchor="_Toc322921224" w:history="1">
            <w:r w:rsidR="005937B9" w:rsidRPr="001A6E20">
              <w:rPr>
                <w:rStyle w:val="Hyperlink"/>
                <w:noProof/>
              </w:rPr>
              <w:t>Executive Summary</w:t>
            </w:r>
            <w:r w:rsidR="005937B9">
              <w:rPr>
                <w:noProof/>
                <w:webHidden/>
              </w:rPr>
              <w:tab/>
            </w:r>
            <w:r w:rsidR="005937B9">
              <w:rPr>
                <w:noProof/>
                <w:webHidden/>
              </w:rPr>
              <w:fldChar w:fldCharType="begin"/>
            </w:r>
            <w:r w:rsidR="005937B9">
              <w:rPr>
                <w:noProof/>
                <w:webHidden/>
              </w:rPr>
              <w:instrText xml:space="preserve"> PAGEREF _Toc322921224 \h </w:instrText>
            </w:r>
            <w:r w:rsidR="005937B9">
              <w:rPr>
                <w:noProof/>
                <w:webHidden/>
              </w:rPr>
            </w:r>
            <w:r w:rsidR="005937B9">
              <w:rPr>
                <w:noProof/>
                <w:webHidden/>
              </w:rPr>
              <w:fldChar w:fldCharType="separate"/>
            </w:r>
            <w:r w:rsidR="005937B9">
              <w:rPr>
                <w:noProof/>
                <w:webHidden/>
              </w:rPr>
              <w:t>4</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25" w:history="1">
            <w:r w:rsidR="005937B9" w:rsidRPr="001A6E20">
              <w:rPr>
                <w:rStyle w:val="Hyperlink"/>
                <w:noProof/>
              </w:rPr>
              <w:t>1</w:t>
            </w:r>
            <w:r w:rsidR="005937B9">
              <w:rPr>
                <w:rFonts w:asciiTheme="minorHAnsi" w:eastAsiaTheme="minorEastAsia" w:hAnsiTheme="minorHAnsi" w:cstheme="minorBidi"/>
                <w:noProof/>
                <w:sz w:val="22"/>
                <w:szCs w:val="22"/>
              </w:rPr>
              <w:tab/>
            </w:r>
            <w:r w:rsidR="005937B9" w:rsidRPr="001A6E20">
              <w:rPr>
                <w:rStyle w:val="Hyperlink"/>
                <w:noProof/>
              </w:rPr>
              <w:t>Purpose of this Report</w:t>
            </w:r>
            <w:r w:rsidR="005937B9">
              <w:rPr>
                <w:noProof/>
                <w:webHidden/>
              </w:rPr>
              <w:tab/>
            </w:r>
            <w:r w:rsidR="005937B9">
              <w:rPr>
                <w:noProof/>
                <w:webHidden/>
              </w:rPr>
              <w:fldChar w:fldCharType="begin"/>
            </w:r>
            <w:r w:rsidR="005937B9">
              <w:rPr>
                <w:noProof/>
                <w:webHidden/>
              </w:rPr>
              <w:instrText xml:space="preserve"> PAGEREF _Toc322921225 \h </w:instrText>
            </w:r>
            <w:r w:rsidR="005937B9">
              <w:rPr>
                <w:noProof/>
                <w:webHidden/>
              </w:rPr>
            </w:r>
            <w:r w:rsidR="005937B9">
              <w:rPr>
                <w:noProof/>
                <w:webHidden/>
              </w:rPr>
              <w:fldChar w:fldCharType="separate"/>
            </w:r>
            <w:r w:rsidR="005937B9">
              <w:rPr>
                <w:noProof/>
                <w:webHidden/>
              </w:rPr>
              <w:t>5</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26" w:history="1">
            <w:r w:rsidR="005937B9" w:rsidRPr="001A6E20">
              <w:rPr>
                <w:rStyle w:val="Hyperlink"/>
                <w:noProof/>
              </w:rPr>
              <w:t>2</w:t>
            </w:r>
            <w:r w:rsidR="005937B9">
              <w:rPr>
                <w:rFonts w:asciiTheme="minorHAnsi" w:eastAsiaTheme="minorEastAsia" w:hAnsiTheme="minorHAnsi" w:cstheme="minorBidi"/>
                <w:noProof/>
                <w:sz w:val="22"/>
                <w:szCs w:val="22"/>
              </w:rPr>
              <w:tab/>
            </w:r>
            <w:r w:rsidR="005937B9" w:rsidRPr="001A6E20">
              <w:rPr>
                <w:rStyle w:val="Hyperlink"/>
                <w:noProof/>
              </w:rPr>
              <w:t>Background</w:t>
            </w:r>
            <w:r w:rsidR="005937B9">
              <w:rPr>
                <w:noProof/>
                <w:webHidden/>
              </w:rPr>
              <w:tab/>
            </w:r>
            <w:r w:rsidR="005937B9">
              <w:rPr>
                <w:noProof/>
                <w:webHidden/>
              </w:rPr>
              <w:fldChar w:fldCharType="begin"/>
            </w:r>
            <w:r w:rsidR="005937B9">
              <w:rPr>
                <w:noProof/>
                <w:webHidden/>
              </w:rPr>
              <w:instrText xml:space="preserve"> PAGEREF _Toc322921226 \h </w:instrText>
            </w:r>
            <w:r w:rsidR="005937B9">
              <w:rPr>
                <w:noProof/>
                <w:webHidden/>
              </w:rPr>
            </w:r>
            <w:r w:rsidR="005937B9">
              <w:rPr>
                <w:noProof/>
                <w:webHidden/>
              </w:rPr>
              <w:fldChar w:fldCharType="separate"/>
            </w:r>
            <w:r w:rsidR="005937B9">
              <w:rPr>
                <w:noProof/>
                <w:webHidden/>
              </w:rPr>
              <w:t>5</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27" w:history="1">
            <w:r w:rsidR="005937B9" w:rsidRPr="001A6E20">
              <w:rPr>
                <w:rStyle w:val="Hyperlink"/>
                <w:noProof/>
                <w:lang w:eastAsia="en-US"/>
              </w:rPr>
              <w:t>3</w:t>
            </w:r>
            <w:r w:rsidR="005937B9">
              <w:rPr>
                <w:rFonts w:asciiTheme="minorHAnsi" w:eastAsiaTheme="minorEastAsia" w:hAnsiTheme="minorHAnsi" w:cstheme="minorBidi"/>
                <w:noProof/>
                <w:sz w:val="22"/>
                <w:szCs w:val="22"/>
              </w:rPr>
              <w:tab/>
            </w:r>
            <w:r w:rsidR="005937B9" w:rsidRPr="001A6E20">
              <w:rPr>
                <w:rStyle w:val="Hyperlink"/>
                <w:noProof/>
                <w:lang w:eastAsia="en-US"/>
              </w:rPr>
              <w:t>Principles of the Program</w:t>
            </w:r>
            <w:r w:rsidR="005937B9">
              <w:rPr>
                <w:noProof/>
                <w:webHidden/>
              </w:rPr>
              <w:tab/>
            </w:r>
            <w:r w:rsidR="005937B9">
              <w:rPr>
                <w:noProof/>
                <w:webHidden/>
              </w:rPr>
              <w:fldChar w:fldCharType="begin"/>
            </w:r>
            <w:r w:rsidR="005937B9">
              <w:rPr>
                <w:noProof/>
                <w:webHidden/>
              </w:rPr>
              <w:instrText xml:space="preserve"> PAGEREF _Toc322921227 \h </w:instrText>
            </w:r>
            <w:r w:rsidR="005937B9">
              <w:rPr>
                <w:noProof/>
                <w:webHidden/>
              </w:rPr>
            </w:r>
            <w:r w:rsidR="005937B9">
              <w:rPr>
                <w:noProof/>
                <w:webHidden/>
              </w:rPr>
              <w:fldChar w:fldCharType="separate"/>
            </w:r>
            <w:r w:rsidR="005937B9">
              <w:rPr>
                <w:noProof/>
                <w:webHidden/>
              </w:rPr>
              <w:t>5</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28" w:history="1">
            <w:r w:rsidR="005937B9" w:rsidRPr="001A6E20">
              <w:rPr>
                <w:rStyle w:val="Hyperlink"/>
                <w:noProof/>
              </w:rPr>
              <w:t>4</w:t>
            </w:r>
            <w:r w:rsidR="005937B9">
              <w:rPr>
                <w:rFonts w:asciiTheme="minorHAnsi" w:eastAsiaTheme="minorEastAsia" w:hAnsiTheme="minorHAnsi" w:cstheme="minorBidi"/>
                <w:noProof/>
                <w:sz w:val="22"/>
                <w:szCs w:val="22"/>
              </w:rPr>
              <w:tab/>
            </w:r>
            <w:r w:rsidR="005937B9" w:rsidRPr="001A6E20">
              <w:rPr>
                <w:rStyle w:val="Hyperlink"/>
                <w:noProof/>
              </w:rPr>
              <w:t>Terms of Reference for this Independent Assessment</w:t>
            </w:r>
            <w:r w:rsidR="005937B9">
              <w:rPr>
                <w:noProof/>
                <w:webHidden/>
              </w:rPr>
              <w:tab/>
            </w:r>
            <w:r w:rsidR="005937B9">
              <w:rPr>
                <w:noProof/>
                <w:webHidden/>
              </w:rPr>
              <w:fldChar w:fldCharType="begin"/>
            </w:r>
            <w:r w:rsidR="005937B9">
              <w:rPr>
                <w:noProof/>
                <w:webHidden/>
              </w:rPr>
              <w:instrText xml:space="preserve"> PAGEREF _Toc322921228 \h </w:instrText>
            </w:r>
            <w:r w:rsidR="005937B9">
              <w:rPr>
                <w:noProof/>
                <w:webHidden/>
              </w:rPr>
            </w:r>
            <w:r w:rsidR="005937B9">
              <w:rPr>
                <w:noProof/>
                <w:webHidden/>
              </w:rPr>
              <w:fldChar w:fldCharType="separate"/>
            </w:r>
            <w:r w:rsidR="005937B9">
              <w:rPr>
                <w:noProof/>
                <w:webHidden/>
              </w:rPr>
              <w:t>7</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29" w:history="1">
            <w:r w:rsidR="005937B9" w:rsidRPr="001A6E20">
              <w:rPr>
                <w:rStyle w:val="Hyperlink"/>
                <w:noProof/>
              </w:rPr>
              <w:t>5</w:t>
            </w:r>
            <w:r w:rsidR="005937B9">
              <w:rPr>
                <w:rFonts w:asciiTheme="minorHAnsi" w:eastAsiaTheme="minorEastAsia" w:hAnsiTheme="minorHAnsi" w:cstheme="minorBidi"/>
                <w:noProof/>
                <w:sz w:val="22"/>
                <w:szCs w:val="22"/>
              </w:rPr>
              <w:tab/>
            </w:r>
            <w:r w:rsidR="005937B9" w:rsidRPr="001A6E20">
              <w:rPr>
                <w:rStyle w:val="Hyperlink"/>
                <w:noProof/>
              </w:rPr>
              <w:t>Assessment of Progress for the Fixed Tranche</w:t>
            </w:r>
            <w:r w:rsidR="005937B9">
              <w:rPr>
                <w:noProof/>
                <w:webHidden/>
              </w:rPr>
              <w:tab/>
            </w:r>
            <w:r w:rsidR="005937B9">
              <w:rPr>
                <w:noProof/>
                <w:webHidden/>
              </w:rPr>
              <w:fldChar w:fldCharType="begin"/>
            </w:r>
            <w:r w:rsidR="005937B9">
              <w:rPr>
                <w:noProof/>
                <w:webHidden/>
              </w:rPr>
              <w:instrText xml:space="preserve"> PAGEREF _Toc322921229 \h </w:instrText>
            </w:r>
            <w:r w:rsidR="005937B9">
              <w:rPr>
                <w:noProof/>
                <w:webHidden/>
              </w:rPr>
            </w:r>
            <w:r w:rsidR="005937B9">
              <w:rPr>
                <w:noProof/>
                <w:webHidden/>
              </w:rPr>
              <w:fldChar w:fldCharType="separate"/>
            </w:r>
            <w:r w:rsidR="005937B9">
              <w:rPr>
                <w:noProof/>
                <w:webHidden/>
              </w:rPr>
              <w:t>7</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30" w:history="1">
            <w:r w:rsidR="005937B9" w:rsidRPr="001A6E20">
              <w:rPr>
                <w:rStyle w:val="Hyperlink"/>
                <w:noProof/>
              </w:rPr>
              <w:t>6</w:t>
            </w:r>
            <w:r w:rsidR="005937B9">
              <w:rPr>
                <w:rFonts w:asciiTheme="minorHAnsi" w:eastAsiaTheme="minorEastAsia" w:hAnsiTheme="minorHAnsi" w:cstheme="minorBidi"/>
                <w:noProof/>
                <w:sz w:val="22"/>
                <w:szCs w:val="22"/>
              </w:rPr>
              <w:tab/>
            </w:r>
            <w:r w:rsidR="005937B9" w:rsidRPr="001A6E20">
              <w:rPr>
                <w:rStyle w:val="Hyperlink"/>
                <w:noProof/>
              </w:rPr>
              <w:t>Assessment of Progress for Variable Tranche</w:t>
            </w:r>
            <w:r w:rsidR="005937B9">
              <w:rPr>
                <w:noProof/>
                <w:webHidden/>
              </w:rPr>
              <w:tab/>
            </w:r>
            <w:r w:rsidR="005937B9">
              <w:rPr>
                <w:noProof/>
                <w:webHidden/>
              </w:rPr>
              <w:fldChar w:fldCharType="begin"/>
            </w:r>
            <w:r w:rsidR="005937B9">
              <w:rPr>
                <w:noProof/>
                <w:webHidden/>
              </w:rPr>
              <w:instrText xml:space="preserve"> PAGEREF _Toc322921230 \h </w:instrText>
            </w:r>
            <w:r w:rsidR="005937B9">
              <w:rPr>
                <w:noProof/>
                <w:webHidden/>
              </w:rPr>
            </w:r>
            <w:r w:rsidR="005937B9">
              <w:rPr>
                <w:noProof/>
                <w:webHidden/>
              </w:rPr>
              <w:fldChar w:fldCharType="separate"/>
            </w:r>
            <w:r w:rsidR="005937B9">
              <w:rPr>
                <w:noProof/>
                <w:webHidden/>
              </w:rPr>
              <w:t>9</w:t>
            </w:r>
            <w:r w:rsidR="005937B9">
              <w:rPr>
                <w:noProof/>
                <w:webHidden/>
              </w:rPr>
              <w:fldChar w:fldCharType="end"/>
            </w:r>
          </w:hyperlink>
        </w:p>
        <w:p w:rsidR="005937B9" w:rsidRDefault="006B2864">
          <w:pPr>
            <w:pStyle w:val="TOC2"/>
            <w:tabs>
              <w:tab w:val="left" w:pos="880"/>
              <w:tab w:val="right" w:leader="dot" w:pos="9016"/>
            </w:tabs>
            <w:rPr>
              <w:rFonts w:asciiTheme="minorHAnsi" w:eastAsiaTheme="minorEastAsia" w:hAnsiTheme="minorHAnsi" w:cstheme="minorBidi"/>
              <w:noProof/>
              <w:sz w:val="22"/>
              <w:szCs w:val="22"/>
            </w:rPr>
          </w:pPr>
          <w:hyperlink w:anchor="_Toc322921231" w:history="1">
            <w:r w:rsidR="005937B9" w:rsidRPr="001A6E20">
              <w:rPr>
                <w:rStyle w:val="Hyperlink"/>
                <w:noProof/>
              </w:rPr>
              <w:t>6.1</w:t>
            </w:r>
            <w:r w:rsidR="005937B9">
              <w:rPr>
                <w:rFonts w:asciiTheme="minorHAnsi" w:eastAsiaTheme="minorEastAsia" w:hAnsiTheme="minorHAnsi" w:cstheme="minorBidi"/>
                <w:noProof/>
                <w:sz w:val="22"/>
                <w:szCs w:val="22"/>
              </w:rPr>
              <w:tab/>
            </w:r>
            <w:r w:rsidR="005937B9" w:rsidRPr="001A6E20">
              <w:rPr>
                <w:rStyle w:val="Hyperlink"/>
                <w:noProof/>
              </w:rPr>
              <w:t>Progress Against 30 March 2012 Milestones</w:t>
            </w:r>
            <w:r w:rsidR="005937B9">
              <w:rPr>
                <w:noProof/>
                <w:webHidden/>
              </w:rPr>
              <w:tab/>
            </w:r>
            <w:r w:rsidR="005937B9">
              <w:rPr>
                <w:noProof/>
                <w:webHidden/>
              </w:rPr>
              <w:fldChar w:fldCharType="begin"/>
            </w:r>
            <w:r w:rsidR="005937B9">
              <w:rPr>
                <w:noProof/>
                <w:webHidden/>
              </w:rPr>
              <w:instrText xml:space="preserve"> PAGEREF _Toc322921231 \h </w:instrText>
            </w:r>
            <w:r w:rsidR="005937B9">
              <w:rPr>
                <w:noProof/>
                <w:webHidden/>
              </w:rPr>
            </w:r>
            <w:r w:rsidR="005937B9">
              <w:rPr>
                <w:noProof/>
                <w:webHidden/>
              </w:rPr>
              <w:fldChar w:fldCharType="separate"/>
            </w:r>
            <w:r w:rsidR="005937B9">
              <w:rPr>
                <w:noProof/>
                <w:webHidden/>
              </w:rPr>
              <w:t>9</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32" w:history="1">
            <w:r w:rsidR="005937B9" w:rsidRPr="001A6E20">
              <w:rPr>
                <w:rStyle w:val="Hyperlink"/>
                <w:noProof/>
              </w:rPr>
              <w:t>6.1.1</w:t>
            </w:r>
            <w:r w:rsidR="005937B9">
              <w:rPr>
                <w:rFonts w:asciiTheme="minorHAnsi" w:eastAsiaTheme="minorEastAsia" w:hAnsiTheme="minorHAnsi" w:cstheme="minorBidi"/>
                <w:noProof/>
                <w:sz w:val="22"/>
                <w:szCs w:val="22"/>
              </w:rPr>
              <w:tab/>
            </w:r>
            <w:r w:rsidR="005937B9" w:rsidRPr="001A6E20">
              <w:rPr>
                <w:rStyle w:val="Hyperlink"/>
                <w:noProof/>
              </w:rPr>
              <w:t>Number of Sector Plans</w:t>
            </w:r>
            <w:r w:rsidR="005937B9">
              <w:rPr>
                <w:noProof/>
                <w:webHidden/>
              </w:rPr>
              <w:tab/>
            </w:r>
            <w:r w:rsidR="005937B9">
              <w:rPr>
                <w:noProof/>
                <w:webHidden/>
              </w:rPr>
              <w:fldChar w:fldCharType="begin"/>
            </w:r>
            <w:r w:rsidR="005937B9">
              <w:rPr>
                <w:noProof/>
                <w:webHidden/>
              </w:rPr>
              <w:instrText xml:space="preserve"> PAGEREF _Toc322921232 \h </w:instrText>
            </w:r>
            <w:r w:rsidR="005937B9">
              <w:rPr>
                <w:noProof/>
                <w:webHidden/>
              </w:rPr>
            </w:r>
            <w:r w:rsidR="005937B9">
              <w:rPr>
                <w:noProof/>
                <w:webHidden/>
              </w:rPr>
              <w:fldChar w:fldCharType="separate"/>
            </w:r>
            <w:r w:rsidR="005937B9">
              <w:rPr>
                <w:noProof/>
                <w:webHidden/>
              </w:rPr>
              <w:t>9</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33" w:history="1">
            <w:r w:rsidR="005937B9" w:rsidRPr="001A6E20">
              <w:rPr>
                <w:rStyle w:val="Hyperlink"/>
                <w:noProof/>
              </w:rPr>
              <w:t>6.1.2</w:t>
            </w:r>
            <w:r w:rsidR="005937B9">
              <w:rPr>
                <w:rFonts w:asciiTheme="minorHAnsi" w:eastAsiaTheme="minorEastAsia" w:hAnsiTheme="minorHAnsi" w:cstheme="minorBidi"/>
                <w:noProof/>
                <w:sz w:val="22"/>
                <w:szCs w:val="22"/>
              </w:rPr>
              <w:tab/>
            </w:r>
            <w:r w:rsidR="005937B9" w:rsidRPr="001A6E20">
              <w:rPr>
                <w:rStyle w:val="Hyperlink"/>
                <w:noProof/>
              </w:rPr>
              <w:t>Procurement Review</w:t>
            </w:r>
            <w:r w:rsidR="005937B9">
              <w:rPr>
                <w:noProof/>
                <w:webHidden/>
              </w:rPr>
              <w:tab/>
            </w:r>
            <w:r w:rsidR="005937B9">
              <w:rPr>
                <w:noProof/>
                <w:webHidden/>
              </w:rPr>
              <w:fldChar w:fldCharType="begin"/>
            </w:r>
            <w:r w:rsidR="005937B9">
              <w:rPr>
                <w:noProof/>
                <w:webHidden/>
              </w:rPr>
              <w:instrText xml:space="preserve"> PAGEREF _Toc322921233 \h </w:instrText>
            </w:r>
            <w:r w:rsidR="005937B9">
              <w:rPr>
                <w:noProof/>
                <w:webHidden/>
              </w:rPr>
            </w:r>
            <w:r w:rsidR="005937B9">
              <w:rPr>
                <w:noProof/>
                <w:webHidden/>
              </w:rPr>
              <w:fldChar w:fldCharType="separate"/>
            </w:r>
            <w:r w:rsidR="005937B9">
              <w:rPr>
                <w:noProof/>
                <w:webHidden/>
              </w:rPr>
              <w:t>11</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34" w:history="1">
            <w:r w:rsidR="005937B9" w:rsidRPr="001A6E20">
              <w:rPr>
                <w:rStyle w:val="Hyperlink"/>
                <w:noProof/>
              </w:rPr>
              <w:t>6.1.3</w:t>
            </w:r>
            <w:r w:rsidR="005937B9">
              <w:rPr>
                <w:rFonts w:asciiTheme="minorHAnsi" w:eastAsiaTheme="minorEastAsia" w:hAnsiTheme="minorHAnsi" w:cstheme="minorBidi"/>
                <w:noProof/>
                <w:sz w:val="22"/>
                <w:szCs w:val="22"/>
              </w:rPr>
              <w:tab/>
            </w:r>
            <w:r w:rsidR="005937B9" w:rsidRPr="001A6E20">
              <w:rPr>
                <w:rStyle w:val="Hyperlink"/>
                <w:noProof/>
              </w:rPr>
              <w:t>Budget Planning Committee</w:t>
            </w:r>
            <w:r w:rsidR="005937B9">
              <w:rPr>
                <w:noProof/>
                <w:webHidden/>
              </w:rPr>
              <w:tab/>
            </w:r>
            <w:r w:rsidR="005937B9">
              <w:rPr>
                <w:noProof/>
                <w:webHidden/>
              </w:rPr>
              <w:fldChar w:fldCharType="begin"/>
            </w:r>
            <w:r w:rsidR="005937B9">
              <w:rPr>
                <w:noProof/>
                <w:webHidden/>
              </w:rPr>
              <w:instrText xml:space="preserve"> PAGEREF _Toc322921234 \h </w:instrText>
            </w:r>
            <w:r w:rsidR="005937B9">
              <w:rPr>
                <w:noProof/>
                <w:webHidden/>
              </w:rPr>
            </w:r>
            <w:r w:rsidR="005937B9">
              <w:rPr>
                <w:noProof/>
                <w:webHidden/>
              </w:rPr>
              <w:fldChar w:fldCharType="separate"/>
            </w:r>
            <w:r w:rsidR="005937B9">
              <w:rPr>
                <w:noProof/>
                <w:webHidden/>
              </w:rPr>
              <w:t>11</w:t>
            </w:r>
            <w:r w:rsidR="005937B9">
              <w:rPr>
                <w:noProof/>
                <w:webHidden/>
              </w:rPr>
              <w:fldChar w:fldCharType="end"/>
            </w:r>
          </w:hyperlink>
        </w:p>
        <w:p w:rsidR="005937B9" w:rsidRDefault="006B2864">
          <w:pPr>
            <w:pStyle w:val="TOC2"/>
            <w:tabs>
              <w:tab w:val="left" w:pos="880"/>
              <w:tab w:val="right" w:leader="dot" w:pos="9016"/>
            </w:tabs>
            <w:rPr>
              <w:rFonts w:asciiTheme="minorHAnsi" w:eastAsiaTheme="minorEastAsia" w:hAnsiTheme="minorHAnsi" w:cstheme="minorBidi"/>
              <w:noProof/>
              <w:sz w:val="22"/>
              <w:szCs w:val="22"/>
            </w:rPr>
          </w:pPr>
          <w:hyperlink w:anchor="_Toc322921235" w:history="1">
            <w:r w:rsidR="005937B9" w:rsidRPr="001A6E20">
              <w:rPr>
                <w:rStyle w:val="Hyperlink"/>
                <w:noProof/>
              </w:rPr>
              <w:t>6.2</w:t>
            </w:r>
            <w:r w:rsidR="005937B9">
              <w:rPr>
                <w:rFonts w:asciiTheme="minorHAnsi" w:eastAsiaTheme="minorEastAsia" w:hAnsiTheme="minorHAnsi" w:cstheme="minorBidi"/>
                <w:noProof/>
                <w:sz w:val="22"/>
                <w:szCs w:val="22"/>
              </w:rPr>
              <w:tab/>
            </w:r>
            <w:r w:rsidR="005937B9" w:rsidRPr="001A6E20">
              <w:rPr>
                <w:rStyle w:val="Hyperlink"/>
                <w:noProof/>
              </w:rPr>
              <w:t>Summary of Progress for Variable Tranche</w:t>
            </w:r>
            <w:r w:rsidR="005937B9">
              <w:rPr>
                <w:noProof/>
                <w:webHidden/>
              </w:rPr>
              <w:tab/>
            </w:r>
            <w:r w:rsidR="005937B9">
              <w:rPr>
                <w:noProof/>
                <w:webHidden/>
              </w:rPr>
              <w:fldChar w:fldCharType="begin"/>
            </w:r>
            <w:r w:rsidR="005937B9">
              <w:rPr>
                <w:noProof/>
                <w:webHidden/>
              </w:rPr>
              <w:instrText xml:space="preserve"> PAGEREF _Toc322921235 \h </w:instrText>
            </w:r>
            <w:r w:rsidR="005937B9">
              <w:rPr>
                <w:noProof/>
                <w:webHidden/>
              </w:rPr>
            </w:r>
            <w:r w:rsidR="005937B9">
              <w:rPr>
                <w:noProof/>
                <w:webHidden/>
              </w:rPr>
              <w:fldChar w:fldCharType="separate"/>
            </w:r>
            <w:r w:rsidR="005937B9">
              <w:rPr>
                <w:noProof/>
                <w:webHidden/>
              </w:rPr>
              <w:t>12</w:t>
            </w:r>
            <w:r w:rsidR="005937B9">
              <w:rPr>
                <w:noProof/>
                <w:webHidden/>
              </w:rPr>
              <w:fldChar w:fldCharType="end"/>
            </w:r>
          </w:hyperlink>
        </w:p>
        <w:p w:rsidR="005937B9" w:rsidRDefault="006B2864">
          <w:pPr>
            <w:pStyle w:val="TOC2"/>
            <w:tabs>
              <w:tab w:val="left" w:pos="880"/>
              <w:tab w:val="right" w:leader="dot" w:pos="9016"/>
            </w:tabs>
            <w:rPr>
              <w:rFonts w:asciiTheme="minorHAnsi" w:eastAsiaTheme="minorEastAsia" w:hAnsiTheme="minorHAnsi" w:cstheme="minorBidi"/>
              <w:noProof/>
              <w:sz w:val="22"/>
              <w:szCs w:val="22"/>
            </w:rPr>
          </w:pPr>
          <w:hyperlink w:anchor="_Toc322921236" w:history="1">
            <w:r w:rsidR="005937B9" w:rsidRPr="001A6E20">
              <w:rPr>
                <w:rStyle w:val="Hyperlink"/>
                <w:noProof/>
              </w:rPr>
              <w:t>6.3</w:t>
            </w:r>
            <w:r w:rsidR="005937B9">
              <w:rPr>
                <w:rFonts w:asciiTheme="minorHAnsi" w:eastAsiaTheme="minorEastAsia" w:hAnsiTheme="minorHAnsi" w:cstheme="minorBidi"/>
                <w:noProof/>
                <w:sz w:val="22"/>
                <w:szCs w:val="22"/>
              </w:rPr>
              <w:tab/>
            </w:r>
            <w:r w:rsidR="005937B9" w:rsidRPr="001A6E20">
              <w:rPr>
                <w:rStyle w:val="Hyperlink"/>
                <w:noProof/>
              </w:rPr>
              <w:t>Progress Against 30 June 2012 Milestones</w:t>
            </w:r>
            <w:r w:rsidR="005937B9">
              <w:rPr>
                <w:noProof/>
                <w:webHidden/>
              </w:rPr>
              <w:tab/>
            </w:r>
            <w:r w:rsidR="005937B9">
              <w:rPr>
                <w:noProof/>
                <w:webHidden/>
              </w:rPr>
              <w:fldChar w:fldCharType="begin"/>
            </w:r>
            <w:r w:rsidR="005937B9">
              <w:rPr>
                <w:noProof/>
                <w:webHidden/>
              </w:rPr>
              <w:instrText xml:space="preserve"> PAGEREF _Toc322921236 \h </w:instrText>
            </w:r>
            <w:r w:rsidR="005937B9">
              <w:rPr>
                <w:noProof/>
                <w:webHidden/>
              </w:rPr>
            </w:r>
            <w:r w:rsidR="005937B9">
              <w:rPr>
                <w:noProof/>
                <w:webHidden/>
              </w:rPr>
              <w:fldChar w:fldCharType="separate"/>
            </w:r>
            <w:r w:rsidR="005937B9">
              <w:rPr>
                <w:noProof/>
                <w:webHidden/>
              </w:rPr>
              <w:t>12</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37" w:history="1">
            <w:r w:rsidR="005937B9" w:rsidRPr="001A6E20">
              <w:rPr>
                <w:rStyle w:val="Hyperlink"/>
                <w:noProof/>
              </w:rPr>
              <w:t>6.3.1</w:t>
            </w:r>
            <w:r w:rsidR="005937B9">
              <w:rPr>
                <w:rFonts w:asciiTheme="minorHAnsi" w:eastAsiaTheme="minorEastAsia" w:hAnsiTheme="minorHAnsi" w:cstheme="minorBidi"/>
                <w:noProof/>
                <w:sz w:val="22"/>
                <w:szCs w:val="22"/>
              </w:rPr>
              <w:tab/>
            </w:r>
            <w:r w:rsidR="005937B9" w:rsidRPr="001A6E20">
              <w:rPr>
                <w:rStyle w:val="Hyperlink"/>
                <w:noProof/>
              </w:rPr>
              <w:t>Sector Planning</w:t>
            </w:r>
            <w:r w:rsidR="005937B9">
              <w:rPr>
                <w:noProof/>
                <w:webHidden/>
              </w:rPr>
              <w:tab/>
            </w:r>
            <w:r w:rsidR="005937B9">
              <w:rPr>
                <w:noProof/>
                <w:webHidden/>
              </w:rPr>
              <w:fldChar w:fldCharType="begin"/>
            </w:r>
            <w:r w:rsidR="005937B9">
              <w:rPr>
                <w:noProof/>
                <w:webHidden/>
              </w:rPr>
              <w:instrText xml:space="preserve"> PAGEREF _Toc322921237 \h </w:instrText>
            </w:r>
            <w:r w:rsidR="005937B9">
              <w:rPr>
                <w:noProof/>
                <w:webHidden/>
              </w:rPr>
            </w:r>
            <w:r w:rsidR="005937B9">
              <w:rPr>
                <w:noProof/>
                <w:webHidden/>
              </w:rPr>
              <w:fldChar w:fldCharType="separate"/>
            </w:r>
            <w:r w:rsidR="005937B9">
              <w:rPr>
                <w:noProof/>
                <w:webHidden/>
              </w:rPr>
              <w:t>12</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38" w:history="1">
            <w:r w:rsidR="005937B9" w:rsidRPr="001A6E20">
              <w:rPr>
                <w:rStyle w:val="Hyperlink"/>
                <w:noProof/>
              </w:rPr>
              <w:t>6.3.2</w:t>
            </w:r>
            <w:r w:rsidR="005937B9">
              <w:rPr>
                <w:rFonts w:asciiTheme="minorHAnsi" w:eastAsiaTheme="minorEastAsia" w:hAnsiTheme="minorHAnsi" w:cstheme="minorBidi"/>
                <w:noProof/>
                <w:sz w:val="22"/>
                <w:szCs w:val="22"/>
              </w:rPr>
              <w:tab/>
            </w:r>
            <w:r w:rsidR="005937B9" w:rsidRPr="001A6E20">
              <w:rPr>
                <w:rStyle w:val="Hyperlink"/>
                <w:noProof/>
              </w:rPr>
              <w:t>Treasury Instructions</w:t>
            </w:r>
            <w:r w:rsidR="005937B9">
              <w:rPr>
                <w:noProof/>
                <w:webHidden/>
              </w:rPr>
              <w:tab/>
            </w:r>
            <w:r w:rsidR="005937B9">
              <w:rPr>
                <w:noProof/>
                <w:webHidden/>
              </w:rPr>
              <w:fldChar w:fldCharType="begin"/>
            </w:r>
            <w:r w:rsidR="005937B9">
              <w:rPr>
                <w:noProof/>
                <w:webHidden/>
              </w:rPr>
              <w:instrText xml:space="preserve"> PAGEREF _Toc322921238 \h </w:instrText>
            </w:r>
            <w:r w:rsidR="005937B9">
              <w:rPr>
                <w:noProof/>
                <w:webHidden/>
              </w:rPr>
            </w:r>
            <w:r w:rsidR="005937B9">
              <w:rPr>
                <w:noProof/>
                <w:webHidden/>
              </w:rPr>
              <w:fldChar w:fldCharType="separate"/>
            </w:r>
            <w:r w:rsidR="005937B9">
              <w:rPr>
                <w:noProof/>
                <w:webHidden/>
              </w:rPr>
              <w:t>12</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39" w:history="1">
            <w:r w:rsidR="005937B9" w:rsidRPr="001A6E20">
              <w:rPr>
                <w:rStyle w:val="Hyperlink"/>
                <w:noProof/>
              </w:rPr>
              <w:t>6.3.3</w:t>
            </w:r>
            <w:r w:rsidR="005937B9">
              <w:rPr>
                <w:rFonts w:asciiTheme="minorHAnsi" w:eastAsiaTheme="minorEastAsia" w:hAnsiTheme="minorHAnsi" w:cstheme="minorBidi"/>
                <w:noProof/>
                <w:sz w:val="22"/>
                <w:szCs w:val="22"/>
              </w:rPr>
              <w:tab/>
            </w:r>
            <w:r w:rsidR="005937B9" w:rsidRPr="001A6E20">
              <w:rPr>
                <w:rStyle w:val="Hyperlink"/>
                <w:noProof/>
              </w:rPr>
              <w:t>Strategic Plan for Internal Audit</w:t>
            </w:r>
            <w:r w:rsidR="005937B9">
              <w:rPr>
                <w:noProof/>
                <w:webHidden/>
              </w:rPr>
              <w:tab/>
            </w:r>
            <w:r w:rsidR="005937B9">
              <w:rPr>
                <w:noProof/>
                <w:webHidden/>
              </w:rPr>
              <w:fldChar w:fldCharType="begin"/>
            </w:r>
            <w:r w:rsidR="005937B9">
              <w:rPr>
                <w:noProof/>
                <w:webHidden/>
              </w:rPr>
              <w:instrText xml:space="preserve"> PAGEREF _Toc322921239 \h </w:instrText>
            </w:r>
            <w:r w:rsidR="005937B9">
              <w:rPr>
                <w:noProof/>
                <w:webHidden/>
              </w:rPr>
            </w:r>
            <w:r w:rsidR="005937B9">
              <w:rPr>
                <w:noProof/>
                <w:webHidden/>
              </w:rPr>
              <w:fldChar w:fldCharType="separate"/>
            </w:r>
            <w:r w:rsidR="005937B9">
              <w:rPr>
                <w:noProof/>
                <w:webHidden/>
              </w:rPr>
              <w:t>13</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40" w:history="1">
            <w:r w:rsidR="005937B9" w:rsidRPr="001A6E20">
              <w:rPr>
                <w:rStyle w:val="Hyperlink"/>
                <w:noProof/>
              </w:rPr>
              <w:t>7</w:t>
            </w:r>
            <w:r w:rsidR="005937B9">
              <w:rPr>
                <w:rFonts w:asciiTheme="minorHAnsi" w:eastAsiaTheme="minorEastAsia" w:hAnsiTheme="minorHAnsi" w:cstheme="minorBidi"/>
                <w:noProof/>
                <w:sz w:val="22"/>
                <w:szCs w:val="22"/>
              </w:rPr>
              <w:tab/>
            </w:r>
            <w:r w:rsidR="005937B9" w:rsidRPr="001A6E20">
              <w:rPr>
                <w:rStyle w:val="Hyperlink"/>
                <w:noProof/>
              </w:rPr>
              <w:t>Calculation of the Incentive Payment to Government of Samoa</w:t>
            </w:r>
            <w:r w:rsidR="005937B9">
              <w:rPr>
                <w:noProof/>
                <w:webHidden/>
              </w:rPr>
              <w:tab/>
            </w:r>
            <w:r w:rsidR="005937B9">
              <w:rPr>
                <w:noProof/>
                <w:webHidden/>
              </w:rPr>
              <w:fldChar w:fldCharType="begin"/>
            </w:r>
            <w:r w:rsidR="005937B9">
              <w:rPr>
                <w:noProof/>
                <w:webHidden/>
              </w:rPr>
              <w:instrText xml:space="preserve"> PAGEREF _Toc322921240 \h </w:instrText>
            </w:r>
            <w:r w:rsidR="005937B9">
              <w:rPr>
                <w:noProof/>
                <w:webHidden/>
              </w:rPr>
            </w:r>
            <w:r w:rsidR="005937B9">
              <w:rPr>
                <w:noProof/>
                <w:webHidden/>
              </w:rPr>
              <w:fldChar w:fldCharType="separate"/>
            </w:r>
            <w:r w:rsidR="005937B9">
              <w:rPr>
                <w:noProof/>
                <w:webHidden/>
              </w:rPr>
              <w:t>13</w:t>
            </w:r>
            <w:r w:rsidR="005937B9">
              <w:rPr>
                <w:noProof/>
                <w:webHidden/>
              </w:rPr>
              <w:fldChar w:fldCharType="end"/>
            </w:r>
          </w:hyperlink>
        </w:p>
        <w:p w:rsidR="005937B9" w:rsidRDefault="006B2864">
          <w:pPr>
            <w:pStyle w:val="TOC1"/>
            <w:tabs>
              <w:tab w:val="left" w:pos="480"/>
              <w:tab w:val="right" w:leader="dot" w:pos="9016"/>
            </w:tabs>
            <w:rPr>
              <w:rFonts w:asciiTheme="minorHAnsi" w:eastAsiaTheme="minorEastAsia" w:hAnsiTheme="minorHAnsi" w:cstheme="minorBidi"/>
              <w:noProof/>
              <w:sz w:val="22"/>
              <w:szCs w:val="22"/>
            </w:rPr>
          </w:pPr>
          <w:hyperlink w:anchor="_Toc322921241" w:history="1">
            <w:r w:rsidR="005937B9" w:rsidRPr="001A6E20">
              <w:rPr>
                <w:rStyle w:val="Hyperlink"/>
                <w:noProof/>
              </w:rPr>
              <w:t>8</w:t>
            </w:r>
            <w:r w:rsidR="005937B9">
              <w:rPr>
                <w:rFonts w:asciiTheme="minorHAnsi" w:eastAsiaTheme="minorEastAsia" w:hAnsiTheme="minorHAnsi" w:cstheme="minorBidi"/>
                <w:noProof/>
                <w:sz w:val="22"/>
                <w:szCs w:val="22"/>
              </w:rPr>
              <w:tab/>
            </w:r>
            <w:r w:rsidR="005937B9" w:rsidRPr="001A6E20">
              <w:rPr>
                <w:rStyle w:val="Hyperlink"/>
                <w:noProof/>
              </w:rPr>
              <w:t>Assessment of the Program’s Ongoing Effectiveness</w:t>
            </w:r>
            <w:r w:rsidR="005937B9">
              <w:rPr>
                <w:noProof/>
                <w:webHidden/>
              </w:rPr>
              <w:tab/>
            </w:r>
            <w:r w:rsidR="005937B9">
              <w:rPr>
                <w:noProof/>
                <w:webHidden/>
              </w:rPr>
              <w:fldChar w:fldCharType="begin"/>
            </w:r>
            <w:r w:rsidR="005937B9">
              <w:rPr>
                <w:noProof/>
                <w:webHidden/>
              </w:rPr>
              <w:instrText xml:space="preserve"> PAGEREF _Toc322921241 \h </w:instrText>
            </w:r>
            <w:r w:rsidR="005937B9">
              <w:rPr>
                <w:noProof/>
                <w:webHidden/>
              </w:rPr>
            </w:r>
            <w:r w:rsidR="005937B9">
              <w:rPr>
                <w:noProof/>
                <w:webHidden/>
              </w:rPr>
              <w:fldChar w:fldCharType="separate"/>
            </w:r>
            <w:r w:rsidR="005937B9">
              <w:rPr>
                <w:noProof/>
                <w:webHidden/>
              </w:rPr>
              <w:t>14</w:t>
            </w:r>
            <w:r w:rsidR="005937B9">
              <w:rPr>
                <w:noProof/>
                <w:webHidden/>
              </w:rPr>
              <w:fldChar w:fldCharType="end"/>
            </w:r>
          </w:hyperlink>
        </w:p>
        <w:p w:rsidR="005937B9" w:rsidRDefault="006B2864">
          <w:pPr>
            <w:pStyle w:val="TOC2"/>
            <w:tabs>
              <w:tab w:val="left" w:pos="880"/>
              <w:tab w:val="right" w:leader="dot" w:pos="9016"/>
            </w:tabs>
            <w:rPr>
              <w:rFonts w:asciiTheme="minorHAnsi" w:eastAsiaTheme="minorEastAsia" w:hAnsiTheme="minorHAnsi" w:cstheme="minorBidi"/>
              <w:noProof/>
              <w:sz w:val="22"/>
              <w:szCs w:val="22"/>
            </w:rPr>
          </w:pPr>
          <w:hyperlink w:anchor="_Toc322921242" w:history="1">
            <w:r w:rsidR="005937B9" w:rsidRPr="001A6E20">
              <w:rPr>
                <w:rStyle w:val="Hyperlink"/>
                <w:noProof/>
              </w:rPr>
              <w:t>8.1</w:t>
            </w:r>
            <w:r w:rsidR="005937B9">
              <w:rPr>
                <w:rFonts w:asciiTheme="minorHAnsi" w:eastAsiaTheme="minorEastAsia" w:hAnsiTheme="minorHAnsi" w:cstheme="minorBidi"/>
                <w:noProof/>
                <w:sz w:val="22"/>
                <w:szCs w:val="22"/>
              </w:rPr>
              <w:tab/>
            </w:r>
            <w:r w:rsidR="005937B9" w:rsidRPr="001A6E20">
              <w:rPr>
                <w:rStyle w:val="Hyperlink"/>
                <w:noProof/>
              </w:rPr>
              <w:t>Suitability of Current Disbursement and Acquittal Mechanisms</w:t>
            </w:r>
            <w:r w:rsidR="005937B9">
              <w:rPr>
                <w:noProof/>
                <w:webHidden/>
              </w:rPr>
              <w:tab/>
            </w:r>
            <w:r w:rsidR="005937B9">
              <w:rPr>
                <w:noProof/>
                <w:webHidden/>
              </w:rPr>
              <w:fldChar w:fldCharType="begin"/>
            </w:r>
            <w:r w:rsidR="005937B9">
              <w:rPr>
                <w:noProof/>
                <w:webHidden/>
              </w:rPr>
              <w:instrText xml:space="preserve"> PAGEREF _Toc322921242 \h </w:instrText>
            </w:r>
            <w:r w:rsidR="005937B9">
              <w:rPr>
                <w:noProof/>
                <w:webHidden/>
              </w:rPr>
            </w:r>
            <w:r w:rsidR="005937B9">
              <w:rPr>
                <w:noProof/>
                <w:webHidden/>
              </w:rPr>
              <w:fldChar w:fldCharType="separate"/>
            </w:r>
            <w:r w:rsidR="005937B9">
              <w:rPr>
                <w:noProof/>
                <w:webHidden/>
              </w:rPr>
              <w:t>14</w:t>
            </w:r>
            <w:r w:rsidR="005937B9">
              <w:rPr>
                <w:noProof/>
                <w:webHidden/>
              </w:rPr>
              <w:fldChar w:fldCharType="end"/>
            </w:r>
          </w:hyperlink>
        </w:p>
        <w:p w:rsidR="005937B9" w:rsidRDefault="006B2864">
          <w:pPr>
            <w:pStyle w:val="TOC2"/>
            <w:tabs>
              <w:tab w:val="left" w:pos="880"/>
              <w:tab w:val="right" w:leader="dot" w:pos="9016"/>
            </w:tabs>
            <w:rPr>
              <w:rFonts w:asciiTheme="minorHAnsi" w:eastAsiaTheme="minorEastAsia" w:hAnsiTheme="minorHAnsi" w:cstheme="minorBidi"/>
              <w:noProof/>
              <w:sz w:val="22"/>
              <w:szCs w:val="22"/>
            </w:rPr>
          </w:pPr>
          <w:hyperlink w:anchor="_Toc322921243" w:history="1">
            <w:r w:rsidR="005937B9" w:rsidRPr="001A6E20">
              <w:rPr>
                <w:rStyle w:val="Hyperlink"/>
                <w:noProof/>
              </w:rPr>
              <w:t>8.2</w:t>
            </w:r>
            <w:r w:rsidR="005937B9">
              <w:rPr>
                <w:rFonts w:asciiTheme="minorHAnsi" w:eastAsiaTheme="minorEastAsia" w:hAnsiTheme="minorHAnsi" w:cstheme="minorBidi"/>
                <w:noProof/>
                <w:sz w:val="22"/>
                <w:szCs w:val="22"/>
              </w:rPr>
              <w:tab/>
            </w:r>
            <w:r w:rsidR="005937B9" w:rsidRPr="001A6E20">
              <w:rPr>
                <w:rStyle w:val="Hyperlink"/>
                <w:noProof/>
              </w:rPr>
              <w:t>Effectiveness of the Targets in Generating Sustainable PFM Reform</w:t>
            </w:r>
            <w:r w:rsidR="005937B9">
              <w:rPr>
                <w:noProof/>
                <w:webHidden/>
              </w:rPr>
              <w:tab/>
            </w:r>
            <w:r w:rsidR="005937B9">
              <w:rPr>
                <w:noProof/>
                <w:webHidden/>
              </w:rPr>
              <w:fldChar w:fldCharType="begin"/>
            </w:r>
            <w:r w:rsidR="005937B9">
              <w:rPr>
                <w:noProof/>
                <w:webHidden/>
              </w:rPr>
              <w:instrText xml:space="preserve"> PAGEREF _Toc322921243 \h </w:instrText>
            </w:r>
            <w:r w:rsidR="005937B9">
              <w:rPr>
                <w:noProof/>
                <w:webHidden/>
              </w:rPr>
            </w:r>
            <w:r w:rsidR="005937B9">
              <w:rPr>
                <w:noProof/>
                <w:webHidden/>
              </w:rPr>
              <w:fldChar w:fldCharType="separate"/>
            </w:r>
            <w:r w:rsidR="005937B9">
              <w:rPr>
                <w:noProof/>
                <w:webHidden/>
              </w:rPr>
              <w:t>15</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44" w:history="1">
            <w:r w:rsidR="005937B9" w:rsidRPr="001A6E20">
              <w:rPr>
                <w:rStyle w:val="Hyperlink"/>
                <w:noProof/>
              </w:rPr>
              <w:t>8.2.1</w:t>
            </w:r>
            <w:r w:rsidR="005937B9">
              <w:rPr>
                <w:rFonts w:asciiTheme="minorHAnsi" w:eastAsiaTheme="minorEastAsia" w:hAnsiTheme="minorHAnsi" w:cstheme="minorBidi"/>
                <w:noProof/>
                <w:sz w:val="22"/>
                <w:szCs w:val="22"/>
              </w:rPr>
              <w:tab/>
            </w:r>
            <w:r w:rsidR="005937B9" w:rsidRPr="001A6E20">
              <w:rPr>
                <w:rStyle w:val="Hyperlink"/>
                <w:noProof/>
              </w:rPr>
              <w:t>Including Higher Level Indicators in the Matrix</w:t>
            </w:r>
            <w:r w:rsidR="005937B9">
              <w:rPr>
                <w:noProof/>
                <w:webHidden/>
              </w:rPr>
              <w:tab/>
            </w:r>
            <w:r w:rsidR="005937B9">
              <w:rPr>
                <w:noProof/>
                <w:webHidden/>
              </w:rPr>
              <w:fldChar w:fldCharType="begin"/>
            </w:r>
            <w:r w:rsidR="005937B9">
              <w:rPr>
                <w:noProof/>
                <w:webHidden/>
              </w:rPr>
              <w:instrText xml:space="preserve"> PAGEREF _Toc322921244 \h </w:instrText>
            </w:r>
            <w:r w:rsidR="005937B9">
              <w:rPr>
                <w:noProof/>
                <w:webHidden/>
              </w:rPr>
            </w:r>
            <w:r w:rsidR="005937B9">
              <w:rPr>
                <w:noProof/>
                <w:webHidden/>
              </w:rPr>
              <w:fldChar w:fldCharType="separate"/>
            </w:r>
            <w:r w:rsidR="005937B9">
              <w:rPr>
                <w:noProof/>
                <w:webHidden/>
              </w:rPr>
              <w:t>16</w:t>
            </w:r>
            <w:r w:rsidR="005937B9">
              <w:rPr>
                <w:noProof/>
                <w:webHidden/>
              </w:rPr>
              <w:fldChar w:fldCharType="end"/>
            </w:r>
          </w:hyperlink>
        </w:p>
        <w:p w:rsidR="005937B9" w:rsidRDefault="006B2864">
          <w:pPr>
            <w:pStyle w:val="TOC3"/>
            <w:tabs>
              <w:tab w:val="left" w:pos="1320"/>
              <w:tab w:val="right" w:leader="dot" w:pos="9016"/>
            </w:tabs>
            <w:rPr>
              <w:rFonts w:asciiTheme="minorHAnsi" w:eastAsiaTheme="minorEastAsia" w:hAnsiTheme="minorHAnsi" w:cstheme="minorBidi"/>
              <w:noProof/>
              <w:sz w:val="22"/>
              <w:szCs w:val="22"/>
            </w:rPr>
          </w:pPr>
          <w:hyperlink w:anchor="_Toc322921245" w:history="1">
            <w:r w:rsidR="005937B9" w:rsidRPr="001A6E20">
              <w:rPr>
                <w:rStyle w:val="Hyperlink"/>
                <w:noProof/>
              </w:rPr>
              <w:t>8.2.2</w:t>
            </w:r>
            <w:r w:rsidR="005937B9">
              <w:rPr>
                <w:rFonts w:asciiTheme="minorHAnsi" w:eastAsiaTheme="minorEastAsia" w:hAnsiTheme="minorHAnsi" w:cstheme="minorBidi"/>
                <w:noProof/>
                <w:sz w:val="22"/>
                <w:szCs w:val="22"/>
              </w:rPr>
              <w:tab/>
            </w:r>
            <w:r w:rsidR="005937B9" w:rsidRPr="001A6E20">
              <w:rPr>
                <w:rStyle w:val="Hyperlink"/>
                <w:noProof/>
              </w:rPr>
              <w:t>Possible June 2013 Indicators</w:t>
            </w:r>
            <w:r w:rsidR="005937B9">
              <w:rPr>
                <w:noProof/>
                <w:webHidden/>
              </w:rPr>
              <w:tab/>
            </w:r>
            <w:r w:rsidR="005937B9">
              <w:rPr>
                <w:noProof/>
                <w:webHidden/>
              </w:rPr>
              <w:fldChar w:fldCharType="begin"/>
            </w:r>
            <w:r w:rsidR="005937B9">
              <w:rPr>
                <w:noProof/>
                <w:webHidden/>
              </w:rPr>
              <w:instrText xml:space="preserve"> PAGEREF _Toc322921245 \h </w:instrText>
            </w:r>
            <w:r w:rsidR="005937B9">
              <w:rPr>
                <w:noProof/>
                <w:webHidden/>
              </w:rPr>
            </w:r>
            <w:r w:rsidR="005937B9">
              <w:rPr>
                <w:noProof/>
                <w:webHidden/>
              </w:rPr>
              <w:fldChar w:fldCharType="separate"/>
            </w:r>
            <w:r w:rsidR="005937B9">
              <w:rPr>
                <w:noProof/>
                <w:webHidden/>
              </w:rPr>
              <w:t>17</w:t>
            </w:r>
            <w:r w:rsidR="005937B9">
              <w:rPr>
                <w:noProof/>
                <w:webHidden/>
              </w:rPr>
              <w:fldChar w:fldCharType="end"/>
            </w:r>
          </w:hyperlink>
        </w:p>
        <w:p w:rsidR="005937B9" w:rsidRDefault="006B2864">
          <w:pPr>
            <w:pStyle w:val="TOC2"/>
            <w:tabs>
              <w:tab w:val="left" w:pos="880"/>
              <w:tab w:val="right" w:leader="dot" w:pos="9016"/>
            </w:tabs>
            <w:rPr>
              <w:rFonts w:asciiTheme="minorHAnsi" w:eastAsiaTheme="minorEastAsia" w:hAnsiTheme="minorHAnsi" w:cstheme="minorBidi"/>
              <w:noProof/>
              <w:sz w:val="22"/>
              <w:szCs w:val="22"/>
            </w:rPr>
          </w:pPr>
          <w:hyperlink w:anchor="_Toc322921246" w:history="1">
            <w:r w:rsidR="005937B9" w:rsidRPr="001A6E20">
              <w:rPr>
                <w:rStyle w:val="Hyperlink"/>
                <w:noProof/>
              </w:rPr>
              <w:t>8.3</w:t>
            </w:r>
            <w:r w:rsidR="005937B9">
              <w:rPr>
                <w:rFonts w:asciiTheme="minorHAnsi" w:eastAsiaTheme="minorEastAsia" w:hAnsiTheme="minorHAnsi" w:cstheme="minorBidi"/>
                <w:noProof/>
                <w:sz w:val="22"/>
                <w:szCs w:val="22"/>
              </w:rPr>
              <w:tab/>
            </w:r>
            <w:r w:rsidR="005937B9" w:rsidRPr="001A6E20">
              <w:rPr>
                <w:rStyle w:val="Hyperlink"/>
                <w:noProof/>
              </w:rPr>
              <w:t>Other Recommendations</w:t>
            </w:r>
            <w:r w:rsidR="005937B9">
              <w:rPr>
                <w:noProof/>
                <w:webHidden/>
              </w:rPr>
              <w:tab/>
            </w:r>
            <w:r w:rsidR="005937B9">
              <w:rPr>
                <w:noProof/>
                <w:webHidden/>
              </w:rPr>
              <w:fldChar w:fldCharType="begin"/>
            </w:r>
            <w:r w:rsidR="005937B9">
              <w:rPr>
                <w:noProof/>
                <w:webHidden/>
              </w:rPr>
              <w:instrText xml:space="preserve"> PAGEREF _Toc322921246 \h </w:instrText>
            </w:r>
            <w:r w:rsidR="005937B9">
              <w:rPr>
                <w:noProof/>
                <w:webHidden/>
              </w:rPr>
            </w:r>
            <w:r w:rsidR="005937B9">
              <w:rPr>
                <w:noProof/>
                <w:webHidden/>
              </w:rPr>
              <w:fldChar w:fldCharType="separate"/>
            </w:r>
            <w:r w:rsidR="005937B9">
              <w:rPr>
                <w:noProof/>
                <w:webHidden/>
              </w:rPr>
              <w:t>17</w:t>
            </w:r>
            <w:r w:rsidR="005937B9">
              <w:rPr>
                <w:noProof/>
                <w:webHidden/>
              </w:rPr>
              <w:fldChar w:fldCharType="end"/>
            </w:r>
          </w:hyperlink>
        </w:p>
        <w:p w:rsidR="005937B9" w:rsidRDefault="006B2864">
          <w:pPr>
            <w:pStyle w:val="TOC1"/>
            <w:tabs>
              <w:tab w:val="right" w:leader="dot" w:pos="9016"/>
            </w:tabs>
            <w:rPr>
              <w:rFonts w:asciiTheme="minorHAnsi" w:eastAsiaTheme="minorEastAsia" w:hAnsiTheme="minorHAnsi" w:cstheme="minorBidi"/>
              <w:noProof/>
              <w:sz w:val="22"/>
              <w:szCs w:val="22"/>
            </w:rPr>
          </w:pPr>
          <w:hyperlink w:anchor="_Toc322921247" w:history="1">
            <w:r w:rsidR="005937B9" w:rsidRPr="001A6E20">
              <w:rPr>
                <w:rStyle w:val="Hyperlink"/>
                <w:noProof/>
              </w:rPr>
              <w:t>Annex 1  2011-2013 Policy Action Matrix</w:t>
            </w:r>
            <w:r w:rsidR="005937B9">
              <w:rPr>
                <w:noProof/>
                <w:webHidden/>
              </w:rPr>
              <w:tab/>
            </w:r>
            <w:r w:rsidR="005937B9">
              <w:rPr>
                <w:noProof/>
                <w:webHidden/>
              </w:rPr>
              <w:fldChar w:fldCharType="begin"/>
            </w:r>
            <w:r w:rsidR="005937B9">
              <w:rPr>
                <w:noProof/>
                <w:webHidden/>
              </w:rPr>
              <w:instrText xml:space="preserve"> PAGEREF _Toc322921247 \h </w:instrText>
            </w:r>
            <w:r w:rsidR="005937B9">
              <w:rPr>
                <w:noProof/>
                <w:webHidden/>
              </w:rPr>
            </w:r>
            <w:r w:rsidR="005937B9">
              <w:rPr>
                <w:noProof/>
                <w:webHidden/>
              </w:rPr>
              <w:fldChar w:fldCharType="separate"/>
            </w:r>
            <w:r w:rsidR="005937B9">
              <w:rPr>
                <w:noProof/>
                <w:webHidden/>
              </w:rPr>
              <w:t>19</w:t>
            </w:r>
            <w:r w:rsidR="005937B9">
              <w:rPr>
                <w:noProof/>
                <w:webHidden/>
              </w:rPr>
              <w:fldChar w:fldCharType="end"/>
            </w:r>
          </w:hyperlink>
        </w:p>
        <w:p w:rsidR="005937B9" w:rsidRDefault="006B2864">
          <w:pPr>
            <w:pStyle w:val="TOC1"/>
            <w:tabs>
              <w:tab w:val="right" w:leader="dot" w:pos="9016"/>
            </w:tabs>
            <w:rPr>
              <w:rFonts w:asciiTheme="minorHAnsi" w:eastAsiaTheme="minorEastAsia" w:hAnsiTheme="minorHAnsi" w:cstheme="minorBidi"/>
              <w:noProof/>
              <w:sz w:val="22"/>
              <w:szCs w:val="22"/>
            </w:rPr>
          </w:pPr>
          <w:hyperlink w:anchor="_Toc322921248" w:history="1">
            <w:r w:rsidR="005937B9" w:rsidRPr="001A6E20">
              <w:rPr>
                <w:rStyle w:val="Hyperlink"/>
                <w:noProof/>
                <w:lang w:eastAsia="en-US"/>
              </w:rPr>
              <w:t>Annex 2 Variable Milestones to be Achieved by March 2012 and by June 2012</w:t>
            </w:r>
            <w:r w:rsidR="005937B9">
              <w:rPr>
                <w:noProof/>
                <w:webHidden/>
              </w:rPr>
              <w:tab/>
            </w:r>
            <w:r w:rsidR="005937B9">
              <w:rPr>
                <w:noProof/>
                <w:webHidden/>
              </w:rPr>
              <w:fldChar w:fldCharType="begin"/>
            </w:r>
            <w:r w:rsidR="005937B9">
              <w:rPr>
                <w:noProof/>
                <w:webHidden/>
              </w:rPr>
              <w:instrText xml:space="preserve"> PAGEREF _Toc322921248 \h </w:instrText>
            </w:r>
            <w:r w:rsidR="005937B9">
              <w:rPr>
                <w:noProof/>
                <w:webHidden/>
              </w:rPr>
            </w:r>
            <w:r w:rsidR="005937B9">
              <w:rPr>
                <w:noProof/>
                <w:webHidden/>
              </w:rPr>
              <w:fldChar w:fldCharType="separate"/>
            </w:r>
            <w:r w:rsidR="005937B9">
              <w:rPr>
                <w:noProof/>
                <w:webHidden/>
              </w:rPr>
              <w:t>21</w:t>
            </w:r>
            <w:r w:rsidR="005937B9">
              <w:rPr>
                <w:noProof/>
                <w:webHidden/>
              </w:rPr>
              <w:fldChar w:fldCharType="end"/>
            </w:r>
          </w:hyperlink>
        </w:p>
        <w:p w:rsidR="005937B9" w:rsidRDefault="006B2864">
          <w:pPr>
            <w:pStyle w:val="TOC1"/>
            <w:tabs>
              <w:tab w:val="right" w:leader="dot" w:pos="9016"/>
            </w:tabs>
            <w:rPr>
              <w:rFonts w:asciiTheme="minorHAnsi" w:eastAsiaTheme="minorEastAsia" w:hAnsiTheme="minorHAnsi" w:cstheme="minorBidi"/>
              <w:noProof/>
              <w:sz w:val="22"/>
              <w:szCs w:val="22"/>
            </w:rPr>
          </w:pPr>
          <w:hyperlink w:anchor="_Toc322921249" w:history="1">
            <w:r w:rsidR="005937B9" w:rsidRPr="001A6E20">
              <w:rPr>
                <w:rStyle w:val="Hyperlink"/>
                <w:noProof/>
              </w:rPr>
              <w:t>Annex 3 Terms of Reference</w:t>
            </w:r>
            <w:r w:rsidR="005937B9">
              <w:rPr>
                <w:noProof/>
                <w:webHidden/>
              </w:rPr>
              <w:tab/>
            </w:r>
            <w:r w:rsidR="005937B9">
              <w:rPr>
                <w:noProof/>
                <w:webHidden/>
              </w:rPr>
              <w:fldChar w:fldCharType="begin"/>
            </w:r>
            <w:r w:rsidR="005937B9">
              <w:rPr>
                <w:noProof/>
                <w:webHidden/>
              </w:rPr>
              <w:instrText xml:space="preserve"> PAGEREF _Toc322921249 \h </w:instrText>
            </w:r>
            <w:r w:rsidR="005937B9">
              <w:rPr>
                <w:noProof/>
                <w:webHidden/>
              </w:rPr>
            </w:r>
            <w:r w:rsidR="005937B9">
              <w:rPr>
                <w:noProof/>
                <w:webHidden/>
              </w:rPr>
              <w:fldChar w:fldCharType="separate"/>
            </w:r>
            <w:r w:rsidR="005937B9">
              <w:rPr>
                <w:noProof/>
                <w:webHidden/>
              </w:rPr>
              <w:t>27</w:t>
            </w:r>
            <w:r w:rsidR="005937B9">
              <w:rPr>
                <w:noProof/>
                <w:webHidden/>
              </w:rPr>
              <w:fldChar w:fldCharType="end"/>
            </w:r>
          </w:hyperlink>
        </w:p>
        <w:p w:rsidR="005937B9" w:rsidRDefault="006B2864">
          <w:pPr>
            <w:pStyle w:val="TOC1"/>
            <w:tabs>
              <w:tab w:val="right" w:leader="dot" w:pos="9016"/>
            </w:tabs>
            <w:rPr>
              <w:rFonts w:asciiTheme="minorHAnsi" w:eastAsiaTheme="minorEastAsia" w:hAnsiTheme="minorHAnsi" w:cstheme="minorBidi"/>
              <w:noProof/>
              <w:sz w:val="22"/>
              <w:szCs w:val="22"/>
            </w:rPr>
          </w:pPr>
          <w:hyperlink w:anchor="_Toc322921250" w:history="1">
            <w:r w:rsidR="005937B9" w:rsidRPr="001A6E20">
              <w:rPr>
                <w:rStyle w:val="Hyperlink"/>
                <w:noProof/>
              </w:rPr>
              <w:t>Annex 4 Summary of Progress Against the 30 March 2012 Milestones</w:t>
            </w:r>
            <w:r w:rsidR="005937B9">
              <w:rPr>
                <w:noProof/>
                <w:webHidden/>
              </w:rPr>
              <w:tab/>
            </w:r>
            <w:r w:rsidR="005937B9">
              <w:rPr>
                <w:noProof/>
                <w:webHidden/>
              </w:rPr>
              <w:fldChar w:fldCharType="begin"/>
            </w:r>
            <w:r w:rsidR="005937B9">
              <w:rPr>
                <w:noProof/>
                <w:webHidden/>
              </w:rPr>
              <w:instrText xml:space="preserve"> PAGEREF _Toc322921250 \h </w:instrText>
            </w:r>
            <w:r w:rsidR="005937B9">
              <w:rPr>
                <w:noProof/>
                <w:webHidden/>
              </w:rPr>
            </w:r>
            <w:r w:rsidR="005937B9">
              <w:rPr>
                <w:noProof/>
                <w:webHidden/>
              </w:rPr>
              <w:fldChar w:fldCharType="separate"/>
            </w:r>
            <w:r w:rsidR="005937B9">
              <w:rPr>
                <w:noProof/>
                <w:webHidden/>
              </w:rPr>
              <w:t>28</w:t>
            </w:r>
            <w:r w:rsidR="005937B9">
              <w:rPr>
                <w:noProof/>
                <w:webHidden/>
              </w:rPr>
              <w:fldChar w:fldCharType="end"/>
            </w:r>
          </w:hyperlink>
        </w:p>
        <w:p w:rsidR="005937B9" w:rsidRDefault="006B2864">
          <w:pPr>
            <w:pStyle w:val="TOC1"/>
            <w:tabs>
              <w:tab w:val="right" w:leader="dot" w:pos="9016"/>
            </w:tabs>
            <w:rPr>
              <w:rFonts w:asciiTheme="minorHAnsi" w:eastAsiaTheme="minorEastAsia" w:hAnsiTheme="minorHAnsi" w:cstheme="minorBidi"/>
              <w:noProof/>
              <w:sz w:val="22"/>
              <w:szCs w:val="22"/>
            </w:rPr>
          </w:pPr>
          <w:hyperlink w:anchor="_Toc322921251" w:history="1">
            <w:r w:rsidR="005937B9" w:rsidRPr="001A6E20">
              <w:rPr>
                <w:rStyle w:val="Hyperlink"/>
                <w:noProof/>
              </w:rPr>
              <w:t>Annex 5 Assessment of Progress Against the 30 June 2012 Milestones</w:t>
            </w:r>
            <w:r w:rsidR="005937B9">
              <w:rPr>
                <w:noProof/>
                <w:webHidden/>
              </w:rPr>
              <w:tab/>
            </w:r>
            <w:r w:rsidR="005937B9">
              <w:rPr>
                <w:noProof/>
                <w:webHidden/>
              </w:rPr>
              <w:fldChar w:fldCharType="begin"/>
            </w:r>
            <w:r w:rsidR="005937B9">
              <w:rPr>
                <w:noProof/>
                <w:webHidden/>
              </w:rPr>
              <w:instrText xml:space="preserve"> PAGEREF _Toc322921251 \h </w:instrText>
            </w:r>
            <w:r w:rsidR="005937B9">
              <w:rPr>
                <w:noProof/>
                <w:webHidden/>
              </w:rPr>
            </w:r>
            <w:r w:rsidR="005937B9">
              <w:rPr>
                <w:noProof/>
                <w:webHidden/>
              </w:rPr>
              <w:fldChar w:fldCharType="separate"/>
            </w:r>
            <w:r w:rsidR="005937B9">
              <w:rPr>
                <w:noProof/>
                <w:webHidden/>
              </w:rPr>
              <w:t>31</w:t>
            </w:r>
            <w:r w:rsidR="005937B9">
              <w:rPr>
                <w:noProof/>
                <w:webHidden/>
              </w:rPr>
              <w:fldChar w:fldCharType="end"/>
            </w:r>
          </w:hyperlink>
        </w:p>
        <w:p w:rsidR="005937B9" w:rsidRDefault="006B2864">
          <w:pPr>
            <w:pStyle w:val="TOC1"/>
            <w:tabs>
              <w:tab w:val="right" w:leader="dot" w:pos="9016"/>
            </w:tabs>
            <w:rPr>
              <w:rFonts w:asciiTheme="minorHAnsi" w:eastAsiaTheme="minorEastAsia" w:hAnsiTheme="minorHAnsi" w:cstheme="minorBidi"/>
              <w:noProof/>
              <w:sz w:val="22"/>
              <w:szCs w:val="22"/>
            </w:rPr>
          </w:pPr>
          <w:hyperlink w:anchor="_Toc322921252" w:history="1">
            <w:r w:rsidR="005937B9" w:rsidRPr="001A6E20">
              <w:rPr>
                <w:rStyle w:val="Hyperlink"/>
                <w:rFonts w:cs="Arial"/>
                <w:iCs/>
                <w:noProof/>
              </w:rPr>
              <w:t>Annex 6 Possible Targets for end June 2013</w:t>
            </w:r>
            <w:r w:rsidR="005937B9">
              <w:rPr>
                <w:noProof/>
                <w:webHidden/>
              </w:rPr>
              <w:tab/>
            </w:r>
            <w:r w:rsidR="005937B9">
              <w:rPr>
                <w:noProof/>
                <w:webHidden/>
              </w:rPr>
              <w:fldChar w:fldCharType="begin"/>
            </w:r>
            <w:r w:rsidR="005937B9">
              <w:rPr>
                <w:noProof/>
                <w:webHidden/>
              </w:rPr>
              <w:instrText xml:space="preserve"> PAGEREF _Toc322921252 \h </w:instrText>
            </w:r>
            <w:r w:rsidR="005937B9">
              <w:rPr>
                <w:noProof/>
                <w:webHidden/>
              </w:rPr>
            </w:r>
            <w:r w:rsidR="005937B9">
              <w:rPr>
                <w:noProof/>
                <w:webHidden/>
              </w:rPr>
              <w:fldChar w:fldCharType="separate"/>
            </w:r>
            <w:r w:rsidR="005937B9">
              <w:rPr>
                <w:noProof/>
                <w:webHidden/>
              </w:rPr>
              <w:t>35</w:t>
            </w:r>
            <w:r w:rsidR="005937B9">
              <w:rPr>
                <w:noProof/>
                <w:webHidden/>
              </w:rPr>
              <w:fldChar w:fldCharType="end"/>
            </w:r>
          </w:hyperlink>
        </w:p>
        <w:p w:rsidR="0057747F" w:rsidRPr="00BC0230" w:rsidRDefault="0057747F">
          <w:r w:rsidRPr="00BC0230">
            <w:rPr>
              <w:b/>
              <w:bCs/>
              <w:noProof/>
            </w:rPr>
            <w:fldChar w:fldCharType="end"/>
          </w:r>
        </w:p>
      </w:sdtContent>
    </w:sdt>
    <w:p w:rsidR="00BA4EAA" w:rsidRPr="00BC0230" w:rsidRDefault="00BA4EAA"/>
    <w:p w:rsidR="00BA4EAA" w:rsidRPr="00BC0230" w:rsidRDefault="00BA4EAA">
      <w:pPr>
        <w:sectPr w:rsidR="00BA4EAA" w:rsidRPr="00BC0230">
          <w:pgSz w:w="11906" w:h="16838"/>
          <w:pgMar w:top="1440" w:right="1440" w:bottom="1440" w:left="1440" w:header="720" w:footer="720" w:gutter="0"/>
          <w:cols w:space="720"/>
          <w:docGrid w:linePitch="360"/>
        </w:sectPr>
      </w:pPr>
    </w:p>
    <w:p w:rsidR="00BA4EAA" w:rsidRPr="00BC0230" w:rsidRDefault="00BA4EAA" w:rsidP="00D0643E">
      <w:pPr>
        <w:pStyle w:val="Heading1"/>
        <w:numPr>
          <w:ilvl w:val="0"/>
          <w:numId w:val="0"/>
        </w:numPr>
        <w:ind w:left="432"/>
      </w:pPr>
      <w:bookmarkStart w:id="1" w:name="_Toc322921223"/>
      <w:r w:rsidRPr="00BC0230">
        <w:lastRenderedPageBreak/>
        <w:t>Abbreviations</w:t>
      </w:r>
      <w:bookmarkEnd w:id="1"/>
    </w:p>
    <w:p w:rsidR="00D0643E" w:rsidRPr="00BC0230" w:rsidRDefault="00D0643E" w:rsidP="00D0643E">
      <w:pPr>
        <w:spacing w:line="360" w:lineRule="auto"/>
        <w:rPr>
          <w:rFonts w:ascii="Calibri" w:hAnsi="Calibri" w:cs="Arial"/>
        </w:rPr>
      </w:pPr>
    </w:p>
    <w:p w:rsidR="00D0643E" w:rsidRPr="00BC0230" w:rsidRDefault="00D0643E" w:rsidP="00D0643E">
      <w:pPr>
        <w:spacing w:line="360" w:lineRule="auto"/>
        <w:rPr>
          <w:rFonts w:ascii="Calibri" w:hAnsi="Calibri" w:cs="Arial"/>
        </w:rPr>
      </w:pPr>
      <w:r w:rsidRPr="00BC0230">
        <w:rPr>
          <w:rFonts w:ascii="Calibri" w:hAnsi="Calibri" w:cs="Arial"/>
        </w:rPr>
        <w:t>ADB – Asian Development Bank</w:t>
      </w:r>
    </w:p>
    <w:p w:rsidR="00D0643E" w:rsidRDefault="00D0643E" w:rsidP="00D0643E">
      <w:pPr>
        <w:spacing w:line="360" w:lineRule="auto"/>
        <w:rPr>
          <w:rFonts w:ascii="Calibri" w:hAnsi="Calibri" w:cs="Arial"/>
        </w:rPr>
      </w:pPr>
      <w:r w:rsidRPr="00BC0230">
        <w:rPr>
          <w:rFonts w:ascii="Calibri" w:hAnsi="Calibri" w:cs="Arial"/>
        </w:rPr>
        <w:t>ANS – Assessment of National Systems</w:t>
      </w:r>
    </w:p>
    <w:p w:rsidR="00027B9E" w:rsidRDefault="00027B9E" w:rsidP="00D0643E">
      <w:pPr>
        <w:spacing w:line="360" w:lineRule="auto"/>
        <w:rPr>
          <w:rFonts w:ascii="Calibri" w:hAnsi="Calibri" w:cs="Arial"/>
        </w:rPr>
      </w:pPr>
      <w:r>
        <w:rPr>
          <w:rFonts w:ascii="Calibri" w:hAnsi="Calibri" w:cs="Arial"/>
        </w:rPr>
        <w:t>AUD – Australian dollars</w:t>
      </w:r>
    </w:p>
    <w:p w:rsidR="00D0015E" w:rsidRPr="00BC0230" w:rsidRDefault="00D0015E" w:rsidP="00D0643E">
      <w:pPr>
        <w:spacing w:line="360" w:lineRule="auto"/>
        <w:rPr>
          <w:rFonts w:ascii="Calibri" w:hAnsi="Calibri" w:cs="Arial"/>
        </w:rPr>
      </w:pPr>
      <w:r>
        <w:rPr>
          <w:rFonts w:ascii="Calibri" w:hAnsi="Calibri" w:cs="Arial"/>
        </w:rPr>
        <w:t>CPI – Consumer Price Index</w:t>
      </w:r>
    </w:p>
    <w:p w:rsidR="00D0643E" w:rsidRPr="00BC0230" w:rsidRDefault="00D0643E" w:rsidP="00D0643E">
      <w:pPr>
        <w:spacing w:line="360" w:lineRule="auto"/>
        <w:rPr>
          <w:rFonts w:ascii="Calibri" w:hAnsi="Calibri" w:cs="Arial"/>
        </w:rPr>
      </w:pPr>
      <w:r w:rsidRPr="00BC0230">
        <w:rPr>
          <w:rFonts w:ascii="Calibri" w:hAnsi="Calibri" w:cs="Arial"/>
        </w:rPr>
        <w:t>EU – European Union</w:t>
      </w:r>
    </w:p>
    <w:p w:rsidR="00D0643E" w:rsidRDefault="00D0643E" w:rsidP="00D0643E">
      <w:pPr>
        <w:spacing w:line="360" w:lineRule="auto"/>
        <w:rPr>
          <w:rFonts w:ascii="Calibri" w:hAnsi="Calibri" w:cs="Arial"/>
        </w:rPr>
      </w:pPr>
      <w:r w:rsidRPr="00BC0230">
        <w:rPr>
          <w:rFonts w:ascii="Calibri" w:hAnsi="Calibri" w:cs="Arial"/>
        </w:rPr>
        <w:t>FY – Financial Year</w:t>
      </w:r>
    </w:p>
    <w:p w:rsidR="00D0015E" w:rsidRPr="00BC0230" w:rsidRDefault="00D0015E" w:rsidP="00D0643E">
      <w:pPr>
        <w:spacing w:line="360" w:lineRule="auto"/>
        <w:rPr>
          <w:rFonts w:ascii="Calibri" w:hAnsi="Calibri" w:cs="Arial"/>
        </w:rPr>
      </w:pPr>
      <w:r>
        <w:rPr>
          <w:rFonts w:ascii="Calibri" w:hAnsi="Calibri" w:cs="Arial"/>
        </w:rPr>
        <w:t>GDP – Gross Domestic Profit</w:t>
      </w:r>
    </w:p>
    <w:p w:rsidR="00D0643E" w:rsidRPr="00BC0230" w:rsidRDefault="00D0643E" w:rsidP="00D0643E">
      <w:pPr>
        <w:spacing w:line="360" w:lineRule="auto"/>
        <w:rPr>
          <w:rFonts w:ascii="Calibri" w:hAnsi="Calibri" w:cs="Arial"/>
        </w:rPr>
      </w:pPr>
      <w:proofErr w:type="spellStart"/>
      <w:r w:rsidRPr="00BC0230">
        <w:rPr>
          <w:rFonts w:ascii="Calibri" w:hAnsi="Calibri" w:cs="Arial"/>
        </w:rPr>
        <w:t>GoS</w:t>
      </w:r>
      <w:proofErr w:type="spellEnd"/>
      <w:r w:rsidRPr="00BC0230">
        <w:rPr>
          <w:rFonts w:ascii="Calibri" w:hAnsi="Calibri" w:cs="Arial"/>
        </w:rPr>
        <w:t xml:space="preserve"> – Government of Samoa</w:t>
      </w:r>
    </w:p>
    <w:p w:rsidR="00840642" w:rsidRPr="00BC0230" w:rsidRDefault="00840642" w:rsidP="00D0643E">
      <w:pPr>
        <w:spacing w:line="360" w:lineRule="auto"/>
        <w:rPr>
          <w:rFonts w:ascii="Calibri" w:hAnsi="Calibri" w:cs="Arial"/>
        </w:rPr>
      </w:pPr>
      <w:r w:rsidRPr="00BC0230">
        <w:rPr>
          <w:rFonts w:ascii="Calibri" w:hAnsi="Calibri" w:cs="Arial"/>
        </w:rPr>
        <w:t>IA – Internal Audit</w:t>
      </w:r>
    </w:p>
    <w:p w:rsidR="00D0643E" w:rsidRPr="00BC0230" w:rsidRDefault="00D0643E" w:rsidP="00D0643E">
      <w:pPr>
        <w:spacing w:line="360" w:lineRule="auto"/>
        <w:rPr>
          <w:rFonts w:asciiTheme="minorHAnsi" w:hAnsiTheme="minorHAnsi" w:cstheme="minorHAnsi"/>
        </w:rPr>
      </w:pPr>
      <w:r w:rsidRPr="00BC0230">
        <w:rPr>
          <w:rFonts w:asciiTheme="minorHAnsi" w:hAnsiTheme="minorHAnsi" w:cstheme="minorHAnsi"/>
        </w:rPr>
        <w:t>IMF – International Monetary Fund</w:t>
      </w:r>
    </w:p>
    <w:p w:rsidR="0021038B" w:rsidRPr="00BC0230" w:rsidRDefault="0021038B" w:rsidP="00D0643E">
      <w:pPr>
        <w:spacing w:line="360" w:lineRule="auto"/>
        <w:rPr>
          <w:rFonts w:asciiTheme="minorHAnsi" w:hAnsiTheme="minorHAnsi" w:cstheme="minorHAnsi"/>
        </w:rPr>
      </w:pPr>
      <w:r w:rsidRPr="00BC0230">
        <w:rPr>
          <w:rFonts w:asciiTheme="minorHAnsi" w:hAnsiTheme="minorHAnsi" w:cstheme="minorHAnsi"/>
        </w:rPr>
        <w:t>IPFMRS – Incentivising PFM Reform in Samoa</w:t>
      </w:r>
    </w:p>
    <w:p w:rsidR="00840642" w:rsidRPr="00BC0230" w:rsidRDefault="00840642" w:rsidP="00D0643E">
      <w:pPr>
        <w:spacing w:line="360" w:lineRule="auto"/>
        <w:rPr>
          <w:rFonts w:asciiTheme="minorHAnsi" w:hAnsiTheme="minorHAnsi" w:cstheme="minorHAnsi"/>
        </w:rPr>
      </w:pPr>
      <w:r w:rsidRPr="00BC0230">
        <w:rPr>
          <w:rFonts w:asciiTheme="minorHAnsi" w:hAnsiTheme="minorHAnsi" w:cstheme="minorHAnsi"/>
        </w:rPr>
        <w:t>LM – Line mini</w:t>
      </w:r>
      <w:r w:rsidR="00CA3103" w:rsidRPr="00BC0230">
        <w:rPr>
          <w:rFonts w:asciiTheme="minorHAnsi" w:hAnsiTheme="minorHAnsi" w:cstheme="minorHAnsi"/>
        </w:rPr>
        <w:t>s</w:t>
      </w:r>
      <w:r w:rsidRPr="00BC0230">
        <w:rPr>
          <w:rFonts w:asciiTheme="minorHAnsi" w:hAnsiTheme="minorHAnsi" w:cstheme="minorHAnsi"/>
        </w:rPr>
        <w:t>try</w:t>
      </w:r>
    </w:p>
    <w:p w:rsidR="00D0643E" w:rsidRPr="00BC0230" w:rsidRDefault="00D0643E" w:rsidP="00D0643E">
      <w:pPr>
        <w:spacing w:line="360" w:lineRule="auto"/>
        <w:rPr>
          <w:rFonts w:asciiTheme="minorHAnsi" w:hAnsiTheme="minorHAnsi" w:cstheme="minorHAnsi"/>
        </w:rPr>
      </w:pPr>
      <w:proofErr w:type="spellStart"/>
      <w:r w:rsidRPr="00BC0230">
        <w:rPr>
          <w:rFonts w:asciiTheme="minorHAnsi" w:hAnsiTheme="minorHAnsi" w:cstheme="minorHAnsi"/>
        </w:rPr>
        <w:t>MoF</w:t>
      </w:r>
      <w:proofErr w:type="spellEnd"/>
      <w:r w:rsidRPr="00BC0230">
        <w:rPr>
          <w:rFonts w:asciiTheme="minorHAnsi" w:hAnsiTheme="minorHAnsi" w:cstheme="minorHAnsi"/>
        </w:rPr>
        <w:t xml:space="preserve"> – Ministry of Finance</w:t>
      </w:r>
    </w:p>
    <w:p w:rsidR="00D0643E" w:rsidRDefault="00D0643E" w:rsidP="00D0643E">
      <w:pPr>
        <w:spacing w:line="360" w:lineRule="auto"/>
        <w:rPr>
          <w:rFonts w:ascii="Calibri" w:hAnsi="Calibri" w:cs="Arial"/>
        </w:rPr>
      </w:pPr>
      <w:r w:rsidRPr="00BC0230">
        <w:rPr>
          <w:rFonts w:ascii="Calibri" w:hAnsi="Calibri" w:cs="Arial"/>
        </w:rPr>
        <w:t xml:space="preserve">NZAP – </w:t>
      </w:r>
      <w:smartTag w:uri="urn:schemas-microsoft-com:office:smarttags" w:element="country-region">
        <w:smartTag w:uri="urn:schemas-microsoft-com:office:smarttags" w:element="place">
          <w:r w:rsidRPr="00BC0230">
            <w:rPr>
              <w:rFonts w:ascii="Calibri" w:hAnsi="Calibri" w:cs="Arial"/>
            </w:rPr>
            <w:t>New Zealand</w:t>
          </w:r>
        </w:smartTag>
      </w:smartTag>
      <w:r w:rsidRPr="00BC0230">
        <w:rPr>
          <w:rFonts w:ascii="Calibri" w:hAnsi="Calibri" w:cs="Arial"/>
        </w:rPr>
        <w:t xml:space="preserve"> Aid Program</w:t>
      </w:r>
    </w:p>
    <w:p w:rsidR="00027B9E" w:rsidRPr="00BC0230" w:rsidRDefault="00027B9E" w:rsidP="00D0643E">
      <w:pPr>
        <w:spacing w:line="360" w:lineRule="auto"/>
        <w:rPr>
          <w:rFonts w:ascii="Calibri" w:hAnsi="Calibri" w:cs="Arial"/>
        </w:rPr>
      </w:pPr>
      <w:r>
        <w:rPr>
          <w:rFonts w:ascii="Calibri" w:hAnsi="Calibri" w:cs="Arial"/>
        </w:rPr>
        <w:t>NZD – New Zealand dollars</w:t>
      </w:r>
    </w:p>
    <w:p w:rsidR="00D0643E" w:rsidRPr="00BC0230" w:rsidRDefault="00D0643E" w:rsidP="00D0643E">
      <w:pPr>
        <w:spacing w:line="360" w:lineRule="auto"/>
        <w:rPr>
          <w:rFonts w:ascii="Calibri" w:hAnsi="Calibri" w:cs="Arial"/>
        </w:rPr>
      </w:pPr>
      <w:r w:rsidRPr="00BC0230">
        <w:rPr>
          <w:rFonts w:ascii="Calibri" w:hAnsi="Calibri" w:cs="Arial"/>
        </w:rPr>
        <w:t>PFM – Public Financial Management</w:t>
      </w:r>
    </w:p>
    <w:p w:rsidR="0021038B" w:rsidRPr="00BC0230" w:rsidRDefault="0021038B" w:rsidP="00D0643E">
      <w:pPr>
        <w:spacing w:line="360" w:lineRule="auto"/>
        <w:rPr>
          <w:rFonts w:ascii="Calibri" w:hAnsi="Calibri" w:cs="Arial"/>
        </w:rPr>
      </w:pPr>
      <w:r w:rsidRPr="00BC0230">
        <w:rPr>
          <w:rFonts w:ascii="Calibri" w:hAnsi="Calibri" w:cs="Arial"/>
        </w:rPr>
        <w:t>PFMRP – Public Financial Management Reform Program</w:t>
      </w:r>
    </w:p>
    <w:p w:rsidR="00D0643E" w:rsidRPr="00BC0230" w:rsidRDefault="00D0643E" w:rsidP="00D0643E">
      <w:pPr>
        <w:spacing w:line="360" w:lineRule="auto"/>
        <w:rPr>
          <w:rFonts w:ascii="Calibri" w:hAnsi="Calibri" w:cs="Arial"/>
        </w:rPr>
      </w:pPr>
      <w:r w:rsidRPr="00BC0230">
        <w:rPr>
          <w:rFonts w:ascii="Calibri" w:hAnsi="Calibri" w:cs="Arial"/>
        </w:rPr>
        <w:t>PLA – Performance Linked Aid</w:t>
      </w:r>
    </w:p>
    <w:p w:rsidR="00D0643E" w:rsidRPr="00BC0230" w:rsidRDefault="00D0643E" w:rsidP="006A6B23">
      <w:pPr>
        <w:spacing w:line="360" w:lineRule="auto"/>
        <w:rPr>
          <w:rFonts w:ascii="Calibri" w:hAnsi="Calibri" w:cs="Arial"/>
        </w:rPr>
      </w:pPr>
      <w:r w:rsidRPr="00BC0230">
        <w:rPr>
          <w:rFonts w:ascii="Calibri" w:hAnsi="Calibri" w:cs="Arial"/>
        </w:rPr>
        <w:t xml:space="preserve">SDS – Strategy for the Development of </w:t>
      </w:r>
      <w:smartTag w:uri="urn:schemas-microsoft-com:office:smarttags" w:element="place">
        <w:r w:rsidRPr="00BC0230">
          <w:rPr>
            <w:rFonts w:ascii="Calibri" w:hAnsi="Calibri" w:cs="Arial"/>
          </w:rPr>
          <w:t>Samoa</w:t>
        </w:r>
      </w:smartTag>
    </w:p>
    <w:p w:rsidR="00BA4EAA" w:rsidRPr="00BC0230" w:rsidRDefault="00D0643E" w:rsidP="006A6B23">
      <w:pPr>
        <w:spacing w:line="360" w:lineRule="auto"/>
        <w:rPr>
          <w:rFonts w:asciiTheme="minorHAnsi" w:hAnsiTheme="minorHAnsi" w:cstheme="minorHAnsi"/>
        </w:rPr>
      </w:pPr>
      <w:r w:rsidRPr="00BC0230">
        <w:rPr>
          <w:rFonts w:asciiTheme="minorHAnsi" w:hAnsiTheme="minorHAnsi" w:cstheme="minorHAnsi"/>
        </w:rPr>
        <w:t>SOE – Stated Owned Enterprise</w:t>
      </w:r>
    </w:p>
    <w:p w:rsidR="00CA3103" w:rsidRPr="00BC0230" w:rsidRDefault="00CA3103" w:rsidP="006A6B23">
      <w:pPr>
        <w:spacing w:line="360" w:lineRule="auto"/>
        <w:rPr>
          <w:rFonts w:asciiTheme="minorHAnsi" w:hAnsiTheme="minorHAnsi" w:cstheme="minorHAnsi"/>
        </w:rPr>
      </w:pPr>
      <w:r w:rsidRPr="00BC0230">
        <w:rPr>
          <w:rFonts w:asciiTheme="minorHAnsi" w:hAnsiTheme="minorHAnsi" w:cstheme="minorHAnsi"/>
        </w:rPr>
        <w:t xml:space="preserve">SOEMD – State Owned Enterprise Monitoring Division (of </w:t>
      </w:r>
      <w:proofErr w:type="spellStart"/>
      <w:r w:rsidRPr="00BC0230">
        <w:rPr>
          <w:rFonts w:asciiTheme="minorHAnsi" w:hAnsiTheme="minorHAnsi" w:cstheme="minorHAnsi"/>
        </w:rPr>
        <w:t>MoF</w:t>
      </w:r>
      <w:proofErr w:type="spellEnd"/>
      <w:r w:rsidRPr="00BC0230">
        <w:rPr>
          <w:rFonts w:asciiTheme="minorHAnsi" w:hAnsiTheme="minorHAnsi" w:cstheme="minorHAnsi"/>
        </w:rPr>
        <w:t>)</w:t>
      </w:r>
    </w:p>
    <w:p w:rsidR="006A6B23" w:rsidRPr="00BC0230" w:rsidRDefault="006A6B23" w:rsidP="0003785D">
      <w:pPr>
        <w:spacing w:line="360" w:lineRule="auto"/>
        <w:rPr>
          <w:rFonts w:asciiTheme="minorHAnsi" w:hAnsiTheme="minorHAnsi" w:cstheme="minorHAnsi"/>
        </w:rPr>
      </w:pPr>
      <w:r w:rsidRPr="00BC0230">
        <w:rPr>
          <w:rFonts w:asciiTheme="minorHAnsi" w:hAnsiTheme="minorHAnsi" w:cstheme="minorHAnsi"/>
        </w:rPr>
        <w:t>TCM – Trade Commerce and Manufacturing (sector plan)</w:t>
      </w:r>
    </w:p>
    <w:p w:rsidR="002046DE" w:rsidRPr="00BC0230" w:rsidRDefault="002046DE">
      <w:pPr>
        <w:rPr>
          <w:rFonts w:asciiTheme="minorHAnsi" w:hAnsiTheme="minorHAnsi" w:cstheme="minorHAnsi"/>
        </w:rPr>
        <w:sectPr w:rsidR="002046DE" w:rsidRPr="00BC0230">
          <w:pgSz w:w="11906" w:h="16838"/>
          <w:pgMar w:top="1440" w:right="1440" w:bottom="1440" w:left="1440" w:header="720" w:footer="720" w:gutter="0"/>
          <w:cols w:space="720"/>
          <w:docGrid w:linePitch="360"/>
        </w:sectPr>
      </w:pPr>
      <w:r w:rsidRPr="00BC0230">
        <w:rPr>
          <w:rFonts w:asciiTheme="minorHAnsi" w:hAnsiTheme="minorHAnsi" w:cstheme="minorHAnsi"/>
        </w:rPr>
        <w:t>TIs – Treasury Instructions</w:t>
      </w:r>
    </w:p>
    <w:p w:rsidR="00BA4EAA" w:rsidRPr="00BC0230" w:rsidRDefault="00BA4EAA" w:rsidP="006A7CEB">
      <w:pPr>
        <w:pStyle w:val="Heading1"/>
        <w:numPr>
          <w:ilvl w:val="0"/>
          <w:numId w:val="0"/>
        </w:numPr>
        <w:ind w:left="432" w:hanging="432"/>
      </w:pPr>
      <w:bookmarkStart w:id="2" w:name="_Toc322921224"/>
      <w:r w:rsidRPr="00BC0230">
        <w:lastRenderedPageBreak/>
        <w:t>Executive Summary</w:t>
      </w:r>
      <w:bookmarkEnd w:id="2"/>
    </w:p>
    <w:p w:rsidR="00BA4EAA" w:rsidRDefault="005C34E4" w:rsidP="00917354">
      <w:pPr>
        <w:spacing w:before="120"/>
      </w:pPr>
      <w:r>
        <w:t>The Incentivising PFM Reform in Samoa Program</w:t>
      </w:r>
      <w:r w:rsidR="00917354" w:rsidRPr="00BC0230">
        <w:t xml:space="preserve"> was developed to help improve poverty alleviation by increasing the efficiency of Government of Samoa’s PFM systems and improving the linkages between policy making and government spending.</w:t>
      </w:r>
      <w:r>
        <w:t xml:space="preserve"> </w:t>
      </w:r>
      <w:r w:rsidR="00917354" w:rsidRPr="00BC0230">
        <w:t xml:space="preserve"> The program aims to improve economic stability through the reform of SOEs and by providing budget support to Samo</w:t>
      </w:r>
      <w:r w:rsidR="0075179D">
        <w:t>a during a period of fiscal consolidation, following the expansion of budget deficits from 2009 to 2012 as Samoa</w:t>
      </w:r>
      <w:r w:rsidR="00917354" w:rsidRPr="00BC0230">
        <w:t xml:space="preserve"> recovered from</w:t>
      </w:r>
      <w:r>
        <w:t xml:space="preserve"> major</w:t>
      </w:r>
      <w:r w:rsidR="00917354" w:rsidRPr="00BC0230">
        <w:t xml:space="preserve"> external shocks.  T</w:t>
      </w:r>
      <w:r>
        <w:t>his program is also intended to</w:t>
      </w:r>
      <w:r w:rsidR="00917354" w:rsidRPr="00BC0230">
        <w:t xml:space="preserve"> help prepare </w:t>
      </w:r>
      <w:proofErr w:type="spellStart"/>
      <w:r w:rsidR="00917354" w:rsidRPr="00BC0230">
        <w:t>GoS</w:t>
      </w:r>
      <w:proofErr w:type="spellEnd"/>
      <w:r w:rsidR="00917354" w:rsidRPr="00BC0230">
        <w:t xml:space="preserve"> systems for expanded use by donors by addressing known risk factors in the </w:t>
      </w:r>
      <w:proofErr w:type="spellStart"/>
      <w:r w:rsidR="00917354" w:rsidRPr="00BC0230">
        <w:t>GoS</w:t>
      </w:r>
      <w:proofErr w:type="spellEnd"/>
      <w:r w:rsidR="00917354" w:rsidRPr="00BC0230">
        <w:t xml:space="preserve"> PFM systems</w:t>
      </w:r>
      <w:r>
        <w:t>.</w:t>
      </w:r>
    </w:p>
    <w:p w:rsidR="00B04FFA" w:rsidRDefault="005C34E4" w:rsidP="00917354">
      <w:pPr>
        <w:spacing w:before="120"/>
      </w:pPr>
      <w:r w:rsidRPr="00BC0230">
        <w:rPr>
          <w:lang w:eastAsia="en-US"/>
        </w:rPr>
        <w:t xml:space="preserve">The program has a total value of </w:t>
      </w:r>
      <w:r>
        <w:rPr>
          <w:lang w:eastAsia="en-US"/>
        </w:rPr>
        <w:t>AUD</w:t>
      </w:r>
      <w:r w:rsidRPr="00BC0230">
        <w:rPr>
          <w:lang w:eastAsia="en-US"/>
        </w:rPr>
        <w:t>$10 million</w:t>
      </w:r>
      <w:r>
        <w:rPr>
          <w:lang w:eastAsia="en-US"/>
        </w:rPr>
        <w:t xml:space="preserve"> and NZD$2 million</w:t>
      </w:r>
      <w:r w:rsidRPr="00BC0230">
        <w:rPr>
          <w:lang w:eastAsia="en-US"/>
        </w:rPr>
        <w:t xml:space="preserve"> over 2011-12 and 2012-13.  </w:t>
      </w:r>
      <w:r w:rsidR="00B04FFA">
        <w:t xml:space="preserve">The supporting agreements between </w:t>
      </w:r>
      <w:proofErr w:type="spellStart"/>
      <w:r w:rsidR="00B04FFA">
        <w:t>GoS</w:t>
      </w:r>
      <w:proofErr w:type="spellEnd"/>
      <w:r w:rsidR="00B04FFA">
        <w:t xml:space="preserve"> and </w:t>
      </w:r>
      <w:proofErr w:type="spellStart"/>
      <w:r w:rsidR="00B04FFA">
        <w:t>AusAID</w:t>
      </w:r>
      <w:proofErr w:type="spellEnd"/>
      <w:r w:rsidR="00B04FFA">
        <w:t xml:space="preserve">, and </w:t>
      </w:r>
      <w:proofErr w:type="spellStart"/>
      <w:r w:rsidR="00B04FFA">
        <w:t>GoS</w:t>
      </w:r>
      <w:proofErr w:type="spellEnd"/>
      <w:r w:rsidR="00B04FFA">
        <w:t xml:space="preserve"> and NZAP provide for incentive payments t</w:t>
      </w:r>
      <w:r w:rsidR="00582F02">
        <w:t xml:space="preserve">o be made to </w:t>
      </w:r>
      <w:proofErr w:type="spellStart"/>
      <w:r w:rsidR="00582F02">
        <w:t>GoS</w:t>
      </w:r>
      <w:proofErr w:type="spellEnd"/>
      <w:r w:rsidR="00582F02">
        <w:t xml:space="preserve"> based on their achievement of a set of agreed milestones, incorporated into the relevant Accountable Cash Grant agreements.  The program ensured that balance was achieved between the two goals of predictability of f</w:t>
      </w:r>
      <w:r w:rsidR="00610663">
        <w:t>unding and incentivising reform by splitting the disbursements into fixed (60%) and variable (40%) tranches.  These were in turn based on two matrices of fixed tranche indicators and variable tranche reform indicators</w:t>
      </w:r>
      <w:r w:rsidR="001E7E92">
        <w:t xml:space="preserve"> linked to progress on implementing PFM reforms</w:t>
      </w:r>
      <w:r w:rsidR="00610663">
        <w:t>.</w:t>
      </w:r>
    </w:p>
    <w:p w:rsidR="00917354" w:rsidRDefault="00355615" w:rsidP="00917354">
      <w:pPr>
        <w:spacing w:before="120"/>
      </w:pPr>
      <w:r>
        <w:t xml:space="preserve">Under the program, </w:t>
      </w:r>
      <w:proofErr w:type="spellStart"/>
      <w:r w:rsidR="00610663">
        <w:t>GoS</w:t>
      </w:r>
      <w:proofErr w:type="spellEnd"/>
      <w:r w:rsidR="00610663">
        <w:t xml:space="preserve"> progress </w:t>
      </w:r>
      <w:r>
        <w:t>against</w:t>
      </w:r>
      <w:r w:rsidR="00610663">
        <w:t xml:space="preserve"> the fixed tranche indicators, and </w:t>
      </w:r>
      <w:proofErr w:type="spellStart"/>
      <w:r w:rsidR="00610663">
        <w:t>GoS</w:t>
      </w:r>
      <w:proofErr w:type="spellEnd"/>
      <w:r w:rsidR="00610663">
        <w:t xml:space="preserve"> progress </w:t>
      </w:r>
      <w:r>
        <w:t>i</w:t>
      </w:r>
      <w:r w:rsidR="00610663">
        <w:t>n</w:t>
      </w:r>
      <w:r>
        <w:t xml:space="preserve"> the</w:t>
      </w:r>
      <w:r w:rsidR="00610663">
        <w:t xml:space="preserve"> implementation </w:t>
      </w:r>
      <w:r>
        <w:t>of PFM reforms under</w:t>
      </w:r>
      <w:r w:rsidR="00610663">
        <w:t xml:space="preserve"> the variable tranche indicators</w:t>
      </w:r>
      <w:r>
        <w:t>,</w:t>
      </w:r>
      <w:r w:rsidR="00610663">
        <w:t xml:space="preserve"> is assessed annually via an Independent Assessment of Progress.</w:t>
      </w:r>
      <w:r w:rsidR="00852497">
        <w:t xml:space="preserve">  In the first year of the program, the first Independent Assessment of Progress was in respect of progress to 30 March 2012.</w:t>
      </w:r>
      <w:r w:rsidR="00610663">
        <w:t xml:space="preserve">  This report documents the findings of the first Independent</w:t>
      </w:r>
      <w:r w:rsidR="00852497">
        <w:t xml:space="preserve"> Assessment of Progress, and makes recommendations to </w:t>
      </w:r>
      <w:proofErr w:type="spellStart"/>
      <w:r w:rsidR="00852497">
        <w:t>AusAID</w:t>
      </w:r>
      <w:proofErr w:type="spellEnd"/>
      <w:r w:rsidR="00852497">
        <w:t xml:space="preserve"> and NZAP a</w:t>
      </w:r>
      <w:r w:rsidR="00EA260F">
        <w:t xml:space="preserve">s to the disbursements that should be made in respect of the progress achieved.  </w:t>
      </w:r>
    </w:p>
    <w:p w:rsidR="00EA260F" w:rsidRDefault="00EA260F" w:rsidP="00917354">
      <w:pPr>
        <w:spacing w:before="120"/>
      </w:pPr>
      <w:r>
        <w:t xml:space="preserve">Progress against the fixed and variable tranche indicators is assessed and reported in section </w:t>
      </w:r>
      <w:r>
        <w:fldChar w:fldCharType="begin"/>
      </w:r>
      <w:r>
        <w:instrText xml:space="preserve"> REF _Ref322770778 \r \h </w:instrText>
      </w:r>
      <w:r>
        <w:fldChar w:fldCharType="separate"/>
      </w:r>
      <w:r>
        <w:t>6</w:t>
      </w:r>
      <w:r>
        <w:fldChar w:fldCharType="end"/>
      </w:r>
      <w:r>
        <w:t xml:space="preserve"> of this Assessment Report.  The </w:t>
      </w:r>
      <w:r w:rsidR="00C65DD8">
        <w:t xml:space="preserve">recommendation as to the amounts to be disbursed by </w:t>
      </w:r>
      <w:proofErr w:type="spellStart"/>
      <w:r w:rsidR="00C65DD8">
        <w:t>AusAID</w:t>
      </w:r>
      <w:proofErr w:type="spellEnd"/>
      <w:r w:rsidR="00C65DD8">
        <w:t xml:space="preserve"> and NZAP are contained in section </w:t>
      </w:r>
      <w:r w:rsidR="00C65DD8">
        <w:fldChar w:fldCharType="begin"/>
      </w:r>
      <w:r w:rsidR="00C65DD8">
        <w:instrText xml:space="preserve"> REF _Ref322770779 \r \h </w:instrText>
      </w:r>
      <w:r w:rsidR="00C65DD8">
        <w:fldChar w:fldCharType="separate"/>
      </w:r>
      <w:r w:rsidR="00C65DD8">
        <w:t>7</w:t>
      </w:r>
      <w:r w:rsidR="00C65DD8">
        <w:fldChar w:fldCharType="end"/>
      </w:r>
      <w:r w:rsidR="00C65DD8">
        <w:t xml:space="preserve">.  </w:t>
      </w:r>
    </w:p>
    <w:p w:rsidR="00C65DD8" w:rsidRDefault="00C65DD8" w:rsidP="00917354">
      <w:pPr>
        <w:spacing w:before="120"/>
      </w:pPr>
      <w:r>
        <w:t xml:space="preserve">The terms of reference for this Independent Assessment also required an assessment of the ongoing effectiveness of the program in generating appropriate and sustainable reform.  </w:t>
      </w:r>
      <w:r w:rsidR="006A7CEB">
        <w:t xml:space="preserve">Section </w:t>
      </w:r>
      <w:r w:rsidR="006A7CEB">
        <w:fldChar w:fldCharType="begin"/>
      </w:r>
      <w:r w:rsidR="006A7CEB">
        <w:instrText xml:space="preserve"> REF _Ref322770780 \r \h </w:instrText>
      </w:r>
      <w:r w:rsidR="006A7CEB">
        <w:fldChar w:fldCharType="separate"/>
      </w:r>
      <w:r w:rsidR="006A7CEB">
        <w:t>8</w:t>
      </w:r>
      <w:r w:rsidR="006A7CEB">
        <w:fldChar w:fldCharType="end"/>
      </w:r>
      <w:r w:rsidR="006A7CEB">
        <w:t xml:space="preserve"> of the Assessment discusses the suitability of the disbursement arrangements, as well as the suitability of the PFM reform indicators.  In particular, this section of the Assessment discusses to what extent and over what time frame higher level outcome or social indicators may be incorporated into t</w:t>
      </w:r>
      <w:r w:rsidR="00027B9E">
        <w:t xml:space="preserve">he milestones matrix.  Section </w:t>
      </w:r>
      <w:r w:rsidR="00027B9E">
        <w:fldChar w:fldCharType="begin"/>
      </w:r>
      <w:r w:rsidR="00027B9E">
        <w:instrText xml:space="preserve"> REF _Ref322770781 \r \h </w:instrText>
      </w:r>
      <w:r w:rsidR="00027B9E">
        <w:fldChar w:fldCharType="separate"/>
      </w:r>
      <w:r w:rsidR="00027B9E">
        <w:t>8</w:t>
      </w:r>
      <w:r w:rsidR="00027B9E">
        <w:fldChar w:fldCharType="end"/>
      </w:r>
      <w:r w:rsidR="00027B9E">
        <w:t xml:space="preserve"> also discusses the need to raise awareness of the program and how it operates, as well as the possibility of harmonising the timing of the Independent Assessment more closely with the </w:t>
      </w:r>
      <w:proofErr w:type="spellStart"/>
      <w:r w:rsidR="00027B9E">
        <w:t>GoS</w:t>
      </w:r>
      <w:proofErr w:type="spellEnd"/>
      <w:r w:rsidR="00027B9E">
        <w:t xml:space="preserve"> budget cycle</w:t>
      </w:r>
    </w:p>
    <w:p w:rsidR="00FF356B" w:rsidRPr="00BC0230" w:rsidRDefault="00FF356B"/>
    <w:p w:rsidR="00FF356B" w:rsidRPr="00BC0230" w:rsidRDefault="00FF356B"/>
    <w:p w:rsidR="00FF356B" w:rsidRPr="00BC0230" w:rsidRDefault="00FF356B"/>
    <w:p w:rsidR="00FF356B" w:rsidRPr="00BC0230" w:rsidRDefault="00FF356B"/>
    <w:p w:rsidR="00FF356B" w:rsidRPr="00BC0230" w:rsidRDefault="00FF356B"/>
    <w:p w:rsidR="00FF356B" w:rsidRPr="00BC0230" w:rsidRDefault="00FF356B">
      <w:pPr>
        <w:sectPr w:rsidR="00FF356B" w:rsidRPr="00BC0230">
          <w:pgSz w:w="11906" w:h="16838"/>
          <w:pgMar w:top="1440" w:right="1440" w:bottom="1440" w:left="1440" w:header="720" w:footer="720" w:gutter="0"/>
          <w:cols w:space="720"/>
          <w:docGrid w:linePitch="360"/>
        </w:sectPr>
      </w:pPr>
    </w:p>
    <w:p w:rsidR="00BA4EAA" w:rsidRPr="00BC0230" w:rsidRDefault="00D0643E" w:rsidP="00D0643E">
      <w:pPr>
        <w:pStyle w:val="Heading1"/>
      </w:pPr>
      <w:bookmarkStart w:id="3" w:name="_Toc322921225"/>
      <w:r w:rsidRPr="00BC0230">
        <w:lastRenderedPageBreak/>
        <w:t>Purpose of this Report</w:t>
      </w:r>
      <w:bookmarkEnd w:id="3"/>
    </w:p>
    <w:p w:rsidR="00D0643E" w:rsidRPr="001E7E92" w:rsidRDefault="00D0643E" w:rsidP="00D0643E">
      <w:pPr>
        <w:spacing w:before="120"/>
      </w:pPr>
      <w:r w:rsidRPr="001E7E92">
        <w:t xml:space="preserve">To report to </w:t>
      </w:r>
      <w:proofErr w:type="spellStart"/>
      <w:r w:rsidR="009E5667" w:rsidRPr="001E7E92">
        <w:t>AusAID</w:t>
      </w:r>
      <w:proofErr w:type="spellEnd"/>
      <w:r w:rsidR="009E5667" w:rsidRPr="001E7E92">
        <w:t xml:space="preserve"> and NZAP</w:t>
      </w:r>
      <w:r w:rsidRPr="001E7E92">
        <w:t xml:space="preserve"> on the independent assessment of progress made under the Incentivising Public Financial Management Reform in Samoa program and to assess the programs ongoing effectiveness.</w:t>
      </w:r>
    </w:p>
    <w:p w:rsidR="00D0643E" w:rsidRPr="00BC0230" w:rsidRDefault="00D0643E" w:rsidP="00D0643E">
      <w:pPr>
        <w:pStyle w:val="Heading1"/>
      </w:pPr>
      <w:bookmarkStart w:id="4" w:name="_Toc322921226"/>
      <w:r w:rsidRPr="00BC0230">
        <w:t>Background</w:t>
      </w:r>
      <w:bookmarkEnd w:id="4"/>
    </w:p>
    <w:p w:rsidR="00D0643E" w:rsidRPr="00BC0230" w:rsidRDefault="00E35B36" w:rsidP="00D0643E">
      <w:pPr>
        <w:spacing w:before="120"/>
      </w:pPr>
      <w:r w:rsidRPr="00BC0230">
        <w:t>The Incentivising Public Financial Management Reform</w:t>
      </w:r>
      <w:r w:rsidR="00304988" w:rsidRPr="00BC0230">
        <w:t xml:space="preserve"> in Samoa (IPFMRS)</w:t>
      </w:r>
      <w:r w:rsidRPr="00BC0230">
        <w:t xml:space="preserve"> program was designed in October 2011</w:t>
      </w:r>
      <w:r w:rsidRPr="00BC0230">
        <w:rPr>
          <w:rStyle w:val="FootnoteReference"/>
        </w:rPr>
        <w:footnoteReference w:id="1"/>
      </w:r>
      <w:r w:rsidRPr="00BC0230">
        <w:t>.  This assessment of progress report should be read i</w:t>
      </w:r>
      <w:r w:rsidR="001E7E92">
        <w:t>n conjunction with the relevant</w:t>
      </w:r>
      <w:r w:rsidR="00354E43" w:rsidRPr="00BC0230">
        <w:t xml:space="preserve"> Design N</w:t>
      </w:r>
      <w:r w:rsidRPr="00BC0230">
        <w:t>ote.</w:t>
      </w:r>
    </w:p>
    <w:p w:rsidR="00E35B36" w:rsidRPr="00BC0230" w:rsidRDefault="00E35B36" w:rsidP="00E35B36">
      <w:pPr>
        <w:spacing w:before="120"/>
      </w:pPr>
      <w:r w:rsidRPr="00BC0230">
        <w:t>The Samoa-Australia Partnership for Development identifies governance and economic stability as a Partnership priority outcome.</w:t>
      </w:r>
      <w:r w:rsidR="00304988" w:rsidRPr="00BC0230">
        <w:t xml:space="preserve">  The IPFMRS was developed to help </w:t>
      </w:r>
      <w:r w:rsidRPr="00BC0230">
        <w:t xml:space="preserve">improve poverty alleviation by increasing the efficiency of Government of Samoa’s PFM systems and improving the linkages between policy making and government spending. </w:t>
      </w:r>
      <w:r w:rsidR="001E7E92">
        <w:t xml:space="preserve"> </w:t>
      </w:r>
      <w:r w:rsidRPr="00BC0230">
        <w:t>The program aims to improve economic stability through the reform of SOEs and by providing budget support</w:t>
      </w:r>
      <w:r w:rsidR="00F14478">
        <w:t xml:space="preserve"> to Samoa during a period of fiscal consolidation, following the expansion of budget deficits from 2009 to 2012 as Samoa</w:t>
      </w:r>
      <w:r w:rsidR="00F14478" w:rsidRPr="00BC0230">
        <w:t xml:space="preserve"> recovered from</w:t>
      </w:r>
      <w:r w:rsidR="00F14478">
        <w:t xml:space="preserve"> major</w:t>
      </w:r>
      <w:r w:rsidR="00F14478" w:rsidRPr="00BC0230">
        <w:t xml:space="preserve"> external </w:t>
      </w:r>
      <w:r w:rsidR="008A4C8F" w:rsidRPr="00BC0230">
        <w:t>shocks</w:t>
      </w:r>
      <w:r w:rsidR="008A4C8F" w:rsidRPr="00BC0230">
        <w:rPr>
          <w:rStyle w:val="FootnoteReference"/>
        </w:rPr>
        <w:footnoteReference w:id="2"/>
      </w:r>
      <w:r w:rsidRPr="00BC0230">
        <w:t xml:space="preserve">. </w:t>
      </w:r>
      <w:r w:rsidR="008A4C8F" w:rsidRPr="00BC0230">
        <w:t xml:space="preserve"> T</w:t>
      </w:r>
      <w:r w:rsidRPr="00BC0230">
        <w:t>his program will</w:t>
      </w:r>
      <w:r w:rsidR="008A4C8F" w:rsidRPr="00BC0230">
        <w:t xml:space="preserve"> also</w:t>
      </w:r>
      <w:r w:rsidRPr="00BC0230">
        <w:t xml:space="preserve"> help prepare </w:t>
      </w:r>
      <w:proofErr w:type="spellStart"/>
      <w:r w:rsidRPr="00BC0230">
        <w:t>GoS</w:t>
      </w:r>
      <w:proofErr w:type="spellEnd"/>
      <w:r w:rsidRPr="00BC0230">
        <w:t xml:space="preserve"> systems for expanded use by donors by addressing known risk factors in the </w:t>
      </w:r>
      <w:proofErr w:type="spellStart"/>
      <w:r w:rsidRPr="00BC0230">
        <w:t>GoS</w:t>
      </w:r>
      <w:proofErr w:type="spellEnd"/>
      <w:r w:rsidRPr="00BC0230">
        <w:t xml:space="preserve"> PFM systems.</w:t>
      </w:r>
    </w:p>
    <w:p w:rsidR="00453A57" w:rsidRPr="00BC0230" w:rsidRDefault="0021038B" w:rsidP="001769A9">
      <w:pPr>
        <w:spacing w:before="120"/>
        <w:rPr>
          <w:lang w:eastAsia="en-US"/>
        </w:rPr>
      </w:pPr>
      <w:proofErr w:type="spellStart"/>
      <w:r w:rsidRPr="00BC0230">
        <w:t>GoS</w:t>
      </w:r>
      <w:proofErr w:type="spellEnd"/>
      <w:r w:rsidRPr="00BC0230">
        <w:t xml:space="preserve"> has a </w:t>
      </w:r>
      <w:proofErr w:type="spellStart"/>
      <w:r w:rsidRPr="00BC0230">
        <w:t>well established</w:t>
      </w:r>
      <w:proofErr w:type="spellEnd"/>
      <w:r w:rsidRPr="00BC0230">
        <w:t xml:space="preserve"> PFM Reform Program (PFMRP), which is now in its second Phase.  </w:t>
      </w:r>
      <w:r w:rsidR="00453A57" w:rsidRPr="00BC0230">
        <w:t xml:space="preserve">The PFMRP Phase 2 has a comprehensive agenda for PFM reform and capacity building, is supported by strong institutional arrangements, has an established monitoring and evaluation framework, and a communications strategy.  </w:t>
      </w:r>
      <w:r w:rsidR="001769A9" w:rsidRPr="00BC0230">
        <w:rPr>
          <w:lang w:eastAsia="en-US"/>
        </w:rPr>
        <w:t>The specific areas of the PFMRP which are being targeted by the incentive program</w:t>
      </w:r>
      <w:r w:rsidR="00453A57" w:rsidRPr="00BC0230">
        <w:rPr>
          <w:lang w:eastAsia="en-US"/>
        </w:rPr>
        <w:t xml:space="preserve"> are:</w:t>
      </w:r>
    </w:p>
    <w:p w:rsidR="00453A57" w:rsidRPr="00BC0230" w:rsidRDefault="00453A57" w:rsidP="001769A9">
      <w:pPr>
        <w:numPr>
          <w:ilvl w:val="0"/>
          <w:numId w:val="2"/>
        </w:numPr>
        <w:spacing w:before="120"/>
        <w:ind w:left="714" w:hanging="357"/>
        <w:rPr>
          <w:lang w:eastAsia="en-US"/>
        </w:rPr>
      </w:pPr>
      <w:r w:rsidRPr="00BC0230">
        <w:rPr>
          <w:i/>
          <w:lang w:eastAsia="en-US"/>
        </w:rPr>
        <w:t>strengthened planning systems</w:t>
      </w:r>
      <w:r w:rsidRPr="00BC0230">
        <w:rPr>
          <w:lang w:eastAsia="en-US"/>
        </w:rPr>
        <w:t xml:space="preserve"> including finalisation of the new SDS, development of sector plans and sector investment plans, and inclusion of the need</w:t>
      </w:r>
      <w:r w:rsidR="001769A9" w:rsidRPr="00BC0230">
        <w:rPr>
          <w:lang w:eastAsia="en-US"/>
        </w:rPr>
        <w:t>s</w:t>
      </w:r>
      <w:r w:rsidRPr="00BC0230">
        <w:rPr>
          <w:lang w:eastAsia="en-US"/>
        </w:rPr>
        <w:t xml:space="preserve"> of vulnerable groups into national planning.</w:t>
      </w:r>
    </w:p>
    <w:p w:rsidR="00453A57" w:rsidRPr="00BC0230" w:rsidRDefault="00453A57" w:rsidP="00453A57">
      <w:pPr>
        <w:numPr>
          <w:ilvl w:val="0"/>
          <w:numId w:val="2"/>
        </w:numPr>
        <w:rPr>
          <w:lang w:eastAsia="en-US"/>
        </w:rPr>
      </w:pPr>
      <w:r w:rsidRPr="00BC0230">
        <w:rPr>
          <w:i/>
          <w:lang w:eastAsia="en-US"/>
        </w:rPr>
        <w:t>enhanced economic contribution of SOEs</w:t>
      </w:r>
      <w:r w:rsidRPr="00BC0230">
        <w:rPr>
          <w:lang w:eastAsia="en-US"/>
        </w:rPr>
        <w:t xml:space="preserve"> including increased compliance with the Public Bodies (Performance and Accountability) Act, implementation of a SOE performance framework, privatisation of SOEs</w:t>
      </w:r>
    </w:p>
    <w:p w:rsidR="00453A57" w:rsidRPr="00BC0230" w:rsidRDefault="00453A57" w:rsidP="00453A57">
      <w:pPr>
        <w:numPr>
          <w:ilvl w:val="0"/>
          <w:numId w:val="2"/>
        </w:numPr>
        <w:rPr>
          <w:lang w:eastAsia="en-US"/>
        </w:rPr>
      </w:pPr>
      <w:r w:rsidRPr="00BC0230">
        <w:rPr>
          <w:i/>
          <w:lang w:eastAsia="en-US"/>
        </w:rPr>
        <w:t>improved PFM systems</w:t>
      </w:r>
      <w:r w:rsidRPr="00BC0230">
        <w:rPr>
          <w:lang w:eastAsia="en-US"/>
        </w:rPr>
        <w:t xml:space="preserve"> including establishment of a procurement unit and procurement templates, internal audit, monitoring of areas and development of a Finance Sector Plan</w:t>
      </w:r>
    </w:p>
    <w:p w:rsidR="00453A57" w:rsidRPr="00BC0230" w:rsidRDefault="00453A57" w:rsidP="00453A57">
      <w:pPr>
        <w:numPr>
          <w:ilvl w:val="0"/>
          <w:numId w:val="2"/>
        </w:numPr>
        <w:rPr>
          <w:lang w:eastAsia="en-US"/>
        </w:rPr>
      </w:pPr>
      <w:r w:rsidRPr="00BC0230">
        <w:rPr>
          <w:i/>
          <w:lang w:eastAsia="en-US"/>
        </w:rPr>
        <w:t>maintenance of overall fiscal discipline</w:t>
      </w:r>
      <w:r w:rsidRPr="00BC0230">
        <w:rPr>
          <w:lang w:eastAsia="en-US"/>
        </w:rPr>
        <w:t xml:space="preserve"> including establishment of a Macro-Economic Committee and reduced levels of debt</w:t>
      </w:r>
    </w:p>
    <w:p w:rsidR="00453A57" w:rsidRPr="00BC0230" w:rsidRDefault="00453A57" w:rsidP="00453A57">
      <w:pPr>
        <w:numPr>
          <w:ilvl w:val="0"/>
          <w:numId w:val="2"/>
        </w:numPr>
        <w:rPr>
          <w:lang w:eastAsia="en-US"/>
        </w:rPr>
      </w:pPr>
      <w:r w:rsidRPr="00BC0230">
        <w:rPr>
          <w:i/>
          <w:lang w:eastAsia="en-US"/>
        </w:rPr>
        <w:t>consultation and engagement of stakeholders</w:t>
      </w:r>
      <w:r w:rsidRPr="00BC0230">
        <w:rPr>
          <w:lang w:eastAsia="en-US"/>
        </w:rPr>
        <w:t xml:space="preserve">  including development and implementation of a communications and engagement strategy </w:t>
      </w:r>
    </w:p>
    <w:p w:rsidR="002B77EF" w:rsidRPr="00BC0230" w:rsidRDefault="002B77EF" w:rsidP="002B77EF">
      <w:pPr>
        <w:pStyle w:val="Heading1"/>
        <w:rPr>
          <w:lang w:eastAsia="en-US"/>
        </w:rPr>
      </w:pPr>
      <w:bookmarkStart w:id="5" w:name="_Ref322706329"/>
      <w:bookmarkStart w:id="6" w:name="_Toc322921227"/>
      <w:r w:rsidRPr="00BC0230">
        <w:rPr>
          <w:lang w:eastAsia="en-US"/>
        </w:rPr>
        <w:t>Principles of the Program</w:t>
      </w:r>
      <w:bookmarkEnd w:id="5"/>
      <w:bookmarkEnd w:id="6"/>
    </w:p>
    <w:p w:rsidR="00453A57" w:rsidRPr="00BC0230" w:rsidRDefault="00D11FE7" w:rsidP="002B77EF">
      <w:pPr>
        <w:spacing w:before="120"/>
      </w:pPr>
      <w:r w:rsidRPr="00BC0230">
        <w:rPr>
          <w:lang w:eastAsia="en-US"/>
        </w:rPr>
        <w:t>The program has</w:t>
      </w:r>
      <w:r w:rsidR="00453A57" w:rsidRPr="00BC0230">
        <w:rPr>
          <w:lang w:eastAsia="en-US"/>
        </w:rPr>
        <w:t xml:space="preserve"> a total value of </w:t>
      </w:r>
      <w:r w:rsidR="005C34E4">
        <w:rPr>
          <w:lang w:eastAsia="en-US"/>
        </w:rPr>
        <w:t>AUD</w:t>
      </w:r>
      <w:r w:rsidR="00453A57" w:rsidRPr="00BC0230">
        <w:rPr>
          <w:lang w:eastAsia="en-US"/>
        </w:rPr>
        <w:t>$10 million</w:t>
      </w:r>
      <w:r w:rsidR="005C34E4">
        <w:rPr>
          <w:lang w:eastAsia="en-US"/>
        </w:rPr>
        <w:t xml:space="preserve"> and NZD$2 million</w:t>
      </w:r>
      <w:r w:rsidR="00453A57" w:rsidRPr="00BC0230">
        <w:rPr>
          <w:lang w:eastAsia="en-US"/>
        </w:rPr>
        <w:t xml:space="preserve"> over 201</w:t>
      </w:r>
      <w:r w:rsidRPr="00BC0230">
        <w:rPr>
          <w:lang w:eastAsia="en-US"/>
        </w:rPr>
        <w:t xml:space="preserve">1-12 and 2012-13.  </w:t>
      </w:r>
      <w:r w:rsidR="00453A57" w:rsidRPr="00BC0230">
        <w:t xml:space="preserve">At the core of the proposed program’s design is the 2012-2013 Joint Policy Action </w:t>
      </w:r>
      <w:r w:rsidR="00453A57" w:rsidRPr="001E7E92">
        <w:lastRenderedPageBreak/>
        <w:t xml:space="preserve">Matrix </w:t>
      </w:r>
      <w:r w:rsidRPr="001E7E92">
        <w:t>(Annex 1</w:t>
      </w:r>
      <w:r w:rsidR="00453A57" w:rsidRPr="001E7E92">
        <w:t xml:space="preserve">) which outlines the priority areas of the PFM Reform Plan Phase II. Through discussions with </w:t>
      </w:r>
      <w:proofErr w:type="spellStart"/>
      <w:r w:rsidR="009E5667" w:rsidRPr="001E7E92">
        <w:t>AusAID</w:t>
      </w:r>
      <w:proofErr w:type="spellEnd"/>
      <w:r w:rsidR="009E5667" w:rsidRPr="001E7E92">
        <w:t>, NZAP</w:t>
      </w:r>
      <w:r w:rsidR="00453A57" w:rsidRPr="001E7E92">
        <w:t xml:space="preserve"> and</w:t>
      </w:r>
      <w:r w:rsidR="00141492" w:rsidRPr="001E7E92">
        <w:t xml:space="preserve"> internal consultations in 2011, </w:t>
      </w:r>
      <w:proofErr w:type="spellStart"/>
      <w:r w:rsidR="00141492" w:rsidRPr="001E7E92">
        <w:t>MoF</w:t>
      </w:r>
      <w:proofErr w:type="spellEnd"/>
      <w:r w:rsidR="00453A57" w:rsidRPr="001E7E92">
        <w:t xml:space="preserve"> also developed a list </w:t>
      </w:r>
      <w:r w:rsidR="00080523" w:rsidRPr="001E7E92">
        <w:t>of</w:t>
      </w:r>
      <w:r w:rsidR="00453A57" w:rsidRPr="001E7E92">
        <w:t xml:space="preserve"> subsidiary milestones</w:t>
      </w:r>
      <w:r w:rsidR="00141492" w:rsidRPr="001E7E92">
        <w:t xml:space="preserve"> to be achieved</w:t>
      </w:r>
      <w:r w:rsidR="00453A57" w:rsidRPr="001E7E92">
        <w:t xml:space="preserve"> o</w:t>
      </w:r>
      <w:r w:rsidR="00080523" w:rsidRPr="001E7E92">
        <w:t>ver 2011-12 and 2012-13</w:t>
      </w:r>
      <w:r w:rsidR="00453A57" w:rsidRPr="001E7E92">
        <w:t xml:space="preserve"> which are required to achieve the broader goals outlined in the Matrix</w:t>
      </w:r>
      <w:r w:rsidR="00141492" w:rsidRPr="001E7E92">
        <w:t xml:space="preserve"> in Annex 1</w:t>
      </w:r>
      <w:r w:rsidR="00453A57" w:rsidRPr="001E7E92">
        <w:t xml:space="preserve">. It is these milestones which </w:t>
      </w:r>
      <w:proofErr w:type="spellStart"/>
      <w:r w:rsidR="009E5667" w:rsidRPr="001E7E92">
        <w:t>AusAID</w:t>
      </w:r>
      <w:proofErr w:type="spellEnd"/>
      <w:r w:rsidR="009E5667" w:rsidRPr="001E7E92">
        <w:t xml:space="preserve"> and NZAP</w:t>
      </w:r>
      <w:r w:rsidR="00453A57" w:rsidRPr="001E7E92">
        <w:t xml:space="preserve"> </w:t>
      </w:r>
      <w:r w:rsidR="009E5667" w:rsidRPr="001E7E92">
        <w:t>are</w:t>
      </w:r>
      <w:r w:rsidR="00453A57" w:rsidRPr="001E7E92">
        <w:t xml:space="preserve"> particularly using to ‘buy change’ as they represent the individual activities which are necessary to achieve the broader goals</w:t>
      </w:r>
      <w:r w:rsidR="00453A57" w:rsidRPr="00BC0230">
        <w:t xml:space="preserve"> of PFM reform, macroeconomic stability and improvements to </w:t>
      </w:r>
      <w:proofErr w:type="spellStart"/>
      <w:r w:rsidR="00453A57" w:rsidRPr="00BC0230">
        <w:t>GoS</w:t>
      </w:r>
      <w:proofErr w:type="spellEnd"/>
      <w:r w:rsidR="00453A57" w:rsidRPr="00BC0230">
        <w:t xml:space="preserve"> systems for use by development partners. </w:t>
      </w:r>
    </w:p>
    <w:p w:rsidR="00080523" w:rsidRPr="00BC0230" w:rsidRDefault="00141492" w:rsidP="00141492">
      <w:pPr>
        <w:spacing w:before="120"/>
      </w:pPr>
      <w:r w:rsidRPr="00BC0230">
        <w:t xml:space="preserve">These milestones also formed the basis of the Variable Milestone Tables for March 2012, and June 2012, that were ultimately incorporated </w:t>
      </w:r>
      <w:r w:rsidR="00F36F28" w:rsidRPr="00BC0230">
        <w:t>into an Accountable Cash Grant A</w:t>
      </w:r>
      <w:r w:rsidRPr="00BC0230">
        <w:t xml:space="preserve">greement between </w:t>
      </w:r>
      <w:proofErr w:type="spellStart"/>
      <w:r w:rsidRPr="00BC0230">
        <w:t>AusAID</w:t>
      </w:r>
      <w:proofErr w:type="spellEnd"/>
      <w:r w:rsidRPr="00BC0230">
        <w:t xml:space="preserve"> and </w:t>
      </w:r>
      <w:proofErr w:type="spellStart"/>
      <w:r w:rsidRPr="00BC0230">
        <w:t>GoS</w:t>
      </w:r>
      <w:proofErr w:type="spellEnd"/>
      <w:r w:rsidR="009E5667" w:rsidRPr="00BC0230">
        <w:t xml:space="preserve">, and subsequently another agreement between NZAP and </w:t>
      </w:r>
      <w:proofErr w:type="spellStart"/>
      <w:r w:rsidR="009E5667" w:rsidRPr="00BC0230">
        <w:t>GoS</w:t>
      </w:r>
      <w:proofErr w:type="spellEnd"/>
      <w:r w:rsidRPr="00BC0230">
        <w:t>.</w:t>
      </w:r>
      <w:r w:rsidR="00080523" w:rsidRPr="00BC0230">
        <w:t xml:space="preserve">  These are attached below as Annex 2.</w:t>
      </w:r>
      <w:r w:rsidR="00F36F28" w:rsidRPr="00BC0230">
        <w:t xml:space="preserve">  </w:t>
      </w:r>
    </w:p>
    <w:p w:rsidR="00F36F28" w:rsidRPr="00BC0230" w:rsidRDefault="00F36F28" w:rsidP="00F36F28">
      <w:pPr>
        <w:spacing w:before="120"/>
      </w:pPr>
      <w:r w:rsidRPr="00BC0230">
        <w:t xml:space="preserve">The </w:t>
      </w:r>
      <w:r w:rsidR="009E5667" w:rsidRPr="00BC0230">
        <w:t>A</w:t>
      </w:r>
      <w:r w:rsidRPr="00BC0230">
        <w:t>gr</w:t>
      </w:r>
      <w:r w:rsidR="009E5667" w:rsidRPr="00BC0230">
        <w:t xml:space="preserve">eement with </w:t>
      </w:r>
      <w:proofErr w:type="spellStart"/>
      <w:r w:rsidR="009E5667" w:rsidRPr="00BC0230">
        <w:t>AusAID</w:t>
      </w:r>
      <w:proofErr w:type="spellEnd"/>
      <w:r w:rsidR="009E5667" w:rsidRPr="00BC0230">
        <w:t xml:space="preserve"> provided for</w:t>
      </w:r>
      <w:r w:rsidRPr="00BC0230">
        <w:t xml:space="preserve"> two incentive </w:t>
      </w:r>
      <w:r w:rsidR="002B77EF" w:rsidRPr="00BC0230">
        <w:t xml:space="preserve">payments, each of AUD$5 million, </w:t>
      </w:r>
      <w:r w:rsidR="002D705D">
        <w:t xml:space="preserve">and </w:t>
      </w:r>
      <w:r w:rsidR="002B77EF" w:rsidRPr="00BC0230">
        <w:t>each of which is split into a fixed and variable tranche.</w:t>
      </w:r>
      <w:r w:rsidR="00080523" w:rsidRPr="00BC0230">
        <w:t xml:space="preserve">  </w:t>
      </w:r>
      <w:r w:rsidRPr="00BC0230">
        <w:t>A 60% fixed and 40% varia</w:t>
      </w:r>
      <w:r w:rsidR="002B77EF" w:rsidRPr="00BC0230">
        <w:t xml:space="preserve">ble tranche ratio was agreed with </w:t>
      </w:r>
      <w:proofErr w:type="spellStart"/>
      <w:r w:rsidR="002B77EF" w:rsidRPr="00BC0230">
        <w:t>GoS</w:t>
      </w:r>
      <w:proofErr w:type="spellEnd"/>
      <w:r w:rsidRPr="00BC0230">
        <w:t xml:space="preserve"> to provide a balance between predictability of funding for </w:t>
      </w:r>
      <w:proofErr w:type="spellStart"/>
      <w:r w:rsidRPr="00BC0230">
        <w:t>GoS</w:t>
      </w:r>
      <w:proofErr w:type="spellEnd"/>
      <w:r w:rsidRPr="00BC0230">
        <w:t xml:space="preserve"> and incentives for various st</w:t>
      </w:r>
      <w:r w:rsidR="002B77EF" w:rsidRPr="00BC0230">
        <w:t xml:space="preserve">akeholders in </w:t>
      </w:r>
      <w:proofErr w:type="spellStart"/>
      <w:r w:rsidR="002B77EF" w:rsidRPr="00BC0230">
        <w:t>GoS</w:t>
      </w:r>
      <w:proofErr w:type="spellEnd"/>
      <w:r w:rsidR="002B77EF" w:rsidRPr="00BC0230">
        <w:t xml:space="preserve"> to achieve the various PFM reforms</w:t>
      </w:r>
      <w:r w:rsidRPr="00BC0230">
        <w:t xml:space="preserve">.   </w:t>
      </w:r>
      <w:r w:rsidR="002E48ED" w:rsidRPr="00BC0230">
        <w:t xml:space="preserve">The Agreement between </w:t>
      </w:r>
      <w:proofErr w:type="spellStart"/>
      <w:r w:rsidR="002E48ED" w:rsidRPr="00BC0230">
        <w:t>GoS</w:t>
      </w:r>
      <w:proofErr w:type="spellEnd"/>
      <w:r w:rsidR="002E48ED" w:rsidRPr="00BC0230">
        <w:t xml:space="preserve"> and NZAP provided for two incentive payments, each of NZD$1 million, each of which was also split into a similar fixed and variable tranche.</w:t>
      </w:r>
    </w:p>
    <w:p w:rsidR="00F36F28" w:rsidRPr="00BC0230" w:rsidRDefault="002B77EF" w:rsidP="00F36F28">
      <w:pPr>
        <w:spacing w:before="120"/>
      </w:pPr>
      <w:r w:rsidRPr="00BC0230">
        <w:t>The Agreement</w:t>
      </w:r>
      <w:r w:rsidR="002E48ED" w:rsidRPr="00BC0230">
        <w:t>s provide</w:t>
      </w:r>
      <w:r w:rsidRPr="00BC0230">
        <w:t xml:space="preserve"> that</w:t>
      </w:r>
      <w:r w:rsidR="00F36F28" w:rsidRPr="00BC0230">
        <w:t xml:space="preserve"> 60% of funds would be released as a fixed tranche based on Samoa achieving:</w:t>
      </w:r>
    </w:p>
    <w:p w:rsidR="00F36F28" w:rsidRPr="00BC0230" w:rsidRDefault="00F36F28" w:rsidP="00F36F28">
      <w:pPr>
        <w:numPr>
          <w:ilvl w:val="0"/>
          <w:numId w:val="5"/>
        </w:numPr>
        <w:spacing w:before="120"/>
      </w:pPr>
      <w:r w:rsidRPr="00BC0230">
        <w:t>satisfactory progress in maintaining a policy of macroeconomic stability as evidenced by either the IMF Article IV Consultation Report, or the IMF Staff Mission Report</w:t>
      </w:r>
      <w:r w:rsidRPr="00BC0230">
        <w:rPr>
          <w:vertAlign w:val="superscript"/>
        </w:rPr>
        <w:footnoteReference w:id="3"/>
      </w:r>
      <w:r w:rsidRPr="00BC0230">
        <w:t xml:space="preserve">, </w:t>
      </w:r>
    </w:p>
    <w:p w:rsidR="00F36F28" w:rsidRPr="00BC0230" w:rsidRDefault="00F36F28" w:rsidP="00F36F28">
      <w:pPr>
        <w:numPr>
          <w:ilvl w:val="0"/>
          <w:numId w:val="5"/>
        </w:numPr>
        <w:spacing w:before="120"/>
      </w:pPr>
      <w:r w:rsidRPr="00BC0230">
        <w:t xml:space="preserve">satisfactory progress on the implementation of the Public Financial Management Reform Program as indicated by the report of the joint annual government and </w:t>
      </w:r>
      <w:proofErr w:type="spellStart"/>
      <w:r w:rsidRPr="00BC0230">
        <w:t>AusAID</w:t>
      </w:r>
      <w:proofErr w:type="spellEnd"/>
      <w:r w:rsidRPr="00BC0230">
        <w:t xml:space="preserve"> review of the Program scheduled in November of each year,</w:t>
      </w:r>
    </w:p>
    <w:p w:rsidR="00F36F28" w:rsidRPr="00BC0230" w:rsidRDefault="00F36F28" w:rsidP="00F36F28">
      <w:pPr>
        <w:numPr>
          <w:ilvl w:val="0"/>
          <w:numId w:val="5"/>
        </w:numPr>
        <w:spacing w:before="120"/>
      </w:pPr>
      <w:r w:rsidRPr="00BC0230">
        <w:t xml:space="preserve">continued engagement with major donors in preparing for increased use of </w:t>
      </w:r>
      <w:proofErr w:type="spellStart"/>
      <w:r w:rsidRPr="00BC0230">
        <w:t>GoS</w:t>
      </w:r>
      <w:proofErr w:type="spellEnd"/>
      <w:r w:rsidRPr="00BC0230">
        <w:t xml:space="preserve"> systems and budget support by donors, as indicated by progress reported and dialogue at quarterly development partner meetings.</w:t>
      </w:r>
    </w:p>
    <w:p w:rsidR="00F36F28" w:rsidRPr="00BC0230" w:rsidRDefault="00F36F28" w:rsidP="00F36F28">
      <w:pPr>
        <w:spacing w:before="120"/>
      </w:pPr>
      <w:r w:rsidRPr="00BC0230">
        <w:t xml:space="preserve">The above indicators for the fixed tranche are, by design, broad and flexible and do not necessarily provide a black and white view of progress. </w:t>
      </w:r>
      <w:r w:rsidR="00B9353F" w:rsidRPr="00BC0230">
        <w:t xml:space="preserve"> </w:t>
      </w:r>
      <w:r w:rsidRPr="00BC0230">
        <w:t>H</w:t>
      </w:r>
      <w:r w:rsidR="00FE6917" w:rsidRPr="00BC0230">
        <w:t>owever the use of broad targets allows</w:t>
      </w:r>
      <w:r w:rsidRPr="00BC0230">
        <w:t xml:space="preserve"> </w:t>
      </w:r>
      <w:proofErr w:type="spellStart"/>
      <w:r w:rsidR="00FE6917" w:rsidRPr="00BC0230">
        <w:t>AusAID</w:t>
      </w:r>
      <w:proofErr w:type="spellEnd"/>
      <w:r w:rsidR="00FE6917" w:rsidRPr="00BC0230">
        <w:t xml:space="preserve"> and NZAP</w:t>
      </w:r>
      <w:r w:rsidRPr="00BC0230">
        <w:t xml:space="preserve"> to participate in policy dialogue about a range of institutional issues within </w:t>
      </w:r>
      <w:proofErr w:type="spellStart"/>
      <w:r w:rsidRPr="00BC0230">
        <w:t>GoS</w:t>
      </w:r>
      <w:proofErr w:type="spellEnd"/>
      <w:r w:rsidRPr="00BC0230">
        <w:t xml:space="preserve"> that may be impacting any of the three targets. </w:t>
      </w:r>
    </w:p>
    <w:p w:rsidR="00F36F28" w:rsidRPr="00BC0230" w:rsidRDefault="00F36F28" w:rsidP="00080523">
      <w:pPr>
        <w:spacing w:before="120" w:after="240"/>
      </w:pPr>
      <w:r w:rsidRPr="00BC0230">
        <w:t xml:space="preserve">The remaining 40% of the planned disbursements in a </w:t>
      </w:r>
      <w:r w:rsidR="00FE6917" w:rsidRPr="00BC0230">
        <w:t>given year are</w:t>
      </w:r>
      <w:r w:rsidRPr="00BC0230">
        <w:t xml:space="preserve"> variable and adjusted based on the extent to which </w:t>
      </w:r>
      <w:proofErr w:type="spellStart"/>
      <w:r w:rsidRPr="00BC0230">
        <w:t>GoS</w:t>
      </w:r>
      <w:proofErr w:type="spellEnd"/>
      <w:r w:rsidRPr="00BC0230">
        <w:t xml:space="preserve"> achieves the subsidiar</w:t>
      </w:r>
      <w:r w:rsidR="00F73970">
        <w:t xml:space="preserve">y milestones. </w:t>
      </w:r>
      <w:r w:rsidRPr="00BC0230">
        <w:t xml:space="preserve">The review of achievement of these milestones </w:t>
      </w:r>
      <w:r w:rsidR="00FE6917" w:rsidRPr="00BC0230">
        <w:t>is</w:t>
      </w:r>
      <w:r w:rsidRPr="00BC0230">
        <w:t xml:space="preserve"> carried out jointly by </w:t>
      </w:r>
      <w:proofErr w:type="spellStart"/>
      <w:r w:rsidRPr="00BC0230">
        <w:t>GoS</w:t>
      </w:r>
      <w:proofErr w:type="spellEnd"/>
      <w:r w:rsidRPr="00BC0230">
        <w:t xml:space="preserve"> and </w:t>
      </w:r>
      <w:proofErr w:type="spellStart"/>
      <w:r w:rsidR="00FE6917" w:rsidRPr="00BC0230">
        <w:t>AusAID</w:t>
      </w:r>
      <w:proofErr w:type="spellEnd"/>
      <w:r w:rsidR="00FE6917" w:rsidRPr="00BC0230">
        <w:t>/NZAP</w:t>
      </w:r>
      <w:r w:rsidRPr="00BC0230">
        <w:t xml:space="preserve"> in November of each year as part of the same joint review that assesses whether satisfactory progress has been made against the requirements for the fixed tranche.</w:t>
      </w:r>
      <w:r w:rsidR="000A69C2">
        <w:t xml:space="preserve">  </w:t>
      </w:r>
      <w:r w:rsidR="000A69C2" w:rsidRPr="000A69C2">
        <w:t xml:space="preserve">To allow the program to deliver an incentive payment during the </w:t>
      </w:r>
      <w:proofErr w:type="spellStart"/>
      <w:r w:rsidR="000A69C2" w:rsidRPr="000A69C2">
        <w:t>GoS</w:t>
      </w:r>
      <w:proofErr w:type="spellEnd"/>
      <w:r w:rsidR="000A69C2" w:rsidRPr="000A69C2">
        <w:t xml:space="preserve"> 2011/12 financial year, it was agreed that a review of progress on the March 2012 targets would be carried out in April 2012, and this Independent Assessment of Progress Report documents that review</w:t>
      </w:r>
      <w:r w:rsidR="000A69C2">
        <w:t>.</w:t>
      </w:r>
      <w:r w:rsidRPr="00BC0230">
        <w:t xml:space="preserve">  The amount </w:t>
      </w:r>
      <w:r w:rsidR="000A69C2">
        <w:t>of the variable tranche is</w:t>
      </w:r>
      <w:r w:rsidRPr="00BC0230">
        <w:t xml:space="preserve"> calculated based on the formula as follows: </w:t>
      </w:r>
    </w:p>
    <w:tbl>
      <w:tblPr>
        <w:tblStyle w:val="TableGrid"/>
        <w:tblW w:w="0" w:type="auto"/>
        <w:tblLook w:val="04A0" w:firstRow="1" w:lastRow="0" w:firstColumn="1" w:lastColumn="0" w:noHBand="0" w:noVBand="1"/>
      </w:tblPr>
      <w:tblGrid>
        <w:gridCol w:w="9242"/>
      </w:tblGrid>
      <w:tr w:rsidR="00F36F28" w:rsidRPr="000A69C2" w:rsidTr="00F36F28">
        <w:tc>
          <w:tcPr>
            <w:tcW w:w="9242" w:type="dxa"/>
          </w:tcPr>
          <w:p w:rsidR="00F36F28" w:rsidRPr="000A69C2" w:rsidRDefault="00F36F28" w:rsidP="00F36F28">
            <w:pPr>
              <w:spacing w:before="120"/>
              <w:rPr>
                <w:sz w:val="22"/>
                <w:szCs w:val="22"/>
              </w:rPr>
            </w:pPr>
            <w:r w:rsidRPr="000A69C2">
              <w:rPr>
                <w:sz w:val="22"/>
                <w:szCs w:val="22"/>
              </w:rPr>
              <w:t>(Actual Total Score /Max Possible Score) x (Maximum amount available) = Variable Amount</w:t>
            </w:r>
          </w:p>
        </w:tc>
      </w:tr>
    </w:tbl>
    <w:p w:rsidR="00F36F28" w:rsidRPr="00BC0230" w:rsidRDefault="002E48ED" w:rsidP="002E48ED">
      <w:pPr>
        <w:pStyle w:val="Heading1"/>
      </w:pPr>
      <w:bookmarkStart w:id="7" w:name="_Toc322921228"/>
      <w:r w:rsidRPr="00BC0230">
        <w:lastRenderedPageBreak/>
        <w:t>Terms of Reference for this Independent Assessment</w:t>
      </w:r>
      <w:bookmarkEnd w:id="7"/>
    </w:p>
    <w:p w:rsidR="00056737" w:rsidRPr="00BC0230" w:rsidRDefault="00056737" w:rsidP="00056737">
      <w:pPr>
        <w:spacing w:before="120"/>
      </w:pPr>
      <w:r w:rsidRPr="00BC0230">
        <w:t>The terms of reference for this Assessment are attached at Annex 3.  In broad terms they were to assess the progress made under the Incentivising Public Financial Management Reform in Samoa program and to assess the program</w:t>
      </w:r>
      <w:r w:rsidR="00EB3293" w:rsidRPr="00BC0230">
        <w:t>’</w:t>
      </w:r>
      <w:r w:rsidRPr="00BC0230">
        <w:t>s ongoing effectiveness.</w:t>
      </w:r>
    </w:p>
    <w:p w:rsidR="00056737" w:rsidRPr="00BC0230" w:rsidRDefault="00EB3293" w:rsidP="00EB3293">
      <w:pPr>
        <w:spacing w:before="120"/>
      </w:pPr>
      <w:r w:rsidRPr="00BC0230">
        <w:t>The first part of the terms of reference required an assessment of progress against the fixed and variable targets discussed above that were required for completion by 30 March 2012.  Based on that assessment, the Mission was required to:</w:t>
      </w:r>
      <w:r w:rsidR="00056737" w:rsidRPr="00BC0230">
        <w:t xml:space="preserve"> </w:t>
      </w:r>
    </w:p>
    <w:p w:rsidR="00056737" w:rsidRPr="00BC0230" w:rsidRDefault="00056737" w:rsidP="00056737">
      <w:pPr>
        <w:numPr>
          <w:ilvl w:val="1"/>
          <w:numId w:val="7"/>
        </w:numPr>
        <w:spacing w:before="120"/>
      </w:pPr>
      <w:r w:rsidRPr="00BC0230">
        <w:t xml:space="preserve">Make recommendations on amount of payment to be made by </w:t>
      </w:r>
      <w:proofErr w:type="spellStart"/>
      <w:r w:rsidRPr="00BC0230">
        <w:t>AusAID</w:t>
      </w:r>
      <w:proofErr w:type="spellEnd"/>
      <w:r w:rsidRPr="00BC0230">
        <w:t xml:space="preserve"> with particular justification and discussion regarding targets that have not been completed or are only partially complete. </w:t>
      </w:r>
    </w:p>
    <w:p w:rsidR="00056737" w:rsidRPr="00BC0230" w:rsidRDefault="00056737" w:rsidP="00056737">
      <w:pPr>
        <w:numPr>
          <w:ilvl w:val="1"/>
          <w:numId w:val="7"/>
        </w:numPr>
        <w:spacing w:before="120"/>
      </w:pPr>
      <w:r w:rsidRPr="00BC0230">
        <w:t xml:space="preserve">Make recommendations on amount of payment to be made by New Zealand MFAT against the Results Based Budget Support arrangement. </w:t>
      </w:r>
    </w:p>
    <w:p w:rsidR="00056737" w:rsidRPr="00BC0230" w:rsidRDefault="00056737" w:rsidP="00056737">
      <w:pPr>
        <w:numPr>
          <w:ilvl w:val="1"/>
          <w:numId w:val="7"/>
        </w:numPr>
        <w:spacing w:before="120"/>
      </w:pPr>
      <w:r w:rsidRPr="00BC0230">
        <w:t>Assess progress made against 30</w:t>
      </w:r>
      <w:r w:rsidRPr="00BC0230">
        <w:rPr>
          <w:vertAlign w:val="superscript"/>
        </w:rPr>
        <w:t xml:space="preserve"> </w:t>
      </w:r>
      <w:r w:rsidRPr="00BC0230">
        <w:t>June 2012 targets and make recommendations for areas requiring key actions.</w:t>
      </w:r>
    </w:p>
    <w:p w:rsidR="00056737" w:rsidRPr="00BC0230" w:rsidRDefault="00056737" w:rsidP="00056737">
      <w:pPr>
        <w:numPr>
          <w:ilvl w:val="1"/>
          <w:numId w:val="7"/>
        </w:numPr>
        <w:spacing w:before="120"/>
      </w:pPr>
      <w:r w:rsidRPr="00BC0230">
        <w:t xml:space="preserve">Engage with IMF Article IV Assessment Mission to gain a coordinated view of </w:t>
      </w:r>
      <w:smartTag w:uri="urn:schemas-microsoft-com:office:smarttags" w:element="place">
        <w:r w:rsidRPr="00BC0230">
          <w:t>Samoa</w:t>
        </w:r>
      </w:smartTag>
      <w:r w:rsidRPr="00BC0230">
        <w:t>’s macroeconomic situation.</w:t>
      </w:r>
    </w:p>
    <w:p w:rsidR="00056737" w:rsidRPr="00BC0230" w:rsidRDefault="00EB3293" w:rsidP="00056737">
      <w:pPr>
        <w:spacing w:before="120"/>
      </w:pPr>
      <w:r w:rsidRPr="00BC0230">
        <w:t>The second part of the terms of reference require an assessment of the ongoing effectiveness of the program</w:t>
      </w:r>
      <w:r w:rsidR="00EF43F3" w:rsidRPr="00BC0230">
        <w:t xml:space="preserve"> in generating sustainable change, and specifically to:</w:t>
      </w:r>
    </w:p>
    <w:p w:rsidR="00056737" w:rsidRPr="00BC0230" w:rsidRDefault="00EF43F3" w:rsidP="00EF43F3">
      <w:pPr>
        <w:numPr>
          <w:ilvl w:val="0"/>
          <w:numId w:val="8"/>
        </w:numPr>
        <w:spacing w:before="120"/>
      </w:pPr>
      <w:r w:rsidRPr="00BC0230">
        <w:t>Assess t</w:t>
      </w:r>
      <w:r w:rsidR="00056737" w:rsidRPr="00BC0230">
        <w:t xml:space="preserve">he suitability of current disbursement and acquittal mechanisms in terms of the ability for the funds and interest to be used as budget support. </w:t>
      </w:r>
    </w:p>
    <w:p w:rsidR="00056737" w:rsidRPr="00BC0230" w:rsidRDefault="00EF43F3" w:rsidP="00EF43F3">
      <w:pPr>
        <w:numPr>
          <w:ilvl w:val="0"/>
          <w:numId w:val="8"/>
        </w:numPr>
        <w:tabs>
          <w:tab w:val="num" w:pos="1080"/>
        </w:tabs>
        <w:spacing w:before="120"/>
      </w:pPr>
      <w:r w:rsidRPr="00BC0230">
        <w:t>Assess t</w:t>
      </w:r>
      <w:r w:rsidR="00056737" w:rsidRPr="00BC0230">
        <w:t xml:space="preserve">he effectiveness of current targets in generating suitable and sustainable public financial management reform within Government of Samoa. </w:t>
      </w:r>
    </w:p>
    <w:p w:rsidR="00056737" w:rsidRPr="00BC0230" w:rsidRDefault="00EF43F3" w:rsidP="00EF43F3">
      <w:pPr>
        <w:numPr>
          <w:ilvl w:val="0"/>
          <w:numId w:val="8"/>
        </w:numPr>
        <w:tabs>
          <w:tab w:val="num" w:pos="1080"/>
        </w:tabs>
        <w:spacing w:before="120"/>
      </w:pPr>
      <w:r w:rsidRPr="00BC0230">
        <w:t>Make r</w:t>
      </w:r>
      <w:r w:rsidR="00056737" w:rsidRPr="00BC0230">
        <w:t>ecommendations as to suitable targets for 30 June 2013 in discussion with Post and other development partners.</w:t>
      </w:r>
    </w:p>
    <w:p w:rsidR="00056737" w:rsidRPr="00BC0230" w:rsidRDefault="00EF43F3" w:rsidP="00EF43F3">
      <w:pPr>
        <w:numPr>
          <w:ilvl w:val="0"/>
          <w:numId w:val="8"/>
        </w:numPr>
        <w:tabs>
          <w:tab w:val="num" w:pos="1080"/>
        </w:tabs>
        <w:spacing w:before="120"/>
      </w:pPr>
      <w:r w:rsidRPr="00BC0230">
        <w:t>Provide a</w:t>
      </w:r>
      <w:r w:rsidR="00056737" w:rsidRPr="00BC0230">
        <w:t xml:space="preserve">dvice and support to Apia Post on public financial management analysis. </w:t>
      </w:r>
    </w:p>
    <w:p w:rsidR="00056737" w:rsidRPr="00BC0230" w:rsidRDefault="00EF43F3" w:rsidP="00056737">
      <w:pPr>
        <w:spacing w:before="120"/>
      </w:pPr>
      <w:r w:rsidRPr="00BC0230">
        <w:t>The team members on the Mission were intended to be:</w:t>
      </w:r>
    </w:p>
    <w:p w:rsidR="00056737" w:rsidRPr="00BC0230" w:rsidRDefault="00056737" w:rsidP="00EF43F3">
      <w:pPr>
        <w:pStyle w:val="ListParagraph"/>
        <w:numPr>
          <w:ilvl w:val="0"/>
          <w:numId w:val="9"/>
        </w:numPr>
        <w:spacing w:before="120"/>
      </w:pPr>
      <w:r w:rsidRPr="00BC0230">
        <w:t>Tony Higgins – PFM Consultant: Team leader and report author</w:t>
      </w:r>
    </w:p>
    <w:p w:rsidR="00056737" w:rsidRPr="00BC0230" w:rsidRDefault="00056737" w:rsidP="00EF43F3">
      <w:pPr>
        <w:pStyle w:val="ListParagraph"/>
        <w:numPr>
          <w:ilvl w:val="0"/>
          <w:numId w:val="9"/>
        </w:numPr>
        <w:spacing w:before="120"/>
      </w:pPr>
      <w:r w:rsidRPr="00BC0230">
        <w:t xml:space="preserve">Jonathan </w:t>
      </w:r>
      <w:proofErr w:type="spellStart"/>
      <w:r w:rsidRPr="00BC0230">
        <w:t>Gouy</w:t>
      </w:r>
      <w:proofErr w:type="spellEnd"/>
      <w:r w:rsidRPr="00BC0230">
        <w:t xml:space="preserve"> – </w:t>
      </w:r>
      <w:proofErr w:type="spellStart"/>
      <w:r w:rsidRPr="00BC0230">
        <w:t>AusAID</w:t>
      </w:r>
      <w:proofErr w:type="spellEnd"/>
      <w:r w:rsidRPr="00BC0230">
        <w:t xml:space="preserve"> Ec</w:t>
      </w:r>
      <w:r w:rsidR="00027B9E">
        <w:t>onomic Adviser</w:t>
      </w:r>
      <w:r w:rsidRPr="00BC0230">
        <w:t>: Economist and report contributor</w:t>
      </w:r>
    </w:p>
    <w:p w:rsidR="00056737" w:rsidRPr="00BC0230" w:rsidRDefault="00056737" w:rsidP="00EF43F3">
      <w:pPr>
        <w:pStyle w:val="ListParagraph"/>
        <w:numPr>
          <w:ilvl w:val="0"/>
          <w:numId w:val="9"/>
        </w:numPr>
        <w:spacing w:before="120"/>
      </w:pPr>
      <w:proofErr w:type="spellStart"/>
      <w:r w:rsidRPr="00BC0230">
        <w:t>Lae</w:t>
      </w:r>
      <w:proofErr w:type="spellEnd"/>
      <w:r w:rsidRPr="00BC0230">
        <w:t xml:space="preserve"> </w:t>
      </w:r>
      <w:proofErr w:type="spellStart"/>
      <w:r w:rsidRPr="00BC0230">
        <w:t>Siliva</w:t>
      </w:r>
      <w:proofErr w:type="spellEnd"/>
      <w:r w:rsidRPr="00BC0230">
        <w:t xml:space="preserve"> – Ministry of Finance PFM Reform Coordinator: </w:t>
      </w:r>
      <w:proofErr w:type="spellStart"/>
      <w:r w:rsidRPr="00BC0230">
        <w:t>GoS</w:t>
      </w:r>
      <w:proofErr w:type="spellEnd"/>
      <w:r w:rsidRPr="00BC0230">
        <w:t xml:space="preserve"> participant</w:t>
      </w:r>
    </w:p>
    <w:p w:rsidR="00056737" w:rsidRPr="00BC0230" w:rsidRDefault="00056737" w:rsidP="00EF43F3">
      <w:pPr>
        <w:pStyle w:val="ListParagraph"/>
        <w:numPr>
          <w:ilvl w:val="0"/>
          <w:numId w:val="9"/>
        </w:numPr>
        <w:spacing w:before="120"/>
      </w:pPr>
      <w:r w:rsidRPr="00BC0230">
        <w:t xml:space="preserve">Frances Sutherland – Second Secretary, Development Cooperation: </w:t>
      </w:r>
      <w:proofErr w:type="spellStart"/>
      <w:r w:rsidRPr="00BC0230">
        <w:t>AusAID</w:t>
      </w:r>
      <w:proofErr w:type="spellEnd"/>
      <w:r w:rsidRPr="00BC0230">
        <w:t xml:space="preserve"> participant</w:t>
      </w:r>
    </w:p>
    <w:p w:rsidR="00EF43F3" w:rsidRPr="00BC0230" w:rsidRDefault="00EF43F3" w:rsidP="00056737">
      <w:pPr>
        <w:spacing w:before="120"/>
      </w:pPr>
      <w:r w:rsidRPr="00BC0230">
        <w:t xml:space="preserve">However, the </w:t>
      </w:r>
      <w:proofErr w:type="spellStart"/>
      <w:r w:rsidRPr="00BC0230">
        <w:t>AusAID</w:t>
      </w:r>
      <w:proofErr w:type="spellEnd"/>
      <w:r w:rsidRPr="00BC0230">
        <w:t xml:space="preserve"> Economic Adviser was unable to join the mission.  Nevertheless, the </w:t>
      </w:r>
      <w:r w:rsidR="00F4389B" w:rsidRPr="00BC0230">
        <w:t xml:space="preserve">Team Leader and the </w:t>
      </w:r>
      <w:proofErr w:type="spellStart"/>
      <w:r w:rsidR="00F4389B" w:rsidRPr="00BC0230">
        <w:t>AusAID</w:t>
      </w:r>
      <w:proofErr w:type="spellEnd"/>
      <w:r w:rsidR="00F4389B" w:rsidRPr="00BC0230">
        <w:t xml:space="preserve"> Second Secretary were able to meet with the IMF Article IV Mission, and also attended the IMF wrap up with </w:t>
      </w:r>
      <w:proofErr w:type="spellStart"/>
      <w:r w:rsidR="00F4389B" w:rsidRPr="00BC0230">
        <w:t>GoS</w:t>
      </w:r>
      <w:proofErr w:type="spellEnd"/>
      <w:r w:rsidR="00F4389B" w:rsidRPr="00BC0230">
        <w:t xml:space="preserve">.  Copies of the IMF Article IV Aide Memoire were also forwarded to the </w:t>
      </w:r>
      <w:proofErr w:type="spellStart"/>
      <w:r w:rsidR="00F4389B" w:rsidRPr="00BC0230">
        <w:t>AusAID</w:t>
      </w:r>
      <w:proofErr w:type="spellEnd"/>
      <w:r w:rsidR="00F4389B" w:rsidRPr="00BC0230">
        <w:t xml:space="preserve"> Economic Adviser.  This allowed an assessment to be made on one of the components of the fixed tranche (see below), i.e. whether satisfactory </w:t>
      </w:r>
      <w:proofErr w:type="spellStart"/>
      <w:r w:rsidR="00F4389B" w:rsidRPr="00BC0230">
        <w:t>macro economic</w:t>
      </w:r>
      <w:proofErr w:type="spellEnd"/>
      <w:r w:rsidR="00F4389B" w:rsidRPr="00BC0230">
        <w:t xml:space="preserve"> stability had been maintained.</w:t>
      </w:r>
    </w:p>
    <w:p w:rsidR="00963896" w:rsidRPr="00BC0230" w:rsidRDefault="00963896" w:rsidP="00F4389B">
      <w:pPr>
        <w:pStyle w:val="Heading1"/>
      </w:pPr>
      <w:bookmarkStart w:id="8" w:name="_Ref322770650"/>
      <w:bookmarkStart w:id="9" w:name="_Toc322921229"/>
      <w:r w:rsidRPr="00BC0230">
        <w:t>Assessment of Progress for the Fixed Tranche</w:t>
      </w:r>
      <w:bookmarkEnd w:id="8"/>
      <w:bookmarkEnd w:id="9"/>
    </w:p>
    <w:p w:rsidR="00744C6F" w:rsidRPr="00BC0230" w:rsidRDefault="00B9353F" w:rsidP="00744C6F">
      <w:pPr>
        <w:spacing w:before="120"/>
      </w:pPr>
      <w:r w:rsidRPr="00BC0230">
        <w:t xml:space="preserve">The three indicators used to assess progress for the purposes of </w:t>
      </w:r>
      <w:r w:rsidR="00B51DB5">
        <w:t>the fixed tranche were listed</w:t>
      </w:r>
      <w:r w:rsidRPr="00BC0230">
        <w:t xml:space="preserve"> above in section </w:t>
      </w:r>
      <w:r w:rsidRPr="00BC0230">
        <w:fldChar w:fldCharType="begin"/>
      </w:r>
      <w:r w:rsidRPr="00BC0230">
        <w:instrText xml:space="preserve"> REF _Ref322706329 \r \h </w:instrText>
      </w:r>
      <w:r w:rsidRPr="00BC0230">
        <w:fldChar w:fldCharType="separate"/>
      </w:r>
      <w:r w:rsidRPr="00BC0230">
        <w:t>3</w:t>
      </w:r>
      <w:r w:rsidRPr="00BC0230">
        <w:fldChar w:fldCharType="end"/>
      </w:r>
      <w:r w:rsidRPr="00BC0230">
        <w:t xml:space="preserve">.  </w:t>
      </w:r>
      <w:r w:rsidRPr="00BC0230">
        <w:fldChar w:fldCharType="begin"/>
      </w:r>
      <w:r w:rsidRPr="00BC0230">
        <w:instrText xml:space="preserve"> REF _Ref322706353 \h </w:instrText>
      </w:r>
      <w:r w:rsidRPr="00BC0230">
        <w:fldChar w:fldCharType="separate"/>
      </w:r>
      <w:r w:rsidRPr="00BC0230">
        <w:t xml:space="preserve">Table </w:t>
      </w:r>
      <w:r w:rsidRPr="00BC0230">
        <w:rPr>
          <w:noProof/>
        </w:rPr>
        <w:t>1</w:t>
      </w:r>
      <w:r w:rsidRPr="00BC0230">
        <w:fldChar w:fldCharType="end"/>
      </w:r>
      <w:r w:rsidRPr="00BC0230">
        <w:t xml:space="preserve"> below </w:t>
      </w:r>
      <w:r w:rsidR="009F3B03" w:rsidRPr="00BC0230">
        <w:t xml:space="preserve">lists these three indicators, together with the means of </w:t>
      </w:r>
      <w:r w:rsidR="009F3B03" w:rsidRPr="00BC0230">
        <w:lastRenderedPageBreak/>
        <w:t xml:space="preserve">verification that </w:t>
      </w:r>
      <w:r w:rsidR="00B51DB5">
        <w:t xml:space="preserve">were agreed with </w:t>
      </w:r>
      <w:proofErr w:type="spellStart"/>
      <w:r w:rsidR="00B51DB5">
        <w:t>GoS</w:t>
      </w:r>
      <w:proofErr w:type="spellEnd"/>
      <w:r w:rsidR="009F3B03" w:rsidRPr="00BC0230">
        <w:t>, and adds a third column</w:t>
      </w:r>
      <w:r w:rsidR="000A4273" w:rsidRPr="00BC0230">
        <w:t xml:space="preserve"> summarising the assessment of progress.</w:t>
      </w:r>
    </w:p>
    <w:p w:rsidR="00B9353F" w:rsidRPr="00BC0230" w:rsidRDefault="000A4273" w:rsidP="00744C6F">
      <w:pPr>
        <w:spacing w:before="120"/>
      </w:pPr>
      <w:r w:rsidRPr="00397A90">
        <w:t>On the first indicator, the IMF’s assessment was that Samoa has managed the impacts of two major external shocks well, i.e. the economic impact of the global financial crisis, and the economic and fiscal impact of the recovery from the 2009 tsunami.  GDP is likely to show a June 2012 year on year growth o</w:t>
      </w:r>
      <w:r w:rsidR="003336CA" w:rsidRPr="00397A90">
        <w:t>f 1.5%</w:t>
      </w:r>
      <w:r w:rsidR="00AA7378" w:rsidRPr="00397A90">
        <w:t>, but pick up only modestly for 2012/13</w:t>
      </w:r>
      <w:r w:rsidR="003336CA" w:rsidRPr="00397A90">
        <w:t xml:space="preserve">.  Inflation had been rising as a result of drought conditions in late 2011, that pushed up the price of agriculture products.  Peaking at </w:t>
      </w:r>
      <w:r w:rsidR="0038758B" w:rsidRPr="00397A90">
        <w:t>11.4% in December 2011 (4% excluding food), headline inflation fell back to 4.7% in March, and is expected to come down to</w:t>
      </w:r>
      <w:r w:rsidR="003336CA" w:rsidRPr="00397A90">
        <w:t xml:space="preserve"> 3% by June 2012.</w:t>
      </w:r>
      <w:r w:rsidR="0038758B" w:rsidRPr="00397A90">
        <w:t xml:space="preserve">  This will leave an average rate of 6% for the financial year 2012.</w:t>
      </w:r>
      <w:r w:rsidR="009B6646" w:rsidRPr="00397A90">
        <w:t xml:space="preserve">  The</w:t>
      </w:r>
      <w:r w:rsidR="003336CA" w:rsidRPr="00397A90">
        <w:t xml:space="preserve"> actu</w:t>
      </w:r>
      <w:r w:rsidR="0038758B" w:rsidRPr="00397A90">
        <w:t>a</w:t>
      </w:r>
      <w:r w:rsidR="003336CA" w:rsidRPr="00397A90">
        <w:t>l</w:t>
      </w:r>
      <w:r w:rsidR="0038758B" w:rsidRPr="00397A90">
        <w:t xml:space="preserve"> budget</w:t>
      </w:r>
      <w:r w:rsidR="009B6646" w:rsidRPr="00397A90">
        <w:t xml:space="preserve"> deficit for 30 June 2012 will be close to 6% of GDP.  The IMF is now recommending a policy of fiscal consolidation.  However, it cautions against implementing this</w:t>
      </w:r>
      <w:r w:rsidR="009B6646" w:rsidRPr="00BC0230">
        <w:t xml:space="preserve"> policy too rapidly when there are still global risk, and confidence is still fragile.  It recommends that </w:t>
      </w:r>
      <w:proofErr w:type="spellStart"/>
      <w:r w:rsidR="009B6646" w:rsidRPr="00BC0230">
        <w:t>GoS</w:t>
      </w:r>
      <w:proofErr w:type="spellEnd"/>
      <w:r w:rsidR="009B6646" w:rsidRPr="00BC0230">
        <w:t xml:space="preserve"> moves to bring the deficit below 3% of GDP over a period of years.  The conclusion of this Assessment is that satisfactory progress has been made in maintaining a policy of </w:t>
      </w:r>
      <w:proofErr w:type="spellStart"/>
      <w:r w:rsidR="009B6646" w:rsidRPr="00BC0230">
        <w:t>macro economic</w:t>
      </w:r>
      <w:proofErr w:type="spellEnd"/>
      <w:r w:rsidR="009B6646" w:rsidRPr="00BC0230">
        <w:t xml:space="preserve"> stability.</w:t>
      </w:r>
    </w:p>
    <w:p w:rsidR="009B6646" w:rsidRDefault="009B6646" w:rsidP="00744C6F">
      <w:pPr>
        <w:spacing w:before="120"/>
      </w:pPr>
      <w:r w:rsidRPr="00BC0230">
        <w:t xml:space="preserve">The </w:t>
      </w:r>
      <w:r w:rsidR="003972A5">
        <w:t xml:space="preserve">second indicator required an assessment of whether there has been satisfactory progress on the implementation of the PFM Reform Program, and the means of verification required a copy of the Annual Progress Report, and a joint </w:t>
      </w:r>
      <w:proofErr w:type="spellStart"/>
      <w:r w:rsidR="003972A5">
        <w:t>AusAID</w:t>
      </w:r>
      <w:proofErr w:type="spellEnd"/>
      <w:r w:rsidR="003972A5">
        <w:t xml:space="preserve">/NZAP annual assessment.  </w:t>
      </w:r>
      <w:proofErr w:type="spellStart"/>
      <w:r w:rsidR="003972A5">
        <w:t>GoS</w:t>
      </w:r>
      <w:proofErr w:type="spellEnd"/>
      <w:r w:rsidR="003972A5">
        <w:t xml:space="preserve"> provided copies of the Minutes of the Annual Review meeting for PFMRP,</w:t>
      </w:r>
      <w:r w:rsidR="00F30582">
        <w:t xml:space="preserve"> and</w:t>
      </w:r>
      <w:r w:rsidR="003972A5">
        <w:t xml:space="preserve"> a copy of the March 2012 Progress Report</w:t>
      </w:r>
      <w:r w:rsidR="00F30582">
        <w:t xml:space="preserve">.  This Independent Assessment was also able to assess progress against many of the PFMRP milestones, see section </w:t>
      </w:r>
      <w:r w:rsidR="00F30582">
        <w:fldChar w:fldCharType="begin"/>
      </w:r>
      <w:r w:rsidR="00F30582">
        <w:instrText xml:space="preserve"> REF _Ref322770778 \r \h </w:instrText>
      </w:r>
      <w:r w:rsidR="00F30582">
        <w:fldChar w:fldCharType="separate"/>
      </w:r>
      <w:r w:rsidR="00F30582">
        <w:t>6</w:t>
      </w:r>
      <w:r w:rsidR="00F30582">
        <w:fldChar w:fldCharType="end"/>
      </w:r>
      <w:r w:rsidR="00F30582">
        <w:t xml:space="preserve"> below.  Based on the information provided</w:t>
      </w:r>
      <w:r w:rsidR="005F2026">
        <w:t xml:space="preserve"> by </w:t>
      </w:r>
      <w:proofErr w:type="spellStart"/>
      <w:r w:rsidR="005F2026">
        <w:t>GoS</w:t>
      </w:r>
      <w:proofErr w:type="spellEnd"/>
      <w:r w:rsidR="005F2026">
        <w:t>,</w:t>
      </w:r>
      <w:r w:rsidR="00F30582">
        <w:t xml:space="preserve"> this Independent Assessment is able to conclude that there has been satisfactory progress on the implementation of the PFM Reform Program.</w:t>
      </w:r>
    </w:p>
    <w:p w:rsidR="005F2026" w:rsidRPr="00BC0230" w:rsidRDefault="005F2026" w:rsidP="00744C6F">
      <w:pPr>
        <w:spacing w:before="120"/>
      </w:pPr>
      <w:r>
        <w:t>The third indicator required an assessment of i</w:t>
      </w:r>
      <w:r w:rsidRPr="005F2026">
        <w:t xml:space="preserve">ncreased readiness of </w:t>
      </w:r>
      <w:proofErr w:type="spellStart"/>
      <w:r w:rsidRPr="005F2026">
        <w:t>GoS</w:t>
      </w:r>
      <w:proofErr w:type="spellEnd"/>
      <w:r w:rsidRPr="005F2026">
        <w:t xml:space="preserve"> systems for increased use or the provision of budget support by major development partners</w:t>
      </w:r>
      <w:r>
        <w:t xml:space="preserve">.  </w:t>
      </w:r>
      <w:proofErr w:type="spellStart"/>
      <w:r>
        <w:t>AusAID</w:t>
      </w:r>
      <w:proofErr w:type="spellEnd"/>
      <w:r>
        <w:t xml:space="preserve"> and NZAP were able to confirm that quarterly Development Partner meetings have been held, and that progress on PFM reforms has been reported by </w:t>
      </w:r>
      <w:proofErr w:type="spellStart"/>
      <w:r>
        <w:t>GoS</w:t>
      </w:r>
      <w:proofErr w:type="spellEnd"/>
      <w:r>
        <w:t xml:space="preserve"> at those meetings and discussed with the DPs.  This Independent Assessment is therefore able to conclude that</w:t>
      </w:r>
      <w:r w:rsidR="00A939B2">
        <w:t xml:space="preserve"> the</w:t>
      </w:r>
      <w:r>
        <w:t xml:space="preserve"> </w:t>
      </w:r>
      <w:r w:rsidR="00A939B2">
        <w:t>r</w:t>
      </w:r>
      <w:r w:rsidR="00A939B2" w:rsidRPr="00A939B2">
        <w:t xml:space="preserve">eadiness of </w:t>
      </w:r>
      <w:proofErr w:type="spellStart"/>
      <w:r w:rsidR="00A939B2" w:rsidRPr="00A939B2">
        <w:t>GoS</w:t>
      </w:r>
      <w:proofErr w:type="spellEnd"/>
      <w:r w:rsidR="00A939B2" w:rsidRPr="00A939B2">
        <w:t xml:space="preserve"> systems for increased provision of budget support by DPs has improved</w:t>
      </w:r>
      <w:r w:rsidR="00A939B2">
        <w:t>.</w:t>
      </w:r>
    </w:p>
    <w:p w:rsidR="000A4273" w:rsidRPr="00BC0230" w:rsidRDefault="000A4273" w:rsidP="00744C6F">
      <w:pPr>
        <w:spacing w:before="120"/>
      </w:pPr>
    </w:p>
    <w:p w:rsidR="00B9353F" w:rsidRPr="00BC0230" w:rsidRDefault="00B9353F" w:rsidP="00B9353F">
      <w:pPr>
        <w:pStyle w:val="Caption"/>
      </w:pPr>
      <w:bookmarkStart w:id="10" w:name="_Ref322706353"/>
      <w:r w:rsidRPr="00BC0230">
        <w:t xml:space="preserve">Table </w:t>
      </w:r>
      <w:fldSimple w:instr=" SEQ Table \* ARABIC ">
        <w:r w:rsidR="00EB3CA8" w:rsidRPr="00BC0230">
          <w:rPr>
            <w:noProof/>
          </w:rPr>
          <w:t>1</w:t>
        </w:r>
      </w:fldSimple>
      <w:bookmarkEnd w:id="10"/>
      <w:r w:rsidRPr="00BC0230">
        <w:t xml:space="preserve">  Assessment of Progress Against Fixed Tranche Indicators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551"/>
        <w:gridCol w:w="3614"/>
      </w:tblGrid>
      <w:tr w:rsidR="00B9353F" w:rsidRPr="00BC0230" w:rsidTr="009F3B03">
        <w:tc>
          <w:tcPr>
            <w:tcW w:w="2590" w:type="dxa"/>
            <w:shd w:val="clear" w:color="auto" w:fill="D9D9D9" w:themeFill="background1" w:themeFillShade="D9"/>
          </w:tcPr>
          <w:p w:rsidR="00B9353F" w:rsidRPr="00BC0230" w:rsidRDefault="00B9353F" w:rsidP="00B9353F">
            <w:pPr>
              <w:spacing w:before="120"/>
              <w:rPr>
                <w:b/>
                <w:sz w:val="20"/>
                <w:szCs w:val="20"/>
              </w:rPr>
            </w:pPr>
            <w:r w:rsidRPr="00BC0230">
              <w:rPr>
                <w:b/>
                <w:sz w:val="20"/>
                <w:szCs w:val="20"/>
              </w:rPr>
              <w:t>Indicator</w:t>
            </w:r>
          </w:p>
        </w:tc>
        <w:tc>
          <w:tcPr>
            <w:tcW w:w="2551" w:type="dxa"/>
            <w:shd w:val="clear" w:color="auto" w:fill="D9D9D9" w:themeFill="background1" w:themeFillShade="D9"/>
          </w:tcPr>
          <w:p w:rsidR="00B9353F" w:rsidRPr="00BC0230" w:rsidRDefault="00B9353F" w:rsidP="00B9353F">
            <w:pPr>
              <w:spacing w:before="120"/>
              <w:rPr>
                <w:b/>
                <w:sz w:val="20"/>
                <w:szCs w:val="20"/>
              </w:rPr>
            </w:pPr>
            <w:r w:rsidRPr="00BC0230">
              <w:rPr>
                <w:b/>
                <w:sz w:val="20"/>
                <w:szCs w:val="20"/>
              </w:rPr>
              <w:t>Verification</w:t>
            </w:r>
          </w:p>
        </w:tc>
        <w:tc>
          <w:tcPr>
            <w:tcW w:w="3614" w:type="dxa"/>
            <w:shd w:val="clear" w:color="auto" w:fill="D9D9D9" w:themeFill="background1" w:themeFillShade="D9"/>
          </w:tcPr>
          <w:p w:rsidR="00B9353F" w:rsidRPr="00BC0230" w:rsidRDefault="00B9353F" w:rsidP="00B9353F">
            <w:pPr>
              <w:spacing w:before="120"/>
              <w:rPr>
                <w:b/>
                <w:sz w:val="20"/>
                <w:szCs w:val="20"/>
              </w:rPr>
            </w:pPr>
            <w:r w:rsidRPr="00BC0230">
              <w:rPr>
                <w:b/>
                <w:sz w:val="20"/>
                <w:szCs w:val="20"/>
              </w:rPr>
              <w:t>Comments on assessment</w:t>
            </w:r>
          </w:p>
        </w:tc>
      </w:tr>
      <w:tr w:rsidR="00B9353F" w:rsidRPr="00BC0230" w:rsidTr="009F3B03">
        <w:trPr>
          <w:trHeight w:val="718"/>
        </w:trPr>
        <w:tc>
          <w:tcPr>
            <w:tcW w:w="2590" w:type="dxa"/>
          </w:tcPr>
          <w:p w:rsidR="00B9353F" w:rsidRPr="00BC0230" w:rsidRDefault="00B9353F" w:rsidP="00B9353F">
            <w:pPr>
              <w:spacing w:before="120"/>
              <w:rPr>
                <w:sz w:val="20"/>
                <w:szCs w:val="20"/>
              </w:rPr>
            </w:pPr>
            <w:r w:rsidRPr="00BC0230">
              <w:rPr>
                <w:sz w:val="20"/>
                <w:szCs w:val="20"/>
              </w:rPr>
              <w:t>a) Satisfactory progress in maintaining a policy of macroeconomic stability</w:t>
            </w:r>
          </w:p>
        </w:tc>
        <w:tc>
          <w:tcPr>
            <w:tcW w:w="2551" w:type="dxa"/>
          </w:tcPr>
          <w:p w:rsidR="00B9353F" w:rsidRPr="00BC0230" w:rsidRDefault="00B9353F" w:rsidP="00B9353F">
            <w:pPr>
              <w:spacing w:before="120"/>
              <w:rPr>
                <w:sz w:val="20"/>
                <w:szCs w:val="20"/>
              </w:rPr>
            </w:pPr>
            <w:r w:rsidRPr="00BC0230">
              <w:rPr>
                <w:sz w:val="20"/>
                <w:szCs w:val="20"/>
              </w:rPr>
              <w:t>IMF Article IV Consultation Report, or the IMF Staff Mission Report</w:t>
            </w:r>
          </w:p>
        </w:tc>
        <w:tc>
          <w:tcPr>
            <w:tcW w:w="3614" w:type="dxa"/>
          </w:tcPr>
          <w:p w:rsidR="009F3B03" w:rsidRPr="00BC0230" w:rsidRDefault="00B9353F" w:rsidP="00B9353F">
            <w:pPr>
              <w:spacing w:before="120"/>
              <w:rPr>
                <w:sz w:val="20"/>
                <w:szCs w:val="20"/>
              </w:rPr>
            </w:pPr>
            <w:r w:rsidRPr="00BC0230">
              <w:rPr>
                <w:sz w:val="20"/>
                <w:szCs w:val="20"/>
              </w:rPr>
              <w:t>Based on</w:t>
            </w:r>
            <w:r w:rsidR="009F3B03" w:rsidRPr="00BC0230">
              <w:rPr>
                <w:sz w:val="20"/>
                <w:szCs w:val="20"/>
              </w:rPr>
              <w:t>:</w:t>
            </w:r>
            <w:r w:rsidRPr="00BC0230">
              <w:rPr>
                <w:sz w:val="20"/>
                <w:szCs w:val="20"/>
              </w:rPr>
              <w:t xml:space="preserve"> </w:t>
            </w:r>
          </w:p>
          <w:p w:rsidR="009F3B03" w:rsidRPr="00BC0230" w:rsidRDefault="00B9353F" w:rsidP="000A4273">
            <w:pPr>
              <w:pStyle w:val="ListParagraph"/>
              <w:numPr>
                <w:ilvl w:val="0"/>
                <w:numId w:val="20"/>
              </w:numPr>
              <w:rPr>
                <w:sz w:val="20"/>
                <w:szCs w:val="20"/>
              </w:rPr>
            </w:pPr>
            <w:r w:rsidRPr="00BC0230">
              <w:rPr>
                <w:sz w:val="20"/>
                <w:szCs w:val="20"/>
              </w:rPr>
              <w:t xml:space="preserve">discussions with IMF Article IV Mission, </w:t>
            </w:r>
          </w:p>
          <w:p w:rsidR="009F3B03" w:rsidRPr="00BC0230" w:rsidRDefault="009F3B03" w:rsidP="009F3B03">
            <w:pPr>
              <w:pStyle w:val="ListParagraph"/>
              <w:numPr>
                <w:ilvl w:val="0"/>
                <w:numId w:val="20"/>
              </w:numPr>
              <w:spacing w:before="120"/>
              <w:rPr>
                <w:sz w:val="20"/>
                <w:szCs w:val="20"/>
              </w:rPr>
            </w:pPr>
            <w:r w:rsidRPr="00BC0230">
              <w:rPr>
                <w:sz w:val="20"/>
                <w:szCs w:val="20"/>
              </w:rPr>
              <w:t>copy of the Article IV Mission Aide Memoire, and</w:t>
            </w:r>
            <w:r w:rsidR="00B9353F" w:rsidRPr="00BC0230">
              <w:rPr>
                <w:sz w:val="20"/>
                <w:szCs w:val="20"/>
              </w:rPr>
              <w:t xml:space="preserve"> </w:t>
            </w:r>
          </w:p>
          <w:p w:rsidR="009F3B03" w:rsidRPr="00BC0230" w:rsidRDefault="00B9353F" w:rsidP="009F3B03">
            <w:pPr>
              <w:pStyle w:val="ListParagraph"/>
              <w:numPr>
                <w:ilvl w:val="0"/>
                <w:numId w:val="20"/>
              </w:numPr>
              <w:spacing w:before="120"/>
              <w:rPr>
                <w:sz w:val="20"/>
                <w:szCs w:val="20"/>
              </w:rPr>
            </w:pPr>
            <w:r w:rsidRPr="00BC0230">
              <w:rPr>
                <w:sz w:val="20"/>
                <w:szCs w:val="20"/>
              </w:rPr>
              <w:t xml:space="preserve">assessment from </w:t>
            </w:r>
            <w:proofErr w:type="spellStart"/>
            <w:r w:rsidRPr="00BC0230">
              <w:rPr>
                <w:sz w:val="20"/>
                <w:szCs w:val="20"/>
              </w:rPr>
              <w:t>AusAID</w:t>
            </w:r>
            <w:proofErr w:type="spellEnd"/>
            <w:r w:rsidRPr="00BC0230">
              <w:rPr>
                <w:sz w:val="20"/>
                <w:szCs w:val="20"/>
              </w:rPr>
              <w:t xml:space="preserve"> Economist, </w:t>
            </w:r>
          </w:p>
          <w:p w:rsidR="00B9353F" w:rsidRPr="00BC0230" w:rsidRDefault="009F3B03" w:rsidP="00442E85">
            <w:pPr>
              <w:spacing w:before="120"/>
              <w:rPr>
                <w:sz w:val="20"/>
                <w:szCs w:val="20"/>
              </w:rPr>
            </w:pPr>
            <w:r w:rsidRPr="00BC0230">
              <w:rPr>
                <w:sz w:val="20"/>
                <w:szCs w:val="20"/>
              </w:rPr>
              <w:t xml:space="preserve">Conclusion: </w:t>
            </w:r>
            <w:r w:rsidR="00442E85" w:rsidRPr="00BC0230">
              <w:rPr>
                <w:sz w:val="20"/>
                <w:szCs w:val="20"/>
              </w:rPr>
              <w:t>There has been s</w:t>
            </w:r>
            <w:r w:rsidR="00B9353F" w:rsidRPr="00BC0230">
              <w:rPr>
                <w:sz w:val="20"/>
                <w:szCs w:val="20"/>
              </w:rPr>
              <w:t>atisfac</w:t>
            </w:r>
            <w:r w:rsidRPr="00BC0230">
              <w:rPr>
                <w:sz w:val="20"/>
                <w:szCs w:val="20"/>
              </w:rPr>
              <w:t xml:space="preserve">tory progress in maintaining a policy of </w:t>
            </w:r>
            <w:proofErr w:type="spellStart"/>
            <w:r w:rsidRPr="00BC0230">
              <w:rPr>
                <w:sz w:val="20"/>
                <w:szCs w:val="20"/>
              </w:rPr>
              <w:t>ma</w:t>
            </w:r>
            <w:r w:rsidR="00442E85" w:rsidRPr="00BC0230">
              <w:rPr>
                <w:sz w:val="20"/>
                <w:szCs w:val="20"/>
              </w:rPr>
              <w:t>cro economic</w:t>
            </w:r>
            <w:proofErr w:type="spellEnd"/>
            <w:r w:rsidR="00442E85" w:rsidRPr="00BC0230">
              <w:rPr>
                <w:sz w:val="20"/>
                <w:szCs w:val="20"/>
              </w:rPr>
              <w:t xml:space="preserve"> stability</w:t>
            </w:r>
          </w:p>
        </w:tc>
      </w:tr>
      <w:tr w:rsidR="00B9353F" w:rsidRPr="00BC0230" w:rsidTr="009F3B03">
        <w:tc>
          <w:tcPr>
            <w:tcW w:w="2590" w:type="dxa"/>
          </w:tcPr>
          <w:p w:rsidR="00B9353F" w:rsidRPr="00BC0230" w:rsidRDefault="00B9353F" w:rsidP="00B9353F">
            <w:pPr>
              <w:spacing w:before="120"/>
              <w:rPr>
                <w:sz w:val="20"/>
                <w:szCs w:val="20"/>
              </w:rPr>
            </w:pPr>
            <w:r w:rsidRPr="00BC0230">
              <w:rPr>
                <w:sz w:val="20"/>
                <w:szCs w:val="20"/>
              </w:rPr>
              <w:t>b) Satisfactory progress on the implementation of the Public Financial Management Reform Program</w:t>
            </w:r>
          </w:p>
        </w:tc>
        <w:tc>
          <w:tcPr>
            <w:tcW w:w="2551" w:type="dxa"/>
          </w:tcPr>
          <w:p w:rsidR="00B9353F" w:rsidRPr="00BC0230" w:rsidRDefault="00B9353F" w:rsidP="00B9353F">
            <w:pPr>
              <w:spacing w:before="120"/>
              <w:rPr>
                <w:sz w:val="20"/>
                <w:szCs w:val="20"/>
              </w:rPr>
            </w:pPr>
            <w:r w:rsidRPr="00BC0230">
              <w:rPr>
                <w:sz w:val="20"/>
                <w:szCs w:val="20"/>
              </w:rPr>
              <w:t xml:space="preserve">Annual Progress Report of PFM Reform Plan implementation and joint </w:t>
            </w:r>
            <w:proofErr w:type="spellStart"/>
            <w:r w:rsidRPr="00BC0230">
              <w:rPr>
                <w:sz w:val="20"/>
                <w:szCs w:val="20"/>
              </w:rPr>
              <w:t>AusAID</w:t>
            </w:r>
            <w:proofErr w:type="spellEnd"/>
            <w:r w:rsidRPr="00BC0230">
              <w:rPr>
                <w:sz w:val="20"/>
                <w:szCs w:val="20"/>
              </w:rPr>
              <w:t>/ NZAP annual assessments</w:t>
            </w:r>
          </w:p>
        </w:tc>
        <w:tc>
          <w:tcPr>
            <w:tcW w:w="3614" w:type="dxa"/>
          </w:tcPr>
          <w:p w:rsidR="00B9353F" w:rsidRPr="00BC0230" w:rsidRDefault="00B9353F" w:rsidP="00442E85">
            <w:pPr>
              <w:numPr>
                <w:ilvl w:val="0"/>
                <w:numId w:val="18"/>
              </w:numPr>
              <w:spacing w:before="240"/>
              <w:rPr>
                <w:sz w:val="20"/>
                <w:szCs w:val="20"/>
              </w:rPr>
            </w:pPr>
            <w:r w:rsidRPr="00BC0230">
              <w:rPr>
                <w:sz w:val="20"/>
                <w:szCs w:val="20"/>
              </w:rPr>
              <w:t>Minutes of Annual Review Meeting provided</w:t>
            </w:r>
          </w:p>
          <w:p w:rsidR="00B9353F" w:rsidRPr="00BC0230" w:rsidRDefault="00B9353F" w:rsidP="00442E85">
            <w:pPr>
              <w:numPr>
                <w:ilvl w:val="0"/>
                <w:numId w:val="18"/>
              </w:numPr>
              <w:rPr>
                <w:sz w:val="20"/>
                <w:szCs w:val="20"/>
              </w:rPr>
            </w:pPr>
            <w:r w:rsidRPr="00BC0230">
              <w:rPr>
                <w:sz w:val="20"/>
                <w:szCs w:val="20"/>
              </w:rPr>
              <w:t>March progress report provided</w:t>
            </w:r>
          </w:p>
          <w:p w:rsidR="00B9353F" w:rsidRPr="00BC0230" w:rsidRDefault="00B9353F" w:rsidP="00442E85">
            <w:pPr>
              <w:numPr>
                <w:ilvl w:val="0"/>
                <w:numId w:val="18"/>
              </w:numPr>
              <w:rPr>
                <w:sz w:val="20"/>
                <w:szCs w:val="20"/>
              </w:rPr>
            </w:pPr>
            <w:r w:rsidRPr="00BC0230">
              <w:rPr>
                <w:sz w:val="20"/>
                <w:szCs w:val="20"/>
              </w:rPr>
              <w:t>Minutes of meeting of 20 October provided</w:t>
            </w:r>
          </w:p>
          <w:p w:rsidR="00B9353F" w:rsidRPr="00BC0230" w:rsidRDefault="00B9353F" w:rsidP="00442E85">
            <w:pPr>
              <w:numPr>
                <w:ilvl w:val="0"/>
                <w:numId w:val="18"/>
              </w:numPr>
              <w:rPr>
                <w:sz w:val="20"/>
                <w:szCs w:val="20"/>
              </w:rPr>
            </w:pPr>
            <w:r w:rsidRPr="00BC0230">
              <w:rPr>
                <w:sz w:val="20"/>
                <w:szCs w:val="20"/>
              </w:rPr>
              <w:t xml:space="preserve">Agenda for 12 April meeting </w:t>
            </w:r>
            <w:r w:rsidRPr="00BC0230">
              <w:rPr>
                <w:sz w:val="20"/>
                <w:szCs w:val="20"/>
              </w:rPr>
              <w:lastRenderedPageBreak/>
              <w:t>provided – minutes to come</w:t>
            </w:r>
          </w:p>
          <w:p w:rsidR="00B9353F" w:rsidRPr="00BC0230" w:rsidRDefault="00B9353F" w:rsidP="00442E85">
            <w:pPr>
              <w:numPr>
                <w:ilvl w:val="0"/>
                <w:numId w:val="18"/>
              </w:numPr>
              <w:rPr>
                <w:sz w:val="20"/>
                <w:szCs w:val="20"/>
              </w:rPr>
            </w:pPr>
            <w:r w:rsidRPr="00BC0230">
              <w:rPr>
                <w:sz w:val="20"/>
                <w:szCs w:val="20"/>
              </w:rPr>
              <w:t>Progress a</w:t>
            </w:r>
            <w:r w:rsidR="003972A5">
              <w:rPr>
                <w:sz w:val="20"/>
                <w:szCs w:val="20"/>
              </w:rPr>
              <w:t>gainst variable indicators (see below)</w:t>
            </w:r>
          </w:p>
          <w:p w:rsidR="00B9353F" w:rsidRPr="00BC0230" w:rsidRDefault="00442E85" w:rsidP="00442E85">
            <w:pPr>
              <w:spacing w:before="120"/>
              <w:rPr>
                <w:sz w:val="20"/>
                <w:szCs w:val="20"/>
              </w:rPr>
            </w:pPr>
            <w:r w:rsidRPr="00BC0230">
              <w:rPr>
                <w:sz w:val="20"/>
                <w:szCs w:val="20"/>
              </w:rPr>
              <w:t>Conclusion:  There has been s</w:t>
            </w:r>
            <w:r w:rsidR="00B9353F" w:rsidRPr="00BC0230">
              <w:rPr>
                <w:sz w:val="20"/>
                <w:szCs w:val="20"/>
              </w:rPr>
              <w:t>atisfactory progress</w:t>
            </w:r>
            <w:r w:rsidRPr="00BC0230">
              <w:rPr>
                <w:sz w:val="20"/>
                <w:szCs w:val="20"/>
              </w:rPr>
              <w:t xml:space="preserve"> on implementation of PFM Reform Program</w:t>
            </w:r>
          </w:p>
        </w:tc>
      </w:tr>
      <w:tr w:rsidR="00B9353F" w:rsidRPr="00BC0230" w:rsidTr="009F3B03">
        <w:tc>
          <w:tcPr>
            <w:tcW w:w="2590" w:type="dxa"/>
          </w:tcPr>
          <w:p w:rsidR="00B9353F" w:rsidRPr="00BC0230" w:rsidRDefault="00B9353F" w:rsidP="00B9353F">
            <w:pPr>
              <w:spacing w:before="120"/>
              <w:rPr>
                <w:sz w:val="20"/>
                <w:szCs w:val="20"/>
              </w:rPr>
            </w:pPr>
            <w:r w:rsidRPr="00BC0230">
              <w:rPr>
                <w:sz w:val="20"/>
                <w:szCs w:val="20"/>
              </w:rPr>
              <w:lastRenderedPageBreak/>
              <w:t xml:space="preserve">c) Increased readiness of </w:t>
            </w:r>
            <w:proofErr w:type="spellStart"/>
            <w:r w:rsidRPr="00BC0230">
              <w:rPr>
                <w:sz w:val="20"/>
                <w:szCs w:val="20"/>
              </w:rPr>
              <w:t>GoS</w:t>
            </w:r>
            <w:proofErr w:type="spellEnd"/>
            <w:r w:rsidRPr="00BC0230">
              <w:rPr>
                <w:sz w:val="20"/>
                <w:szCs w:val="20"/>
              </w:rPr>
              <w:t xml:space="preserve"> systems for increased use or the provision of budget support by major development partners</w:t>
            </w:r>
          </w:p>
        </w:tc>
        <w:tc>
          <w:tcPr>
            <w:tcW w:w="2551" w:type="dxa"/>
          </w:tcPr>
          <w:p w:rsidR="00B9353F" w:rsidRPr="00BC0230" w:rsidRDefault="00B9353F" w:rsidP="00B9353F">
            <w:pPr>
              <w:spacing w:before="120"/>
              <w:rPr>
                <w:sz w:val="20"/>
                <w:szCs w:val="20"/>
              </w:rPr>
            </w:pPr>
            <w:r w:rsidRPr="00BC0230">
              <w:rPr>
                <w:sz w:val="20"/>
                <w:szCs w:val="20"/>
              </w:rPr>
              <w:t xml:space="preserve">Progress reported at quarterly development partner meetings and verification in </w:t>
            </w:r>
            <w:proofErr w:type="spellStart"/>
            <w:r w:rsidRPr="00BC0230">
              <w:rPr>
                <w:sz w:val="20"/>
                <w:szCs w:val="20"/>
              </w:rPr>
              <w:t>AusAID</w:t>
            </w:r>
            <w:proofErr w:type="spellEnd"/>
            <w:r w:rsidRPr="00BC0230">
              <w:rPr>
                <w:sz w:val="20"/>
                <w:szCs w:val="20"/>
              </w:rPr>
              <w:t>/ NZAP assessments</w:t>
            </w:r>
          </w:p>
        </w:tc>
        <w:tc>
          <w:tcPr>
            <w:tcW w:w="3614" w:type="dxa"/>
          </w:tcPr>
          <w:p w:rsidR="00B9353F" w:rsidRPr="00BC0230" w:rsidRDefault="00B9353F" w:rsidP="00B9353F">
            <w:pPr>
              <w:numPr>
                <w:ilvl w:val="0"/>
                <w:numId w:val="19"/>
              </w:numPr>
              <w:spacing w:before="120"/>
              <w:rPr>
                <w:sz w:val="20"/>
                <w:szCs w:val="20"/>
              </w:rPr>
            </w:pPr>
            <w:r w:rsidRPr="00BC0230">
              <w:rPr>
                <w:sz w:val="20"/>
                <w:szCs w:val="20"/>
              </w:rPr>
              <w:t>Quarterly Development Partner Meetings conducted</w:t>
            </w:r>
          </w:p>
          <w:p w:rsidR="00B9353F" w:rsidRPr="00BC0230" w:rsidRDefault="00B9353F" w:rsidP="000A4273">
            <w:pPr>
              <w:numPr>
                <w:ilvl w:val="0"/>
                <w:numId w:val="19"/>
              </w:numPr>
              <w:rPr>
                <w:sz w:val="20"/>
                <w:szCs w:val="20"/>
              </w:rPr>
            </w:pPr>
            <w:r w:rsidRPr="00BC0230">
              <w:rPr>
                <w:sz w:val="20"/>
                <w:szCs w:val="20"/>
              </w:rPr>
              <w:t>Progress on PFM reforms reported</w:t>
            </w:r>
          </w:p>
          <w:p w:rsidR="00B9353F" w:rsidRPr="00BC0230" w:rsidRDefault="00442E85" w:rsidP="00442E85">
            <w:pPr>
              <w:spacing w:before="120"/>
              <w:rPr>
                <w:sz w:val="20"/>
                <w:szCs w:val="20"/>
              </w:rPr>
            </w:pPr>
            <w:r w:rsidRPr="00BC0230">
              <w:rPr>
                <w:sz w:val="20"/>
                <w:szCs w:val="20"/>
              </w:rPr>
              <w:t xml:space="preserve">Conclusion: </w:t>
            </w:r>
            <w:r w:rsidR="00B9353F" w:rsidRPr="00BC0230">
              <w:rPr>
                <w:sz w:val="20"/>
                <w:szCs w:val="20"/>
              </w:rPr>
              <w:t xml:space="preserve">Readiness of </w:t>
            </w:r>
            <w:proofErr w:type="spellStart"/>
            <w:r w:rsidR="00B9353F" w:rsidRPr="00BC0230">
              <w:rPr>
                <w:sz w:val="20"/>
                <w:szCs w:val="20"/>
              </w:rPr>
              <w:t>GoS</w:t>
            </w:r>
            <w:proofErr w:type="spellEnd"/>
            <w:r w:rsidR="00B9353F" w:rsidRPr="00BC0230">
              <w:rPr>
                <w:sz w:val="20"/>
                <w:szCs w:val="20"/>
              </w:rPr>
              <w:t xml:space="preserve"> systems </w:t>
            </w:r>
            <w:r w:rsidRPr="00BC0230">
              <w:rPr>
                <w:sz w:val="20"/>
                <w:szCs w:val="20"/>
              </w:rPr>
              <w:t>for increased provision of budget support by DPs has improved</w:t>
            </w:r>
          </w:p>
        </w:tc>
      </w:tr>
    </w:tbl>
    <w:p w:rsidR="00EF43F3" w:rsidRPr="00BC0230" w:rsidRDefault="00F4389B" w:rsidP="00F4389B">
      <w:pPr>
        <w:pStyle w:val="Heading1"/>
      </w:pPr>
      <w:bookmarkStart w:id="11" w:name="_Ref322770778"/>
      <w:bookmarkStart w:id="12" w:name="_Toc322921230"/>
      <w:r w:rsidRPr="00BC0230">
        <w:t xml:space="preserve">Assessment of Progress </w:t>
      </w:r>
      <w:r w:rsidR="00963896" w:rsidRPr="00BC0230">
        <w:t>for Variable Tranche</w:t>
      </w:r>
      <w:bookmarkEnd w:id="11"/>
      <w:bookmarkEnd w:id="12"/>
    </w:p>
    <w:p w:rsidR="008A4C8F" w:rsidRPr="00BC0230" w:rsidRDefault="00A939B2" w:rsidP="00E35B36">
      <w:pPr>
        <w:spacing w:before="120"/>
      </w:pPr>
      <w:r>
        <w:t>This</w:t>
      </w:r>
      <w:r w:rsidR="007E6024" w:rsidRPr="00BC0230">
        <w:t xml:space="preserve"> assessment of progress addressed the achievements against the 30 March 2012 milestone matrix (Annex 2, part 1).  It also assessed what progress had been made to date in achievement of the 30 June 2012 milestone matrix (Annex 2, part 2), and provided an opportunity to discuss with </w:t>
      </w:r>
      <w:proofErr w:type="spellStart"/>
      <w:r w:rsidR="007E6024" w:rsidRPr="00BC0230">
        <w:t>GoS</w:t>
      </w:r>
      <w:proofErr w:type="spellEnd"/>
      <w:r w:rsidR="007E6024" w:rsidRPr="00BC0230">
        <w:t xml:space="preserve"> areas where delays were evident and additional resources or focus may need to be directed if these are to be achieved by 30 June</w:t>
      </w:r>
      <w:r w:rsidR="00E07E44" w:rsidRPr="00BC0230">
        <w:t>.</w:t>
      </w:r>
    </w:p>
    <w:p w:rsidR="00E07E44" w:rsidRPr="00BC0230" w:rsidRDefault="00E07E44" w:rsidP="00E07E44">
      <w:pPr>
        <w:pStyle w:val="Heading2"/>
      </w:pPr>
      <w:bookmarkStart w:id="13" w:name="_Toc322921231"/>
      <w:r w:rsidRPr="00BC0230">
        <w:t>Progress Against 30 March 2012 Milestones</w:t>
      </w:r>
      <w:bookmarkEnd w:id="13"/>
    </w:p>
    <w:p w:rsidR="00E07E44" w:rsidRPr="00BC0230" w:rsidRDefault="00814FD9" w:rsidP="00E07E44">
      <w:pPr>
        <w:spacing w:before="120"/>
      </w:pPr>
      <w:r w:rsidRPr="00BC0230">
        <w:t>Progress against the 30 March 2012 mil</w:t>
      </w:r>
      <w:r w:rsidR="00963896" w:rsidRPr="00BC0230">
        <w:t>estones is summarised in Annex 4.  The matrix in Annex 4</w:t>
      </w:r>
      <w:r w:rsidRPr="00BC0230">
        <w:t xml:space="preserve"> contains the same indicators and </w:t>
      </w:r>
      <w:r w:rsidR="004078E8" w:rsidRPr="00BC0230">
        <w:t>means of verification information as is contained in the matrix in Annex 2 (from the Agreement), with an additional column added to record progress assessed.</w:t>
      </w:r>
      <w:r w:rsidR="00263A0E" w:rsidRPr="00BC0230">
        <w:t xml:space="preserve">  </w:t>
      </w:r>
    </w:p>
    <w:p w:rsidR="00263A0E" w:rsidRPr="00BC0230" w:rsidRDefault="00263A0E" w:rsidP="00E07E44">
      <w:pPr>
        <w:spacing w:before="120"/>
      </w:pPr>
      <w:r w:rsidRPr="00BC0230">
        <w:t xml:space="preserve">In most cases, the targets have been achieved.  This reflects the level of </w:t>
      </w:r>
      <w:proofErr w:type="spellStart"/>
      <w:r w:rsidRPr="00BC0230">
        <w:t>GoS</w:t>
      </w:r>
      <w:proofErr w:type="spellEnd"/>
      <w:r w:rsidRPr="00BC0230">
        <w:t xml:space="preserve"> ownership, particularly from within Ministry of Finance.  As mentioned earlier, </w:t>
      </w:r>
      <w:proofErr w:type="spellStart"/>
      <w:r w:rsidRPr="00BC0230">
        <w:t>GoS</w:t>
      </w:r>
      <w:proofErr w:type="spellEnd"/>
      <w:r w:rsidRPr="00BC0230">
        <w:t xml:space="preserve"> has its own PFMRP with effective monitoring and evaluation mechanisms, and this institutional framework has allowed </w:t>
      </w:r>
      <w:proofErr w:type="spellStart"/>
      <w:r w:rsidR="00BC0230" w:rsidRPr="00BC0230">
        <w:t>MoF</w:t>
      </w:r>
      <w:proofErr w:type="spellEnd"/>
      <w:r w:rsidR="00BC0230" w:rsidRPr="00BC0230">
        <w:t xml:space="preserve"> to</w:t>
      </w:r>
      <w:r w:rsidRPr="00BC0230">
        <w:t xml:space="preserve"> monitor progress against the PLA milestones and take corrective action where necessary.</w:t>
      </w:r>
    </w:p>
    <w:p w:rsidR="00263A0E" w:rsidRPr="00BC0230" w:rsidRDefault="00263A0E" w:rsidP="00E07E44">
      <w:pPr>
        <w:spacing w:before="120"/>
      </w:pPr>
      <w:r w:rsidRPr="00BC0230">
        <w:t>This section of the report does not address each milestone individually</w:t>
      </w:r>
      <w:r w:rsidR="00A939B2">
        <w:t>, apart from what has already been summarised in Annex 4</w:t>
      </w:r>
      <w:r w:rsidRPr="00BC0230">
        <w:t xml:space="preserve">.  The comments below address those milestones where the targets have not been achieved, or where some discussion may provide assistance to </w:t>
      </w:r>
      <w:proofErr w:type="spellStart"/>
      <w:r w:rsidRPr="00BC0230">
        <w:t>GoS</w:t>
      </w:r>
      <w:proofErr w:type="spellEnd"/>
      <w:r w:rsidRPr="00BC0230">
        <w:t xml:space="preserve"> in future assessments.</w:t>
      </w:r>
    </w:p>
    <w:p w:rsidR="00263A0E" w:rsidRPr="00BC0230" w:rsidRDefault="00CE56C2" w:rsidP="00263A0E">
      <w:pPr>
        <w:pStyle w:val="Heading3"/>
      </w:pPr>
      <w:bookmarkStart w:id="14" w:name="_Toc322921232"/>
      <w:r w:rsidRPr="00BC0230">
        <w:t>Number of Sector Plans</w:t>
      </w:r>
      <w:bookmarkEnd w:id="14"/>
    </w:p>
    <w:p w:rsidR="00CE56C2" w:rsidRPr="00BC0230" w:rsidRDefault="00CE56C2" w:rsidP="00CE56C2">
      <w:pPr>
        <w:spacing w:before="120"/>
      </w:pPr>
      <w:r w:rsidRPr="00BC0230">
        <w:t xml:space="preserve">Preparation of sector plans and sector MTEFs are a major part of Samoa’s PFM reform strategy.  </w:t>
      </w:r>
      <w:proofErr w:type="spellStart"/>
      <w:r w:rsidRPr="00BC0230">
        <w:t>MoF</w:t>
      </w:r>
      <w:proofErr w:type="spellEnd"/>
      <w:r w:rsidRPr="00BC0230">
        <w:t xml:space="preserve"> are leading this reform, working with various sectors to strengthen existing plans or to develop new sector plans.  The target incorporated into the 30 March 2012 matrix was to have at least one new sector plan completed and approved by Cabinet or the Cabinet Development Committee.  </w:t>
      </w:r>
      <w:proofErr w:type="spellStart"/>
      <w:r w:rsidRPr="00BC0230">
        <w:t>MoF</w:t>
      </w:r>
      <w:proofErr w:type="spellEnd"/>
      <w:r w:rsidRPr="00BC0230">
        <w:t xml:space="preserve"> submitted the new Trade Commerce &amp; Manufacturing</w:t>
      </w:r>
      <w:r w:rsidR="00054338" w:rsidRPr="00BC0230">
        <w:t xml:space="preserve"> (TCM)</w:t>
      </w:r>
      <w:r w:rsidRPr="00BC0230">
        <w:t xml:space="preserve"> sector plan for assessment.  The 30 March 2012 matrix incorporates a weighting mechanism to recognise that some milestones have a greater degree of difficulty or complexity than others</w:t>
      </w:r>
      <w:r w:rsidR="00C870DC" w:rsidRPr="00BC0230">
        <w:t>, with a weighting of 1 for less complex to 5 for the most complex.  In recognition of the extensive consultations and negotiations that are required to develop a true sector plan, this indicator was given a weighting of 5.</w:t>
      </w:r>
    </w:p>
    <w:p w:rsidR="00C870DC" w:rsidRPr="00BC0230" w:rsidRDefault="00054338" w:rsidP="00CE56C2">
      <w:pPr>
        <w:spacing w:before="120"/>
      </w:pPr>
      <w:r w:rsidRPr="00BC0230">
        <w:lastRenderedPageBreak/>
        <w:t xml:space="preserve">The </w:t>
      </w:r>
      <w:r w:rsidR="006A6B23" w:rsidRPr="00BC0230">
        <w:t>TCM sector plan submitted for evaluation was headed as a ‘</w:t>
      </w:r>
      <w:proofErr w:type="spellStart"/>
      <w:r w:rsidR="006A6B23" w:rsidRPr="00BC0230">
        <w:t>semi final</w:t>
      </w:r>
      <w:proofErr w:type="spellEnd"/>
      <w:r w:rsidR="006A6B23" w:rsidRPr="00BC0230">
        <w:t xml:space="preserve"> draft’.  It has not been approved by Cabinet or by the Cabinet Development Committee.  In 2011 </w:t>
      </w:r>
      <w:proofErr w:type="spellStart"/>
      <w:r w:rsidR="006A6B23" w:rsidRPr="00BC0230">
        <w:t>MoF</w:t>
      </w:r>
      <w:proofErr w:type="spellEnd"/>
      <w:r w:rsidR="006A6B23" w:rsidRPr="00BC0230">
        <w:t xml:space="preserve"> provided guidelines to lead ministries in each sector on the minimum requirements for sector plans.  This was in addition to the more comprehensive guidelines provided in the Sector Planning Manual (2009).  Some of these minimum requirements were incorporated into the indicator contained in the 30 March 2012 matrix.  These are:</w:t>
      </w:r>
    </w:p>
    <w:p w:rsidR="005617FD" w:rsidRPr="00BC0230" w:rsidRDefault="005617FD" w:rsidP="005617FD">
      <w:pPr>
        <w:pStyle w:val="ListParagraph"/>
        <w:numPr>
          <w:ilvl w:val="0"/>
          <w:numId w:val="16"/>
        </w:numPr>
        <w:spacing w:before="120"/>
      </w:pPr>
      <w:r w:rsidRPr="00BC0230">
        <w:t xml:space="preserve">at least 3 key performance indicators, </w:t>
      </w:r>
    </w:p>
    <w:p w:rsidR="005617FD" w:rsidRPr="00BC0230" w:rsidRDefault="005617FD" w:rsidP="005617FD">
      <w:pPr>
        <w:pStyle w:val="ListParagraph"/>
        <w:numPr>
          <w:ilvl w:val="0"/>
          <w:numId w:val="16"/>
        </w:numPr>
        <w:spacing w:before="120"/>
      </w:pPr>
      <w:r w:rsidRPr="00BC0230">
        <w:t xml:space="preserve">institutional arrangements including non-government entities, and </w:t>
      </w:r>
    </w:p>
    <w:p w:rsidR="006A6B23" w:rsidRPr="00BC0230" w:rsidRDefault="005617FD" w:rsidP="005617FD">
      <w:pPr>
        <w:pStyle w:val="ListParagraph"/>
        <w:numPr>
          <w:ilvl w:val="0"/>
          <w:numId w:val="16"/>
        </w:numPr>
        <w:spacing w:before="120"/>
      </w:pPr>
      <w:r w:rsidRPr="00BC0230">
        <w:t>an annual review mechanism</w:t>
      </w:r>
    </w:p>
    <w:p w:rsidR="005617FD" w:rsidRPr="00BC0230" w:rsidRDefault="005617FD" w:rsidP="005617FD">
      <w:pPr>
        <w:spacing w:before="120"/>
      </w:pPr>
      <w:r w:rsidRPr="00BC0230">
        <w:t>Regarding performance indicators, the draft TCM sect</w:t>
      </w:r>
      <w:r w:rsidR="0076050D" w:rsidRPr="00BC0230">
        <w:t>o</w:t>
      </w:r>
      <w:r w:rsidR="00A939B2">
        <w:t>r plan provides a</w:t>
      </w:r>
      <w:r w:rsidR="0076050D" w:rsidRPr="00BC0230">
        <w:t xml:space="preserve"> long</w:t>
      </w:r>
      <w:r w:rsidRPr="00BC0230">
        <w:t xml:space="preserve"> list of indicators.  However, there is no discussion of the feasibility of reporting against these indicators, and no indication of what information systems will be used or what data collections systems are in place to enable reporting against these indicators.</w:t>
      </w:r>
      <w:r w:rsidR="0076050D" w:rsidRPr="00BC0230">
        <w:t xml:space="preserve">  Many of the indicators will clearly be very difficult to measure and involve consi</w:t>
      </w:r>
      <w:r w:rsidR="00910283">
        <w:t>derable research and expense.  I</w:t>
      </w:r>
      <w:r w:rsidR="0076050D" w:rsidRPr="00BC0230">
        <w:t>t will not be feasible to collect and maintain this much data.</w:t>
      </w:r>
    </w:p>
    <w:p w:rsidR="00652A5C" w:rsidRPr="00BC0230" w:rsidRDefault="0076050D" w:rsidP="005617FD">
      <w:pPr>
        <w:spacing w:before="120"/>
      </w:pPr>
      <w:r w:rsidRPr="00BC0230">
        <w:t xml:space="preserve">Institutional arrangements have not been addressed in the plan.  Instead, the draft TCM sector plan has a statement on page 4 of Part 2 that an institutional framework will need to be established.  Again, this </w:t>
      </w:r>
      <w:proofErr w:type="spellStart"/>
      <w:r w:rsidRPr="00BC0230">
        <w:t>under estimates</w:t>
      </w:r>
      <w:proofErr w:type="spellEnd"/>
      <w:r w:rsidRPr="00BC0230">
        <w:t xml:space="preserve"> the importance of the institutional arrangements, and the difficulty that will be encountered in putting these in place.  </w:t>
      </w:r>
      <w:r w:rsidR="003D56E3" w:rsidRPr="00BC0230">
        <w:t>The experience in other sectors is that sensitive political and turf issues inevitably arise, and these will involve complex negotiations with stakeholders in the sector</w:t>
      </w:r>
      <w:r w:rsidR="00910283">
        <w:t>, which will raise difficult political issues</w:t>
      </w:r>
      <w:r w:rsidR="003D56E3" w:rsidRPr="00BC0230">
        <w:t>.</w:t>
      </w:r>
      <w:r w:rsidR="00652A5C" w:rsidRPr="00BC0230">
        <w:t xml:space="preserve"> </w:t>
      </w:r>
      <w:r w:rsidR="003D56E3" w:rsidRPr="00BC0230">
        <w:t xml:space="preserve"> </w:t>
      </w:r>
      <w:r w:rsidR="00652A5C" w:rsidRPr="00BC0230">
        <w:t xml:space="preserve">Other sectors are grappling with these issues (e.g. education) as they </w:t>
      </w:r>
      <w:r w:rsidR="00CD0045" w:rsidRPr="00BC0230">
        <w:t>work to produce</w:t>
      </w:r>
      <w:r w:rsidR="00652A5C" w:rsidRPr="00BC0230">
        <w:t xml:space="preserve"> their sector plans.</w:t>
      </w:r>
      <w:r w:rsidR="00910283">
        <w:t xml:space="preserve">  However, until these are addressed, the sector plan is not ready for implementation.</w:t>
      </w:r>
    </w:p>
    <w:p w:rsidR="0076050D" w:rsidRPr="00BC0230" w:rsidRDefault="003D56E3" w:rsidP="005617FD">
      <w:pPr>
        <w:spacing w:before="120"/>
      </w:pPr>
      <w:r w:rsidRPr="00BC0230">
        <w:t xml:space="preserve">What will be the membership of the steering committee?  In which ministry will the sector coordinating unit be sponsored, and who will comprise the sector coordinating unit?  What will be the reporting requirements for the various sub projects, the sector coordinating unit and the steering committee?  What will be the timing of the steering committee meetings and </w:t>
      </w:r>
      <w:r w:rsidR="00652A5C" w:rsidRPr="00BC0230">
        <w:t xml:space="preserve">how do these harmonise with the </w:t>
      </w:r>
      <w:proofErr w:type="spellStart"/>
      <w:r w:rsidR="00652A5C" w:rsidRPr="00BC0230">
        <w:t>GoS</w:t>
      </w:r>
      <w:proofErr w:type="spellEnd"/>
      <w:r w:rsidR="00652A5C" w:rsidRPr="00BC0230">
        <w:t xml:space="preserve"> planning and budgeting cycles and with development partner requirements?  Depending on the composition of the steering committee and the sector coordinating unit, what capacity building will the membership require?</w:t>
      </w:r>
    </w:p>
    <w:p w:rsidR="00652A5C" w:rsidRPr="00BC0230" w:rsidRDefault="00CD0045" w:rsidP="005617FD">
      <w:pPr>
        <w:spacing w:before="120"/>
      </w:pPr>
      <w:r w:rsidRPr="00BC0230">
        <w:t>The draft sector plan does not address the annual review mechanism.</w:t>
      </w:r>
      <w:r w:rsidR="00285E44" w:rsidRPr="00BC0230">
        <w:t xml:space="preserve">  In the discussion of the monitoring and evaluation framework, the draft says that this is integrated into the integration framework of each intervention.  </w:t>
      </w:r>
      <w:r w:rsidR="004F08EE" w:rsidRPr="00BC0230">
        <w:t>However, this does not sufficiently recognise that the sector as a whole has outcomes, and there must be some clearly defined mechanism for the steering committee and other external stakeholders to evaluate whether these higher level sectoral outcomes are being achieved.  The annual review mechanism is not discussed, but it is a critical and difficult process whereby the sector submits itself and its performance to evaluation by internal and external stakeholders.</w:t>
      </w:r>
    </w:p>
    <w:p w:rsidR="004F08EE" w:rsidRPr="00BC0230" w:rsidRDefault="004F08EE" w:rsidP="005617FD">
      <w:pPr>
        <w:spacing w:before="120"/>
      </w:pPr>
      <w:r w:rsidRPr="00BC0230">
        <w:t xml:space="preserve">Although not one of the three minimum requirements specified in the 30 March 2012 matrix, the costing of the sector plan is also an important pillar of the sector plan that has not been addressed.  </w:t>
      </w:r>
      <w:r w:rsidR="00E01EA5" w:rsidRPr="00BC0230">
        <w:t xml:space="preserve">One component of the costing has been addressed in terms of what each intervention may cost.  But this does not provide enough information for </w:t>
      </w:r>
      <w:proofErr w:type="spellStart"/>
      <w:r w:rsidR="00E01EA5" w:rsidRPr="00BC0230">
        <w:t>MoF</w:t>
      </w:r>
      <w:proofErr w:type="spellEnd"/>
      <w:r w:rsidR="00E01EA5" w:rsidRPr="00BC0230">
        <w:t xml:space="preserve"> and Development Partners to assess whether the TCM sector plan strategies and outcomes should be funded in preference to other sector plan strategies and outcomes.  In addition to the estimated cost of each intervention, the costing should make clear to </w:t>
      </w:r>
      <w:proofErr w:type="spellStart"/>
      <w:r w:rsidR="00E01EA5" w:rsidRPr="00BC0230">
        <w:t>MoF</w:t>
      </w:r>
      <w:proofErr w:type="spellEnd"/>
      <w:r w:rsidR="00E01EA5" w:rsidRPr="00BC0230">
        <w:t xml:space="preserve"> how much of this will be funded by existing outputs and below the line initiatives/grants of </w:t>
      </w:r>
      <w:r w:rsidR="00910283">
        <w:t xml:space="preserve">which </w:t>
      </w:r>
      <w:r w:rsidR="00E01EA5" w:rsidRPr="00BC0230">
        <w:lastRenderedPageBreak/>
        <w:t>ministries</w:t>
      </w:r>
      <w:r w:rsidR="00910283">
        <w:t>/public bodies</w:t>
      </w:r>
      <w:r w:rsidR="00E01EA5" w:rsidRPr="00BC0230">
        <w:t>, how much will be funded by existing development partner assistance, and what the funding gap is.  This is the</w:t>
      </w:r>
      <w:r w:rsidR="00910283">
        <w:t xml:space="preserve"> logic of the</w:t>
      </w:r>
      <w:r w:rsidR="00E01EA5" w:rsidRPr="00BC0230">
        <w:t xml:space="preserve"> </w:t>
      </w:r>
      <w:r w:rsidR="00910283">
        <w:t xml:space="preserve">costing </w:t>
      </w:r>
      <w:r w:rsidR="00E01EA5" w:rsidRPr="00BC0230">
        <w:t>model set out in the Sector Planning Manual.</w:t>
      </w:r>
    </w:p>
    <w:p w:rsidR="00DB7FBB" w:rsidRPr="00BC0230" w:rsidRDefault="00DB7FBB" w:rsidP="005617FD">
      <w:pPr>
        <w:spacing w:before="120"/>
      </w:pPr>
      <w:r w:rsidRPr="00BC0230">
        <w:t xml:space="preserve">This will then allow </w:t>
      </w:r>
      <w:proofErr w:type="spellStart"/>
      <w:r w:rsidRPr="00BC0230">
        <w:t>MoF</w:t>
      </w:r>
      <w:proofErr w:type="spellEnd"/>
      <w:r w:rsidRPr="00BC0230">
        <w:t xml:space="preserve">, i.e. the Budget Division and the Aid Coordination Division, to assess whether additional budget funding should be directed towards implementation of the TCM sector plan.  Budget Division and Aid Coordination Division will have many sectors seeking additional budget funding or budget support funding to implement strategies to achieve their outcomes.  Priorities have to be set, and funding choices made.  The costing in the sector plan needs to facilitate this process for </w:t>
      </w:r>
      <w:proofErr w:type="spellStart"/>
      <w:r w:rsidRPr="00BC0230">
        <w:t>MoF</w:t>
      </w:r>
      <w:proofErr w:type="spellEnd"/>
      <w:r w:rsidRPr="00BC0230">
        <w:t>.</w:t>
      </w:r>
    </w:p>
    <w:p w:rsidR="00DB7FBB" w:rsidRPr="00BC0230" w:rsidRDefault="00DB7FBB" w:rsidP="005617FD">
      <w:pPr>
        <w:spacing w:before="120"/>
      </w:pPr>
      <w:r w:rsidRPr="00BC0230">
        <w:t>On the basis of the TCM sector plan as submitted for assessment, the recommendation is that it be scored at 2 out the possible maximum 5.</w:t>
      </w:r>
    </w:p>
    <w:p w:rsidR="00DB7FBB" w:rsidRPr="00BC0230" w:rsidRDefault="00DB7FBB" w:rsidP="00DB7FBB">
      <w:pPr>
        <w:pStyle w:val="Heading3"/>
      </w:pPr>
      <w:bookmarkStart w:id="15" w:name="_Ref322770647"/>
      <w:bookmarkStart w:id="16" w:name="_Toc322921233"/>
      <w:r w:rsidRPr="00BC0230">
        <w:t>Procurement Review</w:t>
      </w:r>
      <w:bookmarkEnd w:id="15"/>
      <w:bookmarkEnd w:id="16"/>
    </w:p>
    <w:p w:rsidR="00DB7FBB" w:rsidRPr="00BC0230" w:rsidRDefault="00BB6222" w:rsidP="00DB7FBB">
      <w:pPr>
        <w:spacing w:before="120"/>
      </w:pPr>
      <w:r w:rsidRPr="00BC0230">
        <w:t xml:space="preserve">The need to carry out a review or assessment of the </w:t>
      </w:r>
      <w:proofErr w:type="spellStart"/>
      <w:r w:rsidRPr="00BC0230">
        <w:t>GoS</w:t>
      </w:r>
      <w:proofErr w:type="spellEnd"/>
      <w:r w:rsidRPr="00BC0230">
        <w:t xml:space="preserve"> procurement systems arose from the </w:t>
      </w:r>
      <w:proofErr w:type="spellStart"/>
      <w:r w:rsidRPr="00BC0230">
        <w:t>AusAID</w:t>
      </w:r>
      <w:proofErr w:type="spellEnd"/>
      <w:r w:rsidRPr="00BC0230">
        <w:t xml:space="preserve"> funded Assessment of National Systems carried out </w:t>
      </w:r>
      <w:proofErr w:type="spellStart"/>
      <w:r w:rsidRPr="00BC0230">
        <w:t>mid 2011</w:t>
      </w:r>
      <w:proofErr w:type="spellEnd"/>
      <w:r w:rsidRPr="00BC0230">
        <w:t xml:space="preserve">.  </w:t>
      </w:r>
      <w:proofErr w:type="spellStart"/>
      <w:r w:rsidRPr="00BC0230">
        <w:t>GoS</w:t>
      </w:r>
      <w:proofErr w:type="spellEnd"/>
      <w:r w:rsidRPr="00BC0230">
        <w:t xml:space="preserve"> also recognised the need to reform its procurement systems and had already incorporated this into its PFMRP.  Their original intention was to carry out a review of their systems, and then implement reforms to address any weaknesses identified.  </w:t>
      </w:r>
      <w:proofErr w:type="spellStart"/>
      <w:r w:rsidRPr="00BC0230">
        <w:t>MoF</w:t>
      </w:r>
      <w:proofErr w:type="spellEnd"/>
      <w:r w:rsidRPr="00BC0230">
        <w:t xml:space="preserve"> originally scheduled this procurement review</w:t>
      </w:r>
      <w:r w:rsidR="00473BB2" w:rsidRPr="00BC0230">
        <w:t xml:space="preserve"> for early 2012.  In the event, </w:t>
      </w:r>
      <w:proofErr w:type="spellStart"/>
      <w:r w:rsidR="00473BB2" w:rsidRPr="00BC0230">
        <w:t>MoF</w:t>
      </w:r>
      <w:proofErr w:type="spellEnd"/>
      <w:r w:rsidR="00473BB2" w:rsidRPr="00BC0230">
        <w:t xml:space="preserve"> established a new Procurement Unit in 2011, and through PFMRP, retained te</w:t>
      </w:r>
      <w:r w:rsidR="00024E41" w:rsidRPr="00BC0230">
        <w:t>chnical assistance from January</w:t>
      </w:r>
      <w:r w:rsidR="00473BB2" w:rsidRPr="00BC0230">
        <w:t xml:space="preserve"> 2012 to implement some of the more urgent and important reforms.  This technical assistance is scheduled for completion in June 2012.</w:t>
      </w:r>
    </w:p>
    <w:p w:rsidR="00473BB2" w:rsidRPr="00BC0230" w:rsidRDefault="00EF5E59" w:rsidP="00DB7FBB">
      <w:pPr>
        <w:spacing w:before="120"/>
      </w:pPr>
      <w:proofErr w:type="spellStart"/>
      <w:r w:rsidRPr="00BC0230">
        <w:t>MoF</w:t>
      </w:r>
      <w:proofErr w:type="spellEnd"/>
      <w:r w:rsidRPr="00BC0230">
        <w:t xml:space="preserve"> took a deliberate decision to defer the procurement review from early 2012 until July 2012.  Their judgement was that to carry out the independent external review in the middle of the current TA, and whilst procurement reforms were being implemented, would not add value to the review or to the reforms.  To maximise the value and benefit of the review, they decided to defer </w:t>
      </w:r>
      <w:r w:rsidR="003C31A4">
        <w:t xml:space="preserve">it </w:t>
      </w:r>
      <w:r w:rsidRPr="00BC0230">
        <w:t>until July 2012.</w:t>
      </w:r>
      <w:r w:rsidR="003C31A4">
        <w:t xml:space="preserve"> </w:t>
      </w:r>
      <w:r w:rsidRPr="00BC0230">
        <w:t xml:space="preserve"> </w:t>
      </w:r>
      <w:proofErr w:type="spellStart"/>
      <w:r w:rsidRPr="00BC0230">
        <w:t>MoF</w:t>
      </w:r>
      <w:proofErr w:type="spellEnd"/>
      <w:r w:rsidRPr="00BC0230">
        <w:t xml:space="preserve"> have identified an independent procurement expert to carry out the review in July 2012.</w:t>
      </w:r>
      <w:r w:rsidR="001D613A" w:rsidRPr="00BC0230">
        <w:t xml:space="preserve">  The procurement review will add more value to the broader procurement reform process if it is delayed until the completion of the current TA and the current round of reforms.</w:t>
      </w:r>
    </w:p>
    <w:p w:rsidR="00EF5E59" w:rsidRPr="00BC0230" w:rsidRDefault="00EF5E59" w:rsidP="00DB7FBB">
      <w:pPr>
        <w:spacing w:before="120"/>
      </w:pPr>
      <w:r w:rsidRPr="00BC0230">
        <w:t xml:space="preserve">This Assessment Mission is of the view that although this indicator was not completed by 30 March, it was deferred for very good business reasons.  It would not be wise to allow a </w:t>
      </w:r>
      <w:r w:rsidR="001D613A" w:rsidRPr="00BC0230">
        <w:t xml:space="preserve">single </w:t>
      </w:r>
      <w:r w:rsidRPr="00BC0230">
        <w:t xml:space="preserve">performance indicator to </w:t>
      </w:r>
      <w:r w:rsidR="001D613A" w:rsidRPr="00BC0230">
        <w:t xml:space="preserve">require a badly time </w:t>
      </w:r>
      <w:r w:rsidR="003C31A4">
        <w:t>procurement review</w:t>
      </w:r>
      <w:r w:rsidR="001D613A" w:rsidRPr="00BC0230">
        <w:t>.  This Assessment therefore rec</w:t>
      </w:r>
      <w:r w:rsidR="003C31A4">
        <w:t xml:space="preserve">ommends that </w:t>
      </w:r>
      <w:proofErr w:type="spellStart"/>
      <w:r w:rsidR="003C31A4">
        <w:t>AusAID</w:t>
      </w:r>
      <w:proofErr w:type="spellEnd"/>
      <w:r w:rsidR="003C31A4">
        <w:t xml:space="preserve"> utilises</w:t>
      </w:r>
      <w:r w:rsidR="001D613A" w:rsidRPr="00BC0230">
        <w:t xml:space="preserve"> the discretion available to it under the Agreement to not adjust the incentive payment as a result of this indicator not being met by 30 March.</w:t>
      </w:r>
    </w:p>
    <w:p w:rsidR="001D613A" w:rsidRPr="00BC0230" w:rsidRDefault="0033155E" w:rsidP="0033155E">
      <w:pPr>
        <w:pStyle w:val="Heading3"/>
      </w:pPr>
      <w:bookmarkStart w:id="17" w:name="_Toc322921234"/>
      <w:r w:rsidRPr="00BC0230">
        <w:t>Budget Planning Committee</w:t>
      </w:r>
      <w:bookmarkEnd w:id="17"/>
    </w:p>
    <w:p w:rsidR="0033155E" w:rsidRPr="00BC0230" w:rsidRDefault="0033155E" w:rsidP="0033155E">
      <w:pPr>
        <w:spacing w:before="120"/>
      </w:pPr>
      <w:r w:rsidRPr="00BC0230">
        <w:t xml:space="preserve">The policy action required in the 30 March 2012 matrix was for the Budget Cycle to be adhered to and links with planning strengthened as evidenced by Budget Planning Committee meetings taking place at least quarterly in FY 2011/12, with the scoring based on the number of meetings held.   The background to this measure is that a </w:t>
      </w:r>
      <w:proofErr w:type="spellStart"/>
      <w:r w:rsidRPr="00BC0230">
        <w:t>MoF</w:t>
      </w:r>
      <w:proofErr w:type="spellEnd"/>
      <w:r w:rsidRPr="00BC0230">
        <w:t xml:space="preserve"> Budget Planning Committee that had in earlier years formed an important part of the planning and budgeting systems for </w:t>
      </w:r>
      <w:proofErr w:type="spellStart"/>
      <w:r w:rsidRPr="00BC0230">
        <w:t>GoS</w:t>
      </w:r>
      <w:proofErr w:type="spellEnd"/>
      <w:r w:rsidRPr="00BC0230">
        <w:t xml:space="preserve">, had not met for several years.  </w:t>
      </w:r>
      <w:proofErr w:type="spellStart"/>
      <w:r w:rsidRPr="00BC0230">
        <w:t>MoF</w:t>
      </w:r>
      <w:proofErr w:type="spellEnd"/>
      <w:r w:rsidRPr="00BC0230">
        <w:t xml:space="preserve"> and its development partners agreed that the formality and discipline delivered through a Budget Planning Committee process would improve the quality of the annual budget strategy formulation, and bring more transparency and rigor to the process. </w:t>
      </w:r>
    </w:p>
    <w:p w:rsidR="00BD660F" w:rsidRPr="00BC0230" w:rsidRDefault="00BD660F" w:rsidP="0033155E">
      <w:pPr>
        <w:spacing w:before="120"/>
      </w:pPr>
      <w:r w:rsidRPr="00BC0230">
        <w:t xml:space="preserve">At least two meetings of the Committee have been held, and copies of minutes were provided.  </w:t>
      </w:r>
      <w:proofErr w:type="spellStart"/>
      <w:r w:rsidRPr="00BC0230">
        <w:t>GoS</w:t>
      </w:r>
      <w:proofErr w:type="spellEnd"/>
      <w:r w:rsidRPr="00BC0230">
        <w:t xml:space="preserve"> has agreed with the IMF and Development Partners that following the </w:t>
      </w:r>
      <w:r w:rsidRPr="00BC0230">
        <w:lastRenderedPageBreak/>
        <w:t xml:space="preserve">increase in the size of fiscal deficits in recent years as Samoa met the challenges of the global financial crisis and the impacts of the 2009 tsunami, a period of fiscal consolidation is now required, and the deficit should be progressively reduced from its current projected level of 6% of GDP for 2012, to a more sustainable level of less than 3% of GDP.  This will be challenging for </w:t>
      </w:r>
      <w:proofErr w:type="spellStart"/>
      <w:r w:rsidRPr="00BC0230">
        <w:t>GoS</w:t>
      </w:r>
      <w:proofErr w:type="spellEnd"/>
      <w:r w:rsidRPr="00BC0230">
        <w:t>.  The Budget Planning Committee can add valu</w:t>
      </w:r>
      <w:r w:rsidR="003C31A4">
        <w:t>e to the implementation of this</w:t>
      </w:r>
      <w:r w:rsidRPr="00BC0230">
        <w:t xml:space="preserve"> strategy.  </w:t>
      </w:r>
    </w:p>
    <w:p w:rsidR="000F57D6" w:rsidRPr="00BC0230" w:rsidRDefault="000F57D6" w:rsidP="004078E8">
      <w:pPr>
        <w:pStyle w:val="Heading2"/>
      </w:pPr>
      <w:bookmarkStart w:id="18" w:name="_Ref322770648"/>
      <w:bookmarkStart w:id="19" w:name="_Toc322921235"/>
      <w:r w:rsidRPr="00BC0230">
        <w:t>Summary of Progress for Variable Tranche</w:t>
      </w:r>
      <w:bookmarkEnd w:id="18"/>
      <w:bookmarkEnd w:id="19"/>
    </w:p>
    <w:p w:rsidR="000F57D6" w:rsidRPr="00BC0230" w:rsidRDefault="000F57D6" w:rsidP="000F57D6">
      <w:pPr>
        <w:spacing w:before="120"/>
      </w:pPr>
      <w:r w:rsidRPr="00BC0230">
        <w:t xml:space="preserve">Referring to the scoring matrix in Annex 2, and </w:t>
      </w:r>
      <w:r w:rsidR="005D78C2" w:rsidRPr="00BC0230">
        <w:t>recognising the recommended score of 2 out of 5 for the Number of Sector Plans indicator, the total score for the purposes of calculating the variable tranche is 30 out of a possible maximum of 33.</w:t>
      </w:r>
    </w:p>
    <w:p w:rsidR="004078E8" w:rsidRPr="00BC0230" w:rsidRDefault="004078E8" w:rsidP="004078E8">
      <w:pPr>
        <w:pStyle w:val="Heading2"/>
      </w:pPr>
      <w:bookmarkStart w:id="20" w:name="_Toc322921236"/>
      <w:r w:rsidRPr="00BC0230">
        <w:t>Progress Against 30 June 2012 Milestones</w:t>
      </w:r>
      <w:bookmarkEnd w:id="20"/>
    </w:p>
    <w:p w:rsidR="004078E8" w:rsidRPr="00BC0230" w:rsidRDefault="004078E8" w:rsidP="004078E8">
      <w:pPr>
        <w:spacing w:before="120"/>
      </w:pPr>
      <w:r w:rsidRPr="00BC0230">
        <w:t>Progress against the 30 June 2012 milestones is summarised in</w:t>
      </w:r>
      <w:r w:rsidR="00EE2C47">
        <w:t xml:space="preserve"> Annex 5.  The matrix in Annex 5</w:t>
      </w:r>
      <w:r w:rsidRPr="00BC0230">
        <w:t xml:space="preserve"> contains the same indicators and means of verification information as is contained in the matrix in Annex 2 (from the Agreement), with an additional column added to record progress to date, i.e. 18 April 2012</w:t>
      </w:r>
      <w:r w:rsidR="0064591C" w:rsidRPr="00BC0230">
        <w:t>, recognising that these milestones are not due for completion until 30 June</w:t>
      </w:r>
      <w:r w:rsidRPr="00BC0230">
        <w:t>.</w:t>
      </w:r>
      <w:r w:rsidR="0064591C" w:rsidRPr="00BC0230">
        <w:t xml:space="preserve">  Progress was discussed with each of the relevant Ministries and division heads, and is summarised in the matrix.  There are some areas that warrant further discussion</w:t>
      </w:r>
      <w:r w:rsidR="002046DE" w:rsidRPr="00BC0230">
        <w:t>.</w:t>
      </w:r>
    </w:p>
    <w:p w:rsidR="002046DE" w:rsidRPr="00BC0230" w:rsidRDefault="002046DE" w:rsidP="00AF12F3">
      <w:pPr>
        <w:pStyle w:val="Heading3"/>
      </w:pPr>
      <w:bookmarkStart w:id="21" w:name="_Toc322921237"/>
      <w:r w:rsidRPr="00BC0230">
        <w:t>Sector Planning</w:t>
      </w:r>
      <w:bookmarkEnd w:id="21"/>
    </w:p>
    <w:p w:rsidR="006C0563" w:rsidRPr="00BC0230" w:rsidRDefault="006C0563" w:rsidP="002046DE">
      <w:pPr>
        <w:spacing w:before="120"/>
      </w:pPr>
      <w:r w:rsidRPr="00BC0230">
        <w:t xml:space="preserve">In addition to the TCM sector plan submitted to meet the March 2012 milestone target, there are several other sector plans currently under preparation.  The processes supporting preparation of sector plans are complex, sensitive, political and time consuming.  </w:t>
      </w:r>
      <w:r w:rsidR="005D2571" w:rsidRPr="00BC0230">
        <w:t>One of the challenges faced by the Ministry of Commerce Industry and Labour (who sponsored preparation of the TCM sector plan) was that an external consultant was retained to facilitate the process, but that consultant was based overseas and was not always available to deal with the complex consultations and negotiations that were needed to move the preparation of the plan forward.  Other sectors can learn from this experience.</w:t>
      </w:r>
    </w:p>
    <w:p w:rsidR="005D2571" w:rsidRPr="00BC0230" w:rsidRDefault="005D2571" w:rsidP="002046DE">
      <w:pPr>
        <w:spacing w:before="120"/>
      </w:pPr>
      <w:proofErr w:type="spellStart"/>
      <w:r w:rsidRPr="00BC0230">
        <w:t>MoF</w:t>
      </w:r>
      <w:proofErr w:type="spellEnd"/>
      <w:r w:rsidRPr="00BC0230">
        <w:t xml:space="preserve"> EPPD have provided the framework within which sector plans should be prepared (Sector Planning Manual 2009, and the 2011 minimum requirements), and are well placed to advise and support each of the sectors </w:t>
      </w:r>
      <w:r w:rsidR="00602898" w:rsidRPr="00BC0230">
        <w:t xml:space="preserve">that are developing or updating sector plans. </w:t>
      </w:r>
      <w:r w:rsidR="00EE2C47">
        <w:t xml:space="preserve"> </w:t>
      </w:r>
      <w:r w:rsidR="00602898" w:rsidRPr="00BC0230">
        <w:t>However, it is not their role to prepare the plan or lead the process of preparing the plan.  Without real ownership, leadership and political commitment from the key ministries and stakeholders within the relevant sector, there is a risk that the resulting sector plan will be largely an academic exercise and unlikely to reflect desired outcomes for that sector.</w:t>
      </w:r>
    </w:p>
    <w:p w:rsidR="00602898" w:rsidRPr="00BC0230" w:rsidRDefault="00602898" w:rsidP="002046DE">
      <w:pPr>
        <w:spacing w:before="120"/>
      </w:pPr>
      <w:r w:rsidRPr="00BC0230">
        <w:t xml:space="preserve">As with the review of procurement milestone discussed in </w:t>
      </w:r>
      <w:r w:rsidR="007400A9" w:rsidRPr="00BC0230">
        <w:fldChar w:fldCharType="begin"/>
      </w:r>
      <w:r w:rsidR="007400A9" w:rsidRPr="00BC0230">
        <w:instrText xml:space="preserve"> REF _Ref322770647 \r \h </w:instrText>
      </w:r>
      <w:r w:rsidR="007400A9" w:rsidRPr="00BC0230">
        <w:fldChar w:fldCharType="separate"/>
      </w:r>
      <w:r w:rsidR="007400A9" w:rsidRPr="00BC0230">
        <w:t>6.1.2</w:t>
      </w:r>
      <w:r w:rsidR="007400A9" w:rsidRPr="00BC0230">
        <w:fldChar w:fldCharType="end"/>
      </w:r>
      <w:r w:rsidR="007400A9" w:rsidRPr="00BC0230">
        <w:t xml:space="preserve"> above, </w:t>
      </w:r>
      <w:proofErr w:type="spellStart"/>
      <w:r w:rsidR="007400A9" w:rsidRPr="00BC0230">
        <w:t>MoF</w:t>
      </w:r>
      <w:proofErr w:type="spellEnd"/>
      <w:r w:rsidR="007400A9" w:rsidRPr="00BC0230">
        <w:t xml:space="preserve"> should consider whether a better quality sector plan more likely to reflect the true needed sector outcomes and with greater ownership could be developed by allowing additional time.  </w:t>
      </w:r>
    </w:p>
    <w:p w:rsidR="00AF12F3" w:rsidRPr="00BC0230" w:rsidRDefault="00AF12F3" w:rsidP="00AF12F3">
      <w:pPr>
        <w:pStyle w:val="Heading3"/>
      </w:pPr>
      <w:bookmarkStart w:id="22" w:name="_Toc322921238"/>
      <w:r w:rsidRPr="00BC0230">
        <w:t>Treasury Instructions</w:t>
      </w:r>
      <w:bookmarkEnd w:id="22"/>
    </w:p>
    <w:p w:rsidR="00AF12F3" w:rsidRPr="00BC0230" w:rsidRDefault="002046DE" w:rsidP="00AF12F3">
      <w:pPr>
        <w:spacing w:before="120"/>
      </w:pPr>
      <w:r w:rsidRPr="00BC0230">
        <w:t>The revision of the Treasury Instructions (TIs) c</w:t>
      </w:r>
      <w:r w:rsidR="00BC0230" w:rsidRPr="00BC0230">
        <w:t>ommenced early in 2010, and has</w:t>
      </w:r>
      <w:r w:rsidRPr="00BC0230">
        <w:t xml:space="preserve"> now reached a stage where </w:t>
      </w:r>
      <w:proofErr w:type="spellStart"/>
      <w:r w:rsidRPr="00BC0230">
        <w:t>MoF</w:t>
      </w:r>
      <w:proofErr w:type="spellEnd"/>
      <w:r w:rsidRPr="00BC0230">
        <w:t xml:space="preserve"> are ready to seek comment and feedback from outside of </w:t>
      </w:r>
      <w:proofErr w:type="spellStart"/>
      <w:r w:rsidRPr="00BC0230">
        <w:t>MoF</w:t>
      </w:r>
      <w:proofErr w:type="spellEnd"/>
      <w:r w:rsidRPr="00BC0230">
        <w:t xml:space="preserve">, i.e. from other government agencies. </w:t>
      </w:r>
      <w:r w:rsidR="00EE2C47">
        <w:t xml:space="preserve"> </w:t>
      </w:r>
      <w:r w:rsidRPr="00BC0230">
        <w:t xml:space="preserve">Any feedback will need to be analysed, and where appropriate further revisions made to the current draft revised FIs.  </w:t>
      </w:r>
      <w:r w:rsidR="0003785D" w:rsidRPr="00BC0230">
        <w:t xml:space="preserve">To complete this process by 30 June will be challenging for </w:t>
      </w:r>
      <w:proofErr w:type="spellStart"/>
      <w:r w:rsidR="0003785D" w:rsidRPr="00BC0230">
        <w:t>MoF</w:t>
      </w:r>
      <w:proofErr w:type="spellEnd"/>
      <w:r w:rsidR="0003785D" w:rsidRPr="00BC0230">
        <w:t xml:space="preserve">.   </w:t>
      </w:r>
    </w:p>
    <w:p w:rsidR="0003785D" w:rsidRPr="00BC0230" w:rsidRDefault="0003785D" w:rsidP="00AF12F3">
      <w:pPr>
        <w:spacing w:before="120"/>
      </w:pPr>
      <w:r w:rsidRPr="00BC0230">
        <w:lastRenderedPageBreak/>
        <w:t>There is another contingency that may further delay the approval of the TIs, at least in the</w:t>
      </w:r>
      <w:r w:rsidR="00EE2C47">
        <w:t>ir</w:t>
      </w:r>
      <w:r w:rsidRPr="00BC0230">
        <w:t xml:space="preserve"> current form.  The progress report of the Procurement Adviser (17 April 2012) indicates that the chapter of the draft TIs dealing with Procurement will need radical revision and expansion.  There is no indication how long this will take, or what level of consultations it will involve.  The progress report also recommends that the TIs ought to be broken down into several different instructions to deal with major subject areas, one of </w:t>
      </w:r>
      <w:r w:rsidR="00024E41" w:rsidRPr="00BC0230">
        <w:t xml:space="preserve">which would be procurement.  This would provide flexibility for managing the TIs and for future revisions. </w:t>
      </w:r>
    </w:p>
    <w:p w:rsidR="00024E41" w:rsidRPr="00BC0230" w:rsidRDefault="00024E41" w:rsidP="00AF12F3">
      <w:pPr>
        <w:spacing w:before="120"/>
      </w:pPr>
      <w:r w:rsidRPr="00BC0230">
        <w:t>If the radical revisions to the draft chapter of the</w:t>
      </w:r>
      <w:r w:rsidR="00BC0230" w:rsidRPr="00BC0230">
        <w:t xml:space="preserve"> TIs dealing with Procurement are</w:t>
      </w:r>
      <w:r w:rsidRPr="00BC0230">
        <w:t xml:space="preserve"> likely to delay approval and release of the TIs beyond 30 June, </w:t>
      </w:r>
      <w:proofErr w:type="spellStart"/>
      <w:r w:rsidRPr="00BC0230">
        <w:t>MoF</w:t>
      </w:r>
      <w:proofErr w:type="spellEnd"/>
      <w:r w:rsidRPr="00BC0230">
        <w:t xml:space="preserve"> may need to consider the suggestion of the Procurement Adviser to split the TIs so that a separate TI on Procurement can be issued at a later date.  </w:t>
      </w:r>
    </w:p>
    <w:p w:rsidR="00AF12F3" w:rsidRPr="00BC0230" w:rsidRDefault="004B798E" w:rsidP="004B798E">
      <w:pPr>
        <w:pStyle w:val="Heading3"/>
      </w:pPr>
      <w:bookmarkStart w:id="23" w:name="_Toc322921239"/>
      <w:r w:rsidRPr="00BC0230">
        <w:t>Strategic Plan for Internal Audit</w:t>
      </w:r>
      <w:bookmarkEnd w:id="23"/>
    </w:p>
    <w:p w:rsidR="004B798E" w:rsidRPr="00BC0230" w:rsidRDefault="009A2231" w:rsidP="004B798E">
      <w:pPr>
        <w:spacing w:before="120"/>
      </w:pPr>
      <w:r w:rsidRPr="00BC0230">
        <w:t xml:space="preserve">One of the common themes emanating from PFM assessments across the Pacific is the transition from a previously centralised internal audit function, to a progressively decentralised internal audit function where internal auditors are established in key larger ministries, to provide assurance to CEOs that internal controls are in place, and appropriate and that they are being complied.  In some cases this decentralisation process is supported by legislation or regulation, in other cases it is not.  In </w:t>
      </w:r>
      <w:proofErr w:type="spellStart"/>
      <w:r w:rsidRPr="00BC0230">
        <w:t>GoS</w:t>
      </w:r>
      <w:proofErr w:type="spellEnd"/>
      <w:r w:rsidRPr="00BC0230">
        <w:t>, the PFM Act</w:t>
      </w:r>
      <w:r w:rsidR="001E11A8" w:rsidRPr="00BC0230">
        <w:t xml:space="preserve"> (s.13(1)(o))</w:t>
      </w:r>
      <w:r w:rsidRPr="00BC0230">
        <w:t xml:space="preserve"> clearly places responsibility for an effective internal audit function on the CEO of each ministry.  However, the PFM Act does not make it clear what the role of the central Internal Audit &amp; Investigations Unit in </w:t>
      </w:r>
      <w:proofErr w:type="spellStart"/>
      <w:r w:rsidRPr="00BC0230">
        <w:t>MoF</w:t>
      </w:r>
      <w:proofErr w:type="spellEnd"/>
      <w:r w:rsidRPr="00BC0230">
        <w:t xml:space="preserve"> is with regard to the internal audit units in </w:t>
      </w:r>
      <w:r w:rsidR="001E11A8" w:rsidRPr="00BC0230">
        <w:t>the line ministries.</w:t>
      </w:r>
    </w:p>
    <w:p w:rsidR="001E11A8" w:rsidRPr="00BC0230" w:rsidRDefault="001E11A8" w:rsidP="00C83B3B">
      <w:pPr>
        <w:spacing w:before="120"/>
      </w:pPr>
      <w:r w:rsidRPr="00BC0230">
        <w:t>This issue was identified in an earlier ADB report on internal audit in Samoa</w:t>
      </w:r>
      <w:r w:rsidRPr="00BC0230">
        <w:rPr>
          <w:rStyle w:val="FootnoteReference"/>
        </w:rPr>
        <w:footnoteReference w:id="4"/>
      </w:r>
      <w:r w:rsidR="00C83B3B" w:rsidRPr="00BC0230">
        <w:t xml:space="preserve">, which pointed out that “The IAID in the MOF does not act as a support function to the IA units in LMs, hence there is no quality assurance completed on the IA work in the LMs as they are staffed by only one individual”, and “a dual system is currently in operation (Centralised for MOF and smaller LMs and Decentralised in 6 larger Ministries) however this isn’t formally documented and it is unclear how much activity the MOF has in the decentralised LMs. The impact a single person operating IA in a LM can have, is questionable, without additional support from the </w:t>
      </w:r>
      <w:proofErr w:type="spellStart"/>
      <w:r w:rsidR="00840642" w:rsidRPr="00BC0230">
        <w:t>MoF</w:t>
      </w:r>
      <w:proofErr w:type="spellEnd"/>
      <w:r w:rsidR="00840642" w:rsidRPr="00BC0230">
        <w:t>”</w:t>
      </w:r>
    </w:p>
    <w:p w:rsidR="00840642" w:rsidRPr="00BC0230" w:rsidRDefault="00840642" w:rsidP="00C83B3B">
      <w:pPr>
        <w:spacing w:before="120"/>
      </w:pPr>
      <w:r w:rsidRPr="00BC0230">
        <w:t>The experience in other Pacific Island Countries is that without support from a centralised internal audit function, there is a risk that the LM internal audit units could be ignored by the CEO and management team of the line ministry, and thus</w:t>
      </w:r>
      <w:r w:rsidR="00EE2C47">
        <w:t xml:space="preserve"> become</w:t>
      </w:r>
      <w:r w:rsidRPr="00BC0230">
        <w:t xml:space="preserve"> disempowered, or they can be ‘captured’ by corruption and take part in it themselves.</w:t>
      </w:r>
    </w:p>
    <w:p w:rsidR="00840642" w:rsidRPr="00BC0230" w:rsidRDefault="00840642" w:rsidP="00C83B3B">
      <w:pPr>
        <w:spacing w:before="120"/>
      </w:pPr>
      <w:r w:rsidRPr="00BC0230">
        <w:t xml:space="preserve">The draft strategic plan for Internal Audit currently addresses this issue through the establishment of an Internal Audit ‘Forum’.  </w:t>
      </w:r>
      <w:r w:rsidR="00DB374F" w:rsidRPr="00BC0230">
        <w:t xml:space="preserve">It is not immediately clear from the draft report whether the proposed Forum will provide the level of legislative or regulatory accountability required to ensure oversight and quality control of line ministry internal audit units.  </w:t>
      </w:r>
      <w:r w:rsidR="00C441D0" w:rsidRPr="00BC0230">
        <w:t xml:space="preserve">The </w:t>
      </w:r>
      <w:proofErr w:type="spellStart"/>
      <w:r w:rsidR="00E748DC">
        <w:t>MoF</w:t>
      </w:r>
      <w:proofErr w:type="spellEnd"/>
      <w:r w:rsidR="00E748DC">
        <w:t xml:space="preserve"> </w:t>
      </w:r>
      <w:r w:rsidR="00C441D0" w:rsidRPr="00BC0230">
        <w:t>CEO is very encouraged by the work of the Forum to date, and fully supports the concept.  He also understands that the regulations are being revised to support the internal audit reforms recommended in the draft Strategic Plan.</w:t>
      </w:r>
    </w:p>
    <w:p w:rsidR="004078E8" w:rsidRPr="00BC0230" w:rsidRDefault="004078E8" w:rsidP="00F4389B">
      <w:pPr>
        <w:pStyle w:val="Heading1"/>
      </w:pPr>
      <w:bookmarkStart w:id="24" w:name="_Ref322770779"/>
      <w:bookmarkStart w:id="25" w:name="_Toc322921240"/>
      <w:r w:rsidRPr="00BC0230">
        <w:t>Calculation of the Incentive Payment to Government of Samoa</w:t>
      </w:r>
      <w:bookmarkEnd w:id="24"/>
      <w:bookmarkEnd w:id="25"/>
    </w:p>
    <w:p w:rsidR="004078E8" w:rsidRPr="00BC0230" w:rsidRDefault="00AC5FA4" w:rsidP="004078E8">
      <w:pPr>
        <w:spacing w:before="120"/>
      </w:pPr>
      <w:r w:rsidRPr="00BC0230">
        <w:t xml:space="preserve">As discussed earlier, the Incentive Payment comprises two tranches one fixed and one variable.  The total funding available to be paid in 2011/12 from </w:t>
      </w:r>
      <w:proofErr w:type="spellStart"/>
      <w:r w:rsidRPr="00BC0230">
        <w:t>AusAID</w:t>
      </w:r>
      <w:proofErr w:type="spellEnd"/>
      <w:r w:rsidRPr="00BC0230">
        <w:t xml:space="preserve"> and from NZAP in </w:t>
      </w:r>
      <w:r w:rsidRPr="00BC0230">
        <w:lastRenderedPageBreak/>
        <w:t>respect of 30 March 2012 milestones is AUD$5 million and NZD$1 million respectively, each using a 60% fixed tranche and 40% variable tranche formula.</w:t>
      </w:r>
    </w:p>
    <w:p w:rsidR="00AC5FA4" w:rsidRPr="00BC0230" w:rsidRDefault="005D78C2" w:rsidP="004078E8">
      <w:pPr>
        <w:spacing w:before="120"/>
      </w:pPr>
      <w:r w:rsidRPr="00BC0230">
        <w:t xml:space="preserve">Section </w:t>
      </w:r>
      <w:r w:rsidRPr="00BC0230">
        <w:fldChar w:fldCharType="begin"/>
      </w:r>
      <w:r w:rsidRPr="00BC0230">
        <w:instrText xml:space="preserve"> REF _Ref322770650 \r \h </w:instrText>
      </w:r>
      <w:r w:rsidRPr="00BC0230">
        <w:fldChar w:fldCharType="separate"/>
      </w:r>
      <w:r w:rsidRPr="00BC0230">
        <w:t>5</w:t>
      </w:r>
      <w:r w:rsidRPr="00BC0230">
        <w:fldChar w:fldCharType="end"/>
      </w:r>
      <w:r w:rsidRPr="00BC0230">
        <w:t xml:space="preserve"> above recorded that the indicators in respect of the fixed tranche had all been achieved.</w:t>
      </w:r>
    </w:p>
    <w:p w:rsidR="005D78C2" w:rsidRPr="00BC0230" w:rsidRDefault="005D78C2" w:rsidP="004078E8">
      <w:pPr>
        <w:spacing w:before="120"/>
      </w:pPr>
      <w:r w:rsidRPr="00BC0230">
        <w:t xml:space="preserve">Section </w:t>
      </w:r>
      <w:r w:rsidRPr="00BC0230">
        <w:fldChar w:fldCharType="begin"/>
      </w:r>
      <w:r w:rsidRPr="00BC0230">
        <w:instrText xml:space="preserve"> REF _Ref322770648 \r \h </w:instrText>
      </w:r>
      <w:r w:rsidRPr="00BC0230">
        <w:fldChar w:fldCharType="separate"/>
      </w:r>
      <w:r w:rsidRPr="00BC0230">
        <w:t>6.2</w:t>
      </w:r>
      <w:r w:rsidRPr="00BC0230">
        <w:fldChar w:fldCharType="end"/>
      </w:r>
      <w:r w:rsidRPr="00BC0230">
        <w:t xml:space="preserve"> above recorded that a score of 30 out of a possible maximum of 33 </w:t>
      </w:r>
      <w:r w:rsidR="00FD6E67" w:rsidRPr="00BC0230">
        <w:t>was achieved in respect of the variable tranche.</w:t>
      </w:r>
    </w:p>
    <w:p w:rsidR="00EB3CA8" w:rsidRPr="00BC0230" w:rsidRDefault="00FD6E67" w:rsidP="004078E8">
      <w:pPr>
        <w:spacing w:before="120"/>
      </w:pPr>
      <w:r w:rsidRPr="00BC0230">
        <w:t>On this basis, the calculati</w:t>
      </w:r>
      <w:r w:rsidR="00EA260F">
        <w:t>on of the incentive payment to</w:t>
      </w:r>
      <w:r w:rsidRPr="00BC0230">
        <w:t xml:space="preserve"> </w:t>
      </w:r>
      <w:proofErr w:type="spellStart"/>
      <w:r w:rsidRPr="00BC0230">
        <w:t>GoS</w:t>
      </w:r>
      <w:proofErr w:type="spellEnd"/>
      <w:r w:rsidRPr="00BC0230">
        <w:t xml:space="preserve"> by </w:t>
      </w:r>
      <w:proofErr w:type="spellStart"/>
      <w:r w:rsidRPr="00BC0230">
        <w:t>AusAID</w:t>
      </w:r>
      <w:proofErr w:type="spellEnd"/>
      <w:r w:rsidRPr="00BC0230">
        <w:t xml:space="preserve"> and NZAP in respect of the 30 March 2012 can be made as follows:</w:t>
      </w:r>
    </w:p>
    <w:p w:rsidR="00FD6E67" w:rsidRPr="00BC0230" w:rsidRDefault="00EB3CA8" w:rsidP="00EB3CA8">
      <w:pPr>
        <w:pStyle w:val="Caption"/>
        <w:spacing w:before="240" w:after="120"/>
      </w:pPr>
      <w:r w:rsidRPr="00BC0230">
        <w:t xml:space="preserve">Table </w:t>
      </w:r>
      <w:fldSimple w:instr=" SEQ Table \* ARABIC ">
        <w:r w:rsidRPr="00BC0230">
          <w:rPr>
            <w:noProof/>
          </w:rPr>
          <w:t>2</w:t>
        </w:r>
      </w:fldSimple>
      <w:r w:rsidRPr="00BC0230">
        <w:t xml:space="preserve"> Calculation of Recommended Incentive Payment</w:t>
      </w:r>
    </w:p>
    <w:p w:rsidR="00CC4B21" w:rsidRDefault="00CC4B21" w:rsidP="004078E8">
      <w:pPr>
        <w:spacing w:before="120"/>
      </w:pPr>
      <w:r w:rsidRPr="00BC0230">
        <w:rPr>
          <w:noProof/>
        </w:rPr>
        <w:drawing>
          <wp:inline distT="0" distB="0" distL="0" distR="0" wp14:anchorId="6D7CA804" wp14:editId="62468BB3">
            <wp:extent cx="5731510" cy="1172516"/>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172516"/>
                    </a:xfrm>
                    <a:prstGeom prst="rect">
                      <a:avLst/>
                    </a:prstGeom>
                    <a:noFill/>
                    <a:ln>
                      <a:noFill/>
                    </a:ln>
                  </pic:spPr>
                </pic:pic>
              </a:graphicData>
            </a:graphic>
          </wp:inline>
        </w:drawing>
      </w:r>
    </w:p>
    <w:p w:rsidR="00EA260F" w:rsidRPr="00BC0230" w:rsidRDefault="00EA260F" w:rsidP="004078E8">
      <w:pPr>
        <w:spacing w:before="120"/>
      </w:pPr>
      <w:r>
        <w:t xml:space="preserve">It is recommended that </w:t>
      </w:r>
      <w:proofErr w:type="spellStart"/>
      <w:r>
        <w:t>AusAID</w:t>
      </w:r>
      <w:proofErr w:type="spellEnd"/>
      <w:r>
        <w:t xml:space="preserve"> disburse the amount of AUD$4,818,182 and that NZAP disburse the amount of NZD$963,636 to </w:t>
      </w:r>
      <w:proofErr w:type="spellStart"/>
      <w:r w:rsidR="005B7CD0">
        <w:t>GoS</w:t>
      </w:r>
      <w:proofErr w:type="spellEnd"/>
      <w:r w:rsidR="005B7CD0">
        <w:t xml:space="preserve"> in accordance with the assessment and calculations above.</w:t>
      </w:r>
    </w:p>
    <w:p w:rsidR="00F4389B" w:rsidRPr="00BC0230" w:rsidRDefault="00F4389B" w:rsidP="00F4389B">
      <w:pPr>
        <w:pStyle w:val="Heading1"/>
      </w:pPr>
      <w:bookmarkStart w:id="26" w:name="_Ref322770780"/>
      <w:bookmarkStart w:id="27" w:name="_Ref322770781"/>
      <w:bookmarkStart w:id="28" w:name="_Toc322921241"/>
      <w:r w:rsidRPr="00BC0230">
        <w:t xml:space="preserve">Assessment of </w:t>
      </w:r>
      <w:r w:rsidR="007E6024" w:rsidRPr="00BC0230">
        <w:t>the Program’s Ongoing Effectiveness</w:t>
      </w:r>
      <w:bookmarkEnd w:id="26"/>
      <w:bookmarkEnd w:id="27"/>
      <w:bookmarkEnd w:id="28"/>
    </w:p>
    <w:p w:rsidR="007E6024" w:rsidRPr="00BC0230" w:rsidRDefault="00705081" w:rsidP="007E6024">
      <w:pPr>
        <w:spacing w:before="120"/>
      </w:pPr>
      <w:r w:rsidRPr="00BC0230">
        <w:t xml:space="preserve">This is an important part of the terms of reference.  Samoa and Australia are committed to the principles and priority outcomes of the Samoa – Australia Partnership for Development.  Samoa and Australia are both committed to the increased use of </w:t>
      </w:r>
      <w:proofErr w:type="spellStart"/>
      <w:r w:rsidRPr="00BC0230">
        <w:t>GoS</w:t>
      </w:r>
      <w:proofErr w:type="spellEnd"/>
      <w:r w:rsidRPr="00BC0230">
        <w:t xml:space="preserve"> systems, and to the strengthening of those systems.  Samoa’s commitment is demonstrated by their leadership and the quality of the PFM Reform Program, and by th</w:t>
      </w:r>
      <w:r w:rsidR="00C46B96" w:rsidRPr="00BC0230">
        <w:t xml:space="preserve">eir sustained efforts to ensure that sector wide approaches are adopted in all key service delivery areas.  </w:t>
      </w:r>
    </w:p>
    <w:p w:rsidR="00C46B96" w:rsidRPr="00BC0230" w:rsidRDefault="00C46B96" w:rsidP="007E6024">
      <w:pPr>
        <w:spacing w:before="120"/>
      </w:pPr>
      <w:r w:rsidRPr="00BC0230">
        <w:t xml:space="preserve">This is a long term commitment on the part of </w:t>
      </w:r>
      <w:proofErr w:type="spellStart"/>
      <w:r w:rsidRPr="00BC0230">
        <w:t>GoS</w:t>
      </w:r>
      <w:proofErr w:type="spellEnd"/>
      <w:r w:rsidRPr="00BC0230">
        <w:t xml:space="preserve">, and they are approaching it deliberately and steadily.  However, </w:t>
      </w:r>
      <w:proofErr w:type="spellStart"/>
      <w:r w:rsidRPr="00BC0230">
        <w:t>GoS</w:t>
      </w:r>
      <w:proofErr w:type="spellEnd"/>
      <w:r w:rsidRPr="00BC0230">
        <w:t xml:space="preserve"> has immediate fiscal challenges they are also dealing with, as they now enter a period of fiscal consolidation.  Whilst work continues to improve the readiness of </w:t>
      </w:r>
      <w:proofErr w:type="spellStart"/>
      <w:r w:rsidRPr="00BC0230">
        <w:t>GoS</w:t>
      </w:r>
      <w:proofErr w:type="spellEnd"/>
      <w:r w:rsidRPr="00BC0230">
        <w:t xml:space="preserve">’ PFM systems and sector planning systems for budget support, there is an immediate need for fiscal support.  </w:t>
      </w:r>
      <w:r w:rsidR="007B4DEB" w:rsidRPr="00BC0230">
        <w:t xml:space="preserve">The </w:t>
      </w:r>
      <w:r w:rsidR="00FE0BA8" w:rsidRPr="00BC0230">
        <w:t xml:space="preserve">Incentivising PFM Reform in Samoa program is a reflection of </w:t>
      </w:r>
      <w:proofErr w:type="spellStart"/>
      <w:r w:rsidR="00FE0BA8" w:rsidRPr="00BC0230">
        <w:t>AusAID’s</w:t>
      </w:r>
      <w:proofErr w:type="spellEnd"/>
      <w:r w:rsidR="00FE0BA8" w:rsidRPr="00BC0230">
        <w:t xml:space="preserve"> and NZAP’s commitment to the partnership they have with </w:t>
      </w:r>
      <w:proofErr w:type="spellStart"/>
      <w:r w:rsidR="00FE0BA8" w:rsidRPr="00BC0230">
        <w:t>GoS</w:t>
      </w:r>
      <w:proofErr w:type="spellEnd"/>
      <w:r w:rsidR="00E231B3" w:rsidRPr="00BC0230">
        <w:t xml:space="preserve">, and contributes to meeting that immediate fiscal challenge, whilst also improving readiness of </w:t>
      </w:r>
      <w:proofErr w:type="spellStart"/>
      <w:r w:rsidR="00E231B3" w:rsidRPr="00BC0230">
        <w:t>GoS</w:t>
      </w:r>
      <w:proofErr w:type="spellEnd"/>
      <w:r w:rsidR="00E231B3" w:rsidRPr="00BC0230">
        <w:t xml:space="preserve"> systems for budget support</w:t>
      </w:r>
      <w:r w:rsidR="00FE0BA8" w:rsidRPr="00BC0230">
        <w:t xml:space="preserve">.  </w:t>
      </w:r>
    </w:p>
    <w:p w:rsidR="00FE0BA8" w:rsidRPr="00BC0230" w:rsidRDefault="00FE0BA8" w:rsidP="007E6024">
      <w:pPr>
        <w:spacing w:before="120"/>
      </w:pPr>
      <w:r w:rsidRPr="00BC0230">
        <w:t>Other development partners have expressed interest in the progress and effectiveness of the Incentivising PFM Reform in</w:t>
      </w:r>
      <w:r w:rsidR="00C441D0" w:rsidRPr="00BC0230">
        <w:t xml:space="preserve"> Samoa program, and in the possibility of later expanding it to some kind of joint policy action matrix.</w:t>
      </w:r>
    </w:p>
    <w:p w:rsidR="007E6024" w:rsidRPr="00BC0230" w:rsidRDefault="00BC05B4" w:rsidP="00E231B3">
      <w:pPr>
        <w:pStyle w:val="Heading2"/>
      </w:pPr>
      <w:bookmarkStart w:id="29" w:name="_Toc322921242"/>
      <w:r w:rsidRPr="00BC0230">
        <w:t>Suitability of Current Disbursement and Acquittal Mechanisms</w:t>
      </w:r>
      <w:bookmarkEnd w:id="29"/>
    </w:p>
    <w:p w:rsidR="00BC05B4" w:rsidRPr="00BC0230" w:rsidRDefault="00914808" w:rsidP="00BC05B4">
      <w:pPr>
        <w:spacing w:before="120" w:line="276" w:lineRule="auto"/>
      </w:pPr>
      <w:r w:rsidRPr="00BC0230">
        <w:t xml:space="preserve">In some respects it is too early to make an assessment of disbursement and acquittal mechanism, as no disbursements have been made, and no acquittals are required until </w:t>
      </w:r>
      <w:proofErr w:type="spellStart"/>
      <w:r w:rsidRPr="00BC0230">
        <w:t>GoS</w:t>
      </w:r>
      <w:proofErr w:type="spellEnd"/>
      <w:r w:rsidRPr="00BC0230">
        <w:t xml:space="preserve"> annual accounts are closed and financial statements become available.  Nevertheless, feedback was sought and obtained from </w:t>
      </w:r>
      <w:proofErr w:type="spellStart"/>
      <w:r w:rsidRPr="00BC0230">
        <w:t>GoS</w:t>
      </w:r>
      <w:proofErr w:type="spellEnd"/>
      <w:r w:rsidRPr="00BC0230">
        <w:t xml:space="preserve">.  </w:t>
      </w:r>
    </w:p>
    <w:p w:rsidR="00914808" w:rsidRPr="00BC0230" w:rsidRDefault="00914808" w:rsidP="00BC05B4">
      <w:pPr>
        <w:spacing w:before="120" w:line="276" w:lineRule="auto"/>
      </w:pPr>
      <w:r w:rsidRPr="00BC0230">
        <w:lastRenderedPageBreak/>
        <w:t xml:space="preserve">The use of the </w:t>
      </w:r>
      <w:proofErr w:type="spellStart"/>
      <w:r w:rsidRPr="00BC0230">
        <w:t>GoS</w:t>
      </w:r>
      <w:proofErr w:type="spellEnd"/>
      <w:r w:rsidRPr="00BC0230">
        <w:t xml:space="preserve"> Direct Transfer Account with ANZ meets the needs of </w:t>
      </w:r>
      <w:proofErr w:type="spellStart"/>
      <w:r w:rsidRPr="00BC0230">
        <w:t>GoS</w:t>
      </w:r>
      <w:proofErr w:type="spellEnd"/>
      <w:r w:rsidRPr="00BC0230">
        <w:t xml:space="preserve">, and minimises foreign exchange transactions for both </w:t>
      </w:r>
      <w:proofErr w:type="spellStart"/>
      <w:r w:rsidRPr="00BC0230">
        <w:t>AusAID</w:t>
      </w:r>
      <w:proofErr w:type="spellEnd"/>
      <w:r w:rsidRPr="00BC0230">
        <w:t xml:space="preserve"> and NZAP.  The Direct Transfer Account is a WST </w:t>
      </w:r>
      <w:proofErr w:type="spellStart"/>
      <w:r w:rsidRPr="00BC0230">
        <w:t>tala</w:t>
      </w:r>
      <w:proofErr w:type="spellEnd"/>
      <w:r w:rsidRPr="00BC0230">
        <w:t xml:space="preserve"> account into which various development partners deposit funds.  This isolates these revenues from other </w:t>
      </w:r>
      <w:proofErr w:type="spellStart"/>
      <w:r w:rsidRPr="00BC0230">
        <w:t>GoS</w:t>
      </w:r>
      <w:proofErr w:type="spellEnd"/>
      <w:r w:rsidRPr="00BC0230">
        <w:t xml:space="preserve"> tax and </w:t>
      </w:r>
      <w:proofErr w:type="spellStart"/>
      <w:r w:rsidRPr="00BC0230">
        <w:t>non tax</w:t>
      </w:r>
      <w:proofErr w:type="spellEnd"/>
      <w:r w:rsidRPr="00BC0230">
        <w:t xml:space="preserve"> revenues, and facilitates bank reconciliation against donor advices on the one hand, and revenue collector statements on the other.</w:t>
      </w:r>
    </w:p>
    <w:p w:rsidR="00A00D9C" w:rsidRPr="00BC0230" w:rsidRDefault="00A00D9C" w:rsidP="00BC05B4">
      <w:pPr>
        <w:spacing w:before="120" w:line="276" w:lineRule="auto"/>
      </w:pPr>
      <w:r w:rsidRPr="00BC0230">
        <w:t>When the</w:t>
      </w:r>
      <w:r w:rsidR="00E748DC">
        <w:t xml:space="preserve"> incentive</w:t>
      </w:r>
      <w:r w:rsidRPr="00BC0230">
        <w:t xml:space="preserve"> program is fully operational, there will be a single deposit to this account (i.e.one each by </w:t>
      </w:r>
      <w:proofErr w:type="spellStart"/>
      <w:r w:rsidRPr="00BC0230">
        <w:t>AusAID</w:t>
      </w:r>
      <w:proofErr w:type="spellEnd"/>
      <w:r w:rsidRPr="00BC0230">
        <w:t xml:space="preserve"> and NZAP) around November/December of each year.  In this first year, to provide the desired level of fiscal support to Samoa in 2011/12 following design of the program late in 2011 and signing of the Agreements early in 2012, a once only assessment of progress at 30 March, and disbursement in May, was included in the design.  </w:t>
      </w:r>
      <w:proofErr w:type="spellStart"/>
      <w:r w:rsidRPr="00BC0230">
        <w:t>MoF</w:t>
      </w:r>
      <w:proofErr w:type="spellEnd"/>
      <w:r w:rsidRPr="00BC0230">
        <w:t xml:space="preserve"> have indicated that the timing of disbursements still meets their needs.  They are more concerned with predictability of funding, based partly on their own performance, than they are with the timing of the cash flow.  </w:t>
      </w:r>
      <w:proofErr w:type="spellStart"/>
      <w:r w:rsidRPr="00BC0230">
        <w:t>MoF</w:t>
      </w:r>
      <w:proofErr w:type="spellEnd"/>
      <w:r w:rsidRPr="00BC0230">
        <w:t xml:space="preserve"> are confident they can manage their cash flows to meet </w:t>
      </w:r>
      <w:r w:rsidR="00C50373" w:rsidRPr="00BC0230">
        <w:t>their liabilities as and when they fall due even with a single disbursement.  Unlike some other countries in the region, Samoa has never been forced to cash limit their budget implementation, even following the dramatic fiscal impacts of the 2009 tsunami.</w:t>
      </w:r>
    </w:p>
    <w:p w:rsidR="00BC05B4" w:rsidRPr="00BC0230" w:rsidRDefault="00E41D63" w:rsidP="00BC05B4">
      <w:pPr>
        <w:spacing w:before="120" w:line="276" w:lineRule="auto"/>
      </w:pPr>
      <w:r w:rsidRPr="00BC0230">
        <w:t>Acquittal of the incentive payments can be assessed only after the first disbursements have been made, and the financial year accounts have been closed.  Effectiveness of acquittal mechanisms can be assessed during the next Independent Assessment of Progress, currently expected in November 2012.</w:t>
      </w:r>
    </w:p>
    <w:p w:rsidR="00E7312E" w:rsidRPr="00BC0230" w:rsidRDefault="00E41D63" w:rsidP="00E41D63">
      <w:pPr>
        <w:pStyle w:val="Heading2"/>
      </w:pPr>
      <w:bookmarkStart w:id="30" w:name="_Toc322921243"/>
      <w:r w:rsidRPr="00BC0230">
        <w:t xml:space="preserve">Effectiveness of the Targets in </w:t>
      </w:r>
      <w:r w:rsidR="00FF6923" w:rsidRPr="00BC0230">
        <w:t>Generating Sustainable PFM Reform</w:t>
      </w:r>
      <w:bookmarkEnd w:id="30"/>
    </w:p>
    <w:p w:rsidR="00E41D63" w:rsidRPr="00BC0230" w:rsidRDefault="000A2737" w:rsidP="00E41D63">
      <w:pPr>
        <w:spacing w:before="120" w:line="276" w:lineRule="auto"/>
      </w:pPr>
      <w:r w:rsidRPr="00BC0230">
        <w:t xml:space="preserve">Feedback was sought from most of the division heads or senior officials responsible for implementing the reforms on which the indicators or milestones were based, as to whether the program was providing additional incentive.  The </w:t>
      </w:r>
      <w:r w:rsidR="009B46F1" w:rsidRPr="00BC0230">
        <w:t xml:space="preserve">feedback has been that whilst most if not all of the indicators are based on PFM reforms that were already part of the </w:t>
      </w:r>
      <w:proofErr w:type="spellStart"/>
      <w:r w:rsidR="009B46F1" w:rsidRPr="00BC0230">
        <w:t>MoF</w:t>
      </w:r>
      <w:proofErr w:type="spellEnd"/>
      <w:r w:rsidR="009B46F1" w:rsidRPr="00BC0230">
        <w:t xml:space="preserve">, </w:t>
      </w:r>
      <w:proofErr w:type="spellStart"/>
      <w:r w:rsidR="009B46F1" w:rsidRPr="00BC0230">
        <w:t>MfR</w:t>
      </w:r>
      <w:proofErr w:type="spellEnd"/>
      <w:r w:rsidR="009B46F1" w:rsidRPr="00BC0230">
        <w:t xml:space="preserve"> and OAG work</w:t>
      </w:r>
      <w:r w:rsidR="00E748DC">
        <w:t xml:space="preserve"> </w:t>
      </w:r>
      <w:r w:rsidR="009B46F1" w:rsidRPr="00BC0230">
        <w:t xml:space="preserve">plans, the program is providing an additional level of focus and commitment to achieve the reforms earlier than would otherwise be the case.  The </w:t>
      </w:r>
      <w:proofErr w:type="spellStart"/>
      <w:r w:rsidR="009B46F1" w:rsidRPr="00BC0230">
        <w:t>MoF</w:t>
      </w:r>
      <w:proofErr w:type="spellEnd"/>
      <w:r w:rsidR="009B46F1" w:rsidRPr="00BC0230">
        <w:t xml:space="preserve"> PFM Coordinator has been able to use the Agreement and the matrix to monitor progress, a</w:t>
      </w:r>
      <w:r w:rsidR="00D91231">
        <w:t>nd as additional leverage</w:t>
      </w:r>
      <w:r w:rsidR="004738DA" w:rsidRPr="00BC0230">
        <w:t xml:space="preserve"> to</w:t>
      </w:r>
      <w:r w:rsidR="00D168E5" w:rsidRPr="00BC0230">
        <w:t xml:space="preserve"> encourage achievement.  The matrix forms part of the regular discussions of divisional meetings, and of the </w:t>
      </w:r>
      <w:proofErr w:type="spellStart"/>
      <w:r w:rsidR="00D168E5" w:rsidRPr="00BC0230">
        <w:t>MoF</w:t>
      </w:r>
      <w:proofErr w:type="spellEnd"/>
      <w:r w:rsidR="00D168E5" w:rsidRPr="00BC0230">
        <w:t xml:space="preserve"> management team meetings.</w:t>
      </w:r>
    </w:p>
    <w:p w:rsidR="004738DA" w:rsidRPr="00BC0230" w:rsidRDefault="004738DA" w:rsidP="00E41D63">
      <w:pPr>
        <w:spacing w:before="120" w:line="276" w:lineRule="auto"/>
      </w:pPr>
      <w:r w:rsidRPr="00BC0230">
        <w:t xml:space="preserve">There is a risk that in an attempt to meet the target dates incorporated into the incentive matrix, </w:t>
      </w:r>
      <w:proofErr w:type="spellStart"/>
      <w:r w:rsidRPr="00BC0230">
        <w:t>MoF</w:t>
      </w:r>
      <w:proofErr w:type="spellEnd"/>
      <w:r w:rsidRPr="00BC0230">
        <w:t xml:space="preserve"> or other ministries may rush processes</w:t>
      </w:r>
      <w:r w:rsidR="00A647FE" w:rsidRPr="00BC0230">
        <w:t xml:space="preserve"> or completion of activities to ensure no reduction in the level of incentive payment.  On the one hand, by deferring the Procurement Review, </w:t>
      </w:r>
      <w:proofErr w:type="spellStart"/>
      <w:r w:rsidR="00A647FE" w:rsidRPr="00BC0230">
        <w:t>MoF</w:t>
      </w:r>
      <w:proofErr w:type="spellEnd"/>
      <w:r w:rsidR="00A647FE" w:rsidRPr="00BC0230">
        <w:t xml:space="preserve"> have shown they are not willing to sacrifice reform effectiveness for the sake of a single performance indicator.  On the other hand, TCM Sector Plan does not appear to be ready for approval, yet was submitted as meeting the matrix milestone requirement.</w:t>
      </w:r>
      <w:r w:rsidR="00297F95" w:rsidRPr="00BC0230">
        <w:t xml:space="preserve">  </w:t>
      </w:r>
      <w:proofErr w:type="spellStart"/>
      <w:r w:rsidR="00297F95" w:rsidRPr="00BC0230">
        <w:t>MoF</w:t>
      </w:r>
      <w:proofErr w:type="spellEnd"/>
      <w:r w:rsidR="00297F95" w:rsidRPr="00BC0230">
        <w:t xml:space="preserve">, </w:t>
      </w:r>
      <w:proofErr w:type="spellStart"/>
      <w:r w:rsidR="00297F95" w:rsidRPr="00BC0230">
        <w:t>AusAID</w:t>
      </w:r>
      <w:proofErr w:type="spellEnd"/>
      <w:r w:rsidR="00297F95" w:rsidRPr="00BC0230">
        <w:t xml:space="preserve"> and NZAP should continue to work in partnership towards achieving real reform, at a realistic pace.</w:t>
      </w:r>
    </w:p>
    <w:p w:rsidR="00297F95" w:rsidRPr="00BC0230" w:rsidRDefault="00297F95" w:rsidP="00E41D63">
      <w:pPr>
        <w:spacing w:before="120" w:line="276" w:lineRule="auto"/>
      </w:pPr>
      <w:r w:rsidRPr="00BC0230">
        <w:t>The conclusion of this Independent Assessment is that the targets are contributing to suitable and sustainable PFM reforms.</w:t>
      </w:r>
    </w:p>
    <w:p w:rsidR="00297F95" w:rsidRPr="00BC0230" w:rsidRDefault="00297F95" w:rsidP="00297F95">
      <w:pPr>
        <w:pStyle w:val="Heading3"/>
      </w:pPr>
      <w:bookmarkStart w:id="31" w:name="_Toc322921244"/>
      <w:r w:rsidRPr="00BC0230">
        <w:lastRenderedPageBreak/>
        <w:t>Including Higher Level Indicators in the Matrix</w:t>
      </w:r>
      <w:bookmarkEnd w:id="31"/>
    </w:p>
    <w:p w:rsidR="00D168E5" w:rsidRPr="00BC0230" w:rsidRDefault="00297F95" w:rsidP="00E41D63">
      <w:pPr>
        <w:spacing w:before="120" w:line="276" w:lineRule="auto"/>
      </w:pPr>
      <w:r w:rsidRPr="00BC0230">
        <w:t>Some stakeholders, including o</w:t>
      </w:r>
      <w:r w:rsidR="00D168E5" w:rsidRPr="00BC0230">
        <w:t>ther development partners</w:t>
      </w:r>
      <w:r w:rsidRPr="00BC0230">
        <w:t>,</w:t>
      </w:r>
      <w:r w:rsidR="00D168E5" w:rsidRPr="00BC0230">
        <w:t xml:space="preserve"> have suggested including higher level outcome level indicators, or social indicators, in the matrix, rather than the current mix of process, activity and output level indicators.  However, discussions with </w:t>
      </w:r>
      <w:proofErr w:type="spellStart"/>
      <w:r w:rsidR="00D168E5" w:rsidRPr="00BC0230">
        <w:t>MoF</w:t>
      </w:r>
      <w:proofErr w:type="spellEnd"/>
      <w:r w:rsidR="00D168E5" w:rsidRPr="00BC0230">
        <w:t xml:space="preserve"> and other participating agencies have raised the following issues:</w:t>
      </w:r>
    </w:p>
    <w:p w:rsidR="00D168E5" w:rsidRPr="00BC0230" w:rsidRDefault="00D168E5" w:rsidP="00D168E5">
      <w:pPr>
        <w:pStyle w:val="ListParagraph"/>
        <w:numPr>
          <w:ilvl w:val="0"/>
          <w:numId w:val="25"/>
        </w:numPr>
        <w:spacing w:before="120" w:line="276" w:lineRule="auto"/>
      </w:pPr>
      <w:r w:rsidRPr="00BC0230">
        <w:t>Management information systems in the key sectors are still under development, and in most cases could not reliably provide the baseline data and the future performance data in respect of</w:t>
      </w:r>
      <w:r w:rsidR="00D91231">
        <w:t xml:space="preserve"> sector</w:t>
      </w:r>
      <w:r w:rsidRPr="00BC0230">
        <w:t xml:space="preserve"> outcomes</w:t>
      </w:r>
      <w:r w:rsidR="00D91231">
        <w:t xml:space="preserve"> or social indicators</w:t>
      </w:r>
    </w:p>
    <w:p w:rsidR="00D168E5" w:rsidRPr="00BC0230" w:rsidRDefault="00423DDD" w:rsidP="00D168E5">
      <w:pPr>
        <w:pStyle w:val="ListParagraph"/>
        <w:numPr>
          <w:ilvl w:val="0"/>
          <w:numId w:val="25"/>
        </w:numPr>
        <w:spacing w:before="120" w:line="276" w:lineRule="auto"/>
      </w:pPr>
      <w:proofErr w:type="spellStart"/>
      <w:r w:rsidRPr="00BC0230">
        <w:t>MoF</w:t>
      </w:r>
      <w:proofErr w:type="spellEnd"/>
      <w:r w:rsidRPr="00BC0230">
        <w:t xml:space="preserve"> EPPD and Budget Department are working closely with sector ministries through the development and improvement of sector plans, performance measures and the performance frameworks that now form part of each ministry’s budget submission and </w:t>
      </w:r>
      <w:proofErr w:type="spellStart"/>
      <w:r w:rsidRPr="00BC0230">
        <w:t>mid year</w:t>
      </w:r>
      <w:proofErr w:type="spellEnd"/>
      <w:r w:rsidRPr="00BC0230">
        <w:t xml:space="preserve"> review process.  </w:t>
      </w:r>
    </w:p>
    <w:p w:rsidR="00423DDD" w:rsidRPr="00BC0230" w:rsidRDefault="00423DDD" w:rsidP="00D168E5">
      <w:pPr>
        <w:pStyle w:val="ListParagraph"/>
        <w:numPr>
          <w:ilvl w:val="0"/>
          <w:numId w:val="25"/>
        </w:numPr>
        <w:spacing w:before="120" w:line="276" w:lineRule="auto"/>
      </w:pPr>
      <w:r w:rsidRPr="00BC0230">
        <w:t xml:space="preserve">The feedback from the ACEO of Budget Division in respect of the January 2012 </w:t>
      </w:r>
      <w:proofErr w:type="spellStart"/>
      <w:r w:rsidRPr="00BC0230">
        <w:t>mid  year</w:t>
      </w:r>
      <w:proofErr w:type="spellEnd"/>
      <w:r w:rsidRPr="00BC0230">
        <w:t xml:space="preserve"> review was that many ministries now realise that they do not have the necessary data to support many of the performance indicators they included in their 2012 Performance Frameworks.  They will need to focus on putting data collection and management information systems in place in 2012 and 2013</w:t>
      </w:r>
    </w:p>
    <w:p w:rsidR="007D540A" w:rsidRPr="00BC0230" w:rsidRDefault="007D540A" w:rsidP="00D168E5">
      <w:pPr>
        <w:pStyle w:val="ListParagraph"/>
        <w:numPr>
          <w:ilvl w:val="0"/>
          <w:numId w:val="25"/>
        </w:numPr>
        <w:spacing w:before="120" w:line="276" w:lineRule="auto"/>
      </w:pPr>
      <w:r w:rsidRPr="00BC0230">
        <w:t xml:space="preserve">The </w:t>
      </w:r>
      <w:proofErr w:type="spellStart"/>
      <w:r w:rsidRPr="00BC0230">
        <w:t>MoF</w:t>
      </w:r>
      <w:proofErr w:type="spellEnd"/>
      <w:r w:rsidRPr="00BC0230">
        <w:t xml:space="preserve"> led PFM Reform Program, and the Incentivising PFM Reform matrix derived from it, are helping to put the necessary foundations in place to allow monitoring and reporting of outcome or service delivery level performance, i.e. defining the right sector outcomes (through sector plans), linking these to budget allocations through the sector MTEFs and the Performance Frameworks, and setting up data collection systems and management information systems to allow monitoring and reporting of performance to sector committees, DPs and the central agencies such as </w:t>
      </w:r>
      <w:proofErr w:type="spellStart"/>
      <w:r w:rsidRPr="00BC0230">
        <w:t>MoF</w:t>
      </w:r>
      <w:proofErr w:type="spellEnd"/>
      <w:r w:rsidRPr="00BC0230">
        <w:t xml:space="preserve"> and PSC</w:t>
      </w:r>
    </w:p>
    <w:p w:rsidR="0027656F" w:rsidRPr="00BC0230" w:rsidRDefault="0027656F" w:rsidP="00D168E5">
      <w:pPr>
        <w:pStyle w:val="ListParagraph"/>
        <w:numPr>
          <w:ilvl w:val="0"/>
          <w:numId w:val="25"/>
        </w:numPr>
        <w:spacing w:before="120" w:line="276" w:lineRule="auto"/>
      </w:pPr>
      <w:r w:rsidRPr="00BC0230">
        <w:t>Introducing outcome level indicators into the matrix too early could diver</w:t>
      </w:r>
      <w:r w:rsidR="00D91231">
        <w:t>t</w:t>
      </w:r>
      <w:r w:rsidRPr="00BC0230">
        <w:t xml:space="preserve"> valuable time and resources to one off baselines studies and one off monitoring studies, that could be better used within </w:t>
      </w:r>
      <w:proofErr w:type="spellStart"/>
      <w:r w:rsidRPr="00BC0230">
        <w:t>GoS</w:t>
      </w:r>
      <w:proofErr w:type="spellEnd"/>
      <w:r w:rsidR="00D91231">
        <w:t>’</w:t>
      </w:r>
      <w:r w:rsidRPr="00BC0230">
        <w:t xml:space="preserve"> current push to integrate planning and budgeting through a comprehensive and integrated of sector wide approaches across the public sector</w:t>
      </w:r>
    </w:p>
    <w:p w:rsidR="00427A96" w:rsidRPr="00BC0230" w:rsidRDefault="00427A96" w:rsidP="00D168E5">
      <w:pPr>
        <w:pStyle w:val="ListParagraph"/>
        <w:numPr>
          <w:ilvl w:val="0"/>
          <w:numId w:val="25"/>
        </w:numPr>
        <w:spacing w:before="120" w:line="276" w:lineRule="auto"/>
      </w:pPr>
      <w:r w:rsidRPr="00BC0230">
        <w:t xml:space="preserve">The CEO of </w:t>
      </w:r>
      <w:proofErr w:type="spellStart"/>
      <w:r w:rsidRPr="00BC0230">
        <w:t>MoF</w:t>
      </w:r>
      <w:proofErr w:type="spellEnd"/>
      <w:r w:rsidRPr="00BC0230">
        <w:t xml:space="preserve"> argued that even if higher level indicator were incorporated into the matrix at some later stage, he would not want to lose the current process and output level indicators, as his officials would lose a sense of ‘how we got there’, </w:t>
      </w:r>
      <w:r w:rsidR="00D91231">
        <w:t xml:space="preserve">and </w:t>
      </w:r>
      <w:r w:rsidRPr="00BC0230">
        <w:t>how these outcomes were achieved.  By focusing and reporting on higher level outcomes alone, the program may not achieve the same level of commitment from individual officers to their part of the matrix, i.e. the indicators they and their staff are personally responsible for delivering</w:t>
      </w:r>
    </w:p>
    <w:p w:rsidR="00C21FA3" w:rsidRPr="00BC0230" w:rsidRDefault="00C21FA3" w:rsidP="00D168E5">
      <w:pPr>
        <w:pStyle w:val="ListParagraph"/>
        <w:numPr>
          <w:ilvl w:val="0"/>
          <w:numId w:val="25"/>
        </w:numPr>
        <w:spacing w:before="120" w:line="276" w:lineRule="auto"/>
      </w:pPr>
      <w:r w:rsidRPr="00BC0230">
        <w:t>Some DPs are already working on the design of sector budget support programs that will attach budget support to improved sector outcomes, i.e. using higher level indicators</w:t>
      </w:r>
      <w:r w:rsidR="004738DA" w:rsidRPr="00BC0230">
        <w:t>.</w:t>
      </w:r>
      <w:r w:rsidR="00D91231">
        <w:t xml:space="preserve">  This would duplicate sector outcome based budget support programs.</w:t>
      </w:r>
      <w:r w:rsidR="004738DA" w:rsidRPr="00BC0230">
        <w:t xml:space="preserve">  The designs of these sector budge support programs will need to include strengthening data collection systems and management information systems</w:t>
      </w:r>
      <w:r w:rsidRPr="00BC0230">
        <w:t xml:space="preserve"> </w:t>
      </w:r>
    </w:p>
    <w:p w:rsidR="00C441D0" w:rsidRPr="00BC0230" w:rsidRDefault="00F653C0" w:rsidP="00F653C0">
      <w:pPr>
        <w:pStyle w:val="Heading3"/>
      </w:pPr>
      <w:bookmarkStart w:id="32" w:name="_Ref322770682"/>
      <w:bookmarkStart w:id="33" w:name="_Toc322921245"/>
      <w:r w:rsidRPr="00BC0230">
        <w:lastRenderedPageBreak/>
        <w:t>Possible June 2013 Indicators</w:t>
      </w:r>
      <w:bookmarkEnd w:id="32"/>
      <w:bookmarkEnd w:id="33"/>
    </w:p>
    <w:p w:rsidR="00F653C0" w:rsidRPr="00BC0230" w:rsidRDefault="00F653C0" w:rsidP="00F653C0">
      <w:pPr>
        <w:spacing w:before="120"/>
      </w:pPr>
      <w:r w:rsidRPr="00BC0230">
        <w:t xml:space="preserve">At the time of the design of the current Incentivising PFM Reform in Samoa program in 2011, a possible set of June 2013 indicators was developed by </w:t>
      </w:r>
      <w:proofErr w:type="spellStart"/>
      <w:r w:rsidRPr="00BC0230">
        <w:t>MoF</w:t>
      </w:r>
      <w:proofErr w:type="spellEnd"/>
      <w:r w:rsidRPr="00BC0230">
        <w:t xml:space="preserve">, based on their </w:t>
      </w:r>
      <w:r w:rsidR="00C446D3" w:rsidRPr="00BC0230">
        <w:t>Proposed 2011-2013 Policy Action Matrix</w:t>
      </w:r>
      <w:r w:rsidR="00C446D3" w:rsidRPr="00BC0230">
        <w:rPr>
          <w:rStyle w:val="FootnoteReference"/>
        </w:rPr>
        <w:footnoteReference w:id="5"/>
      </w:r>
      <w:r w:rsidR="00DE7E3C" w:rsidRPr="00BC0230">
        <w:t xml:space="preserve">.  Given that these were developed by </w:t>
      </w:r>
      <w:proofErr w:type="spellStart"/>
      <w:r w:rsidR="00DE7E3C" w:rsidRPr="00BC0230">
        <w:t>MoF</w:t>
      </w:r>
      <w:proofErr w:type="spellEnd"/>
      <w:r w:rsidR="00DE7E3C" w:rsidRPr="00BC0230">
        <w:t xml:space="preserve"> in </w:t>
      </w:r>
      <w:proofErr w:type="spellStart"/>
      <w:r w:rsidR="00DE7E3C" w:rsidRPr="00BC0230">
        <w:t>mid 2011</w:t>
      </w:r>
      <w:proofErr w:type="spellEnd"/>
      <w:r w:rsidR="00DE7E3C" w:rsidRPr="00BC0230">
        <w:t xml:space="preserve">, </w:t>
      </w:r>
      <w:proofErr w:type="spellStart"/>
      <w:r w:rsidR="00DE7E3C" w:rsidRPr="00BC0230">
        <w:t>MoF</w:t>
      </w:r>
      <w:proofErr w:type="spellEnd"/>
      <w:r w:rsidR="00DE7E3C" w:rsidRPr="00BC0230">
        <w:t xml:space="preserve"> should re visit these policy actions and the indicators that were derived from</w:t>
      </w:r>
      <w:r w:rsidR="00D414B7">
        <w:t xml:space="preserve"> them</w:t>
      </w:r>
      <w:r w:rsidR="00DE7E3C" w:rsidRPr="00BC0230">
        <w:t xml:space="preserve"> to decide if they are still appropriate.  </w:t>
      </w:r>
      <w:r w:rsidR="00D414B7">
        <w:t>Several</w:t>
      </w:r>
      <w:r w:rsidR="00D917EA" w:rsidRPr="00BC0230">
        <w:t xml:space="preserve"> of these may now be out of date.  The </w:t>
      </w:r>
      <w:proofErr w:type="spellStart"/>
      <w:r w:rsidR="00D917EA" w:rsidRPr="00BC0230">
        <w:t>MoF</w:t>
      </w:r>
      <w:proofErr w:type="spellEnd"/>
      <w:r w:rsidR="00D917EA" w:rsidRPr="00BC0230">
        <w:t xml:space="preserve"> Policy Acti</w:t>
      </w:r>
      <w:r w:rsidR="00C23091">
        <w:t>on Matrix is attached at Annex 1</w:t>
      </w:r>
      <w:r w:rsidR="00D917EA" w:rsidRPr="00BC0230">
        <w:t xml:space="preserve"> and the possible set of June 2013 i</w:t>
      </w:r>
      <w:r w:rsidR="00C23091">
        <w:t>ndicators is attached at Annex 6</w:t>
      </w:r>
      <w:r w:rsidR="00D917EA" w:rsidRPr="00BC0230">
        <w:t xml:space="preserve"> for reference.</w:t>
      </w:r>
    </w:p>
    <w:p w:rsidR="00DE7E3C" w:rsidRPr="00BC0230" w:rsidRDefault="00DE7E3C" w:rsidP="00F653C0">
      <w:pPr>
        <w:spacing w:before="120"/>
      </w:pPr>
      <w:r w:rsidRPr="00BC0230">
        <w:t xml:space="preserve">At the time of the next Independent Assessment scheduled for November 2012, the Assessment mission should work with the </w:t>
      </w:r>
      <w:proofErr w:type="spellStart"/>
      <w:r w:rsidRPr="00BC0230">
        <w:t>MoF</w:t>
      </w:r>
      <w:proofErr w:type="spellEnd"/>
      <w:r w:rsidRPr="00BC0230">
        <w:t xml:space="preserve"> PFM Coordinator to review the 2013 indicator set.  It is recommended that between April 2012 and November 2012, the </w:t>
      </w:r>
      <w:proofErr w:type="spellStart"/>
      <w:r w:rsidRPr="00BC0230">
        <w:t>MoF</w:t>
      </w:r>
      <w:proofErr w:type="spellEnd"/>
      <w:r w:rsidRPr="00BC0230">
        <w:t xml:space="preserve"> PFM Coordinator re visits the 2011-2013 Policy Action Matrix</w:t>
      </w:r>
      <w:r w:rsidR="00EF46B2" w:rsidRPr="00BC0230">
        <w:t>, and works with the relevant ministries and division heads to update it.</w:t>
      </w:r>
    </w:p>
    <w:p w:rsidR="00EF46B2" w:rsidRPr="00BC0230" w:rsidRDefault="00EF46B2" w:rsidP="00F653C0">
      <w:pPr>
        <w:spacing w:before="120"/>
      </w:pPr>
      <w:r w:rsidRPr="00BC0230">
        <w:t>Recognising the medium term aim of incorporating social outcome or sector outcome level indicators into the matrix, the following possible enhancements could be considered for the June 2013 Matrix:</w:t>
      </w:r>
    </w:p>
    <w:p w:rsidR="00EF46B2" w:rsidRPr="00BC0230" w:rsidRDefault="00B468A9" w:rsidP="00EF46B2">
      <w:pPr>
        <w:pStyle w:val="ListParagraph"/>
        <w:numPr>
          <w:ilvl w:val="0"/>
          <w:numId w:val="26"/>
        </w:numPr>
        <w:spacing w:before="120"/>
      </w:pPr>
      <w:r w:rsidRPr="00BC0230">
        <w:t>Identify some indicators that might incentivise development of or improvements to monitoring and evaluation systems in key sectors</w:t>
      </w:r>
    </w:p>
    <w:p w:rsidR="00B468A9" w:rsidRPr="00BC0230" w:rsidRDefault="00B468A9" w:rsidP="00EF46B2">
      <w:pPr>
        <w:pStyle w:val="ListParagraph"/>
        <w:numPr>
          <w:ilvl w:val="0"/>
          <w:numId w:val="26"/>
        </w:numPr>
        <w:spacing w:before="120"/>
      </w:pPr>
      <w:r w:rsidRPr="00BC0230">
        <w:t>Identify indicators that might incentivise the development of data collections systems, database management systems, or more sophisticated MIS systems in key sectors</w:t>
      </w:r>
    </w:p>
    <w:p w:rsidR="00B468A9" w:rsidRPr="00BC0230" w:rsidRDefault="00B468A9" w:rsidP="00EF46B2">
      <w:pPr>
        <w:pStyle w:val="ListParagraph"/>
        <w:numPr>
          <w:ilvl w:val="0"/>
          <w:numId w:val="26"/>
        </w:numPr>
        <w:spacing w:before="120"/>
      </w:pPr>
      <w:r w:rsidRPr="00BC0230">
        <w:t>Incentivise the key performance and accountability pillar of ministry Annual Reports, or ministry Annual Performance Reports (</w:t>
      </w:r>
      <w:proofErr w:type="spellStart"/>
      <w:r w:rsidRPr="00BC0230">
        <w:t>MoF</w:t>
      </w:r>
      <w:proofErr w:type="spellEnd"/>
      <w:r w:rsidRPr="00BC0230">
        <w:t xml:space="preserve"> and the PSC have already done preliminary work in this area)</w:t>
      </w:r>
    </w:p>
    <w:p w:rsidR="00ED042D" w:rsidRPr="00BC0230" w:rsidRDefault="0034509A" w:rsidP="00EF46B2">
      <w:pPr>
        <w:pStyle w:val="ListParagraph"/>
        <w:numPr>
          <w:ilvl w:val="0"/>
          <w:numId w:val="26"/>
        </w:numPr>
        <w:spacing w:before="120"/>
      </w:pPr>
      <w:r w:rsidRPr="00BC0230">
        <w:t xml:space="preserve">For SOEs, the current indicators are focussed on important governance reforms.  SOEMD are now working towards a stronger focus on individual SOE performance, as well as further privatisations, now that underlying governance frameworks have been strengthened.  It should be possible to work with SOEMD to identify specific privatisation candidates, and key SOEs where performance needs to be improved, subsidies reduced or contingent liabilities reduced.  </w:t>
      </w:r>
      <w:r w:rsidR="00467EF2" w:rsidRPr="00BC0230">
        <w:t>This could be linked to performance contracts for SOE CEOs and Boards</w:t>
      </w:r>
      <w:r w:rsidR="00ED042D" w:rsidRPr="00BC0230">
        <w:t xml:space="preserve">.  </w:t>
      </w:r>
    </w:p>
    <w:p w:rsidR="00716D47" w:rsidRPr="00BC0230" w:rsidRDefault="00ED042D" w:rsidP="00EF46B2">
      <w:pPr>
        <w:pStyle w:val="ListParagraph"/>
        <w:numPr>
          <w:ilvl w:val="0"/>
          <w:numId w:val="26"/>
        </w:numPr>
        <w:spacing w:before="120"/>
      </w:pPr>
      <w:r w:rsidRPr="00BC0230">
        <w:t>If SOEMD believe it is too early to use performance milestones as part of the matrix, it may be possible to develop indicators for the development of systems that will support monitoring and evaluation of SOE performance</w:t>
      </w:r>
    </w:p>
    <w:p w:rsidR="00E7312E" w:rsidRPr="00BC0230" w:rsidRDefault="00E7312E" w:rsidP="000A2737">
      <w:pPr>
        <w:tabs>
          <w:tab w:val="left" w:pos="5610"/>
        </w:tabs>
      </w:pPr>
      <w:r w:rsidRPr="00BC0230">
        <w:t xml:space="preserve"> </w:t>
      </w:r>
      <w:r w:rsidRPr="00BC0230">
        <w:tab/>
      </w:r>
    </w:p>
    <w:p w:rsidR="00E7312E" w:rsidRPr="00BC0230" w:rsidRDefault="00467EF2" w:rsidP="006A7CEB">
      <w:pPr>
        <w:pStyle w:val="Heading2"/>
      </w:pPr>
      <w:bookmarkStart w:id="34" w:name="_Toc322921246"/>
      <w:r w:rsidRPr="00BC0230">
        <w:t>Other Recommendations</w:t>
      </w:r>
      <w:bookmarkEnd w:id="34"/>
    </w:p>
    <w:p w:rsidR="00467EF2" w:rsidRPr="00BC0230" w:rsidRDefault="00467EF2" w:rsidP="00467EF2">
      <w:pPr>
        <w:spacing w:before="120"/>
        <w:rPr>
          <w:b/>
        </w:rPr>
      </w:pPr>
      <w:r w:rsidRPr="00BC0230">
        <w:rPr>
          <w:b/>
        </w:rPr>
        <w:t xml:space="preserve">PLA and </w:t>
      </w:r>
      <w:proofErr w:type="spellStart"/>
      <w:r w:rsidRPr="00BC0230">
        <w:rPr>
          <w:b/>
        </w:rPr>
        <w:t>Incentivisation</w:t>
      </w:r>
      <w:proofErr w:type="spellEnd"/>
      <w:r w:rsidRPr="00BC0230">
        <w:rPr>
          <w:b/>
        </w:rPr>
        <w:t xml:space="preserve"> Awareness</w:t>
      </w:r>
    </w:p>
    <w:p w:rsidR="00467EF2" w:rsidRPr="00BC0230" w:rsidRDefault="00467EF2" w:rsidP="00467EF2">
      <w:pPr>
        <w:spacing w:before="120"/>
      </w:pPr>
      <w:r w:rsidRPr="00BC0230">
        <w:t xml:space="preserve">During meetings with some stakeholders, for some there was a lack of awareness of the Incentivising PFM Reform in Samoa program, of how it functioned, and of how their own performance may contributed to increased fiscal support for </w:t>
      </w:r>
      <w:proofErr w:type="spellStart"/>
      <w:r w:rsidRPr="00BC0230">
        <w:t>GoS</w:t>
      </w:r>
      <w:proofErr w:type="spellEnd"/>
      <w:r w:rsidR="00D414B7">
        <w:t>.  Also, there has been at least</w:t>
      </w:r>
      <w:r w:rsidRPr="00BC0230">
        <w:t xml:space="preserve"> one newspaper article that incorrectly identified </w:t>
      </w:r>
      <w:proofErr w:type="spellStart"/>
      <w:r w:rsidRPr="00BC0230">
        <w:t>AusAID</w:t>
      </w:r>
      <w:proofErr w:type="spellEnd"/>
      <w:r w:rsidRPr="00BC0230">
        <w:t xml:space="preserve"> and NZAP funding from the program as being only for PFM reform</w:t>
      </w:r>
      <w:r w:rsidR="00D414B7">
        <w:t xml:space="preserve"> expenditures</w:t>
      </w:r>
      <w:r w:rsidRPr="00BC0230">
        <w:t>.</w:t>
      </w:r>
    </w:p>
    <w:p w:rsidR="00467EF2" w:rsidRPr="00BC0230" w:rsidRDefault="00467EF2" w:rsidP="00467EF2">
      <w:pPr>
        <w:spacing w:before="120"/>
      </w:pPr>
      <w:proofErr w:type="spellStart"/>
      <w:r w:rsidRPr="00BC0230">
        <w:t>MoF</w:t>
      </w:r>
      <w:proofErr w:type="spellEnd"/>
      <w:r w:rsidRPr="00BC0230">
        <w:t xml:space="preserve"> will need to ensure that where other parties are indirectly involved in the achievement of indicators or targets (e.g. through a sector planning process), that they are made aware of their role in the program.</w:t>
      </w:r>
    </w:p>
    <w:p w:rsidR="00467EF2" w:rsidRPr="00BC0230" w:rsidRDefault="00914908" w:rsidP="00467EF2">
      <w:pPr>
        <w:spacing w:before="120"/>
        <w:rPr>
          <w:b/>
        </w:rPr>
      </w:pPr>
      <w:r w:rsidRPr="00BC0230">
        <w:rPr>
          <w:b/>
        </w:rPr>
        <w:lastRenderedPageBreak/>
        <w:t>Timing of the Independent Assessment</w:t>
      </w:r>
    </w:p>
    <w:p w:rsidR="00914908" w:rsidRPr="00BC0230" w:rsidRDefault="00914908" w:rsidP="00467EF2">
      <w:pPr>
        <w:spacing w:before="120"/>
      </w:pPr>
      <w:r w:rsidRPr="00BC0230">
        <w:t>The Design Note identified November as a suitable time to carry out the Independent Assessment of progress for June targets, because it could be harmonised with the EU PFM assessment in respect of</w:t>
      </w:r>
      <w:r w:rsidR="00D414B7">
        <w:t xml:space="preserve"> Water Sector Budget Support - t</w:t>
      </w:r>
      <w:r w:rsidRPr="00BC0230">
        <w:t xml:space="preserve">he intention being not to impose multiple DP assessments on </w:t>
      </w:r>
      <w:proofErr w:type="spellStart"/>
      <w:r w:rsidRPr="00BC0230">
        <w:t>GoS</w:t>
      </w:r>
      <w:proofErr w:type="spellEnd"/>
      <w:r w:rsidRPr="00BC0230">
        <w:t xml:space="preserve"> (consistent with Paris principles).   If the EU, </w:t>
      </w:r>
      <w:proofErr w:type="spellStart"/>
      <w:r w:rsidRPr="00BC0230">
        <w:t>AusAID</w:t>
      </w:r>
      <w:proofErr w:type="spellEnd"/>
      <w:r w:rsidRPr="00BC0230">
        <w:t xml:space="preserve"> and NZ can jointly carry out a single PFM reform progress assessment, it would reduce the demands on the time of key senior officials.</w:t>
      </w:r>
    </w:p>
    <w:p w:rsidR="00914908" w:rsidRPr="00BC0230" w:rsidRDefault="00914908" w:rsidP="00467EF2">
      <w:pPr>
        <w:spacing w:before="120"/>
      </w:pPr>
      <w:r w:rsidRPr="00BC0230">
        <w:t xml:space="preserve">One of the disadvantages of the </w:t>
      </w:r>
      <w:r w:rsidR="00CB3443" w:rsidRPr="00BC0230">
        <w:t>November timing of the Independent Assessment is that it is carried out a minimum of 5 months after the achievement of the relevant targets, and possibly much longer.</w:t>
      </w:r>
    </w:p>
    <w:p w:rsidR="00CB3443" w:rsidRPr="00BC0230" w:rsidRDefault="00CB3443" w:rsidP="00467EF2">
      <w:pPr>
        <w:spacing w:before="120"/>
      </w:pPr>
      <w:r w:rsidRPr="00BC0230">
        <w:t>It is recommended that the DPs discuss the possibility of bringing forward the date for the joint assessment so that it can be carried out shortly after the end of the financial year, as this will improve the level of incentive.</w:t>
      </w:r>
    </w:p>
    <w:p w:rsidR="00F4389B" w:rsidRPr="00BC0230" w:rsidRDefault="00F4389B" w:rsidP="00E35B36">
      <w:pPr>
        <w:spacing w:before="120"/>
      </w:pPr>
    </w:p>
    <w:p w:rsidR="00D11FE7" w:rsidRPr="00BC0230" w:rsidRDefault="00D11FE7" w:rsidP="00E35B36">
      <w:pPr>
        <w:spacing w:before="120"/>
      </w:pPr>
    </w:p>
    <w:p w:rsidR="00D11FE7" w:rsidRPr="00BC0230" w:rsidRDefault="00D11FE7" w:rsidP="00E35B36">
      <w:pPr>
        <w:spacing w:before="120"/>
        <w:sectPr w:rsidR="00D11FE7" w:rsidRPr="00BC0230">
          <w:pgSz w:w="11906" w:h="16838"/>
          <w:pgMar w:top="1440" w:right="1440" w:bottom="1440" w:left="1440" w:header="720" w:footer="720" w:gutter="0"/>
          <w:cols w:space="720"/>
          <w:docGrid w:linePitch="360"/>
        </w:sectPr>
      </w:pPr>
    </w:p>
    <w:p w:rsidR="00D11FE7" w:rsidRPr="00BC0230" w:rsidRDefault="00BC5A00" w:rsidP="00E15571">
      <w:pPr>
        <w:pStyle w:val="Heading1"/>
        <w:numPr>
          <w:ilvl w:val="0"/>
          <w:numId w:val="0"/>
        </w:numPr>
        <w:ind w:left="432"/>
      </w:pPr>
      <w:bookmarkStart w:id="35" w:name="_Toc322921247"/>
      <w:r>
        <w:lastRenderedPageBreak/>
        <w:t xml:space="preserve">Annex 1 </w:t>
      </w:r>
      <w:r w:rsidR="00E15571" w:rsidRPr="00BC0230">
        <w:t xml:space="preserve"> 2011-2013 Policy Action Matrix</w:t>
      </w:r>
      <w:bookmarkEnd w:id="35"/>
    </w:p>
    <w:p w:rsidR="00956AE2" w:rsidRPr="00BC0230" w:rsidRDefault="00956AE2" w:rsidP="00956AE2">
      <w:r w:rsidRPr="00BC0230">
        <w:tab/>
      </w:r>
      <w:r w:rsidRPr="00BC0230">
        <w:tab/>
        <w:t>(as per Design Note, October 2011)</w:t>
      </w:r>
    </w:p>
    <w:p w:rsidR="00E15571" w:rsidRPr="00BC0230" w:rsidRDefault="00E15571" w:rsidP="00E35B36">
      <w:pPr>
        <w:spacing w:before="120"/>
      </w:pPr>
    </w:p>
    <w:tbl>
      <w:tblPr>
        <w:tblW w:w="9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090"/>
        <w:gridCol w:w="4140"/>
      </w:tblGrid>
      <w:tr w:rsidR="00E15571" w:rsidRPr="00BC0230" w:rsidTr="00871A4C">
        <w:trPr>
          <w:trHeight w:hRule="exact" w:val="516"/>
          <w:tblHeader/>
        </w:trPr>
        <w:tc>
          <w:tcPr>
            <w:tcW w:w="1440" w:type="dxa"/>
          </w:tcPr>
          <w:p w:rsidR="00E15571" w:rsidRPr="00BC0230" w:rsidRDefault="00E15571" w:rsidP="00871A4C">
            <w:pPr>
              <w:jc w:val="center"/>
              <w:rPr>
                <w:rFonts w:ascii="Calibri" w:hAnsi="Calibri"/>
                <w:b/>
                <w:bCs/>
                <w:sz w:val="20"/>
                <w:szCs w:val="20"/>
              </w:rPr>
            </w:pPr>
            <w:r w:rsidRPr="00BC0230">
              <w:rPr>
                <w:rFonts w:ascii="Calibri" w:hAnsi="Calibri"/>
                <w:b/>
                <w:bCs/>
                <w:sz w:val="20"/>
                <w:szCs w:val="20"/>
              </w:rPr>
              <w:t>Theme</w:t>
            </w:r>
          </w:p>
        </w:tc>
        <w:tc>
          <w:tcPr>
            <w:tcW w:w="4090" w:type="dxa"/>
          </w:tcPr>
          <w:p w:rsidR="00E15571" w:rsidRPr="00BC0230" w:rsidRDefault="00E15571" w:rsidP="00871A4C">
            <w:pPr>
              <w:jc w:val="center"/>
              <w:rPr>
                <w:rFonts w:ascii="Calibri" w:hAnsi="Calibri"/>
                <w:b/>
                <w:bCs/>
                <w:sz w:val="20"/>
                <w:szCs w:val="20"/>
              </w:rPr>
            </w:pPr>
            <w:r w:rsidRPr="00BC0230">
              <w:rPr>
                <w:rFonts w:ascii="Calibri" w:hAnsi="Calibri"/>
                <w:b/>
                <w:bCs/>
                <w:sz w:val="20"/>
                <w:szCs w:val="20"/>
              </w:rPr>
              <w:t xml:space="preserve">Progress to be achieved </w:t>
            </w:r>
          </w:p>
          <w:p w:rsidR="00E15571" w:rsidRPr="00BC0230" w:rsidRDefault="00E15571" w:rsidP="00871A4C">
            <w:pPr>
              <w:jc w:val="center"/>
              <w:rPr>
                <w:rFonts w:ascii="Calibri" w:hAnsi="Calibri"/>
                <w:b/>
                <w:bCs/>
                <w:sz w:val="20"/>
                <w:szCs w:val="20"/>
                <w:lang w:eastAsia="en-GB"/>
              </w:rPr>
            </w:pPr>
            <w:r w:rsidRPr="00BC0230">
              <w:rPr>
                <w:rFonts w:ascii="Calibri" w:hAnsi="Calibri"/>
                <w:b/>
                <w:bCs/>
                <w:sz w:val="20"/>
                <w:szCs w:val="20"/>
              </w:rPr>
              <w:t>By end June 2012</w:t>
            </w:r>
          </w:p>
        </w:tc>
        <w:tc>
          <w:tcPr>
            <w:tcW w:w="4140" w:type="dxa"/>
          </w:tcPr>
          <w:p w:rsidR="00E15571" w:rsidRPr="00BC0230" w:rsidRDefault="00E15571" w:rsidP="00871A4C">
            <w:pPr>
              <w:jc w:val="center"/>
              <w:rPr>
                <w:rFonts w:ascii="Calibri" w:hAnsi="Calibri"/>
                <w:b/>
                <w:bCs/>
                <w:sz w:val="20"/>
                <w:szCs w:val="20"/>
              </w:rPr>
            </w:pPr>
            <w:r w:rsidRPr="00BC0230">
              <w:rPr>
                <w:rFonts w:ascii="Calibri" w:hAnsi="Calibri"/>
                <w:b/>
                <w:bCs/>
                <w:sz w:val="20"/>
                <w:szCs w:val="20"/>
              </w:rPr>
              <w:t>Progress to be achieved</w:t>
            </w:r>
          </w:p>
          <w:p w:rsidR="00E15571" w:rsidRPr="00BC0230" w:rsidRDefault="00E15571" w:rsidP="00871A4C">
            <w:pPr>
              <w:jc w:val="center"/>
              <w:rPr>
                <w:rFonts w:ascii="Calibri" w:hAnsi="Calibri"/>
                <w:b/>
                <w:bCs/>
                <w:sz w:val="20"/>
                <w:szCs w:val="20"/>
                <w:lang w:eastAsia="en-GB"/>
              </w:rPr>
            </w:pPr>
            <w:r w:rsidRPr="00BC0230">
              <w:rPr>
                <w:rFonts w:ascii="Calibri" w:hAnsi="Calibri"/>
                <w:b/>
                <w:bCs/>
                <w:sz w:val="20"/>
                <w:szCs w:val="20"/>
              </w:rPr>
              <w:t>By end June 2013</w:t>
            </w:r>
          </w:p>
        </w:tc>
      </w:tr>
      <w:tr w:rsidR="00E15571" w:rsidRPr="00BC0230" w:rsidTr="00871A4C">
        <w:trPr>
          <w:trHeight w:val="1008"/>
        </w:trPr>
        <w:tc>
          <w:tcPr>
            <w:tcW w:w="1440" w:type="dxa"/>
          </w:tcPr>
          <w:p w:rsidR="00E15571" w:rsidRPr="00BC0230" w:rsidRDefault="00E15571" w:rsidP="00871A4C">
            <w:pPr>
              <w:spacing w:before="60" w:after="60"/>
              <w:rPr>
                <w:rFonts w:ascii="Calibri" w:hAnsi="Calibri"/>
                <w:sz w:val="20"/>
                <w:szCs w:val="20"/>
                <w:lang w:eastAsia="en-GB"/>
              </w:rPr>
            </w:pPr>
            <w:r w:rsidRPr="00BC0230">
              <w:rPr>
                <w:rFonts w:ascii="Calibri" w:hAnsi="Calibri"/>
                <w:sz w:val="20"/>
                <w:szCs w:val="20"/>
                <w:lang w:eastAsia="en-GB"/>
              </w:rPr>
              <w:t>Strengthened planning systems</w:t>
            </w:r>
          </w:p>
        </w:tc>
        <w:tc>
          <w:tcPr>
            <w:tcW w:w="4090" w:type="dxa"/>
          </w:tcPr>
          <w:p w:rsidR="00E15571" w:rsidRPr="00BC0230" w:rsidRDefault="00E15571" w:rsidP="00E15571">
            <w:pPr>
              <w:numPr>
                <w:ilvl w:val="0"/>
                <w:numId w:val="3"/>
              </w:numPr>
              <w:spacing w:before="60" w:after="60"/>
              <w:rPr>
                <w:rFonts w:ascii="Calibri" w:hAnsi="Calibri"/>
                <w:i/>
                <w:iCs/>
                <w:sz w:val="20"/>
                <w:szCs w:val="20"/>
                <w:lang w:eastAsia="en-GB"/>
              </w:rPr>
            </w:pPr>
            <w:r w:rsidRPr="00BC0230">
              <w:rPr>
                <w:rFonts w:ascii="Calibri" w:hAnsi="Calibri"/>
                <w:sz w:val="20"/>
                <w:szCs w:val="20"/>
                <w:lang w:eastAsia="en-GB"/>
              </w:rPr>
              <w:t xml:space="preserve">New Strategy for Development of Samoa (2012-16) with higher level strategies, challenges and priorities linked to sector level plans developed through participatory process.  </w:t>
            </w:r>
          </w:p>
          <w:p w:rsidR="00E15571" w:rsidRPr="00BC0230" w:rsidRDefault="00E15571" w:rsidP="00E15571">
            <w:pPr>
              <w:numPr>
                <w:ilvl w:val="0"/>
                <w:numId w:val="3"/>
              </w:numPr>
              <w:spacing w:before="60" w:after="60"/>
              <w:rPr>
                <w:rFonts w:ascii="Calibri" w:hAnsi="Calibri"/>
                <w:i/>
                <w:iCs/>
                <w:sz w:val="20"/>
                <w:szCs w:val="20"/>
                <w:lang w:eastAsia="en-GB"/>
              </w:rPr>
            </w:pPr>
            <w:r w:rsidRPr="00BC0230">
              <w:rPr>
                <w:rFonts w:ascii="Calibri" w:hAnsi="Calibri"/>
                <w:sz w:val="20"/>
                <w:szCs w:val="20"/>
                <w:lang w:eastAsia="en-GB"/>
              </w:rPr>
              <w:t xml:space="preserve">At least 9 out of 14 sector plans approved with 2 or 3 high level outcome performance indicators identified for each sector. </w:t>
            </w:r>
          </w:p>
          <w:p w:rsidR="00E15571" w:rsidRPr="00BC0230" w:rsidRDefault="00E15571" w:rsidP="00E15571">
            <w:pPr>
              <w:numPr>
                <w:ilvl w:val="0"/>
                <w:numId w:val="3"/>
              </w:numPr>
              <w:spacing w:before="60" w:after="60"/>
              <w:rPr>
                <w:rFonts w:ascii="Calibri" w:hAnsi="Calibri"/>
                <w:i/>
                <w:iCs/>
                <w:sz w:val="20"/>
                <w:szCs w:val="20"/>
                <w:lang w:eastAsia="en-GB"/>
              </w:rPr>
            </w:pPr>
            <w:r w:rsidRPr="00BC0230">
              <w:rPr>
                <w:rFonts w:ascii="Calibri" w:hAnsi="Calibri"/>
                <w:sz w:val="20"/>
                <w:szCs w:val="20"/>
              </w:rPr>
              <w:t xml:space="preserve">Concept paper on the needs of the vulnerable (low income/disadvantaged) prepared. </w:t>
            </w:r>
          </w:p>
          <w:p w:rsidR="00E15571" w:rsidRPr="00BC0230" w:rsidRDefault="00E15571" w:rsidP="00E15571">
            <w:pPr>
              <w:numPr>
                <w:ilvl w:val="0"/>
                <w:numId w:val="3"/>
              </w:numPr>
              <w:spacing w:before="60" w:after="60"/>
              <w:rPr>
                <w:rFonts w:ascii="Calibri" w:hAnsi="Calibri"/>
                <w:i/>
                <w:iCs/>
                <w:sz w:val="20"/>
                <w:szCs w:val="20"/>
                <w:lang w:eastAsia="en-GB"/>
              </w:rPr>
            </w:pPr>
            <w:r w:rsidRPr="00BC0230">
              <w:rPr>
                <w:rFonts w:ascii="Calibri" w:hAnsi="Calibri"/>
                <w:sz w:val="20"/>
                <w:szCs w:val="20"/>
              </w:rPr>
              <w:t>Key interventions to address the issues raised in the concept paper incorporated in the SDS and sector planning/programming process.</w:t>
            </w:r>
          </w:p>
        </w:tc>
        <w:tc>
          <w:tcPr>
            <w:tcW w:w="4140" w:type="dxa"/>
          </w:tcPr>
          <w:p w:rsidR="00E15571" w:rsidRPr="00BC0230" w:rsidRDefault="00E15571" w:rsidP="00E15571">
            <w:pPr>
              <w:numPr>
                <w:ilvl w:val="0"/>
                <w:numId w:val="4"/>
              </w:numPr>
              <w:spacing w:before="60" w:after="60"/>
              <w:rPr>
                <w:rFonts w:ascii="Calibri" w:hAnsi="Calibri"/>
                <w:sz w:val="20"/>
                <w:szCs w:val="20"/>
                <w:lang w:eastAsia="en-GB"/>
              </w:rPr>
            </w:pPr>
            <w:r w:rsidRPr="00BC0230">
              <w:rPr>
                <w:rFonts w:ascii="Calibri" w:hAnsi="Calibri"/>
                <w:sz w:val="20"/>
                <w:szCs w:val="20"/>
                <w:lang w:eastAsia="en-GB"/>
              </w:rPr>
              <w:t xml:space="preserve">At least 13 out of 14 sector plans current and approved. </w:t>
            </w:r>
          </w:p>
          <w:p w:rsidR="00E15571" w:rsidRPr="00BC0230" w:rsidRDefault="00E15571" w:rsidP="00E15571">
            <w:pPr>
              <w:numPr>
                <w:ilvl w:val="0"/>
                <w:numId w:val="4"/>
              </w:numPr>
              <w:spacing w:before="60" w:after="60"/>
              <w:rPr>
                <w:rFonts w:ascii="Calibri" w:hAnsi="Calibri"/>
                <w:i/>
                <w:iCs/>
                <w:sz w:val="20"/>
                <w:szCs w:val="20"/>
              </w:rPr>
            </w:pPr>
            <w:r w:rsidRPr="00BC0230">
              <w:rPr>
                <w:rFonts w:ascii="Calibri" w:hAnsi="Calibri"/>
                <w:sz w:val="20"/>
                <w:szCs w:val="20"/>
                <w:lang w:eastAsia="en-GB"/>
              </w:rPr>
              <w:t xml:space="preserve">Costed and realistic sector investment plans for at least 7 sectors developed and brought together into a single 5 year Public Sector Investment Programme, to be updated on an annual basis. </w:t>
            </w:r>
          </w:p>
          <w:p w:rsidR="00E15571" w:rsidRPr="00BC0230" w:rsidRDefault="00E15571" w:rsidP="00E15571">
            <w:pPr>
              <w:numPr>
                <w:ilvl w:val="0"/>
                <w:numId w:val="4"/>
              </w:numPr>
              <w:spacing w:before="60" w:after="60"/>
              <w:rPr>
                <w:rFonts w:ascii="Calibri" w:hAnsi="Calibri"/>
                <w:i/>
                <w:iCs/>
                <w:sz w:val="20"/>
                <w:szCs w:val="20"/>
              </w:rPr>
            </w:pPr>
            <w:r w:rsidRPr="00BC0230">
              <w:rPr>
                <w:rFonts w:ascii="Calibri" w:hAnsi="Calibri"/>
                <w:sz w:val="20"/>
                <w:szCs w:val="20"/>
                <w:lang w:eastAsia="en-GB"/>
              </w:rPr>
              <w:t xml:space="preserve">Sector plans being monitored with annual review meetings with all stakeholders to present/discuss progress/ constraints and performance indicators for at least 5 sectors. </w:t>
            </w:r>
          </w:p>
          <w:p w:rsidR="00E15571" w:rsidRPr="00BC0230" w:rsidRDefault="00E15571" w:rsidP="00E15571">
            <w:pPr>
              <w:numPr>
                <w:ilvl w:val="0"/>
                <w:numId w:val="4"/>
              </w:numPr>
              <w:spacing w:before="60" w:after="60"/>
              <w:rPr>
                <w:rFonts w:ascii="Calibri" w:hAnsi="Calibri"/>
                <w:i/>
                <w:iCs/>
                <w:sz w:val="20"/>
                <w:szCs w:val="20"/>
              </w:rPr>
            </w:pPr>
            <w:r w:rsidRPr="00BC0230">
              <w:rPr>
                <w:rFonts w:ascii="Calibri" w:hAnsi="Calibri"/>
                <w:sz w:val="20"/>
                <w:szCs w:val="20"/>
                <w:lang w:eastAsia="en-GB"/>
              </w:rPr>
              <w:t>Public progress reports issued for at least 5 sectors.</w:t>
            </w:r>
          </w:p>
        </w:tc>
      </w:tr>
      <w:tr w:rsidR="00E15571" w:rsidRPr="00BC0230" w:rsidTr="00871A4C">
        <w:trPr>
          <w:trHeight w:val="223"/>
        </w:trPr>
        <w:tc>
          <w:tcPr>
            <w:tcW w:w="1440" w:type="dxa"/>
          </w:tcPr>
          <w:p w:rsidR="00E15571" w:rsidRPr="00BC0230" w:rsidRDefault="00E15571" w:rsidP="00871A4C">
            <w:pPr>
              <w:spacing w:before="60" w:after="60"/>
              <w:rPr>
                <w:rFonts w:ascii="Calibri" w:hAnsi="Calibri"/>
                <w:sz w:val="20"/>
                <w:szCs w:val="20"/>
              </w:rPr>
            </w:pPr>
            <w:r w:rsidRPr="00BC0230">
              <w:rPr>
                <w:rFonts w:ascii="Calibri" w:hAnsi="Calibri"/>
                <w:sz w:val="20"/>
                <w:szCs w:val="20"/>
              </w:rPr>
              <w:t>Enhanced economic contribution of SOEs</w:t>
            </w:r>
          </w:p>
        </w:tc>
        <w:tc>
          <w:tcPr>
            <w:tcW w:w="4090" w:type="dxa"/>
          </w:tcPr>
          <w:p w:rsidR="00E15571" w:rsidRPr="00BC0230" w:rsidRDefault="00E15571" w:rsidP="00E15571">
            <w:pPr>
              <w:numPr>
                <w:ilvl w:val="0"/>
                <w:numId w:val="3"/>
              </w:numPr>
              <w:spacing w:before="60" w:after="60"/>
              <w:rPr>
                <w:rFonts w:ascii="Calibri" w:hAnsi="Calibri"/>
                <w:sz w:val="20"/>
                <w:szCs w:val="20"/>
              </w:rPr>
            </w:pPr>
            <w:r w:rsidRPr="00BC0230">
              <w:rPr>
                <w:rFonts w:ascii="Calibri" w:hAnsi="Calibri"/>
                <w:sz w:val="20"/>
                <w:szCs w:val="20"/>
              </w:rPr>
              <w:t xml:space="preserve">50% of SOEs compliant with the Public Bodies (Performance and Accountability) Act on the appointment of board members. </w:t>
            </w:r>
          </w:p>
          <w:p w:rsidR="00E15571" w:rsidRPr="00BC0230" w:rsidRDefault="00E15571" w:rsidP="00E15571">
            <w:pPr>
              <w:numPr>
                <w:ilvl w:val="0"/>
                <w:numId w:val="3"/>
              </w:numPr>
              <w:spacing w:before="60" w:after="60"/>
              <w:rPr>
                <w:rFonts w:ascii="Calibri" w:hAnsi="Calibri"/>
                <w:sz w:val="20"/>
                <w:szCs w:val="20"/>
              </w:rPr>
            </w:pPr>
            <w:r w:rsidRPr="00BC0230">
              <w:rPr>
                <w:rFonts w:ascii="Calibri" w:hAnsi="Calibri"/>
                <w:sz w:val="20"/>
                <w:szCs w:val="20"/>
              </w:rPr>
              <w:t xml:space="preserve">SOE objectives reviewed and aligned with sector goals. </w:t>
            </w:r>
          </w:p>
          <w:p w:rsidR="00E15571" w:rsidRPr="00BC0230" w:rsidRDefault="00E15571" w:rsidP="00E15571">
            <w:pPr>
              <w:numPr>
                <w:ilvl w:val="0"/>
                <w:numId w:val="3"/>
              </w:numPr>
              <w:spacing w:before="60" w:after="60"/>
              <w:rPr>
                <w:rFonts w:ascii="Calibri" w:hAnsi="Calibri"/>
                <w:sz w:val="20"/>
                <w:szCs w:val="20"/>
              </w:rPr>
            </w:pPr>
            <w:r w:rsidRPr="00BC0230">
              <w:rPr>
                <w:rFonts w:ascii="Calibri" w:hAnsi="Calibri"/>
                <w:sz w:val="20"/>
                <w:szCs w:val="20"/>
              </w:rPr>
              <w:t>Performance framework agreed for at least 20% of SOEs with key performance indicators, future targets and annual reporting mechanism established.</w:t>
            </w:r>
          </w:p>
          <w:p w:rsidR="00E15571" w:rsidRPr="00BC0230" w:rsidRDefault="00E15571" w:rsidP="00E15571">
            <w:pPr>
              <w:numPr>
                <w:ilvl w:val="0"/>
                <w:numId w:val="3"/>
              </w:numPr>
              <w:spacing w:before="60" w:after="60"/>
              <w:rPr>
                <w:rFonts w:ascii="Calibri" w:hAnsi="Calibri"/>
                <w:sz w:val="20"/>
                <w:szCs w:val="20"/>
              </w:rPr>
            </w:pPr>
            <w:r w:rsidRPr="00BC0230">
              <w:rPr>
                <w:rFonts w:ascii="Calibri" w:hAnsi="Calibri"/>
                <w:sz w:val="20"/>
                <w:szCs w:val="20"/>
              </w:rPr>
              <w:t>One additional SOE to be prepared for privatisation</w:t>
            </w:r>
          </w:p>
        </w:tc>
        <w:tc>
          <w:tcPr>
            <w:tcW w:w="4140" w:type="dxa"/>
          </w:tcPr>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 xml:space="preserve">75% of SOEs compliant with the Public Bodies (Performance and Accountability) Act on the appointment of board members. </w:t>
            </w:r>
          </w:p>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 xml:space="preserve">Performance framework agreed for at least 50% of SOEs with key performance indicators, future targets and annual reporting mechanism established. </w:t>
            </w:r>
          </w:p>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Privatisation completed for one SOE and a further SOE prepared for privatisation.</w:t>
            </w:r>
          </w:p>
        </w:tc>
      </w:tr>
      <w:tr w:rsidR="00E15571" w:rsidRPr="00BC0230" w:rsidTr="00871A4C">
        <w:trPr>
          <w:trHeight w:val="223"/>
        </w:trPr>
        <w:tc>
          <w:tcPr>
            <w:tcW w:w="1440" w:type="dxa"/>
          </w:tcPr>
          <w:p w:rsidR="00E15571" w:rsidRPr="00BC0230" w:rsidRDefault="00E15571" w:rsidP="00871A4C">
            <w:pPr>
              <w:spacing w:before="60" w:after="60"/>
              <w:rPr>
                <w:rFonts w:ascii="Calibri" w:hAnsi="Calibri"/>
                <w:snapToGrid w:val="0"/>
                <w:sz w:val="20"/>
                <w:szCs w:val="20"/>
              </w:rPr>
            </w:pPr>
            <w:r w:rsidRPr="00BC0230">
              <w:rPr>
                <w:rFonts w:ascii="Calibri" w:hAnsi="Calibri"/>
                <w:snapToGrid w:val="0"/>
                <w:sz w:val="20"/>
                <w:szCs w:val="20"/>
              </w:rPr>
              <w:t>Improved Public Finance Management systems</w:t>
            </w:r>
          </w:p>
        </w:tc>
        <w:tc>
          <w:tcPr>
            <w:tcW w:w="4090" w:type="dxa"/>
          </w:tcPr>
          <w:p w:rsidR="00E15571" w:rsidRPr="00BC0230" w:rsidRDefault="00E15571" w:rsidP="00E15571">
            <w:pPr>
              <w:numPr>
                <w:ilvl w:val="0"/>
                <w:numId w:val="3"/>
              </w:numPr>
              <w:spacing w:before="60" w:after="60"/>
              <w:rPr>
                <w:rFonts w:ascii="Calibri" w:hAnsi="Calibri"/>
                <w:sz w:val="20"/>
                <w:szCs w:val="20"/>
                <w:lang w:eastAsia="en-GB"/>
              </w:rPr>
            </w:pPr>
            <w:r w:rsidRPr="00BC0230">
              <w:rPr>
                <w:rFonts w:ascii="Calibri" w:hAnsi="Calibri"/>
                <w:sz w:val="20"/>
                <w:szCs w:val="20"/>
                <w:lang w:eastAsia="en-GB"/>
              </w:rPr>
              <w:t>Substantial progress achieved on the implementation of Phase 2 of the PFM Reform Plan as demonstrated through an annual report and annual review meeting in November.</w:t>
            </w:r>
          </w:p>
          <w:p w:rsidR="00E15571" w:rsidRPr="00BC0230" w:rsidRDefault="00E15571" w:rsidP="00E15571">
            <w:pPr>
              <w:numPr>
                <w:ilvl w:val="0"/>
                <w:numId w:val="3"/>
              </w:numPr>
              <w:spacing w:before="60" w:after="60"/>
              <w:rPr>
                <w:rFonts w:ascii="Calibri" w:hAnsi="Calibri"/>
                <w:sz w:val="20"/>
                <w:szCs w:val="20"/>
                <w:lang w:eastAsia="en-GB"/>
              </w:rPr>
            </w:pPr>
            <w:r w:rsidRPr="00BC0230">
              <w:rPr>
                <w:rFonts w:ascii="Calibri" w:hAnsi="Calibri"/>
                <w:sz w:val="20"/>
                <w:szCs w:val="20"/>
                <w:lang w:eastAsia="en-GB"/>
              </w:rPr>
              <w:t xml:space="preserve">Procurement Unit established in </w:t>
            </w:r>
            <w:proofErr w:type="spellStart"/>
            <w:r w:rsidRPr="00BC0230">
              <w:rPr>
                <w:rFonts w:ascii="Calibri" w:hAnsi="Calibri"/>
                <w:sz w:val="20"/>
                <w:szCs w:val="20"/>
                <w:lang w:eastAsia="en-GB"/>
              </w:rPr>
              <w:t>MoF</w:t>
            </w:r>
            <w:proofErr w:type="spellEnd"/>
            <w:r w:rsidRPr="00BC0230">
              <w:rPr>
                <w:rFonts w:ascii="Calibri" w:hAnsi="Calibri"/>
                <w:sz w:val="20"/>
                <w:szCs w:val="20"/>
                <w:lang w:eastAsia="en-GB"/>
              </w:rPr>
              <w:t xml:space="preserve"> with standard templates developed.</w:t>
            </w:r>
          </w:p>
          <w:p w:rsidR="00E15571" w:rsidRPr="00BC0230" w:rsidRDefault="00E15571" w:rsidP="00E15571">
            <w:pPr>
              <w:numPr>
                <w:ilvl w:val="0"/>
                <w:numId w:val="3"/>
              </w:numPr>
              <w:spacing w:before="60" w:after="60"/>
              <w:rPr>
                <w:rFonts w:ascii="Calibri" w:hAnsi="Calibri"/>
                <w:sz w:val="20"/>
                <w:szCs w:val="20"/>
                <w:lang w:eastAsia="en-GB"/>
              </w:rPr>
            </w:pPr>
            <w:r w:rsidRPr="00BC0230">
              <w:rPr>
                <w:rFonts w:ascii="Calibri" w:hAnsi="Calibri"/>
                <w:sz w:val="20"/>
                <w:szCs w:val="20"/>
                <w:lang w:eastAsia="en-GB"/>
              </w:rPr>
              <w:t xml:space="preserve">Information being made available to the public on all public sector contract awards 500,000SAT. </w:t>
            </w:r>
          </w:p>
          <w:p w:rsidR="00E15571" w:rsidRPr="00BC0230" w:rsidRDefault="00E15571" w:rsidP="00E15571">
            <w:pPr>
              <w:numPr>
                <w:ilvl w:val="0"/>
                <w:numId w:val="3"/>
              </w:numPr>
              <w:spacing w:before="60" w:after="60"/>
              <w:rPr>
                <w:rFonts w:ascii="Calibri" w:hAnsi="Calibri"/>
                <w:sz w:val="20"/>
                <w:szCs w:val="20"/>
                <w:lang w:eastAsia="en-GB"/>
              </w:rPr>
            </w:pPr>
            <w:r w:rsidRPr="00BC0230">
              <w:rPr>
                <w:rFonts w:ascii="Calibri" w:hAnsi="Calibri"/>
                <w:sz w:val="20"/>
                <w:szCs w:val="20"/>
                <w:lang w:eastAsia="en-GB"/>
              </w:rPr>
              <w:t>Strategic Plan developed for internal audit across Government.</w:t>
            </w:r>
          </w:p>
          <w:p w:rsidR="00E15571" w:rsidRPr="00BC0230" w:rsidRDefault="00E15571" w:rsidP="00E15571">
            <w:pPr>
              <w:numPr>
                <w:ilvl w:val="0"/>
                <w:numId w:val="3"/>
              </w:numPr>
              <w:spacing w:before="60" w:after="60"/>
              <w:rPr>
                <w:rFonts w:ascii="Calibri" w:hAnsi="Calibri"/>
                <w:sz w:val="20"/>
                <w:szCs w:val="20"/>
                <w:lang w:eastAsia="en-GB"/>
              </w:rPr>
            </w:pPr>
            <w:r w:rsidRPr="00BC0230">
              <w:rPr>
                <w:rFonts w:ascii="Calibri" w:hAnsi="Calibri"/>
                <w:sz w:val="20"/>
                <w:szCs w:val="20"/>
                <w:lang w:eastAsia="en-GB"/>
              </w:rPr>
              <w:t>Finance Sector Plan under preparation and holding quarterly meetings with PFM as core component.</w:t>
            </w:r>
          </w:p>
        </w:tc>
        <w:tc>
          <w:tcPr>
            <w:tcW w:w="4140" w:type="dxa"/>
          </w:tcPr>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 xml:space="preserve">PEFA undertaken and made public showing progress (improved scores) in strengthening PFM systems. </w:t>
            </w:r>
          </w:p>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 xml:space="preserve">Successful implementation and achievement of at least 70% of indicators under Phase 2 of the PFM Reform Plan as reported at November 2013 annual review meeting with written progress report. </w:t>
            </w:r>
          </w:p>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Finance Sector Plan approved and under implementation.</w:t>
            </w:r>
          </w:p>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 xml:space="preserve">Procurement templates (bidding documents and contracts) disseminated with training for Line Ministries.  </w:t>
            </w:r>
          </w:p>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t xml:space="preserve">Policy established for late payment to suppliers and system for monitoring arrears in place. </w:t>
            </w:r>
          </w:p>
          <w:p w:rsidR="00E15571" w:rsidRPr="00BC0230" w:rsidRDefault="00E15571" w:rsidP="00E15571">
            <w:pPr>
              <w:numPr>
                <w:ilvl w:val="0"/>
                <w:numId w:val="4"/>
              </w:numPr>
              <w:spacing w:before="60" w:after="60"/>
              <w:rPr>
                <w:rFonts w:ascii="Calibri" w:hAnsi="Calibri"/>
                <w:sz w:val="20"/>
                <w:szCs w:val="20"/>
              </w:rPr>
            </w:pPr>
            <w:r w:rsidRPr="00BC0230">
              <w:rPr>
                <w:rFonts w:ascii="Calibri" w:hAnsi="Calibri"/>
                <w:sz w:val="20"/>
                <w:szCs w:val="20"/>
              </w:rPr>
              <w:lastRenderedPageBreak/>
              <w:t>Strategic plan for internal audit approved and under implementation.</w:t>
            </w:r>
          </w:p>
        </w:tc>
      </w:tr>
      <w:tr w:rsidR="00E15571" w:rsidRPr="00BC0230" w:rsidTr="00871A4C">
        <w:trPr>
          <w:trHeight w:val="223"/>
        </w:trPr>
        <w:tc>
          <w:tcPr>
            <w:tcW w:w="1440" w:type="dxa"/>
          </w:tcPr>
          <w:p w:rsidR="00E15571" w:rsidRPr="00BC0230" w:rsidRDefault="00E15571" w:rsidP="00871A4C">
            <w:pPr>
              <w:spacing w:before="60" w:after="60"/>
              <w:rPr>
                <w:rFonts w:ascii="Calibri" w:hAnsi="Calibri"/>
                <w:sz w:val="20"/>
                <w:szCs w:val="20"/>
              </w:rPr>
            </w:pPr>
            <w:r w:rsidRPr="00BC0230">
              <w:rPr>
                <w:rFonts w:ascii="Calibri" w:hAnsi="Calibri"/>
                <w:sz w:val="20"/>
                <w:szCs w:val="20"/>
              </w:rPr>
              <w:lastRenderedPageBreak/>
              <w:t>Maintenance of Overall Fiscal Discipline</w:t>
            </w:r>
          </w:p>
        </w:tc>
        <w:tc>
          <w:tcPr>
            <w:tcW w:w="4090" w:type="dxa"/>
          </w:tcPr>
          <w:p w:rsidR="00E15571" w:rsidRPr="00BC0230" w:rsidRDefault="00E15571" w:rsidP="00E15571">
            <w:pPr>
              <w:numPr>
                <w:ilvl w:val="0"/>
                <w:numId w:val="3"/>
              </w:numPr>
              <w:spacing w:before="60" w:after="60"/>
              <w:rPr>
                <w:rFonts w:ascii="Calibri" w:hAnsi="Calibri"/>
                <w:iCs/>
                <w:sz w:val="20"/>
                <w:szCs w:val="20"/>
              </w:rPr>
            </w:pPr>
            <w:r w:rsidRPr="00BC0230">
              <w:rPr>
                <w:rFonts w:ascii="Calibri" w:hAnsi="Calibri"/>
                <w:iCs/>
                <w:sz w:val="20"/>
                <w:szCs w:val="20"/>
              </w:rPr>
              <w:t>Macro-economic Committee (CBS,</w:t>
            </w:r>
            <w:r w:rsidR="00BC0230" w:rsidRPr="00BC0230">
              <w:rPr>
                <w:rFonts w:ascii="Calibri" w:hAnsi="Calibri"/>
                <w:iCs/>
                <w:sz w:val="20"/>
                <w:szCs w:val="20"/>
              </w:rPr>
              <w:t xml:space="preserve"> </w:t>
            </w:r>
            <w:proofErr w:type="spellStart"/>
            <w:r w:rsidRPr="00BC0230">
              <w:rPr>
                <w:rFonts w:ascii="Calibri" w:hAnsi="Calibri"/>
                <w:iCs/>
                <w:sz w:val="20"/>
                <w:szCs w:val="20"/>
              </w:rPr>
              <w:t>MoF</w:t>
            </w:r>
            <w:proofErr w:type="spellEnd"/>
            <w:r w:rsidRPr="00BC0230">
              <w:rPr>
                <w:rFonts w:ascii="Calibri" w:hAnsi="Calibri"/>
                <w:iCs/>
                <w:sz w:val="20"/>
                <w:szCs w:val="20"/>
              </w:rPr>
              <w:t xml:space="preserve">, SBS) established under the Finance Sector to monitor and forecast, fiscal stability and debt sustainability. </w:t>
            </w:r>
          </w:p>
          <w:p w:rsidR="00E15571" w:rsidRPr="00BC0230" w:rsidRDefault="00E15571" w:rsidP="00E15571">
            <w:pPr>
              <w:numPr>
                <w:ilvl w:val="0"/>
                <w:numId w:val="3"/>
              </w:numPr>
              <w:spacing w:before="60" w:after="60"/>
              <w:rPr>
                <w:rFonts w:ascii="Calibri" w:hAnsi="Calibri"/>
                <w:iCs/>
                <w:sz w:val="20"/>
                <w:szCs w:val="20"/>
              </w:rPr>
            </w:pPr>
            <w:r w:rsidRPr="00BC0230">
              <w:rPr>
                <w:rFonts w:ascii="Calibri" w:hAnsi="Calibri"/>
                <w:iCs/>
                <w:sz w:val="20"/>
                <w:szCs w:val="20"/>
              </w:rPr>
              <w:t>IMF Article IV consultations confirm continued stability.</w:t>
            </w:r>
          </w:p>
        </w:tc>
        <w:tc>
          <w:tcPr>
            <w:tcW w:w="4140" w:type="dxa"/>
          </w:tcPr>
          <w:p w:rsidR="00E15571" w:rsidRPr="00BC0230" w:rsidRDefault="00E15571" w:rsidP="00E15571">
            <w:pPr>
              <w:numPr>
                <w:ilvl w:val="0"/>
                <w:numId w:val="4"/>
              </w:numPr>
              <w:spacing w:before="60" w:after="60"/>
              <w:rPr>
                <w:rFonts w:ascii="Calibri" w:hAnsi="Calibri"/>
                <w:iCs/>
                <w:sz w:val="20"/>
                <w:szCs w:val="20"/>
              </w:rPr>
            </w:pPr>
            <w:r w:rsidRPr="00BC0230">
              <w:rPr>
                <w:rFonts w:ascii="Calibri" w:hAnsi="Calibri"/>
                <w:iCs/>
                <w:sz w:val="20"/>
                <w:szCs w:val="20"/>
              </w:rPr>
              <w:t xml:space="preserve">IMF or joint donor external review confirms continued macro-economic stability. </w:t>
            </w:r>
          </w:p>
          <w:p w:rsidR="00E15571" w:rsidRPr="00BC0230" w:rsidRDefault="00E15571" w:rsidP="00E15571">
            <w:pPr>
              <w:numPr>
                <w:ilvl w:val="0"/>
                <w:numId w:val="4"/>
              </w:numPr>
              <w:spacing w:before="60" w:after="60"/>
              <w:rPr>
                <w:rFonts w:ascii="Calibri" w:hAnsi="Calibri"/>
                <w:iCs/>
                <w:sz w:val="20"/>
                <w:szCs w:val="20"/>
              </w:rPr>
            </w:pPr>
            <w:r w:rsidRPr="00BC0230">
              <w:rPr>
                <w:rFonts w:ascii="Calibri" w:hAnsi="Calibri"/>
                <w:iCs/>
                <w:sz w:val="20"/>
                <w:szCs w:val="20"/>
              </w:rPr>
              <w:t xml:space="preserve">Reduced level of deficit and debt with progress towards Government target levels. (3.5% of GDP and 40% of GDP respectively) </w:t>
            </w:r>
          </w:p>
        </w:tc>
      </w:tr>
      <w:tr w:rsidR="00E15571" w:rsidRPr="00BC0230" w:rsidTr="00871A4C">
        <w:trPr>
          <w:trHeight w:val="1358"/>
        </w:trPr>
        <w:tc>
          <w:tcPr>
            <w:tcW w:w="1440" w:type="dxa"/>
          </w:tcPr>
          <w:p w:rsidR="00E15571" w:rsidRPr="00BC0230" w:rsidRDefault="00E15571" w:rsidP="00871A4C">
            <w:pPr>
              <w:spacing w:before="60" w:after="60"/>
              <w:rPr>
                <w:rFonts w:ascii="Calibri" w:hAnsi="Calibri"/>
                <w:sz w:val="20"/>
                <w:szCs w:val="20"/>
              </w:rPr>
            </w:pPr>
            <w:r w:rsidRPr="00BC0230">
              <w:rPr>
                <w:rFonts w:ascii="Calibri" w:hAnsi="Calibri"/>
                <w:sz w:val="20"/>
                <w:szCs w:val="20"/>
              </w:rPr>
              <w:t xml:space="preserve">Consultation and engagement of stakeholders </w:t>
            </w:r>
          </w:p>
        </w:tc>
        <w:tc>
          <w:tcPr>
            <w:tcW w:w="4090" w:type="dxa"/>
          </w:tcPr>
          <w:p w:rsidR="00E15571" w:rsidRPr="00BC0230" w:rsidRDefault="00E15571" w:rsidP="00E15571">
            <w:pPr>
              <w:numPr>
                <w:ilvl w:val="0"/>
                <w:numId w:val="3"/>
              </w:numPr>
              <w:spacing w:before="60" w:after="60"/>
              <w:rPr>
                <w:rFonts w:ascii="Calibri" w:hAnsi="Calibri"/>
                <w:i/>
                <w:iCs/>
                <w:sz w:val="20"/>
                <w:szCs w:val="20"/>
              </w:rPr>
            </w:pPr>
            <w:r w:rsidRPr="00BC0230">
              <w:rPr>
                <w:rFonts w:ascii="Calibri" w:hAnsi="Calibri"/>
                <w:sz w:val="20"/>
                <w:szCs w:val="20"/>
                <w:lang w:eastAsia="en-GB"/>
              </w:rPr>
              <w:t>Public release of a communications and engagement strategy that explains and provides for effective feedback from the private sector and civil society on key policy actions, SDS and sector planning and monitoring, and the annual budget.</w:t>
            </w:r>
          </w:p>
        </w:tc>
        <w:tc>
          <w:tcPr>
            <w:tcW w:w="4140" w:type="dxa"/>
          </w:tcPr>
          <w:p w:rsidR="00E15571" w:rsidRPr="00BC0230" w:rsidRDefault="00E15571" w:rsidP="00871A4C">
            <w:pPr>
              <w:spacing w:before="60" w:after="60"/>
              <w:rPr>
                <w:rFonts w:ascii="Calibri" w:hAnsi="Calibri"/>
                <w:sz w:val="20"/>
                <w:szCs w:val="20"/>
                <w:lang w:eastAsia="en-GB"/>
              </w:rPr>
            </w:pPr>
            <w:r w:rsidRPr="00BC0230">
              <w:rPr>
                <w:rFonts w:ascii="Calibri" w:hAnsi="Calibri"/>
                <w:sz w:val="20"/>
                <w:szCs w:val="20"/>
                <w:lang w:eastAsia="en-GB"/>
              </w:rPr>
              <w:t>16. Communications and engagement strategy being implemented to explain and provide for effective feedback from the private sector and civil society on key policy actions, SDS &amp; sector planning and monitoring, and the annual budget.</w:t>
            </w:r>
          </w:p>
        </w:tc>
      </w:tr>
    </w:tbl>
    <w:p w:rsidR="00E15571" w:rsidRPr="00BC0230" w:rsidRDefault="00E15571" w:rsidP="00E35B36">
      <w:pPr>
        <w:spacing w:before="120"/>
      </w:pPr>
    </w:p>
    <w:p w:rsidR="00391DA8" w:rsidRPr="00BC0230" w:rsidRDefault="00391DA8" w:rsidP="00E35B36">
      <w:pPr>
        <w:spacing w:before="120"/>
        <w:sectPr w:rsidR="00391DA8" w:rsidRPr="00BC0230">
          <w:pgSz w:w="11906" w:h="16838"/>
          <w:pgMar w:top="1440" w:right="1440" w:bottom="1440" w:left="1440" w:header="720" w:footer="720" w:gutter="0"/>
          <w:cols w:space="720"/>
          <w:docGrid w:linePitch="360"/>
        </w:sectPr>
      </w:pPr>
    </w:p>
    <w:p w:rsidR="00E15571" w:rsidRPr="00BC0230" w:rsidRDefault="00E15571" w:rsidP="00E35B36">
      <w:pPr>
        <w:spacing w:before="120"/>
      </w:pPr>
    </w:p>
    <w:p w:rsidR="00391DA8" w:rsidRPr="00BC0230" w:rsidRDefault="00391DA8" w:rsidP="005F04C7">
      <w:pPr>
        <w:pStyle w:val="Heading1"/>
        <w:numPr>
          <w:ilvl w:val="0"/>
          <w:numId w:val="0"/>
        </w:numPr>
        <w:ind w:left="432"/>
        <w:rPr>
          <w:lang w:eastAsia="en-US"/>
        </w:rPr>
      </w:pPr>
      <w:bookmarkStart w:id="36" w:name="_Ref322770649"/>
      <w:bookmarkStart w:id="37" w:name="_Toc322921248"/>
      <w:r w:rsidRPr="00BC0230">
        <w:rPr>
          <w:lang w:eastAsia="en-US"/>
        </w:rPr>
        <w:t>Annex 2</w:t>
      </w:r>
      <w:r w:rsidR="005F04C7" w:rsidRPr="00BC0230">
        <w:rPr>
          <w:lang w:eastAsia="en-US"/>
        </w:rPr>
        <w:t xml:space="preserve"> Variable Milestones to be Achieved by March 2012 and by June 2012</w:t>
      </w:r>
      <w:bookmarkEnd w:id="36"/>
      <w:bookmarkEnd w:id="37"/>
    </w:p>
    <w:p w:rsidR="005F04C7" w:rsidRPr="00BC0230" w:rsidRDefault="005F04C7" w:rsidP="005F04C7">
      <w:pPr>
        <w:rPr>
          <w:lang w:eastAsia="en-US"/>
        </w:rPr>
      </w:pPr>
    </w:p>
    <w:p w:rsidR="00391DA8" w:rsidRPr="00BC0230" w:rsidRDefault="005F04C7" w:rsidP="005F04C7">
      <w:pPr>
        <w:jc w:val="center"/>
        <w:rPr>
          <w:b/>
          <w:lang w:eastAsia="en-US"/>
        </w:rPr>
      </w:pPr>
      <w:bookmarkStart w:id="38" w:name="_Toc309888364"/>
      <w:r w:rsidRPr="00BC0230">
        <w:rPr>
          <w:b/>
          <w:lang w:eastAsia="en-US"/>
        </w:rPr>
        <w:t xml:space="preserve">1. </w:t>
      </w:r>
      <w:r w:rsidR="00391DA8" w:rsidRPr="00BC0230">
        <w:rPr>
          <w:b/>
          <w:lang w:eastAsia="en-US"/>
        </w:rPr>
        <w:t>Variable Milestone Table to be achieved by 30 March 2012</w:t>
      </w:r>
      <w:bookmarkEnd w:id="38"/>
    </w:p>
    <w:p w:rsidR="00391DA8" w:rsidRPr="00BC0230" w:rsidRDefault="00391DA8" w:rsidP="00391DA8">
      <w:pPr>
        <w:jc w:val="center"/>
        <w:rPr>
          <w:b/>
          <w:lang w:eastAsia="en-US"/>
        </w:rPr>
      </w:pPr>
    </w:p>
    <w:tbl>
      <w:tblPr>
        <w:tblW w:w="14827" w:type="dxa"/>
        <w:tblLayout w:type="fixed"/>
        <w:tblLook w:val="01E0" w:firstRow="1" w:lastRow="1" w:firstColumn="1" w:lastColumn="1" w:noHBand="0" w:noVBand="0"/>
      </w:tblPr>
      <w:tblGrid>
        <w:gridCol w:w="2340"/>
        <w:gridCol w:w="4860"/>
        <w:gridCol w:w="1458"/>
        <w:gridCol w:w="2502"/>
        <w:gridCol w:w="1414"/>
        <w:gridCol w:w="1137"/>
        <w:gridCol w:w="1116"/>
      </w:tblGrid>
      <w:tr w:rsidR="00391DA8" w:rsidRPr="00BC0230" w:rsidTr="00391DA8">
        <w:trPr>
          <w:trHeight w:val="797"/>
          <w:tblHeader/>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Indicator Title</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Policy Actions</w:t>
            </w:r>
          </w:p>
        </w:tc>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Target No. of deliverables</w:t>
            </w:r>
          </w:p>
        </w:tc>
        <w:tc>
          <w:tcPr>
            <w:tcW w:w="2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Means of verification</w:t>
            </w: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Responsible</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Weight</w:t>
            </w:r>
          </w:p>
          <w:p w:rsidR="00391DA8" w:rsidRPr="00BC0230" w:rsidRDefault="00391DA8" w:rsidP="00391DA8">
            <w:pPr>
              <w:spacing w:before="240"/>
              <w:jc w:val="center"/>
              <w:rPr>
                <w:lang w:eastAsia="en-US"/>
              </w:rPr>
            </w:pPr>
            <w:r w:rsidRPr="00BC0230">
              <w:rPr>
                <w:lang w:eastAsia="en-US"/>
              </w:rPr>
              <w:t>(max 5)</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Score (Target x Weight.)</w:t>
            </w:r>
          </w:p>
        </w:tc>
      </w:tr>
      <w:tr w:rsidR="00391DA8" w:rsidRPr="00BC0230" w:rsidTr="00391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single" w:sz="4" w:space="0" w:color="auto"/>
            </w:tcBorders>
          </w:tcPr>
          <w:p w:rsidR="00391DA8" w:rsidRPr="00BC0230" w:rsidRDefault="00391DA8" w:rsidP="00391DA8">
            <w:pPr>
              <w:spacing w:before="240"/>
              <w:rPr>
                <w:lang w:eastAsia="en-US"/>
              </w:rPr>
            </w:pPr>
            <w:r w:rsidRPr="00BC0230">
              <w:rPr>
                <w:lang w:eastAsia="en-US"/>
              </w:rPr>
              <w:t>Sector Planning</w:t>
            </w:r>
          </w:p>
        </w:tc>
        <w:tc>
          <w:tcPr>
            <w:tcW w:w="4860" w:type="dxa"/>
            <w:tcBorders>
              <w:top w:val="single" w:sz="4" w:space="0" w:color="auto"/>
            </w:tcBorders>
          </w:tcPr>
          <w:p w:rsidR="00391DA8" w:rsidRPr="00BC0230" w:rsidRDefault="00391DA8" w:rsidP="00391DA8">
            <w:pPr>
              <w:spacing w:before="240"/>
              <w:rPr>
                <w:lang w:eastAsia="en-US"/>
              </w:rPr>
            </w:pPr>
            <w:r w:rsidRPr="00BC0230">
              <w:rPr>
                <w:lang w:eastAsia="en-US"/>
              </w:rPr>
              <w:t>Number of additional Sector Plans approved and made public and under implementation with content including: at least 3 key performance indicators, institutional arrangements including non-government entities, and an annual review mechanism.  Four sectors currently meet the basic criteria: water, health, education and law and justice. Target of 5 sectors (1 additional).</w:t>
            </w:r>
          </w:p>
        </w:tc>
        <w:tc>
          <w:tcPr>
            <w:tcW w:w="1458" w:type="dxa"/>
            <w:tcBorders>
              <w:top w:val="single" w:sz="4" w:space="0" w:color="auto"/>
            </w:tcBorders>
          </w:tcPr>
          <w:p w:rsidR="00391DA8" w:rsidRPr="00BC0230" w:rsidRDefault="00391DA8" w:rsidP="00391DA8">
            <w:pPr>
              <w:tabs>
                <w:tab w:val="center" w:pos="571"/>
                <w:tab w:val="left" w:pos="1005"/>
              </w:tabs>
              <w:spacing w:before="240"/>
              <w:rPr>
                <w:lang w:eastAsia="en-US"/>
              </w:rPr>
            </w:pPr>
            <w:r w:rsidRPr="00BC0230">
              <w:rPr>
                <w:lang w:eastAsia="en-US"/>
              </w:rPr>
              <w:tab/>
              <w:t>1</w:t>
            </w:r>
          </w:p>
        </w:tc>
        <w:tc>
          <w:tcPr>
            <w:tcW w:w="2502" w:type="dxa"/>
            <w:tcBorders>
              <w:top w:val="single" w:sz="4" w:space="0" w:color="auto"/>
            </w:tcBorders>
          </w:tcPr>
          <w:p w:rsidR="00391DA8" w:rsidRPr="00BC0230" w:rsidRDefault="00391DA8" w:rsidP="00391DA8">
            <w:pPr>
              <w:spacing w:before="240"/>
              <w:rPr>
                <w:lang w:eastAsia="en-US"/>
              </w:rPr>
            </w:pPr>
            <w:r w:rsidRPr="00BC0230">
              <w:rPr>
                <w:lang w:eastAsia="en-US"/>
              </w:rPr>
              <w:t>Approval of Sector plans by CDC or Cabinet; publically available documents. Reports and Minutes from Annual Review Meetings</w:t>
            </w:r>
          </w:p>
        </w:tc>
        <w:tc>
          <w:tcPr>
            <w:tcW w:w="1414" w:type="dxa"/>
            <w:tcBorders>
              <w:top w:val="single" w:sz="4" w:space="0" w:color="auto"/>
            </w:tcBorders>
          </w:tcPr>
          <w:p w:rsidR="00391DA8" w:rsidRPr="00BC0230" w:rsidRDefault="00391DA8" w:rsidP="00391DA8">
            <w:pPr>
              <w:spacing w:before="240"/>
              <w:rPr>
                <w:lang w:eastAsia="en-US"/>
              </w:rPr>
            </w:pPr>
            <w:r w:rsidRPr="00BC0230">
              <w:rPr>
                <w:lang w:eastAsia="en-US"/>
              </w:rPr>
              <w:t>EPPD and line-Ministries</w:t>
            </w:r>
          </w:p>
        </w:tc>
        <w:tc>
          <w:tcPr>
            <w:tcW w:w="1137" w:type="dxa"/>
            <w:tcBorders>
              <w:top w:val="single" w:sz="4" w:space="0" w:color="auto"/>
            </w:tcBorders>
          </w:tcPr>
          <w:p w:rsidR="00391DA8" w:rsidRPr="00BC0230" w:rsidRDefault="00391DA8" w:rsidP="00391DA8">
            <w:pPr>
              <w:spacing w:before="240"/>
              <w:jc w:val="center"/>
              <w:rPr>
                <w:lang w:eastAsia="en-US"/>
              </w:rPr>
            </w:pPr>
            <w:r w:rsidRPr="00BC0230">
              <w:rPr>
                <w:lang w:eastAsia="en-US"/>
              </w:rPr>
              <w:t>5</w:t>
            </w:r>
          </w:p>
        </w:tc>
        <w:tc>
          <w:tcPr>
            <w:tcW w:w="1116" w:type="dxa"/>
            <w:tcBorders>
              <w:top w:val="single" w:sz="4" w:space="0" w:color="auto"/>
            </w:tcBorders>
          </w:tcPr>
          <w:p w:rsidR="00391DA8" w:rsidRPr="00BC0230" w:rsidRDefault="00391DA8" w:rsidP="00391DA8">
            <w:pPr>
              <w:spacing w:before="240"/>
              <w:jc w:val="center"/>
              <w:rPr>
                <w:lang w:eastAsia="en-US"/>
              </w:rPr>
            </w:pPr>
            <w:r w:rsidRPr="00BC0230">
              <w:rPr>
                <w:lang w:eastAsia="en-US"/>
              </w:rPr>
              <w:t>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391DA8" w:rsidRPr="00BC0230" w:rsidRDefault="00391DA8" w:rsidP="00391DA8">
            <w:pPr>
              <w:spacing w:before="240"/>
              <w:rPr>
                <w:lang w:eastAsia="en-US"/>
              </w:rPr>
            </w:pPr>
            <w:r w:rsidRPr="00BC0230">
              <w:rPr>
                <w:lang w:eastAsia="en-US"/>
              </w:rPr>
              <w:t>Procurement review</w:t>
            </w:r>
          </w:p>
        </w:tc>
        <w:tc>
          <w:tcPr>
            <w:tcW w:w="4860" w:type="dxa"/>
          </w:tcPr>
          <w:p w:rsidR="00391DA8" w:rsidRPr="00BC0230" w:rsidRDefault="00391DA8" w:rsidP="00391DA8">
            <w:pPr>
              <w:spacing w:before="240"/>
              <w:rPr>
                <w:lang w:eastAsia="en-US"/>
              </w:rPr>
            </w:pPr>
            <w:r w:rsidRPr="00BC0230">
              <w:rPr>
                <w:lang w:eastAsia="en-US"/>
              </w:rPr>
              <w:t>External review of Government procurement systems undertaken</w:t>
            </w:r>
          </w:p>
        </w:tc>
        <w:tc>
          <w:tcPr>
            <w:tcW w:w="1458" w:type="dxa"/>
          </w:tcPr>
          <w:p w:rsidR="00391DA8" w:rsidRPr="00BC0230" w:rsidRDefault="00391DA8" w:rsidP="00391DA8">
            <w:pPr>
              <w:spacing w:before="240"/>
              <w:jc w:val="center"/>
              <w:rPr>
                <w:lang w:eastAsia="en-US"/>
              </w:rPr>
            </w:pPr>
            <w:r w:rsidRPr="00BC0230">
              <w:rPr>
                <w:lang w:eastAsia="en-US"/>
              </w:rPr>
              <w:t>1</w:t>
            </w:r>
          </w:p>
        </w:tc>
        <w:tc>
          <w:tcPr>
            <w:tcW w:w="2502" w:type="dxa"/>
          </w:tcPr>
          <w:p w:rsidR="00391DA8" w:rsidRPr="00BC0230" w:rsidRDefault="00391DA8" w:rsidP="00391DA8">
            <w:pPr>
              <w:spacing w:before="240"/>
              <w:rPr>
                <w:lang w:eastAsia="en-US"/>
              </w:rPr>
            </w:pPr>
            <w:r w:rsidRPr="00BC0230">
              <w:rPr>
                <w:lang w:eastAsia="en-US"/>
              </w:rPr>
              <w:t>Procurement Review Report</w:t>
            </w:r>
          </w:p>
        </w:tc>
        <w:tc>
          <w:tcPr>
            <w:tcW w:w="1414" w:type="dxa"/>
          </w:tcPr>
          <w:p w:rsidR="00391DA8" w:rsidRPr="00BC0230" w:rsidRDefault="00391DA8" w:rsidP="00391DA8">
            <w:pPr>
              <w:spacing w:before="240"/>
              <w:rPr>
                <w:lang w:eastAsia="en-US"/>
              </w:rPr>
            </w:pPr>
            <w:proofErr w:type="spellStart"/>
            <w:r w:rsidRPr="00BC0230">
              <w:rPr>
                <w:lang w:eastAsia="en-US"/>
              </w:rPr>
              <w:t>MoF</w:t>
            </w:r>
            <w:proofErr w:type="spellEnd"/>
          </w:p>
        </w:tc>
        <w:tc>
          <w:tcPr>
            <w:tcW w:w="1137" w:type="dxa"/>
          </w:tcPr>
          <w:p w:rsidR="00391DA8" w:rsidRPr="00BC0230" w:rsidRDefault="00391DA8" w:rsidP="00391DA8">
            <w:pPr>
              <w:spacing w:before="240"/>
              <w:jc w:val="center"/>
              <w:rPr>
                <w:lang w:eastAsia="en-US"/>
              </w:rPr>
            </w:pPr>
            <w:r w:rsidRPr="00BC0230">
              <w:rPr>
                <w:lang w:eastAsia="en-US"/>
              </w:rPr>
              <w:t>5</w:t>
            </w:r>
          </w:p>
        </w:tc>
        <w:tc>
          <w:tcPr>
            <w:tcW w:w="1116" w:type="dxa"/>
          </w:tcPr>
          <w:p w:rsidR="00391DA8" w:rsidRPr="00BC0230" w:rsidRDefault="00391DA8" w:rsidP="00391DA8">
            <w:pPr>
              <w:spacing w:before="240"/>
              <w:jc w:val="center"/>
              <w:rPr>
                <w:lang w:eastAsia="en-US"/>
              </w:rPr>
            </w:pPr>
            <w:r w:rsidRPr="00BC0230">
              <w:rPr>
                <w:lang w:eastAsia="en-US"/>
              </w:rPr>
              <w:t>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391DA8" w:rsidRPr="00BC0230" w:rsidRDefault="00391DA8" w:rsidP="00391DA8">
            <w:pPr>
              <w:spacing w:before="240"/>
              <w:rPr>
                <w:lang w:eastAsia="en-US"/>
              </w:rPr>
            </w:pPr>
            <w:r w:rsidRPr="00BC0230">
              <w:rPr>
                <w:lang w:eastAsia="en-US"/>
              </w:rPr>
              <w:t>Monitoring arrears</w:t>
            </w:r>
          </w:p>
        </w:tc>
        <w:tc>
          <w:tcPr>
            <w:tcW w:w="4860" w:type="dxa"/>
          </w:tcPr>
          <w:p w:rsidR="00391DA8" w:rsidRPr="00BC0230" w:rsidRDefault="00391DA8" w:rsidP="00391DA8">
            <w:pPr>
              <w:spacing w:before="240"/>
              <w:rPr>
                <w:lang w:eastAsia="en-US"/>
              </w:rPr>
            </w:pPr>
            <w:r w:rsidRPr="00BC0230">
              <w:rPr>
                <w:lang w:eastAsia="en-US"/>
              </w:rPr>
              <w:t>Policy and action plan developed for late payment to suppliers and monitoring the extent of arrears by line-Ministries</w:t>
            </w:r>
          </w:p>
        </w:tc>
        <w:tc>
          <w:tcPr>
            <w:tcW w:w="1458" w:type="dxa"/>
          </w:tcPr>
          <w:p w:rsidR="00391DA8" w:rsidRPr="00BC0230" w:rsidRDefault="00391DA8" w:rsidP="00391DA8">
            <w:pPr>
              <w:spacing w:before="240"/>
              <w:jc w:val="center"/>
              <w:rPr>
                <w:lang w:eastAsia="en-US"/>
              </w:rPr>
            </w:pPr>
            <w:r w:rsidRPr="00BC0230">
              <w:rPr>
                <w:lang w:eastAsia="en-US"/>
              </w:rPr>
              <w:t>1</w:t>
            </w:r>
          </w:p>
        </w:tc>
        <w:tc>
          <w:tcPr>
            <w:tcW w:w="2502" w:type="dxa"/>
          </w:tcPr>
          <w:p w:rsidR="00391DA8" w:rsidRPr="00BC0230" w:rsidRDefault="00391DA8" w:rsidP="00391DA8">
            <w:pPr>
              <w:spacing w:before="240"/>
              <w:rPr>
                <w:lang w:eastAsia="en-US"/>
              </w:rPr>
            </w:pPr>
            <w:r w:rsidRPr="00BC0230">
              <w:rPr>
                <w:lang w:eastAsia="en-US"/>
              </w:rPr>
              <w:t>Draft policy / action plan approved by PFM Task Force</w:t>
            </w:r>
          </w:p>
        </w:tc>
        <w:tc>
          <w:tcPr>
            <w:tcW w:w="1414" w:type="dxa"/>
          </w:tcPr>
          <w:p w:rsidR="00391DA8" w:rsidRPr="00BC0230" w:rsidRDefault="00391DA8" w:rsidP="00391DA8">
            <w:pPr>
              <w:spacing w:before="240"/>
              <w:rPr>
                <w:lang w:eastAsia="en-US"/>
              </w:rPr>
            </w:pPr>
            <w:r w:rsidRPr="00BC0230">
              <w:rPr>
                <w:lang w:eastAsia="en-US"/>
              </w:rPr>
              <w:t xml:space="preserve">Accounts, </w:t>
            </w:r>
            <w:proofErr w:type="spellStart"/>
            <w:r w:rsidRPr="00BC0230">
              <w:rPr>
                <w:lang w:eastAsia="en-US"/>
              </w:rPr>
              <w:t>MoF</w:t>
            </w:r>
            <w:proofErr w:type="spellEnd"/>
          </w:p>
        </w:tc>
        <w:tc>
          <w:tcPr>
            <w:tcW w:w="1137" w:type="dxa"/>
          </w:tcPr>
          <w:p w:rsidR="00391DA8" w:rsidRPr="00BC0230" w:rsidRDefault="00391DA8" w:rsidP="00391DA8">
            <w:pPr>
              <w:spacing w:before="240"/>
              <w:jc w:val="center"/>
              <w:rPr>
                <w:lang w:eastAsia="en-US"/>
              </w:rPr>
            </w:pPr>
            <w:r w:rsidRPr="00BC0230">
              <w:rPr>
                <w:lang w:eastAsia="en-US"/>
              </w:rPr>
              <w:t>5</w:t>
            </w:r>
          </w:p>
        </w:tc>
        <w:tc>
          <w:tcPr>
            <w:tcW w:w="1116" w:type="dxa"/>
          </w:tcPr>
          <w:p w:rsidR="00391DA8" w:rsidRPr="00BC0230" w:rsidRDefault="00391DA8" w:rsidP="00391DA8">
            <w:pPr>
              <w:spacing w:before="240"/>
              <w:jc w:val="center"/>
              <w:rPr>
                <w:lang w:eastAsia="en-US"/>
              </w:rPr>
            </w:pPr>
            <w:r w:rsidRPr="00BC0230">
              <w:rPr>
                <w:lang w:eastAsia="en-US"/>
              </w:rPr>
              <w:t>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391DA8" w:rsidRPr="00BC0230" w:rsidRDefault="00391DA8" w:rsidP="00391DA8">
            <w:pPr>
              <w:spacing w:before="240"/>
              <w:rPr>
                <w:lang w:eastAsia="en-US"/>
              </w:rPr>
            </w:pPr>
            <w:r w:rsidRPr="00BC0230">
              <w:rPr>
                <w:lang w:eastAsia="en-US"/>
              </w:rPr>
              <w:t>Finance Sector Coordination</w:t>
            </w:r>
          </w:p>
        </w:tc>
        <w:tc>
          <w:tcPr>
            <w:tcW w:w="4860" w:type="dxa"/>
          </w:tcPr>
          <w:p w:rsidR="00391DA8" w:rsidRPr="00BC0230" w:rsidRDefault="00391DA8" w:rsidP="00391DA8">
            <w:pPr>
              <w:spacing w:before="240"/>
              <w:rPr>
                <w:lang w:eastAsia="en-US"/>
              </w:rPr>
            </w:pPr>
            <w:r w:rsidRPr="00BC0230">
              <w:rPr>
                <w:lang w:eastAsia="en-US"/>
              </w:rPr>
              <w:t xml:space="preserve">Improved coordination across the Finance Sector as evidenced by the number of Finance Sector Advisory Committee meetings held in </w:t>
            </w:r>
            <w:r w:rsidRPr="00BC0230">
              <w:rPr>
                <w:lang w:eastAsia="en-US"/>
              </w:rPr>
              <w:lastRenderedPageBreak/>
              <w:t>FY 2011/12</w:t>
            </w:r>
          </w:p>
        </w:tc>
        <w:tc>
          <w:tcPr>
            <w:tcW w:w="1458" w:type="dxa"/>
          </w:tcPr>
          <w:p w:rsidR="00391DA8" w:rsidRPr="00BC0230" w:rsidRDefault="00391DA8" w:rsidP="00391DA8">
            <w:pPr>
              <w:spacing w:before="240"/>
              <w:jc w:val="center"/>
              <w:rPr>
                <w:lang w:eastAsia="en-US"/>
              </w:rPr>
            </w:pPr>
            <w:r w:rsidRPr="00BC0230">
              <w:rPr>
                <w:lang w:eastAsia="en-US"/>
              </w:rPr>
              <w:lastRenderedPageBreak/>
              <w:t>2</w:t>
            </w:r>
          </w:p>
        </w:tc>
        <w:tc>
          <w:tcPr>
            <w:tcW w:w="2502" w:type="dxa"/>
          </w:tcPr>
          <w:p w:rsidR="00391DA8" w:rsidRPr="00BC0230" w:rsidRDefault="00391DA8" w:rsidP="00391DA8">
            <w:pPr>
              <w:spacing w:before="240"/>
              <w:rPr>
                <w:lang w:eastAsia="en-US"/>
              </w:rPr>
            </w:pPr>
            <w:r w:rsidRPr="00BC0230">
              <w:rPr>
                <w:lang w:eastAsia="en-US"/>
              </w:rPr>
              <w:t>Minutes of meetings</w:t>
            </w:r>
          </w:p>
        </w:tc>
        <w:tc>
          <w:tcPr>
            <w:tcW w:w="1414" w:type="dxa"/>
          </w:tcPr>
          <w:p w:rsidR="00391DA8" w:rsidRPr="00BC0230" w:rsidRDefault="00391DA8" w:rsidP="00391DA8">
            <w:pPr>
              <w:spacing w:before="240"/>
              <w:rPr>
                <w:lang w:eastAsia="en-US"/>
              </w:rPr>
            </w:pPr>
            <w:r w:rsidRPr="00BC0230">
              <w:rPr>
                <w:lang w:eastAsia="en-US"/>
              </w:rPr>
              <w:t xml:space="preserve">CEO, </w:t>
            </w:r>
            <w:proofErr w:type="spellStart"/>
            <w:r w:rsidRPr="00BC0230">
              <w:rPr>
                <w:lang w:eastAsia="en-US"/>
              </w:rPr>
              <w:t>MoF</w:t>
            </w:r>
            <w:proofErr w:type="spellEnd"/>
          </w:p>
        </w:tc>
        <w:tc>
          <w:tcPr>
            <w:tcW w:w="1137" w:type="dxa"/>
          </w:tcPr>
          <w:p w:rsidR="00391DA8" w:rsidRPr="00BC0230" w:rsidRDefault="00391DA8" w:rsidP="00391DA8">
            <w:pPr>
              <w:spacing w:before="240"/>
              <w:jc w:val="center"/>
              <w:rPr>
                <w:lang w:eastAsia="en-US"/>
              </w:rPr>
            </w:pPr>
            <w:r w:rsidRPr="00BC0230">
              <w:rPr>
                <w:lang w:eastAsia="en-US"/>
              </w:rPr>
              <w:t>1</w:t>
            </w:r>
          </w:p>
        </w:tc>
        <w:tc>
          <w:tcPr>
            <w:tcW w:w="1116" w:type="dxa"/>
          </w:tcPr>
          <w:p w:rsidR="00391DA8" w:rsidRPr="00BC0230" w:rsidRDefault="00391DA8" w:rsidP="00391DA8">
            <w:pPr>
              <w:spacing w:before="240"/>
              <w:jc w:val="center"/>
              <w:rPr>
                <w:lang w:eastAsia="en-US"/>
              </w:rPr>
            </w:pPr>
            <w:r w:rsidRPr="00BC0230">
              <w:rPr>
                <w:lang w:eastAsia="en-US"/>
              </w:rPr>
              <w:t>2</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391DA8" w:rsidRPr="00BC0230" w:rsidRDefault="00391DA8" w:rsidP="00391DA8">
            <w:pPr>
              <w:spacing w:before="240"/>
              <w:rPr>
                <w:lang w:eastAsia="en-US"/>
              </w:rPr>
            </w:pPr>
            <w:r w:rsidRPr="00BC0230">
              <w:rPr>
                <w:lang w:eastAsia="en-US"/>
              </w:rPr>
              <w:lastRenderedPageBreak/>
              <w:t>Budget Planning Committee</w:t>
            </w:r>
          </w:p>
        </w:tc>
        <w:tc>
          <w:tcPr>
            <w:tcW w:w="4860" w:type="dxa"/>
          </w:tcPr>
          <w:p w:rsidR="00391DA8" w:rsidRPr="00BC0230" w:rsidRDefault="00391DA8" w:rsidP="00391DA8">
            <w:pPr>
              <w:spacing w:before="240"/>
              <w:rPr>
                <w:lang w:eastAsia="en-US"/>
              </w:rPr>
            </w:pPr>
            <w:r w:rsidRPr="00BC0230">
              <w:rPr>
                <w:lang w:eastAsia="en-US"/>
              </w:rPr>
              <w:t>Budget Cycle adhered to and links with planning strengthened as evidenced by Budget Planning Committee meetings taking place at least quarterly in FY 2011/12. (Number of meetings)</w:t>
            </w:r>
          </w:p>
        </w:tc>
        <w:tc>
          <w:tcPr>
            <w:tcW w:w="1458" w:type="dxa"/>
          </w:tcPr>
          <w:p w:rsidR="00391DA8" w:rsidRPr="00BC0230" w:rsidRDefault="00391DA8" w:rsidP="00391DA8">
            <w:pPr>
              <w:spacing w:before="240"/>
              <w:jc w:val="center"/>
              <w:rPr>
                <w:lang w:eastAsia="en-US"/>
              </w:rPr>
            </w:pPr>
            <w:r w:rsidRPr="00BC0230">
              <w:rPr>
                <w:lang w:eastAsia="en-US"/>
              </w:rPr>
              <w:t>2</w:t>
            </w:r>
          </w:p>
        </w:tc>
        <w:tc>
          <w:tcPr>
            <w:tcW w:w="2502" w:type="dxa"/>
          </w:tcPr>
          <w:p w:rsidR="00391DA8" w:rsidRPr="00BC0230" w:rsidRDefault="00391DA8" w:rsidP="00391DA8">
            <w:pPr>
              <w:spacing w:before="240"/>
              <w:rPr>
                <w:lang w:eastAsia="en-US"/>
              </w:rPr>
            </w:pPr>
            <w:r w:rsidRPr="00BC0230">
              <w:rPr>
                <w:lang w:eastAsia="en-US"/>
              </w:rPr>
              <w:t>Minutes of meetings</w:t>
            </w:r>
          </w:p>
        </w:tc>
        <w:tc>
          <w:tcPr>
            <w:tcW w:w="1414" w:type="dxa"/>
          </w:tcPr>
          <w:p w:rsidR="00391DA8" w:rsidRPr="00BC0230" w:rsidRDefault="00391DA8" w:rsidP="00391DA8">
            <w:pPr>
              <w:spacing w:before="240"/>
              <w:rPr>
                <w:lang w:eastAsia="en-US"/>
              </w:rPr>
            </w:pPr>
            <w:r w:rsidRPr="00BC0230">
              <w:rPr>
                <w:lang w:eastAsia="en-US"/>
              </w:rPr>
              <w:t xml:space="preserve">EPPD, Budget &amp; Aid - </w:t>
            </w:r>
            <w:proofErr w:type="spellStart"/>
            <w:r w:rsidRPr="00BC0230">
              <w:rPr>
                <w:lang w:eastAsia="en-US"/>
              </w:rPr>
              <w:t>MoF</w:t>
            </w:r>
            <w:proofErr w:type="spellEnd"/>
          </w:p>
        </w:tc>
        <w:tc>
          <w:tcPr>
            <w:tcW w:w="1137" w:type="dxa"/>
          </w:tcPr>
          <w:p w:rsidR="00391DA8" w:rsidRPr="00BC0230" w:rsidRDefault="00391DA8" w:rsidP="00391DA8">
            <w:pPr>
              <w:spacing w:before="240"/>
              <w:jc w:val="center"/>
              <w:rPr>
                <w:lang w:eastAsia="en-US"/>
              </w:rPr>
            </w:pPr>
            <w:r w:rsidRPr="00BC0230">
              <w:rPr>
                <w:lang w:eastAsia="en-US"/>
              </w:rPr>
              <w:t>1</w:t>
            </w:r>
          </w:p>
        </w:tc>
        <w:tc>
          <w:tcPr>
            <w:tcW w:w="1116" w:type="dxa"/>
          </w:tcPr>
          <w:p w:rsidR="00391DA8" w:rsidRPr="00BC0230" w:rsidRDefault="00391DA8" w:rsidP="00391DA8">
            <w:pPr>
              <w:spacing w:before="240"/>
              <w:jc w:val="center"/>
              <w:rPr>
                <w:lang w:eastAsia="en-US"/>
              </w:rPr>
            </w:pPr>
            <w:r w:rsidRPr="00BC0230">
              <w:rPr>
                <w:lang w:eastAsia="en-US"/>
              </w:rPr>
              <w:t>2</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391DA8" w:rsidRPr="00BC0230" w:rsidRDefault="00391DA8" w:rsidP="00391DA8">
            <w:pPr>
              <w:spacing w:before="240"/>
              <w:rPr>
                <w:lang w:eastAsia="en-US"/>
              </w:rPr>
            </w:pPr>
            <w:r w:rsidRPr="00BC0230">
              <w:rPr>
                <w:lang w:eastAsia="en-US"/>
              </w:rPr>
              <w:t>Public accounts</w:t>
            </w:r>
          </w:p>
        </w:tc>
        <w:tc>
          <w:tcPr>
            <w:tcW w:w="4860" w:type="dxa"/>
          </w:tcPr>
          <w:p w:rsidR="00391DA8" w:rsidRPr="00BC0230" w:rsidRDefault="00391DA8" w:rsidP="00391DA8">
            <w:pPr>
              <w:spacing w:before="240"/>
              <w:rPr>
                <w:lang w:eastAsia="en-US"/>
              </w:rPr>
            </w:pPr>
            <w:r w:rsidRPr="00BC0230">
              <w:rPr>
                <w:lang w:eastAsia="en-US"/>
              </w:rPr>
              <w:t>Public accounts for 2010/11 submitted to Audit Office by end October 2011</w:t>
            </w:r>
          </w:p>
        </w:tc>
        <w:tc>
          <w:tcPr>
            <w:tcW w:w="1458" w:type="dxa"/>
          </w:tcPr>
          <w:p w:rsidR="00391DA8" w:rsidRPr="00BC0230" w:rsidRDefault="00391DA8" w:rsidP="00391DA8">
            <w:pPr>
              <w:spacing w:before="240"/>
              <w:jc w:val="center"/>
              <w:rPr>
                <w:lang w:eastAsia="en-US"/>
              </w:rPr>
            </w:pPr>
            <w:r w:rsidRPr="00BC0230">
              <w:rPr>
                <w:lang w:eastAsia="en-US"/>
              </w:rPr>
              <w:t>1</w:t>
            </w:r>
          </w:p>
        </w:tc>
        <w:tc>
          <w:tcPr>
            <w:tcW w:w="2502" w:type="dxa"/>
          </w:tcPr>
          <w:p w:rsidR="00391DA8" w:rsidRPr="00BC0230" w:rsidRDefault="00391DA8" w:rsidP="00391DA8">
            <w:pPr>
              <w:spacing w:before="240"/>
              <w:rPr>
                <w:lang w:eastAsia="en-US"/>
              </w:rPr>
            </w:pPr>
            <w:r w:rsidRPr="00BC0230">
              <w:rPr>
                <w:lang w:eastAsia="en-US"/>
              </w:rPr>
              <w:t xml:space="preserve">Letter to Audit Office </w:t>
            </w:r>
          </w:p>
        </w:tc>
        <w:tc>
          <w:tcPr>
            <w:tcW w:w="1414" w:type="dxa"/>
          </w:tcPr>
          <w:p w:rsidR="00391DA8" w:rsidRPr="00BC0230" w:rsidRDefault="00391DA8" w:rsidP="00391DA8">
            <w:pPr>
              <w:spacing w:before="240"/>
              <w:rPr>
                <w:lang w:eastAsia="en-US"/>
              </w:rPr>
            </w:pPr>
            <w:r w:rsidRPr="00BC0230">
              <w:rPr>
                <w:lang w:eastAsia="en-US"/>
              </w:rPr>
              <w:t xml:space="preserve">Accounts, </w:t>
            </w:r>
            <w:proofErr w:type="spellStart"/>
            <w:r w:rsidRPr="00BC0230">
              <w:rPr>
                <w:lang w:eastAsia="en-US"/>
              </w:rPr>
              <w:t>MoF</w:t>
            </w:r>
            <w:proofErr w:type="spellEnd"/>
          </w:p>
        </w:tc>
        <w:tc>
          <w:tcPr>
            <w:tcW w:w="1137" w:type="dxa"/>
          </w:tcPr>
          <w:p w:rsidR="00391DA8" w:rsidRPr="00BC0230" w:rsidRDefault="00391DA8" w:rsidP="00391DA8">
            <w:pPr>
              <w:spacing w:before="240"/>
              <w:jc w:val="center"/>
              <w:rPr>
                <w:lang w:eastAsia="en-US"/>
              </w:rPr>
            </w:pPr>
            <w:r w:rsidRPr="00BC0230">
              <w:rPr>
                <w:lang w:eastAsia="en-US"/>
              </w:rPr>
              <w:t>5</w:t>
            </w:r>
          </w:p>
        </w:tc>
        <w:tc>
          <w:tcPr>
            <w:tcW w:w="1116" w:type="dxa"/>
          </w:tcPr>
          <w:p w:rsidR="00391DA8" w:rsidRPr="00BC0230" w:rsidRDefault="00391DA8" w:rsidP="00391DA8">
            <w:pPr>
              <w:spacing w:before="240"/>
              <w:jc w:val="center"/>
              <w:rPr>
                <w:lang w:eastAsia="en-US"/>
              </w:rPr>
            </w:pPr>
            <w:r w:rsidRPr="00BC0230">
              <w:rPr>
                <w:lang w:eastAsia="en-US"/>
              </w:rPr>
              <w:t>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40" w:type="dxa"/>
          </w:tcPr>
          <w:p w:rsidR="00391DA8" w:rsidRPr="00BC0230" w:rsidRDefault="00391DA8" w:rsidP="00391DA8">
            <w:pPr>
              <w:spacing w:before="240"/>
              <w:rPr>
                <w:lang w:eastAsia="en-US"/>
              </w:rPr>
            </w:pPr>
            <w:r w:rsidRPr="00BC0230">
              <w:rPr>
                <w:lang w:eastAsia="en-US"/>
              </w:rPr>
              <w:t>Budget monitoring</w:t>
            </w:r>
          </w:p>
        </w:tc>
        <w:tc>
          <w:tcPr>
            <w:tcW w:w="4860" w:type="dxa"/>
          </w:tcPr>
          <w:p w:rsidR="00391DA8" w:rsidRPr="00BC0230" w:rsidRDefault="00391DA8" w:rsidP="00391DA8">
            <w:pPr>
              <w:spacing w:before="240"/>
              <w:rPr>
                <w:lang w:eastAsia="en-US"/>
              </w:rPr>
            </w:pPr>
            <w:r w:rsidRPr="00BC0230">
              <w:rPr>
                <w:lang w:eastAsia="en-US"/>
              </w:rPr>
              <w:t>Mid Term Review of the 2011-12 Budget and the related performance framework completed</w:t>
            </w:r>
          </w:p>
        </w:tc>
        <w:tc>
          <w:tcPr>
            <w:tcW w:w="1458" w:type="dxa"/>
          </w:tcPr>
          <w:p w:rsidR="00391DA8" w:rsidRPr="00BC0230" w:rsidRDefault="00391DA8" w:rsidP="00391DA8">
            <w:pPr>
              <w:spacing w:before="240"/>
              <w:jc w:val="center"/>
              <w:rPr>
                <w:lang w:eastAsia="en-US"/>
              </w:rPr>
            </w:pPr>
            <w:r w:rsidRPr="00BC0230">
              <w:rPr>
                <w:lang w:eastAsia="en-US"/>
              </w:rPr>
              <w:t>1</w:t>
            </w:r>
          </w:p>
        </w:tc>
        <w:tc>
          <w:tcPr>
            <w:tcW w:w="2502" w:type="dxa"/>
          </w:tcPr>
          <w:p w:rsidR="00391DA8" w:rsidRPr="00BC0230" w:rsidRDefault="00391DA8" w:rsidP="00391DA8">
            <w:pPr>
              <w:spacing w:before="240"/>
              <w:rPr>
                <w:lang w:eastAsia="en-US"/>
              </w:rPr>
            </w:pPr>
            <w:r w:rsidRPr="00BC0230">
              <w:rPr>
                <w:lang w:eastAsia="en-US"/>
              </w:rPr>
              <w:t>Copy of Mid-term Review</w:t>
            </w:r>
          </w:p>
        </w:tc>
        <w:tc>
          <w:tcPr>
            <w:tcW w:w="1414" w:type="dxa"/>
          </w:tcPr>
          <w:p w:rsidR="00391DA8" w:rsidRPr="00BC0230" w:rsidRDefault="00391DA8" w:rsidP="00391DA8">
            <w:pPr>
              <w:spacing w:before="240"/>
              <w:rPr>
                <w:lang w:eastAsia="en-US"/>
              </w:rPr>
            </w:pPr>
            <w:r w:rsidRPr="00BC0230">
              <w:rPr>
                <w:lang w:eastAsia="en-US"/>
              </w:rPr>
              <w:t xml:space="preserve">Budget, </w:t>
            </w:r>
            <w:proofErr w:type="spellStart"/>
            <w:r w:rsidRPr="00BC0230">
              <w:rPr>
                <w:lang w:eastAsia="en-US"/>
              </w:rPr>
              <w:t>MoF</w:t>
            </w:r>
            <w:proofErr w:type="spellEnd"/>
          </w:p>
        </w:tc>
        <w:tc>
          <w:tcPr>
            <w:tcW w:w="1137" w:type="dxa"/>
          </w:tcPr>
          <w:p w:rsidR="00391DA8" w:rsidRPr="00BC0230" w:rsidRDefault="00391DA8" w:rsidP="00391DA8">
            <w:pPr>
              <w:spacing w:before="240"/>
              <w:jc w:val="center"/>
              <w:rPr>
                <w:lang w:eastAsia="en-US"/>
              </w:rPr>
            </w:pPr>
            <w:r w:rsidRPr="00BC0230">
              <w:rPr>
                <w:lang w:eastAsia="en-US"/>
              </w:rPr>
              <w:t>2</w:t>
            </w:r>
          </w:p>
        </w:tc>
        <w:tc>
          <w:tcPr>
            <w:tcW w:w="1116" w:type="dxa"/>
          </w:tcPr>
          <w:p w:rsidR="00391DA8" w:rsidRPr="00BC0230" w:rsidRDefault="00391DA8" w:rsidP="00391DA8">
            <w:pPr>
              <w:spacing w:before="240"/>
              <w:jc w:val="center"/>
              <w:rPr>
                <w:lang w:eastAsia="en-US"/>
              </w:rPr>
            </w:pPr>
            <w:r w:rsidRPr="00BC0230">
              <w:rPr>
                <w:lang w:eastAsia="en-US"/>
              </w:rPr>
              <w:t>2</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40" w:type="dxa"/>
          </w:tcPr>
          <w:p w:rsidR="00391DA8" w:rsidRPr="00BC0230" w:rsidRDefault="00391DA8" w:rsidP="00391DA8">
            <w:pPr>
              <w:spacing w:before="240"/>
              <w:rPr>
                <w:lang w:eastAsia="en-US"/>
              </w:rPr>
            </w:pPr>
            <w:r w:rsidRPr="00BC0230">
              <w:rPr>
                <w:lang w:eastAsia="en-US"/>
              </w:rPr>
              <w:t>Inland Revenue staff training and motivation</w:t>
            </w:r>
          </w:p>
        </w:tc>
        <w:tc>
          <w:tcPr>
            <w:tcW w:w="4860" w:type="dxa"/>
          </w:tcPr>
          <w:p w:rsidR="00391DA8" w:rsidRPr="00BC0230" w:rsidRDefault="00391DA8" w:rsidP="00391DA8">
            <w:pPr>
              <w:spacing w:before="240"/>
              <w:rPr>
                <w:lang w:eastAsia="en-US"/>
              </w:rPr>
            </w:pPr>
            <w:r w:rsidRPr="00BC0230">
              <w:rPr>
                <w:lang w:eastAsia="en-US"/>
              </w:rPr>
              <w:t>Training needs analysis and staff engagement survey completed for Inland Revenue Services</w:t>
            </w:r>
          </w:p>
        </w:tc>
        <w:tc>
          <w:tcPr>
            <w:tcW w:w="1458" w:type="dxa"/>
          </w:tcPr>
          <w:p w:rsidR="00391DA8" w:rsidRPr="00BC0230" w:rsidRDefault="00391DA8" w:rsidP="00391DA8">
            <w:pPr>
              <w:spacing w:before="240"/>
              <w:jc w:val="center"/>
              <w:rPr>
                <w:lang w:eastAsia="en-US"/>
              </w:rPr>
            </w:pPr>
            <w:r w:rsidRPr="00BC0230">
              <w:rPr>
                <w:lang w:eastAsia="en-US"/>
              </w:rPr>
              <w:t>2</w:t>
            </w:r>
          </w:p>
        </w:tc>
        <w:tc>
          <w:tcPr>
            <w:tcW w:w="2502" w:type="dxa"/>
          </w:tcPr>
          <w:p w:rsidR="00391DA8" w:rsidRPr="00BC0230" w:rsidRDefault="00391DA8" w:rsidP="00391DA8">
            <w:pPr>
              <w:spacing w:before="240"/>
              <w:rPr>
                <w:lang w:eastAsia="en-US"/>
              </w:rPr>
            </w:pPr>
            <w:r w:rsidRPr="00BC0230">
              <w:rPr>
                <w:lang w:eastAsia="en-US"/>
              </w:rPr>
              <w:t>Copy of TNA and executive summary of Staff Engagement approved by CEO, MFR</w:t>
            </w:r>
          </w:p>
        </w:tc>
        <w:tc>
          <w:tcPr>
            <w:tcW w:w="1414" w:type="dxa"/>
          </w:tcPr>
          <w:p w:rsidR="00391DA8" w:rsidRPr="00BC0230" w:rsidRDefault="00391DA8" w:rsidP="00391DA8">
            <w:pPr>
              <w:spacing w:before="240"/>
              <w:rPr>
                <w:lang w:eastAsia="en-US"/>
              </w:rPr>
            </w:pPr>
            <w:proofErr w:type="spellStart"/>
            <w:r w:rsidRPr="00BC0230">
              <w:rPr>
                <w:lang w:eastAsia="en-US"/>
              </w:rPr>
              <w:t>MfR</w:t>
            </w:r>
            <w:proofErr w:type="spellEnd"/>
          </w:p>
        </w:tc>
        <w:tc>
          <w:tcPr>
            <w:tcW w:w="1137" w:type="dxa"/>
          </w:tcPr>
          <w:p w:rsidR="00391DA8" w:rsidRPr="00BC0230" w:rsidRDefault="00391DA8" w:rsidP="00391DA8">
            <w:pPr>
              <w:spacing w:before="240"/>
              <w:jc w:val="center"/>
              <w:rPr>
                <w:lang w:eastAsia="en-US"/>
              </w:rPr>
            </w:pPr>
            <w:r w:rsidRPr="00BC0230">
              <w:rPr>
                <w:lang w:eastAsia="en-US"/>
              </w:rPr>
              <w:t>2</w:t>
            </w:r>
          </w:p>
        </w:tc>
        <w:tc>
          <w:tcPr>
            <w:tcW w:w="1116" w:type="dxa"/>
          </w:tcPr>
          <w:p w:rsidR="00391DA8" w:rsidRPr="00BC0230" w:rsidRDefault="00391DA8" w:rsidP="00391DA8">
            <w:pPr>
              <w:spacing w:before="240"/>
              <w:jc w:val="center"/>
              <w:rPr>
                <w:lang w:eastAsia="en-US"/>
              </w:rPr>
            </w:pPr>
            <w:r w:rsidRPr="00BC0230">
              <w:rPr>
                <w:lang w:eastAsia="en-US"/>
              </w:rPr>
              <w:t>4</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391DA8" w:rsidRPr="00BC0230" w:rsidRDefault="00391DA8" w:rsidP="00391DA8">
            <w:pPr>
              <w:spacing w:before="240"/>
              <w:rPr>
                <w:lang w:eastAsia="en-US"/>
              </w:rPr>
            </w:pPr>
            <w:r w:rsidRPr="00BC0230">
              <w:rPr>
                <w:lang w:eastAsia="en-US"/>
              </w:rPr>
              <w:t>Inland Revenue Information systems</w:t>
            </w:r>
          </w:p>
        </w:tc>
        <w:tc>
          <w:tcPr>
            <w:tcW w:w="4860" w:type="dxa"/>
          </w:tcPr>
          <w:p w:rsidR="00391DA8" w:rsidRPr="00BC0230" w:rsidRDefault="00391DA8" w:rsidP="00391DA8">
            <w:pPr>
              <w:spacing w:before="240"/>
              <w:rPr>
                <w:lang w:eastAsia="en-US"/>
              </w:rPr>
            </w:pPr>
            <w:r w:rsidRPr="00BC0230">
              <w:rPr>
                <w:lang w:eastAsia="en-US"/>
              </w:rPr>
              <w:t>Development of a strategic IT Plan for Inland Revenue Services, and approval of the Plan</w:t>
            </w:r>
          </w:p>
        </w:tc>
        <w:tc>
          <w:tcPr>
            <w:tcW w:w="1458" w:type="dxa"/>
          </w:tcPr>
          <w:p w:rsidR="00391DA8" w:rsidRPr="00BC0230" w:rsidRDefault="00391DA8" w:rsidP="00391DA8">
            <w:pPr>
              <w:spacing w:before="240"/>
              <w:jc w:val="center"/>
              <w:rPr>
                <w:lang w:eastAsia="en-US"/>
              </w:rPr>
            </w:pPr>
            <w:r w:rsidRPr="00BC0230">
              <w:rPr>
                <w:lang w:eastAsia="en-US"/>
              </w:rPr>
              <w:t>1</w:t>
            </w:r>
          </w:p>
        </w:tc>
        <w:tc>
          <w:tcPr>
            <w:tcW w:w="2502" w:type="dxa"/>
          </w:tcPr>
          <w:p w:rsidR="00391DA8" w:rsidRPr="00BC0230" w:rsidRDefault="00391DA8" w:rsidP="00391DA8">
            <w:pPr>
              <w:spacing w:before="240"/>
              <w:rPr>
                <w:lang w:eastAsia="en-US"/>
              </w:rPr>
            </w:pPr>
            <w:r w:rsidRPr="00BC0230">
              <w:rPr>
                <w:lang w:eastAsia="en-US"/>
              </w:rPr>
              <w:t>Copy of IT Plan  approved by CEO, MFR</w:t>
            </w:r>
          </w:p>
        </w:tc>
        <w:tc>
          <w:tcPr>
            <w:tcW w:w="1414" w:type="dxa"/>
          </w:tcPr>
          <w:p w:rsidR="00391DA8" w:rsidRPr="00BC0230" w:rsidRDefault="00391DA8" w:rsidP="00391DA8">
            <w:pPr>
              <w:spacing w:before="240"/>
              <w:rPr>
                <w:lang w:eastAsia="en-US"/>
              </w:rPr>
            </w:pPr>
            <w:r w:rsidRPr="00BC0230">
              <w:rPr>
                <w:lang w:eastAsia="en-US"/>
              </w:rPr>
              <w:t>MFR</w:t>
            </w:r>
          </w:p>
        </w:tc>
        <w:tc>
          <w:tcPr>
            <w:tcW w:w="1137" w:type="dxa"/>
          </w:tcPr>
          <w:p w:rsidR="00391DA8" w:rsidRPr="00BC0230" w:rsidRDefault="00391DA8" w:rsidP="00391DA8">
            <w:pPr>
              <w:spacing w:before="240"/>
              <w:jc w:val="center"/>
              <w:rPr>
                <w:lang w:eastAsia="en-US"/>
              </w:rPr>
            </w:pPr>
            <w:r w:rsidRPr="00BC0230">
              <w:rPr>
                <w:lang w:eastAsia="en-US"/>
              </w:rPr>
              <w:t>1</w:t>
            </w:r>
          </w:p>
        </w:tc>
        <w:tc>
          <w:tcPr>
            <w:tcW w:w="1116" w:type="dxa"/>
          </w:tcPr>
          <w:p w:rsidR="00391DA8" w:rsidRPr="00BC0230" w:rsidRDefault="00391DA8" w:rsidP="00391DA8">
            <w:pPr>
              <w:spacing w:before="240"/>
              <w:jc w:val="center"/>
              <w:rPr>
                <w:lang w:eastAsia="en-US"/>
              </w:rPr>
            </w:pPr>
            <w:r w:rsidRPr="00BC0230">
              <w:rPr>
                <w:lang w:eastAsia="en-US"/>
              </w:rPr>
              <w:t>1</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391DA8" w:rsidRPr="00BC0230" w:rsidRDefault="00391DA8" w:rsidP="00391DA8">
            <w:pPr>
              <w:spacing w:before="240"/>
              <w:rPr>
                <w:lang w:eastAsia="en-US"/>
              </w:rPr>
            </w:pPr>
            <w:r w:rsidRPr="00BC0230">
              <w:rPr>
                <w:lang w:eastAsia="en-US"/>
              </w:rPr>
              <w:t>Inland Revenue Debt Collection strategy</w:t>
            </w:r>
          </w:p>
        </w:tc>
        <w:tc>
          <w:tcPr>
            <w:tcW w:w="4860" w:type="dxa"/>
          </w:tcPr>
          <w:p w:rsidR="00391DA8" w:rsidRPr="00BC0230" w:rsidRDefault="00391DA8" w:rsidP="00391DA8">
            <w:pPr>
              <w:spacing w:before="240"/>
              <w:rPr>
                <w:lang w:eastAsia="en-US"/>
              </w:rPr>
            </w:pPr>
            <w:r w:rsidRPr="00BC0230">
              <w:rPr>
                <w:lang w:eastAsia="en-US"/>
              </w:rPr>
              <w:t>Drafting of a Debt Collection Strategy for Inland Revenue Services</w:t>
            </w:r>
          </w:p>
        </w:tc>
        <w:tc>
          <w:tcPr>
            <w:tcW w:w="1458" w:type="dxa"/>
          </w:tcPr>
          <w:p w:rsidR="00391DA8" w:rsidRPr="00BC0230" w:rsidRDefault="00391DA8" w:rsidP="00391DA8">
            <w:pPr>
              <w:spacing w:before="240"/>
              <w:jc w:val="center"/>
              <w:rPr>
                <w:lang w:eastAsia="en-US"/>
              </w:rPr>
            </w:pPr>
            <w:r w:rsidRPr="00BC0230">
              <w:rPr>
                <w:lang w:eastAsia="en-US"/>
              </w:rPr>
              <w:t>1</w:t>
            </w:r>
          </w:p>
        </w:tc>
        <w:tc>
          <w:tcPr>
            <w:tcW w:w="2502" w:type="dxa"/>
          </w:tcPr>
          <w:p w:rsidR="00391DA8" w:rsidRPr="00BC0230" w:rsidRDefault="00391DA8" w:rsidP="00391DA8">
            <w:pPr>
              <w:spacing w:before="240"/>
              <w:rPr>
                <w:lang w:eastAsia="en-US"/>
              </w:rPr>
            </w:pPr>
            <w:r w:rsidRPr="00BC0230">
              <w:rPr>
                <w:lang w:eastAsia="en-US"/>
              </w:rPr>
              <w:t>Copy of Debt Strategy approved by CEO, MFR</w:t>
            </w:r>
          </w:p>
        </w:tc>
        <w:tc>
          <w:tcPr>
            <w:tcW w:w="1414" w:type="dxa"/>
          </w:tcPr>
          <w:p w:rsidR="00391DA8" w:rsidRPr="00BC0230" w:rsidRDefault="00391DA8" w:rsidP="00391DA8">
            <w:pPr>
              <w:spacing w:before="240"/>
              <w:rPr>
                <w:lang w:eastAsia="en-US"/>
              </w:rPr>
            </w:pPr>
            <w:r w:rsidRPr="00BC0230">
              <w:rPr>
                <w:lang w:eastAsia="en-US"/>
              </w:rPr>
              <w:t>MFR</w:t>
            </w:r>
          </w:p>
        </w:tc>
        <w:tc>
          <w:tcPr>
            <w:tcW w:w="1137" w:type="dxa"/>
          </w:tcPr>
          <w:p w:rsidR="00391DA8" w:rsidRPr="00BC0230" w:rsidRDefault="00391DA8" w:rsidP="00391DA8">
            <w:pPr>
              <w:spacing w:before="240"/>
              <w:jc w:val="center"/>
              <w:rPr>
                <w:lang w:eastAsia="en-US"/>
              </w:rPr>
            </w:pPr>
            <w:r w:rsidRPr="00BC0230">
              <w:rPr>
                <w:lang w:eastAsia="en-US"/>
              </w:rPr>
              <w:t>2</w:t>
            </w:r>
          </w:p>
        </w:tc>
        <w:tc>
          <w:tcPr>
            <w:tcW w:w="1116" w:type="dxa"/>
          </w:tcPr>
          <w:p w:rsidR="00391DA8" w:rsidRPr="00BC0230" w:rsidRDefault="00391DA8" w:rsidP="00391DA8">
            <w:pPr>
              <w:spacing w:before="240"/>
              <w:jc w:val="center"/>
              <w:rPr>
                <w:lang w:eastAsia="en-US"/>
              </w:rPr>
            </w:pPr>
            <w:r w:rsidRPr="00BC0230">
              <w:rPr>
                <w:lang w:eastAsia="en-US"/>
              </w:rPr>
              <w:t>2</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711" w:type="dxa"/>
            <w:gridSpan w:val="6"/>
            <w:shd w:val="clear" w:color="auto" w:fill="D9D9D9"/>
          </w:tcPr>
          <w:p w:rsidR="00391DA8" w:rsidRPr="00BC0230" w:rsidRDefault="00391DA8" w:rsidP="00391DA8">
            <w:pPr>
              <w:spacing w:before="240"/>
              <w:rPr>
                <w:b/>
                <w:lang w:eastAsia="en-US"/>
              </w:rPr>
            </w:pPr>
            <w:r w:rsidRPr="00BC0230">
              <w:rPr>
                <w:b/>
                <w:lang w:eastAsia="en-US"/>
              </w:rPr>
              <w:t>Max. Possible Score</w:t>
            </w:r>
          </w:p>
        </w:tc>
        <w:tc>
          <w:tcPr>
            <w:tcW w:w="1116" w:type="dxa"/>
            <w:shd w:val="clear" w:color="auto" w:fill="D9D9D9"/>
          </w:tcPr>
          <w:p w:rsidR="00391DA8" w:rsidRPr="00BC0230" w:rsidRDefault="00391DA8" w:rsidP="00391DA8">
            <w:pPr>
              <w:spacing w:before="240"/>
              <w:jc w:val="center"/>
              <w:rPr>
                <w:b/>
                <w:lang w:eastAsia="en-US"/>
              </w:rPr>
            </w:pPr>
            <w:r w:rsidRPr="00BC0230">
              <w:rPr>
                <w:b/>
                <w:lang w:eastAsia="en-US"/>
              </w:rPr>
              <w:t>33</w:t>
            </w:r>
          </w:p>
        </w:tc>
      </w:tr>
    </w:tbl>
    <w:p w:rsidR="00391DA8" w:rsidRPr="00BC0230" w:rsidRDefault="00391DA8" w:rsidP="00391DA8">
      <w:pPr>
        <w:jc w:val="center"/>
        <w:rPr>
          <w:lang w:eastAsia="en-US"/>
        </w:rPr>
      </w:pPr>
      <w:r w:rsidRPr="00BC0230">
        <w:rPr>
          <w:lang w:eastAsia="en-US"/>
        </w:rPr>
        <w:br w:type="page"/>
      </w:r>
      <w:bookmarkStart w:id="39" w:name="_Toc309888365"/>
      <w:r w:rsidR="005F04C7" w:rsidRPr="00BC0230">
        <w:rPr>
          <w:b/>
          <w:lang w:eastAsia="en-US"/>
        </w:rPr>
        <w:lastRenderedPageBreak/>
        <w:t xml:space="preserve">2. </w:t>
      </w:r>
      <w:r w:rsidRPr="00BC0230">
        <w:rPr>
          <w:b/>
          <w:lang w:eastAsia="en-US"/>
        </w:rPr>
        <w:t>Variable Milestone Table to be achieved by 30 June 2012</w:t>
      </w:r>
      <w:bookmarkEnd w:id="39"/>
    </w:p>
    <w:p w:rsidR="00391DA8" w:rsidRPr="00BC0230" w:rsidRDefault="00391DA8" w:rsidP="00391DA8">
      <w:pPr>
        <w:jc w:val="center"/>
        <w:rPr>
          <w:b/>
          <w:lang w:eastAsia="en-US"/>
        </w:rPr>
      </w:pPr>
    </w:p>
    <w:tbl>
      <w:tblPr>
        <w:tblW w:w="14926" w:type="dxa"/>
        <w:tblLayout w:type="fixed"/>
        <w:tblLook w:val="01E0" w:firstRow="1" w:lastRow="1" w:firstColumn="1" w:lastColumn="1" w:noHBand="0" w:noVBand="0"/>
      </w:tblPr>
      <w:tblGrid>
        <w:gridCol w:w="1980"/>
        <w:gridCol w:w="4785"/>
        <w:gridCol w:w="1440"/>
        <w:gridCol w:w="3060"/>
        <w:gridCol w:w="1409"/>
        <w:gridCol w:w="1136"/>
        <w:gridCol w:w="1116"/>
      </w:tblGrid>
      <w:tr w:rsidR="00391DA8" w:rsidRPr="00BC0230" w:rsidTr="00413877">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Indicator Title</w:t>
            </w:r>
          </w:p>
        </w:tc>
        <w:tc>
          <w:tcPr>
            <w:tcW w:w="4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Policy Actions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Target No. of deliverables</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Means of verification</w:t>
            </w: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Responsible</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Weight</w:t>
            </w:r>
          </w:p>
          <w:p w:rsidR="00391DA8" w:rsidRPr="00BC0230" w:rsidRDefault="00391DA8" w:rsidP="00391DA8">
            <w:pPr>
              <w:spacing w:before="240"/>
              <w:jc w:val="center"/>
              <w:rPr>
                <w:lang w:eastAsia="en-US"/>
              </w:rPr>
            </w:pPr>
            <w:r w:rsidRPr="00BC0230">
              <w:rPr>
                <w:lang w:eastAsia="en-US"/>
              </w:rPr>
              <w:t>(max 5)</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1DA8" w:rsidRPr="00BC0230" w:rsidRDefault="00391DA8" w:rsidP="00391DA8">
            <w:pPr>
              <w:spacing w:before="240"/>
              <w:jc w:val="center"/>
              <w:rPr>
                <w:lang w:eastAsia="en-US"/>
              </w:rPr>
            </w:pPr>
            <w:r w:rsidRPr="00BC0230">
              <w:rPr>
                <w:lang w:eastAsia="en-US"/>
              </w:rPr>
              <w:t>Score (Target. x Weight)</w:t>
            </w:r>
          </w:p>
        </w:tc>
      </w:tr>
      <w:tr w:rsidR="00391DA8" w:rsidRPr="00BC0230" w:rsidTr="00391DA8">
        <w:tc>
          <w:tcPr>
            <w:tcW w:w="1980" w:type="dxa"/>
            <w:tcBorders>
              <w:top w:val="single" w:sz="4" w:space="0" w:color="auto"/>
              <w:left w:val="single" w:sz="4" w:space="0" w:color="auto"/>
              <w:bottom w:val="single" w:sz="4" w:space="0" w:color="auto"/>
              <w:right w:val="single" w:sz="4" w:space="0" w:color="auto"/>
            </w:tcBorders>
          </w:tcPr>
          <w:p w:rsidR="00391DA8" w:rsidRPr="00BC0230" w:rsidRDefault="00391DA8" w:rsidP="00391DA8">
            <w:pPr>
              <w:spacing w:before="240"/>
              <w:rPr>
                <w:lang w:eastAsia="en-US"/>
              </w:rPr>
            </w:pPr>
            <w:r w:rsidRPr="00BC0230">
              <w:rPr>
                <w:lang w:eastAsia="en-US"/>
              </w:rPr>
              <w:t>Update of SDS</w:t>
            </w:r>
          </w:p>
        </w:tc>
        <w:tc>
          <w:tcPr>
            <w:tcW w:w="4785" w:type="dxa"/>
            <w:tcBorders>
              <w:top w:val="single" w:sz="4" w:space="0" w:color="auto"/>
              <w:left w:val="single" w:sz="4" w:space="0" w:color="auto"/>
              <w:bottom w:val="single" w:sz="4" w:space="0" w:color="auto"/>
              <w:right w:val="single" w:sz="4" w:space="0" w:color="auto"/>
            </w:tcBorders>
          </w:tcPr>
          <w:p w:rsidR="00391DA8" w:rsidRPr="00BC0230" w:rsidRDefault="00391DA8" w:rsidP="00391DA8">
            <w:pPr>
              <w:spacing w:before="240"/>
              <w:rPr>
                <w:lang w:eastAsia="en-US"/>
              </w:rPr>
            </w:pPr>
            <w:r w:rsidRPr="00BC0230">
              <w:rPr>
                <w:lang w:eastAsia="en-US"/>
              </w:rPr>
              <w:t>New SDS (2012-16) with higher level strategies, challenges and priorities linked to sector level plans developed through participatory process, approved by Cabinet and made publicly available</w:t>
            </w:r>
          </w:p>
        </w:tc>
        <w:tc>
          <w:tcPr>
            <w:tcW w:w="1440" w:type="dxa"/>
            <w:tcBorders>
              <w:top w:val="single" w:sz="4" w:space="0" w:color="auto"/>
              <w:left w:val="single" w:sz="4" w:space="0" w:color="auto"/>
              <w:bottom w:val="single" w:sz="4" w:space="0" w:color="auto"/>
              <w:right w:val="single" w:sz="4" w:space="0" w:color="auto"/>
            </w:tcBorders>
          </w:tcPr>
          <w:p w:rsidR="00391DA8" w:rsidRPr="00BC0230" w:rsidRDefault="00391DA8" w:rsidP="00391DA8">
            <w:pPr>
              <w:spacing w:before="240"/>
              <w:jc w:val="center"/>
              <w:rPr>
                <w:lang w:eastAsia="en-US"/>
              </w:rPr>
            </w:pPr>
            <w:r w:rsidRPr="00BC0230">
              <w:rPr>
                <w:lang w:eastAsia="en-US"/>
              </w:rPr>
              <w:t>1</w:t>
            </w:r>
          </w:p>
        </w:tc>
        <w:tc>
          <w:tcPr>
            <w:tcW w:w="3060" w:type="dxa"/>
            <w:tcBorders>
              <w:top w:val="single" w:sz="4" w:space="0" w:color="auto"/>
              <w:left w:val="single" w:sz="4" w:space="0" w:color="auto"/>
              <w:bottom w:val="single" w:sz="4" w:space="0" w:color="auto"/>
              <w:right w:val="single" w:sz="4" w:space="0" w:color="auto"/>
            </w:tcBorders>
          </w:tcPr>
          <w:p w:rsidR="00391DA8" w:rsidRPr="00BC0230" w:rsidRDefault="00391DA8" w:rsidP="00391DA8">
            <w:pPr>
              <w:spacing w:before="240"/>
              <w:rPr>
                <w:lang w:eastAsia="en-US"/>
              </w:rPr>
            </w:pPr>
            <w:r w:rsidRPr="00BC0230">
              <w:rPr>
                <w:lang w:eastAsia="en-US"/>
              </w:rPr>
              <w:t>Approval of SDS by CDC or Cabinet; publically available SDS documents</w:t>
            </w:r>
          </w:p>
        </w:tc>
        <w:tc>
          <w:tcPr>
            <w:tcW w:w="1409" w:type="dxa"/>
            <w:tcBorders>
              <w:top w:val="single" w:sz="4" w:space="0" w:color="auto"/>
              <w:left w:val="single" w:sz="4" w:space="0" w:color="auto"/>
              <w:bottom w:val="single" w:sz="4" w:space="0" w:color="auto"/>
              <w:right w:val="single" w:sz="4" w:space="0" w:color="auto"/>
            </w:tcBorders>
          </w:tcPr>
          <w:p w:rsidR="00391DA8" w:rsidRPr="00BC0230" w:rsidRDefault="00391DA8" w:rsidP="00391DA8">
            <w:pPr>
              <w:spacing w:before="240"/>
              <w:rPr>
                <w:lang w:eastAsia="en-US"/>
              </w:rPr>
            </w:pPr>
            <w:r w:rsidRPr="00BC0230">
              <w:rPr>
                <w:lang w:eastAsia="en-US"/>
              </w:rPr>
              <w:t xml:space="preserve">EPPD, </w:t>
            </w:r>
            <w:proofErr w:type="spellStart"/>
            <w:r w:rsidRPr="00BC0230">
              <w:rPr>
                <w:lang w:eastAsia="en-US"/>
              </w:rPr>
              <w:t>MoF</w:t>
            </w:r>
            <w:proofErr w:type="spellEnd"/>
          </w:p>
        </w:tc>
        <w:tc>
          <w:tcPr>
            <w:tcW w:w="1136" w:type="dxa"/>
            <w:tcBorders>
              <w:top w:val="single" w:sz="4" w:space="0" w:color="auto"/>
              <w:left w:val="single" w:sz="4" w:space="0" w:color="auto"/>
              <w:bottom w:val="single" w:sz="4" w:space="0" w:color="auto"/>
              <w:right w:val="single" w:sz="4" w:space="0" w:color="auto"/>
            </w:tcBorders>
          </w:tcPr>
          <w:p w:rsidR="00391DA8" w:rsidRPr="00BC0230" w:rsidRDefault="00391DA8" w:rsidP="00391DA8">
            <w:pPr>
              <w:spacing w:before="240"/>
              <w:jc w:val="center"/>
              <w:rPr>
                <w:lang w:eastAsia="en-US"/>
              </w:rPr>
            </w:pPr>
            <w:r w:rsidRPr="00BC0230">
              <w:rPr>
                <w:lang w:eastAsia="en-US"/>
              </w:rPr>
              <w:t>4</w:t>
            </w:r>
          </w:p>
        </w:tc>
        <w:tc>
          <w:tcPr>
            <w:tcW w:w="1116" w:type="dxa"/>
            <w:tcBorders>
              <w:top w:val="single" w:sz="4" w:space="0" w:color="auto"/>
              <w:left w:val="single" w:sz="4" w:space="0" w:color="auto"/>
              <w:bottom w:val="single" w:sz="4" w:space="0" w:color="auto"/>
              <w:right w:val="single" w:sz="4" w:space="0" w:color="auto"/>
            </w:tcBorders>
          </w:tcPr>
          <w:p w:rsidR="00391DA8" w:rsidRPr="00BC0230" w:rsidRDefault="00391DA8" w:rsidP="00391DA8">
            <w:pPr>
              <w:spacing w:before="240"/>
              <w:jc w:val="center"/>
              <w:rPr>
                <w:lang w:eastAsia="en-US"/>
              </w:rPr>
            </w:pPr>
            <w:r w:rsidRPr="00BC0230">
              <w:rPr>
                <w:lang w:eastAsia="en-US"/>
              </w:rPr>
              <w:t>4</w:t>
            </w:r>
          </w:p>
        </w:tc>
      </w:tr>
      <w:tr w:rsidR="00391DA8" w:rsidRPr="00BC0230" w:rsidTr="00391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single" w:sz="4" w:space="0" w:color="auto"/>
            </w:tcBorders>
          </w:tcPr>
          <w:p w:rsidR="00391DA8" w:rsidRPr="00BC0230" w:rsidRDefault="00391DA8" w:rsidP="00391DA8">
            <w:pPr>
              <w:spacing w:before="240"/>
              <w:rPr>
                <w:lang w:eastAsia="en-US"/>
              </w:rPr>
            </w:pPr>
            <w:r w:rsidRPr="00BC0230">
              <w:rPr>
                <w:lang w:eastAsia="en-US"/>
              </w:rPr>
              <w:t>Targeting the vulnerable</w:t>
            </w:r>
          </w:p>
        </w:tc>
        <w:tc>
          <w:tcPr>
            <w:tcW w:w="4785" w:type="dxa"/>
            <w:tcBorders>
              <w:top w:val="single" w:sz="4" w:space="0" w:color="auto"/>
            </w:tcBorders>
          </w:tcPr>
          <w:p w:rsidR="00391DA8" w:rsidRPr="00BC0230" w:rsidRDefault="00391DA8" w:rsidP="00391DA8">
            <w:pPr>
              <w:spacing w:before="240"/>
              <w:rPr>
                <w:lang w:eastAsia="en-US"/>
              </w:rPr>
            </w:pPr>
            <w:r w:rsidRPr="00BC0230">
              <w:rPr>
                <w:lang w:eastAsia="en-US"/>
              </w:rPr>
              <w:t>Concept paper with analysis on vulnerable groups, their needs and mechanisms for targeting support</w:t>
            </w:r>
          </w:p>
        </w:tc>
        <w:tc>
          <w:tcPr>
            <w:tcW w:w="1440" w:type="dxa"/>
            <w:tcBorders>
              <w:top w:val="single" w:sz="4" w:space="0" w:color="auto"/>
            </w:tcBorders>
          </w:tcPr>
          <w:p w:rsidR="00391DA8" w:rsidRPr="00BC0230" w:rsidRDefault="00391DA8" w:rsidP="00391DA8">
            <w:pPr>
              <w:spacing w:before="240"/>
              <w:jc w:val="center"/>
              <w:rPr>
                <w:lang w:eastAsia="en-US"/>
              </w:rPr>
            </w:pPr>
            <w:r w:rsidRPr="00BC0230">
              <w:rPr>
                <w:lang w:eastAsia="en-US"/>
              </w:rPr>
              <w:t>1</w:t>
            </w:r>
          </w:p>
        </w:tc>
        <w:tc>
          <w:tcPr>
            <w:tcW w:w="3060" w:type="dxa"/>
            <w:tcBorders>
              <w:top w:val="single" w:sz="4" w:space="0" w:color="auto"/>
            </w:tcBorders>
          </w:tcPr>
          <w:p w:rsidR="00391DA8" w:rsidRPr="00BC0230" w:rsidRDefault="00391DA8" w:rsidP="00391DA8">
            <w:pPr>
              <w:spacing w:before="240"/>
              <w:rPr>
                <w:lang w:eastAsia="en-US"/>
              </w:rPr>
            </w:pPr>
            <w:r w:rsidRPr="00BC0230">
              <w:rPr>
                <w:lang w:eastAsia="en-US"/>
              </w:rPr>
              <w:t>Concept Paper submitted to CDC (Agenda)</w:t>
            </w:r>
          </w:p>
        </w:tc>
        <w:tc>
          <w:tcPr>
            <w:tcW w:w="1409" w:type="dxa"/>
            <w:tcBorders>
              <w:top w:val="single" w:sz="4" w:space="0" w:color="auto"/>
            </w:tcBorders>
          </w:tcPr>
          <w:p w:rsidR="00391DA8" w:rsidRPr="00BC0230" w:rsidRDefault="00391DA8" w:rsidP="00391DA8">
            <w:pPr>
              <w:spacing w:before="240"/>
              <w:rPr>
                <w:lang w:eastAsia="en-US"/>
              </w:rPr>
            </w:pPr>
            <w:r w:rsidRPr="00BC0230">
              <w:rPr>
                <w:lang w:eastAsia="en-US"/>
              </w:rPr>
              <w:t xml:space="preserve">EPPD, </w:t>
            </w:r>
            <w:proofErr w:type="spellStart"/>
            <w:r w:rsidRPr="00BC0230">
              <w:rPr>
                <w:lang w:eastAsia="en-US"/>
              </w:rPr>
              <w:t>MoF</w:t>
            </w:r>
            <w:proofErr w:type="spellEnd"/>
          </w:p>
        </w:tc>
        <w:tc>
          <w:tcPr>
            <w:tcW w:w="1136" w:type="dxa"/>
            <w:tcBorders>
              <w:top w:val="single" w:sz="4" w:space="0" w:color="auto"/>
            </w:tcBorders>
          </w:tcPr>
          <w:p w:rsidR="00391DA8" w:rsidRPr="00BC0230" w:rsidRDefault="00391DA8" w:rsidP="00391DA8">
            <w:pPr>
              <w:spacing w:before="240"/>
              <w:jc w:val="center"/>
              <w:rPr>
                <w:lang w:eastAsia="en-US"/>
              </w:rPr>
            </w:pPr>
            <w:r w:rsidRPr="00BC0230">
              <w:rPr>
                <w:lang w:eastAsia="en-US"/>
              </w:rPr>
              <w:t>3</w:t>
            </w:r>
          </w:p>
        </w:tc>
        <w:tc>
          <w:tcPr>
            <w:tcW w:w="1116" w:type="dxa"/>
            <w:tcBorders>
              <w:top w:val="single" w:sz="4" w:space="0" w:color="auto"/>
            </w:tcBorders>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Sector Planning</w:t>
            </w:r>
          </w:p>
        </w:tc>
        <w:tc>
          <w:tcPr>
            <w:tcW w:w="4785" w:type="dxa"/>
          </w:tcPr>
          <w:p w:rsidR="00391DA8" w:rsidRPr="00BC0230" w:rsidRDefault="00391DA8" w:rsidP="00391DA8">
            <w:pPr>
              <w:spacing w:before="240"/>
              <w:rPr>
                <w:lang w:eastAsia="en-US"/>
              </w:rPr>
            </w:pPr>
            <w:r w:rsidRPr="00BC0230">
              <w:rPr>
                <w:lang w:eastAsia="en-US"/>
              </w:rPr>
              <w:t>Number of additional Sector Plans approved and publically released and under implementation with content including: at least 3 key performance indicators, institutional arrangements including non-government entities, and an annual review mechanism.  Total target of 6 sectors</w:t>
            </w:r>
          </w:p>
        </w:tc>
        <w:tc>
          <w:tcPr>
            <w:tcW w:w="1440" w:type="dxa"/>
          </w:tcPr>
          <w:p w:rsidR="00391DA8" w:rsidRPr="00BC0230" w:rsidRDefault="00391DA8" w:rsidP="00391DA8">
            <w:pPr>
              <w:tabs>
                <w:tab w:val="center" w:pos="571"/>
                <w:tab w:val="left" w:pos="1005"/>
              </w:tabs>
              <w:spacing w:before="240"/>
              <w:rPr>
                <w:lang w:eastAsia="en-US"/>
              </w:rPr>
            </w:pPr>
            <w:r w:rsidRPr="00BC0230">
              <w:rPr>
                <w:lang w:eastAsia="en-US"/>
              </w:rPr>
              <w:tab/>
              <w:t>1</w:t>
            </w:r>
          </w:p>
        </w:tc>
        <w:tc>
          <w:tcPr>
            <w:tcW w:w="3060" w:type="dxa"/>
          </w:tcPr>
          <w:p w:rsidR="00391DA8" w:rsidRPr="00BC0230" w:rsidRDefault="00391DA8" w:rsidP="00391DA8">
            <w:pPr>
              <w:spacing w:before="240"/>
              <w:rPr>
                <w:lang w:eastAsia="en-US"/>
              </w:rPr>
            </w:pPr>
            <w:r w:rsidRPr="00BC0230">
              <w:rPr>
                <w:lang w:eastAsia="en-US"/>
              </w:rPr>
              <w:t>Approval of Sector plans by CDC or Cabinet; publically available documents</w:t>
            </w:r>
          </w:p>
        </w:tc>
        <w:tc>
          <w:tcPr>
            <w:tcW w:w="1409" w:type="dxa"/>
          </w:tcPr>
          <w:p w:rsidR="00391DA8" w:rsidRPr="00BC0230" w:rsidRDefault="00391DA8" w:rsidP="00391DA8">
            <w:pPr>
              <w:spacing w:before="240"/>
              <w:rPr>
                <w:lang w:eastAsia="en-US"/>
              </w:rPr>
            </w:pPr>
            <w:r w:rsidRPr="00BC0230">
              <w:rPr>
                <w:lang w:eastAsia="en-US"/>
              </w:rPr>
              <w:t>EPPD and line-Ministries</w:t>
            </w:r>
          </w:p>
        </w:tc>
        <w:tc>
          <w:tcPr>
            <w:tcW w:w="1136" w:type="dxa"/>
          </w:tcPr>
          <w:p w:rsidR="00391DA8" w:rsidRPr="00BC0230" w:rsidRDefault="00391DA8" w:rsidP="00391DA8">
            <w:pPr>
              <w:spacing w:before="240"/>
              <w:jc w:val="center"/>
              <w:rPr>
                <w:lang w:eastAsia="en-US"/>
              </w:rPr>
            </w:pPr>
            <w:r w:rsidRPr="00BC0230">
              <w:rPr>
                <w:lang w:eastAsia="en-US"/>
              </w:rPr>
              <w:t>5</w:t>
            </w:r>
          </w:p>
        </w:tc>
        <w:tc>
          <w:tcPr>
            <w:tcW w:w="1116" w:type="dxa"/>
          </w:tcPr>
          <w:p w:rsidR="00391DA8" w:rsidRPr="00BC0230" w:rsidRDefault="00391DA8" w:rsidP="00391DA8">
            <w:pPr>
              <w:spacing w:before="240"/>
              <w:jc w:val="center"/>
              <w:rPr>
                <w:lang w:eastAsia="en-US"/>
              </w:rPr>
            </w:pPr>
            <w:r w:rsidRPr="00BC0230">
              <w:rPr>
                <w:lang w:eastAsia="en-US"/>
              </w:rPr>
              <w:t>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SOE privatisation</w:t>
            </w:r>
          </w:p>
        </w:tc>
        <w:tc>
          <w:tcPr>
            <w:tcW w:w="4785" w:type="dxa"/>
          </w:tcPr>
          <w:p w:rsidR="00391DA8" w:rsidRPr="00BC0230" w:rsidRDefault="00391DA8" w:rsidP="00391DA8">
            <w:pPr>
              <w:spacing w:before="240"/>
              <w:rPr>
                <w:lang w:eastAsia="en-US"/>
              </w:rPr>
            </w:pPr>
            <w:r w:rsidRPr="00BC0230">
              <w:rPr>
                <w:lang w:eastAsia="en-US"/>
              </w:rPr>
              <w:t>One additional SOE to be prepared for privatisation</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 xml:space="preserve">Cabinet approval of proposed privatization </w:t>
            </w:r>
          </w:p>
        </w:tc>
        <w:tc>
          <w:tcPr>
            <w:tcW w:w="1409" w:type="dxa"/>
          </w:tcPr>
          <w:p w:rsidR="00391DA8" w:rsidRPr="00BC0230" w:rsidRDefault="00391DA8" w:rsidP="00391DA8">
            <w:pPr>
              <w:spacing w:before="240"/>
              <w:rPr>
                <w:lang w:eastAsia="en-US"/>
              </w:rPr>
            </w:pPr>
            <w:r w:rsidRPr="00BC0230">
              <w:rPr>
                <w:lang w:eastAsia="en-US"/>
              </w:rPr>
              <w:t>SOEMD</w:t>
            </w:r>
          </w:p>
        </w:tc>
        <w:tc>
          <w:tcPr>
            <w:tcW w:w="1136" w:type="dxa"/>
          </w:tcPr>
          <w:p w:rsidR="00391DA8" w:rsidRPr="00BC0230" w:rsidRDefault="00391DA8" w:rsidP="00391DA8">
            <w:pPr>
              <w:spacing w:before="240"/>
              <w:jc w:val="center"/>
              <w:rPr>
                <w:lang w:eastAsia="en-US"/>
              </w:rPr>
            </w:pPr>
            <w:r w:rsidRPr="00BC0230">
              <w:rPr>
                <w:lang w:eastAsia="en-US"/>
              </w:rPr>
              <w:t>5</w:t>
            </w:r>
          </w:p>
        </w:tc>
        <w:tc>
          <w:tcPr>
            <w:tcW w:w="1116" w:type="dxa"/>
          </w:tcPr>
          <w:p w:rsidR="00391DA8" w:rsidRPr="00BC0230" w:rsidRDefault="00391DA8" w:rsidP="00391DA8">
            <w:pPr>
              <w:spacing w:before="240"/>
              <w:jc w:val="center"/>
              <w:rPr>
                <w:lang w:eastAsia="en-US"/>
              </w:rPr>
            </w:pPr>
            <w:r w:rsidRPr="00BC0230">
              <w:rPr>
                <w:lang w:eastAsia="en-US"/>
              </w:rPr>
              <w:t>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SOE Governance</w:t>
            </w:r>
          </w:p>
        </w:tc>
        <w:tc>
          <w:tcPr>
            <w:tcW w:w="4785" w:type="dxa"/>
          </w:tcPr>
          <w:p w:rsidR="00391DA8" w:rsidRPr="00BC0230" w:rsidRDefault="00391DA8" w:rsidP="00391DA8">
            <w:pPr>
              <w:spacing w:before="240"/>
              <w:rPr>
                <w:lang w:eastAsia="en-US"/>
              </w:rPr>
            </w:pPr>
            <w:r w:rsidRPr="00BC0230">
              <w:rPr>
                <w:lang w:eastAsia="en-US"/>
              </w:rPr>
              <w:t>% of SOE Boards with no Government Ministers or officials – Target of 70%</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List of Board appointments</w:t>
            </w:r>
          </w:p>
        </w:tc>
        <w:tc>
          <w:tcPr>
            <w:tcW w:w="1409" w:type="dxa"/>
          </w:tcPr>
          <w:p w:rsidR="00391DA8" w:rsidRPr="00BC0230" w:rsidRDefault="00391DA8" w:rsidP="00391DA8">
            <w:pPr>
              <w:spacing w:before="240"/>
              <w:rPr>
                <w:lang w:eastAsia="en-US"/>
              </w:rPr>
            </w:pPr>
            <w:r w:rsidRPr="00BC0230">
              <w:rPr>
                <w:lang w:eastAsia="en-US"/>
              </w:rPr>
              <w:t xml:space="preserve">SOEMD,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4</w:t>
            </w:r>
          </w:p>
        </w:tc>
        <w:tc>
          <w:tcPr>
            <w:tcW w:w="1116" w:type="dxa"/>
          </w:tcPr>
          <w:p w:rsidR="00391DA8" w:rsidRPr="00BC0230" w:rsidRDefault="00391DA8" w:rsidP="00391DA8">
            <w:pPr>
              <w:spacing w:before="240"/>
              <w:jc w:val="center"/>
              <w:rPr>
                <w:lang w:eastAsia="en-US"/>
              </w:rPr>
            </w:pPr>
            <w:r w:rsidRPr="00BC0230">
              <w:rPr>
                <w:lang w:eastAsia="en-US"/>
              </w:rPr>
              <w:t>4</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SOE Governance</w:t>
            </w:r>
          </w:p>
        </w:tc>
        <w:tc>
          <w:tcPr>
            <w:tcW w:w="4785" w:type="dxa"/>
          </w:tcPr>
          <w:p w:rsidR="00391DA8" w:rsidRPr="00BC0230" w:rsidRDefault="00391DA8" w:rsidP="00391DA8">
            <w:pPr>
              <w:spacing w:before="240"/>
              <w:rPr>
                <w:lang w:eastAsia="en-US"/>
              </w:rPr>
            </w:pPr>
            <w:r w:rsidRPr="00BC0230">
              <w:rPr>
                <w:lang w:eastAsia="en-US"/>
              </w:rPr>
              <w:t xml:space="preserve">Induction training module for SOE Board </w:t>
            </w:r>
            <w:r w:rsidRPr="00BC0230">
              <w:rPr>
                <w:lang w:eastAsia="en-US"/>
              </w:rPr>
              <w:lastRenderedPageBreak/>
              <w:t>Directors developed and training programme commenced</w:t>
            </w:r>
          </w:p>
        </w:tc>
        <w:tc>
          <w:tcPr>
            <w:tcW w:w="1440" w:type="dxa"/>
          </w:tcPr>
          <w:p w:rsidR="00391DA8" w:rsidRPr="00BC0230" w:rsidRDefault="00391DA8" w:rsidP="00391DA8">
            <w:pPr>
              <w:spacing w:before="240"/>
              <w:jc w:val="center"/>
              <w:rPr>
                <w:lang w:eastAsia="en-US"/>
              </w:rPr>
            </w:pPr>
            <w:r w:rsidRPr="00BC0230">
              <w:rPr>
                <w:lang w:eastAsia="en-US"/>
              </w:rPr>
              <w:lastRenderedPageBreak/>
              <w:t>1</w:t>
            </w:r>
          </w:p>
        </w:tc>
        <w:tc>
          <w:tcPr>
            <w:tcW w:w="3060" w:type="dxa"/>
          </w:tcPr>
          <w:p w:rsidR="00391DA8" w:rsidRPr="00BC0230" w:rsidRDefault="00391DA8" w:rsidP="00391DA8">
            <w:pPr>
              <w:spacing w:before="240"/>
              <w:rPr>
                <w:lang w:eastAsia="en-US"/>
              </w:rPr>
            </w:pPr>
            <w:r w:rsidRPr="00BC0230">
              <w:rPr>
                <w:lang w:eastAsia="en-US"/>
              </w:rPr>
              <w:t xml:space="preserve">Copy of training programme </w:t>
            </w:r>
          </w:p>
        </w:tc>
        <w:tc>
          <w:tcPr>
            <w:tcW w:w="1409" w:type="dxa"/>
          </w:tcPr>
          <w:p w:rsidR="00391DA8" w:rsidRPr="00BC0230" w:rsidRDefault="00391DA8" w:rsidP="00391DA8">
            <w:pPr>
              <w:spacing w:before="240"/>
              <w:rPr>
                <w:lang w:eastAsia="en-US"/>
              </w:rPr>
            </w:pPr>
            <w:r w:rsidRPr="00BC0230">
              <w:rPr>
                <w:lang w:eastAsia="en-US"/>
              </w:rPr>
              <w:t xml:space="preserve">SOEMD, </w:t>
            </w:r>
            <w:proofErr w:type="spellStart"/>
            <w:r w:rsidRPr="00BC0230">
              <w:rPr>
                <w:lang w:eastAsia="en-US"/>
              </w:rPr>
              <w:lastRenderedPageBreak/>
              <w:t>MoF</w:t>
            </w:r>
            <w:proofErr w:type="spellEnd"/>
          </w:p>
        </w:tc>
        <w:tc>
          <w:tcPr>
            <w:tcW w:w="1136" w:type="dxa"/>
          </w:tcPr>
          <w:p w:rsidR="00391DA8" w:rsidRPr="00BC0230" w:rsidRDefault="00391DA8" w:rsidP="00391DA8">
            <w:pPr>
              <w:spacing w:before="240"/>
              <w:jc w:val="center"/>
              <w:rPr>
                <w:lang w:eastAsia="en-US"/>
              </w:rPr>
            </w:pPr>
            <w:r w:rsidRPr="00BC0230">
              <w:rPr>
                <w:lang w:eastAsia="en-US"/>
              </w:rPr>
              <w:lastRenderedPageBreak/>
              <w:t>4</w:t>
            </w:r>
          </w:p>
        </w:tc>
        <w:tc>
          <w:tcPr>
            <w:tcW w:w="1116" w:type="dxa"/>
          </w:tcPr>
          <w:p w:rsidR="00391DA8" w:rsidRPr="00BC0230" w:rsidRDefault="00391DA8" w:rsidP="00391DA8">
            <w:pPr>
              <w:spacing w:before="240"/>
              <w:jc w:val="center"/>
              <w:rPr>
                <w:lang w:eastAsia="en-US"/>
              </w:rPr>
            </w:pPr>
            <w:r w:rsidRPr="00BC0230">
              <w:rPr>
                <w:lang w:eastAsia="en-US"/>
              </w:rPr>
              <w:t>4</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lastRenderedPageBreak/>
              <w:t>SOE Performance</w:t>
            </w:r>
          </w:p>
        </w:tc>
        <w:tc>
          <w:tcPr>
            <w:tcW w:w="4785" w:type="dxa"/>
          </w:tcPr>
          <w:p w:rsidR="00391DA8" w:rsidRPr="00BC0230" w:rsidRDefault="00391DA8" w:rsidP="00391DA8">
            <w:pPr>
              <w:spacing w:before="240"/>
              <w:rPr>
                <w:lang w:eastAsia="en-US"/>
              </w:rPr>
            </w:pPr>
            <w:r w:rsidRPr="00BC0230">
              <w:rPr>
                <w:lang w:eastAsia="en-US"/>
              </w:rPr>
              <w:t>Key performance indicators (KPIs) agreed and approved by Boards and responsible Minister for at least 5 SOEs. Target number of 5 SOEs</w:t>
            </w:r>
          </w:p>
        </w:tc>
        <w:tc>
          <w:tcPr>
            <w:tcW w:w="1440" w:type="dxa"/>
          </w:tcPr>
          <w:p w:rsidR="00391DA8" w:rsidRPr="00BC0230" w:rsidRDefault="00391DA8" w:rsidP="00391DA8">
            <w:pPr>
              <w:spacing w:before="240"/>
              <w:jc w:val="center"/>
              <w:rPr>
                <w:lang w:eastAsia="en-US"/>
              </w:rPr>
            </w:pPr>
            <w:r w:rsidRPr="00BC0230">
              <w:rPr>
                <w:lang w:eastAsia="en-US"/>
              </w:rPr>
              <w:t>5</w:t>
            </w:r>
          </w:p>
        </w:tc>
        <w:tc>
          <w:tcPr>
            <w:tcW w:w="3060" w:type="dxa"/>
          </w:tcPr>
          <w:p w:rsidR="00391DA8" w:rsidRPr="00BC0230" w:rsidRDefault="00391DA8" w:rsidP="00391DA8">
            <w:pPr>
              <w:spacing w:before="240"/>
              <w:rPr>
                <w:lang w:eastAsia="en-US"/>
              </w:rPr>
            </w:pPr>
            <w:r w:rsidRPr="00BC0230">
              <w:rPr>
                <w:lang w:eastAsia="en-US"/>
              </w:rPr>
              <w:t>Copy of approved KPIs; evidence of approval by Minister</w:t>
            </w:r>
          </w:p>
        </w:tc>
        <w:tc>
          <w:tcPr>
            <w:tcW w:w="1409" w:type="dxa"/>
          </w:tcPr>
          <w:p w:rsidR="00391DA8" w:rsidRPr="00BC0230" w:rsidRDefault="00391DA8" w:rsidP="00391DA8">
            <w:pPr>
              <w:spacing w:before="240"/>
              <w:rPr>
                <w:lang w:eastAsia="en-US"/>
              </w:rPr>
            </w:pPr>
            <w:r w:rsidRPr="00BC0230">
              <w:rPr>
                <w:lang w:eastAsia="en-US"/>
              </w:rPr>
              <w:t>SOEMD,</w:t>
            </w:r>
          </w:p>
          <w:p w:rsidR="00391DA8" w:rsidRPr="00BC0230" w:rsidRDefault="00391DA8" w:rsidP="00391DA8">
            <w:pPr>
              <w:spacing w:before="240"/>
              <w:rPr>
                <w:lang w:eastAsia="en-US"/>
              </w:rPr>
            </w:pP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5</w:t>
            </w:r>
          </w:p>
        </w:tc>
        <w:tc>
          <w:tcPr>
            <w:tcW w:w="1116" w:type="dxa"/>
          </w:tcPr>
          <w:p w:rsidR="00391DA8" w:rsidRPr="00BC0230" w:rsidRDefault="00391DA8" w:rsidP="00391DA8">
            <w:pPr>
              <w:spacing w:before="240"/>
              <w:jc w:val="center"/>
              <w:rPr>
                <w:lang w:eastAsia="en-US"/>
              </w:rPr>
            </w:pPr>
            <w:r w:rsidRPr="00BC0230">
              <w:rPr>
                <w:lang w:eastAsia="en-US"/>
              </w:rPr>
              <w:t>25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Training for line-Ministries</w:t>
            </w:r>
          </w:p>
        </w:tc>
        <w:tc>
          <w:tcPr>
            <w:tcW w:w="4785" w:type="dxa"/>
          </w:tcPr>
          <w:p w:rsidR="00391DA8" w:rsidRPr="00BC0230" w:rsidRDefault="00391DA8" w:rsidP="00391DA8">
            <w:pPr>
              <w:spacing w:before="240"/>
              <w:rPr>
                <w:lang w:eastAsia="en-US"/>
              </w:rPr>
            </w:pPr>
            <w:r w:rsidRPr="00BC0230">
              <w:rPr>
                <w:lang w:eastAsia="en-US"/>
              </w:rPr>
              <w:t>Training programme to support the accounting function in line-Ministries commenced</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Training programme and copies of training reports</w:t>
            </w:r>
          </w:p>
        </w:tc>
        <w:tc>
          <w:tcPr>
            <w:tcW w:w="1409" w:type="dxa"/>
          </w:tcPr>
          <w:p w:rsidR="00391DA8" w:rsidRPr="00BC0230" w:rsidRDefault="00391DA8" w:rsidP="00391DA8">
            <w:pPr>
              <w:spacing w:before="240"/>
              <w:rPr>
                <w:lang w:eastAsia="en-US"/>
              </w:rPr>
            </w:pPr>
            <w:r w:rsidRPr="00BC0230">
              <w:rPr>
                <w:lang w:eastAsia="en-US"/>
              </w:rPr>
              <w:t xml:space="preserve">Systems Support Unit,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2</w:t>
            </w:r>
          </w:p>
        </w:tc>
        <w:tc>
          <w:tcPr>
            <w:tcW w:w="1116" w:type="dxa"/>
          </w:tcPr>
          <w:p w:rsidR="00391DA8" w:rsidRPr="00BC0230" w:rsidRDefault="00391DA8" w:rsidP="00391DA8">
            <w:pPr>
              <w:spacing w:before="240"/>
              <w:jc w:val="center"/>
              <w:rPr>
                <w:lang w:eastAsia="en-US"/>
              </w:rPr>
            </w:pPr>
            <w:r w:rsidRPr="00BC0230">
              <w:rPr>
                <w:lang w:eastAsia="en-US"/>
              </w:rPr>
              <w:t>2</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Treasury Instructions</w:t>
            </w:r>
          </w:p>
        </w:tc>
        <w:tc>
          <w:tcPr>
            <w:tcW w:w="4785" w:type="dxa"/>
          </w:tcPr>
          <w:p w:rsidR="00391DA8" w:rsidRPr="00BC0230" w:rsidRDefault="00391DA8" w:rsidP="00391DA8">
            <w:pPr>
              <w:spacing w:before="240"/>
              <w:rPr>
                <w:lang w:eastAsia="en-US"/>
              </w:rPr>
            </w:pPr>
            <w:r w:rsidRPr="00BC0230">
              <w:rPr>
                <w:lang w:eastAsia="en-US"/>
              </w:rPr>
              <w:t>Finalise and approve revised Treasury Instructions</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 xml:space="preserve">Confirmation of Cabinet approval </w:t>
            </w:r>
          </w:p>
        </w:tc>
        <w:tc>
          <w:tcPr>
            <w:tcW w:w="1409" w:type="dxa"/>
          </w:tcPr>
          <w:p w:rsidR="00391DA8" w:rsidRPr="00BC0230" w:rsidRDefault="00391DA8" w:rsidP="00391DA8">
            <w:pPr>
              <w:spacing w:before="240"/>
              <w:rPr>
                <w:lang w:eastAsia="en-US"/>
              </w:rPr>
            </w:pP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Monitoring arrears</w:t>
            </w:r>
          </w:p>
        </w:tc>
        <w:tc>
          <w:tcPr>
            <w:tcW w:w="4785" w:type="dxa"/>
          </w:tcPr>
          <w:p w:rsidR="00391DA8" w:rsidRPr="00BC0230" w:rsidRDefault="00391DA8" w:rsidP="00391DA8">
            <w:pPr>
              <w:spacing w:before="240"/>
              <w:rPr>
                <w:lang w:eastAsia="en-US"/>
              </w:rPr>
            </w:pPr>
            <w:r w:rsidRPr="00BC0230">
              <w:rPr>
                <w:lang w:eastAsia="en-US"/>
              </w:rPr>
              <w:t>Information report on the extent of arrears, including arrears in relation to orders not supported by a purchase order, available by 30</w:t>
            </w:r>
            <w:r w:rsidRPr="00BC0230">
              <w:rPr>
                <w:vertAlign w:val="superscript"/>
                <w:lang w:eastAsia="en-US"/>
              </w:rPr>
              <w:t>th</w:t>
            </w:r>
            <w:r w:rsidRPr="00BC0230">
              <w:rPr>
                <w:lang w:eastAsia="en-US"/>
              </w:rPr>
              <w:t xml:space="preserve"> June 2012 and target set for reduction by June 2013.</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Report from Accounting Division</w:t>
            </w:r>
          </w:p>
        </w:tc>
        <w:tc>
          <w:tcPr>
            <w:tcW w:w="1409" w:type="dxa"/>
          </w:tcPr>
          <w:p w:rsidR="00391DA8" w:rsidRPr="00BC0230" w:rsidRDefault="00391DA8" w:rsidP="00391DA8">
            <w:pPr>
              <w:spacing w:before="240"/>
              <w:rPr>
                <w:lang w:eastAsia="en-US"/>
              </w:rPr>
            </w:pPr>
            <w:r w:rsidRPr="00BC0230">
              <w:rPr>
                <w:lang w:eastAsia="en-US"/>
              </w:rPr>
              <w:t xml:space="preserve">Accounts,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5</w:t>
            </w:r>
          </w:p>
        </w:tc>
        <w:tc>
          <w:tcPr>
            <w:tcW w:w="1116" w:type="dxa"/>
          </w:tcPr>
          <w:p w:rsidR="00391DA8" w:rsidRPr="00BC0230" w:rsidRDefault="00391DA8" w:rsidP="00391DA8">
            <w:pPr>
              <w:spacing w:before="240"/>
              <w:jc w:val="center"/>
              <w:rPr>
                <w:lang w:eastAsia="en-US"/>
              </w:rPr>
            </w:pPr>
            <w:r w:rsidRPr="00BC0230">
              <w:rPr>
                <w:lang w:eastAsia="en-US"/>
              </w:rPr>
              <w:t>5</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Finance Sector Coordination</w:t>
            </w:r>
          </w:p>
        </w:tc>
        <w:tc>
          <w:tcPr>
            <w:tcW w:w="4785" w:type="dxa"/>
          </w:tcPr>
          <w:p w:rsidR="00391DA8" w:rsidRPr="00BC0230" w:rsidRDefault="00391DA8" w:rsidP="00391DA8">
            <w:pPr>
              <w:spacing w:before="240"/>
              <w:rPr>
                <w:lang w:eastAsia="en-US"/>
              </w:rPr>
            </w:pPr>
            <w:r w:rsidRPr="00BC0230">
              <w:rPr>
                <w:lang w:eastAsia="en-US"/>
              </w:rPr>
              <w:t>Improved coordination across the Finance Sector as evidenced by the number of Finance Sector Advisory Committee meetings held in FY 2011/12 (since last assessment)</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Minutes of meetings</w:t>
            </w:r>
          </w:p>
        </w:tc>
        <w:tc>
          <w:tcPr>
            <w:tcW w:w="1409" w:type="dxa"/>
          </w:tcPr>
          <w:p w:rsidR="00391DA8" w:rsidRPr="00BC0230" w:rsidRDefault="00391DA8" w:rsidP="00391DA8">
            <w:pPr>
              <w:spacing w:before="240"/>
              <w:rPr>
                <w:lang w:eastAsia="en-US"/>
              </w:rPr>
            </w:pPr>
            <w:r w:rsidRPr="00BC0230">
              <w:rPr>
                <w:lang w:eastAsia="en-US"/>
              </w:rPr>
              <w:t xml:space="preserve">CEO,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2</w:t>
            </w:r>
          </w:p>
        </w:tc>
        <w:tc>
          <w:tcPr>
            <w:tcW w:w="1116" w:type="dxa"/>
          </w:tcPr>
          <w:p w:rsidR="00391DA8" w:rsidRPr="00BC0230" w:rsidRDefault="00391DA8" w:rsidP="00391DA8">
            <w:pPr>
              <w:spacing w:before="240"/>
              <w:jc w:val="center"/>
              <w:rPr>
                <w:lang w:eastAsia="en-US"/>
              </w:rPr>
            </w:pPr>
            <w:r w:rsidRPr="00BC0230">
              <w:rPr>
                <w:lang w:eastAsia="en-US"/>
              </w:rPr>
              <w:t>2</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Pr>
          <w:p w:rsidR="00391DA8" w:rsidRPr="00BC0230" w:rsidRDefault="00391DA8" w:rsidP="00391DA8">
            <w:pPr>
              <w:spacing w:before="240"/>
              <w:rPr>
                <w:lang w:eastAsia="en-US"/>
              </w:rPr>
            </w:pPr>
            <w:r w:rsidRPr="00BC0230">
              <w:rPr>
                <w:lang w:eastAsia="en-US"/>
              </w:rPr>
              <w:t>Procurement Reform</w:t>
            </w:r>
          </w:p>
        </w:tc>
        <w:tc>
          <w:tcPr>
            <w:tcW w:w="4785" w:type="dxa"/>
          </w:tcPr>
          <w:p w:rsidR="00391DA8" w:rsidRPr="00BC0230" w:rsidRDefault="00391DA8" w:rsidP="00391DA8">
            <w:pPr>
              <w:spacing w:before="240"/>
              <w:rPr>
                <w:lang w:eastAsia="en-US"/>
              </w:rPr>
            </w:pPr>
            <w:r w:rsidRPr="00BC0230">
              <w:rPr>
                <w:lang w:eastAsia="en-US"/>
              </w:rPr>
              <w:t>Develop a credible action plan in response to procurement review findings</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Action plan, minutes of discussion in PFM Task Force or Finance Sector Coordination meeting</w:t>
            </w:r>
          </w:p>
        </w:tc>
        <w:tc>
          <w:tcPr>
            <w:tcW w:w="1409" w:type="dxa"/>
          </w:tcPr>
          <w:p w:rsidR="00391DA8" w:rsidRPr="00BC0230" w:rsidRDefault="00391DA8" w:rsidP="00391DA8">
            <w:pPr>
              <w:spacing w:before="240"/>
              <w:rPr>
                <w:lang w:eastAsia="en-US"/>
              </w:rPr>
            </w:pP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Pr>
          <w:p w:rsidR="00391DA8" w:rsidRPr="00BC0230" w:rsidRDefault="00391DA8" w:rsidP="00391DA8">
            <w:pPr>
              <w:spacing w:before="240"/>
              <w:rPr>
                <w:lang w:eastAsia="en-US"/>
              </w:rPr>
            </w:pPr>
            <w:r w:rsidRPr="00BC0230">
              <w:rPr>
                <w:lang w:eastAsia="en-US"/>
              </w:rPr>
              <w:t xml:space="preserve">Procurement systems </w:t>
            </w:r>
          </w:p>
        </w:tc>
        <w:tc>
          <w:tcPr>
            <w:tcW w:w="4785" w:type="dxa"/>
          </w:tcPr>
          <w:p w:rsidR="00391DA8" w:rsidRPr="00BC0230" w:rsidRDefault="00391DA8" w:rsidP="00391DA8">
            <w:pPr>
              <w:spacing w:before="240"/>
              <w:rPr>
                <w:lang w:eastAsia="en-US"/>
              </w:rPr>
            </w:pPr>
            <w:r w:rsidRPr="00BC0230">
              <w:rPr>
                <w:lang w:eastAsia="en-US"/>
              </w:rPr>
              <w:t xml:space="preserve">Publication of information on tenders awards over 500,000SAT and standard templates for service tenders on </w:t>
            </w:r>
            <w:proofErr w:type="spellStart"/>
            <w:r w:rsidRPr="00BC0230">
              <w:rPr>
                <w:lang w:eastAsia="en-US"/>
              </w:rPr>
              <w:t>MoF</w:t>
            </w:r>
            <w:proofErr w:type="spellEnd"/>
            <w:r w:rsidRPr="00BC0230">
              <w:rPr>
                <w:lang w:eastAsia="en-US"/>
              </w:rPr>
              <w:t xml:space="preserve"> web site</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Web site print out</w:t>
            </w:r>
          </w:p>
        </w:tc>
        <w:tc>
          <w:tcPr>
            <w:tcW w:w="1409" w:type="dxa"/>
          </w:tcPr>
          <w:p w:rsidR="00391DA8" w:rsidRPr="00BC0230" w:rsidRDefault="00391DA8" w:rsidP="00391DA8">
            <w:pPr>
              <w:spacing w:before="240"/>
              <w:rPr>
                <w:lang w:eastAsia="en-US"/>
              </w:rPr>
            </w:pPr>
            <w:r w:rsidRPr="00BC0230">
              <w:rPr>
                <w:lang w:eastAsia="en-US"/>
              </w:rPr>
              <w:t xml:space="preserve">Procurement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lastRenderedPageBreak/>
              <w:t xml:space="preserve">Debt Management Unit </w:t>
            </w:r>
          </w:p>
        </w:tc>
        <w:tc>
          <w:tcPr>
            <w:tcW w:w="4785" w:type="dxa"/>
          </w:tcPr>
          <w:p w:rsidR="00391DA8" w:rsidRPr="00BC0230" w:rsidRDefault="00391DA8" w:rsidP="00391DA8">
            <w:pPr>
              <w:spacing w:before="240"/>
              <w:rPr>
                <w:lang w:eastAsia="en-US"/>
              </w:rPr>
            </w:pPr>
            <w:r w:rsidRPr="00BC0230">
              <w:rPr>
                <w:lang w:eastAsia="en-US"/>
              </w:rPr>
              <w:t>Debt Management Unit established and MTDMS reviewed with new targets agreed for 2012/13</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Contracts for staff. Fiscal strategy with inputs on debt strategy/ performance</w:t>
            </w:r>
          </w:p>
        </w:tc>
        <w:tc>
          <w:tcPr>
            <w:tcW w:w="1409" w:type="dxa"/>
          </w:tcPr>
          <w:p w:rsidR="00391DA8" w:rsidRPr="00BC0230" w:rsidRDefault="00391DA8" w:rsidP="00391DA8">
            <w:pPr>
              <w:spacing w:before="240"/>
              <w:rPr>
                <w:lang w:eastAsia="en-US"/>
              </w:rPr>
            </w:pPr>
            <w:r w:rsidRPr="00BC0230">
              <w:rPr>
                <w:lang w:eastAsia="en-US"/>
              </w:rPr>
              <w:t xml:space="preserve">Aid,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Strategic Plan for Internal Audit</w:t>
            </w:r>
          </w:p>
        </w:tc>
        <w:tc>
          <w:tcPr>
            <w:tcW w:w="4785" w:type="dxa"/>
          </w:tcPr>
          <w:p w:rsidR="00391DA8" w:rsidRPr="00BC0230" w:rsidRDefault="00391DA8" w:rsidP="00391DA8">
            <w:pPr>
              <w:spacing w:before="240"/>
              <w:rPr>
                <w:lang w:eastAsia="en-US"/>
              </w:rPr>
            </w:pPr>
            <w:r w:rsidRPr="00BC0230">
              <w:rPr>
                <w:lang w:eastAsia="en-US"/>
              </w:rPr>
              <w:t>Strategic Plan for Internal audit across Government completed and submitted for consideration</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Documentary evidence of submission to cabinet</w:t>
            </w:r>
          </w:p>
        </w:tc>
        <w:tc>
          <w:tcPr>
            <w:tcW w:w="1409" w:type="dxa"/>
          </w:tcPr>
          <w:p w:rsidR="00391DA8" w:rsidRPr="00BC0230" w:rsidRDefault="00391DA8" w:rsidP="00391DA8">
            <w:pPr>
              <w:spacing w:before="240"/>
              <w:rPr>
                <w:lang w:eastAsia="en-US"/>
              </w:rPr>
            </w:pPr>
            <w:r w:rsidRPr="00BC0230">
              <w:rPr>
                <w:lang w:eastAsia="en-US"/>
              </w:rPr>
              <w:t xml:space="preserve">Internal Audit,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Budget Planning Committee</w:t>
            </w:r>
          </w:p>
        </w:tc>
        <w:tc>
          <w:tcPr>
            <w:tcW w:w="4785" w:type="dxa"/>
          </w:tcPr>
          <w:p w:rsidR="00391DA8" w:rsidRPr="00BC0230" w:rsidRDefault="00391DA8" w:rsidP="00391DA8">
            <w:pPr>
              <w:spacing w:before="240"/>
              <w:rPr>
                <w:lang w:eastAsia="en-US"/>
              </w:rPr>
            </w:pPr>
            <w:bookmarkStart w:id="40" w:name="OLE_LINK3"/>
            <w:r w:rsidRPr="00BC0230">
              <w:rPr>
                <w:lang w:eastAsia="en-US"/>
              </w:rPr>
              <w:t>Budget Cycle adhered to and links with planning strengthened as evidenced by Budget Planning Committee meetings taking place at least quarterly in FY 2011/12. (Number of meetings) (since last assessment)</w:t>
            </w:r>
            <w:bookmarkEnd w:id="40"/>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Minutes of meetings</w:t>
            </w:r>
          </w:p>
        </w:tc>
        <w:tc>
          <w:tcPr>
            <w:tcW w:w="1409" w:type="dxa"/>
          </w:tcPr>
          <w:p w:rsidR="00391DA8" w:rsidRPr="00BC0230" w:rsidRDefault="00391DA8" w:rsidP="00391DA8">
            <w:pPr>
              <w:spacing w:before="240"/>
              <w:rPr>
                <w:lang w:eastAsia="en-US"/>
              </w:rPr>
            </w:pPr>
            <w:r w:rsidRPr="00BC0230">
              <w:rPr>
                <w:lang w:eastAsia="en-US"/>
              </w:rPr>
              <w:t xml:space="preserve">EPPD, Budget &amp; Aid -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1</w:t>
            </w:r>
          </w:p>
        </w:tc>
        <w:tc>
          <w:tcPr>
            <w:tcW w:w="1116" w:type="dxa"/>
          </w:tcPr>
          <w:p w:rsidR="00391DA8" w:rsidRPr="00BC0230" w:rsidRDefault="00391DA8" w:rsidP="00391DA8">
            <w:pPr>
              <w:spacing w:before="240"/>
              <w:jc w:val="center"/>
              <w:rPr>
                <w:lang w:eastAsia="en-US"/>
              </w:rPr>
            </w:pPr>
            <w:r w:rsidRPr="00BC0230">
              <w:rPr>
                <w:lang w:eastAsia="en-US"/>
              </w:rPr>
              <w:t>1</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Pr>
          <w:p w:rsidR="00391DA8" w:rsidRPr="00BC0230" w:rsidRDefault="00391DA8" w:rsidP="00391DA8">
            <w:pPr>
              <w:spacing w:before="240"/>
              <w:rPr>
                <w:lang w:eastAsia="en-US"/>
              </w:rPr>
            </w:pPr>
            <w:r w:rsidRPr="00BC0230">
              <w:rPr>
                <w:lang w:eastAsia="en-US"/>
              </w:rPr>
              <w:t>Budget review</w:t>
            </w:r>
          </w:p>
        </w:tc>
        <w:tc>
          <w:tcPr>
            <w:tcW w:w="4785" w:type="dxa"/>
          </w:tcPr>
          <w:p w:rsidR="00391DA8" w:rsidRPr="00BC0230" w:rsidRDefault="00391DA8" w:rsidP="00391DA8">
            <w:pPr>
              <w:spacing w:before="240"/>
              <w:rPr>
                <w:lang w:eastAsia="en-US"/>
              </w:rPr>
            </w:pPr>
            <w:proofErr w:type="spellStart"/>
            <w:r w:rsidRPr="00BC0230">
              <w:rPr>
                <w:lang w:eastAsia="en-US"/>
              </w:rPr>
              <w:t>Mid term</w:t>
            </w:r>
            <w:proofErr w:type="spellEnd"/>
            <w:r w:rsidRPr="00BC0230">
              <w:rPr>
                <w:lang w:eastAsia="en-US"/>
              </w:rPr>
              <w:t xml:space="preserve"> review of 2011-12 budget and performance framework publically released</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Publically available review report</w:t>
            </w:r>
          </w:p>
        </w:tc>
        <w:tc>
          <w:tcPr>
            <w:tcW w:w="1409" w:type="dxa"/>
          </w:tcPr>
          <w:p w:rsidR="00391DA8" w:rsidRPr="00BC0230" w:rsidRDefault="00391DA8" w:rsidP="00391DA8">
            <w:pPr>
              <w:spacing w:before="240"/>
              <w:rPr>
                <w:lang w:eastAsia="en-US"/>
              </w:rPr>
            </w:pPr>
            <w:r w:rsidRPr="00BC0230">
              <w:rPr>
                <w:lang w:eastAsia="en-US"/>
              </w:rPr>
              <w:t>EPPD, Budget</w:t>
            </w:r>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Pr>
          <w:p w:rsidR="00391DA8" w:rsidRPr="00BC0230" w:rsidRDefault="00391DA8" w:rsidP="00391DA8">
            <w:pPr>
              <w:spacing w:before="240"/>
              <w:rPr>
                <w:lang w:eastAsia="en-US"/>
              </w:rPr>
            </w:pPr>
            <w:r w:rsidRPr="00BC0230">
              <w:rPr>
                <w:lang w:eastAsia="en-US"/>
              </w:rPr>
              <w:t>Budget cycle</w:t>
            </w:r>
          </w:p>
        </w:tc>
        <w:tc>
          <w:tcPr>
            <w:tcW w:w="4785" w:type="dxa"/>
          </w:tcPr>
          <w:p w:rsidR="00391DA8" w:rsidRPr="00BC0230" w:rsidRDefault="00391DA8" w:rsidP="00391DA8">
            <w:pPr>
              <w:spacing w:before="240"/>
              <w:rPr>
                <w:lang w:eastAsia="en-US"/>
              </w:rPr>
            </w:pPr>
            <w:r w:rsidRPr="00BC0230">
              <w:rPr>
                <w:lang w:eastAsia="en-US"/>
              </w:rPr>
              <w:t>Adherence to budget cycle for the budget preparation process in preparing 2012/12 budget</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Copies of budget circulars</w:t>
            </w:r>
          </w:p>
        </w:tc>
        <w:tc>
          <w:tcPr>
            <w:tcW w:w="1409" w:type="dxa"/>
          </w:tcPr>
          <w:p w:rsidR="00391DA8" w:rsidRPr="00BC0230" w:rsidRDefault="00391DA8" w:rsidP="00391DA8">
            <w:pPr>
              <w:spacing w:before="240"/>
              <w:rPr>
                <w:lang w:eastAsia="en-US"/>
              </w:rPr>
            </w:pPr>
            <w:r w:rsidRPr="00BC0230">
              <w:rPr>
                <w:lang w:eastAsia="en-US"/>
              </w:rPr>
              <w:t xml:space="preserve">Budget, </w:t>
            </w: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rPr>
          <w:trHeight w:val="861"/>
        </w:trPr>
        <w:tc>
          <w:tcPr>
            <w:tcW w:w="1980" w:type="dxa"/>
          </w:tcPr>
          <w:p w:rsidR="00391DA8" w:rsidRPr="00BC0230" w:rsidRDefault="00391DA8" w:rsidP="00391DA8">
            <w:pPr>
              <w:spacing w:before="240"/>
              <w:rPr>
                <w:lang w:eastAsia="en-US"/>
              </w:rPr>
            </w:pPr>
            <w:r w:rsidRPr="00BC0230">
              <w:rPr>
                <w:lang w:eastAsia="en-US"/>
              </w:rPr>
              <w:t>Communication strategy</w:t>
            </w:r>
          </w:p>
        </w:tc>
        <w:tc>
          <w:tcPr>
            <w:tcW w:w="4785" w:type="dxa"/>
          </w:tcPr>
          <w:p w:rsidR="00391DA8" w:rsidRPr="00BC0230" w:rsidRDefault="00391DA8" w:rsidP="00391DA8">
            <w:pPr>
              <w:spacing w:before="240"/>
              <w:rPr>
                <w:lang w:eastAsia="en-US"/>
              </w:rPr>
            </w:pPr>
            <w:r w:rsidRPr="00BC0230">
              <w:rPr>
                <w:lang w:eastAsia="en-US"/>
              </w:rPr>
              <w:t>Communication/ engagement strategy for private sector and civil society prepared</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Evidence of submission of strategy to Cabinet</w:t>
            </w:r>
          </w:p>
        </w:tc>
        <w:tc>
          <w:tcPr>
            <w:tcW w:w="1409" w:type="dxa"/>
          </w:tcPr>
          <w:p w:rsidR="00391DA8" w:rsidRPr="00BC0230" w:rsidRDefault="00391DA8" w:rsidP="00391DA8">
            <w:pPr>
              <w:spacing w:before="240"/>
              <w:rPr>
                <w:lang w:eastAsia="en-US"/>
              </w:rPr>
            </w:pPr>
            <w:proofErr w:type="spellStart"/>
            <w:r w:rsidRPr="00BC0230">
              <w:rPr>
                <w:lang w:eastAsia="en-US"/>
              </w:rPr>
              <w:t>MoF</w:t>
            </w:r>
            <w:proofErr w:type="spellEnd"/>
          </w:p>
        </w:tc>
        <w:tc>
          <w:tcPr>
            <w:tcW w:w="1136" w:type="dxa"/>
          </w:tcPr>
          <w:p w:rsidR="00391DA8" w:rsidRPr="00BC0230" w:rsidRDefault="00391DA8" w:rsidP="00391DA8">
            <w:pPr>
              <w:spacing w:before="240"/>
              <w:jc w:val="center"/>
              <w:rPr>
                <w:lang w:eastAsia="en-US"/>
              </w:rPr>
            </w:pPr>
            <w:r w:rsidRPr="00BC0230">
              <w:rPr>
                <w:lang w:eastAsia="en-US"/>
              </w:rPr>
              <w:t>4</w:t>
            </w:r>
          </w:p>
        </w:tc>
        <w:tc>
          <w:tcPr>
            <w:tcW w:w="1116" w:type="dxa"/>
          </w:tcPr>
          <w:p w:rsidR="00391DA8" w:rsidRPr="00BC0230" w:rsidRDefault="00391DA8" w:rsidP="00391DA8">
            <w:pPr>
              <w:spacing w:before="240"/>
              <w:jc w:val="center"/>
              <w:rPr>
                <w:lang w:eastAsia="en-US"/>
              </w:rPr>
            </w:pPr>
            <w:r w:rsidRPr="00BC0230">
              <w:rPr>
                <w:lang w:eastAsia="en-US"/>
              </w:rPr>
              <w:t>4</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Inland Revenue Customer Survey</w:t>
            </w:r>
          </w:p>
        </w:tc>
        <w:tc>
          <w:tcPr>
            <w:tcW w:w="4785" w:type="dxa"/>
          </w:tcPr>
          <w:p w:rsidR="00391DA8" w:rsidRPr="00BC0230" w:rsidRDefault="00391DA8" w:rsidP="00391DA8">
            <w:pPr>
              <w:spacing w:before="240"/>
              <w:rPr>
                <w:lang w:eastAsia="en-US"/>
              </w:rPr>
            </w:pPr>
            <w:r w:rsidRPr="00BC0230">
              <w:rPr>
                <w:lang w:eastAsia="en-US"/>
              </w:rPr>
              <w:t xml:space="preserve">Customer satisfaction survey completed by </w:t>
            </w:r>
            <w:proofErr w:type="spellStart"/>
            <w:r w:rsidRPr="00BC0230">
              <w:rPr>
                <w:lang w:eastAsia="en-US"/>
              </w:rPr>
              <w:t>MfR</w:t>
            </w:r>
            <w:proofErr w:type="spellEnd"/>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Customer Survey Report</w:t>
            </w:r>
          </w:p>
        </w:tc>
        <w:tc>
          <w:tcPr>
            <w:tcW w:w="1409" w:type="dxa"/>
          </w:tcPr>
          <w:p w:rsidR="00391DA8" w:rsidRPr="00BC0230" w:rsidRDefault="00391DA8" w:rsidP="00391DA8">
            <w:pPr>
              <w:spacing w:before="240"/>
              <w:rPr>
                <w:lang w:eastAsia="en-US"/>
              </w:rPr>
            </w:pPr>
            <w:proofErr w:type="spellStart"/>
            <w:r w:rsidRPr="00BC0230">
              <w:rPr>
                <w:lang w:eastAsia="en-US"/>
              </w:rPr>
              <w:t>MfR</w:t>
            </w:r>
            <w:proofErr w:type="spellEnd"/>
          </w:p>
        </w:tc>
        <w:tc>
          <w:tcPr>
            <w:tcW w:w="1136" w:type="dxa"/>
          </w:tcPr>
          <w:p w:rsidR="00391DA8" w:rsidRPr="00BC0230" w:rsidRDefault="00391DA8" w:rsidP="00391DA8">
            <w:pPr>
              <w:spacing w:before="240"/>
              <w:jc w:val="center"/>
              <w:rPr>
                <w:lang w:eastAsia="en-US"/>
              </w:rPr>
            </w:pPr>
            <w:r w:rsidRPr="00BC0230">
              <w:rPr>
                <w:lang w:eastAsia="en-US"/>
              </w:rPr>
              <w:t>2</w:t>
            </w:r>
          </w:p>
        </w:tc>
        <w:tc>
          <w:tcPr>
            <w:tcW w:w="1116" w:type="dxa"/>
          </w:tcPr>
          <w:p w:rsidR="00391DA8" w:rsidRPr="00BC0230" w:rsidRDefault="00391DA8" w:rsidP="00391DA8">
            <w:pPr>
              <w:spacing w:before="240"/>
              <w:jc w:val="center"/>
              <w:rPr>
                <w:lang w:eastAsia="en-US"/>
              </w:rPr>
            </w:pPr>
            <w:r w:rsidRPr="00BC0230">
              <w:rPr>
                <w:lang w:eastAsia="en-US"/>
              </w:rPr>
              <w:t>2</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Inland Revenue Tax Arrears</w:t>
            </w:r>
          </w:p>
        </w:tc>
        <w:tc>
          <w:tcPr>
            <w:tcW w:w="4785" w:type="dxa"/>
          </w:tcPr>
          <w:p w:rsidR="00391DA8" w:rsidRPr="00BC0230" w:rsidRDefault="00391DA8" w:rsidP="00391DA8">
            <w:pPr>
              <w:spacing w:before="240"/>
              <w:rPr>
                <w:lang w:eastAsia="en-US"/>
              </w:rPr>
            </w:pPr>
            <w:r w:rsidRPr="00BC0230">
              <w:rPr>
                <w:lang w:eastAsia="en-US"/>
              </w:rPr>
              <w:t>A tax arrears report will be prepared</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Exec summary of tax arrears report submitted to Revenue Board</w:t>
            </w:r>
          </w:p>
        </w:tc>
        <w:tc>
          <w:tcPr>
            <w:tcW w:w="1409" w:type="dxa"/>
          </w:tcPr>
          <w:p w:rsidR="00391DA8" w:rsidRPr="00BC0230" w:rsidRDefault="00391DA8" w:rsidP="00391DA8">
            <w:pPr>
              <w:spacing w:before="240"/>
              <w:rPr>
                <w:lang w:eastAsia="en-US"/>
              </w:rPr>
            </w:pPr>
            <w:proofErr w:type="spellStart"/>
            <w:r w:rsidRPr="00BC0230">
              <w:rPr>
                <w:lang w:eastAsia="en-US"/>
              </w:rPr>
              <w:t>MfR</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t xml:space="preserve">Inland Revenue </w:t>
            </w:r>
            <w:r w:rsidRPr="00BC0230">
              <w:rPr>
                <w:lang w:eastAsia="en-US"/>
              </w:rPr>
              <w:lastRenderedPageBreak/>
              <w:t>Database</w:t>
            </w:r>
          </w:p>
        </w:tc>
        <w:tc>
          <w:tcPr>
            <w:tcW w:w="4785" w:type="dxa"/>
          </w:tcPr>
          <w:p w:rsidR="00391DA8" w:rsidRPr="00BC0230" w:rsidRDefault="00391DA8" w:rsidP="00391DA8">
            <w:pPr>
              <w:spacing w:before="240"/>
              <w:rPr>
                <w:lang w:eastAsia="en-US"/>
              </w:rPr>
            </w:pPr>
            <w:r w:rsidRPr="00BC0230">
              <w:rPr>
                <w:lang w:eastAsia="en-US"/>
              </w:rPr>
              <w:lastRenderedPageBreak/>
              <w:t xml:space="preserve">The RMS Inland Revenue Database upgrade </w:t>
            </w:r>
            <w:r w:rsidRPr="00BC0230">
              <w:rPr>
                <w:lang w:eastAsia="en-US"/>
              </w:rPr>
              <w:lastRenderedPageBreak/>
              <w:t>completed</w:t>
            </w:r>
          </w:p>
        </w:tc>
        <w:tc>
          <w:tcPr>
            <w:tcW w:w="1440" w:type="dxa"/>
          </w:tcPr>
          <w:p w:rsidR="00391DA8" w:rsidRPr="00BC0230" w:rsidRDefault="00391DA8" w:rsidP="00391DA8">
            <w:pPr>
              <w:spacing w:before="240"/>
              <w:jc w:val="center"/>
              <w:rPr>
                <w:lang w:eastAsia="en-US"/>
              </w:rPr>
            </w:pPr>
            <w:r w:rsidRPr="00BC0230">
              <w:rPr>
                <w:lang w:eastAsia="en-US"/>
              </w:rPr>
              <w:lastRenderedPageBreak/>
              <w:t>1</w:t>
            </w:r>
          </w:p>
        </w:tc>
        <w:tc>
          <w:tcPr>
            <w:tcW w:w="3060" w:type="dxa"/>
          </w:tcPr>
          <w:p w:rsidR="00391DA8" w:rsidRPr="00BC0230" w:rsidRDefault="00391DA8" w:rsidP="00391DA8">
            <w:pPr>
              <w:spacing w:before="240"/>
              <w:rPr>
                <w:lang w:eastAsia="en-US"/>
              </w:rPr>
            </w:pPr>
            <w:r w:rsidRPr="00BC0230">
              <w:rPr>
                <w:lang w:eastAsia="en-US"/>
              </w:rPr>
              <w:t xml:space="preserve">Completion Report on </w:t>
            </w:r>
            <w:r w:rsidRPr="00BC0230">
              <w:rPr>
                <w:lang w:eastAsia="en-US"/>
              </w:rPr>
              <w:lastRenderedPageBreak/>
              <w:t>database Upgrade</w:t>
            </w:r>
          </w:p>
        </w:tc>
        <w:tc>
          <w:tcPr>
            <w:tcW w:w="1409" w:type="dxa"/>
          </w:tcPr>
          <w:p w:rsidR="00391DA8" w:rsidRPr="00BC0230" w:rsidRDefault="00391DA8" w:rsidP="00391DA8">
            <w:pPr>
              <w:spacing w:before="240"/>
              <w:rPr>
                <w:lang w:eastAsia="en-US"/>
              </w:rPr>
            </w:pPr>
            <w:proofErr w:type="spellStart"/>
            <w:r w:rsidRPr="00BC0230">
              <w:rPr>
                <w:lang w:eastAsia="en-US"/>
              </w:rPr>
              <w:lastRenderedPageBreak/>
              <w:t>MfR</w:t>
            </w:r>
            <w:proofErr w:type="spellEnd"/>
          </w:p>
        </w:tc>
        <w:tc>
          <w:tcPr>
            <w:tcW w:w="1136" w:type="dxa"/>
          </w:tcPr>
          <w:p w:rsidR="00391DA8" w:rsidRPr="00BC0230" w:rsidRDefault="00391DA8" w:rsidP="00391DA8">
            <w:pPr>
              <w:spacing w:before="240"/>
              <w:jc w:val="center"/>
              <w:rPr>
                <w:lang w:eastAsia="en-US"/>
              </w:rPr>
            </w:pPr>
            <w:r w:rsidRPr="00BC0230">
              <w:rPr>
                <w:lang w:eastAsia="en-US"/>
              </w:rPr>
              <w:t>3</w:t>
            </w:r>
          </w:p>
        </w:tc>
        <w:tc>
          <w:tcPr>
            <w:tcW w:w="1116" w:type="dxa"/>
          </w:tcPr>
          <w:p w:rsidR="00391DA8" w:rsidRPr="00BC0230" w:rsidRDefault="00391DA8" w:rsidP="00391DA8">
            <w:pPr>
              <w:spacing w:before="240"/>
              <w:jc w:val="center"/>
              <w:rPr>
                <w:lang w:eastAsia="en-US"/>
              </w:rPr>
            </w:pPr>
            <w:r w:rsidRPr="00BC0230">
              <w:rPr>
                <w:lang w:eastAsia="en-US"/>
              </w:rPr>
              <w:t>3</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391DA8" w:rsidRPr="00BC0230" w:rsidRDefault="00391DA8" w:rsidP="00391DA8">
            <w:pPr>
              <w:spacing w:before="240"/>
              <w:rPr>
                <w:lang w:eastAsia="en-US"/>
              </w:rPr>
            </w:pPr>
            <w:r w:rsidRPr="00BC0230">
              <w:rPr>
                <w:lang w:eastAsia="en-US"/>
              </w:rPr>
              <w:lastRenderedPageBreak/>
              <w:t>Tax legislation</w:t>
            </w:r>
          </w:p>
        </w:tc>
        <w:tc>
          <w:tcPr>
            <w:tcW w:w="4785" w:type="dxa"/>
          </w:tcPr>
          <w:p w:rsidR="00391DA8" w:rsidRPr="00BC0230" w:rsidRDefault="00391DA8" w:rsidP="00391DA8">
            <w:pPr>
              <w:spacing w:before="240"/>
              <w:rPr>
                <w:lang w:eastAsia="en-US"/>
              </w:rPr>
            </w:pPr>
            <w:r w:rsidRPr="00BC0230">
              <w:rPr>
                <w:lang w:eastAsia="en-US"/>
              </w:rPr>
              <w:t xml:space="preserve">The legislative framework (Income Tax Act 1974 &amp; Income Tax Administration Act 1974) for Inland Revenue Service will be reviewed to modernize language and style and introduce </w:t>
            </w:r>
            <w:proofErr w:type="spellStart"/>
            <w:r w:rsidRPr="00BC0230">
              <w:rPr>
                <w:lang w:eastAsia="en-US"/>
              </w:rPr>
              <w:t>self assessment</w:t>
            </w:r>
            <w:proofErr w:type="spellEnd"/>
            <w:r w:rsidRPr="00BC0230">
              <w:rPr>
                <w:lang w:eastAsia="en-US"/>
              </w:rPr>
              <w:t xml:space="preserve"> for Income Tax</w:t>
            </w:r>
          </w:p>
        </w:tc>
        <w:tc>
          <w:tcPr>
            <w:tcW w:w="1440" w:type="dxa"/>
          </w:tcPr>
          <w:p w:rsidR="00391DA8" w:rsidRPr="00BC0230" w:rsidRDefault="00391DA8" w:rsidP="00391DA8">
            <w:pPr>
              <w:spacing w:before="240"/>
              <w:jc w:val="center"/>
              <w:rPr>
                <w:lang w:eastAsia="en-US"/>
              </w:rPr>
            </w:pPr>
            <w:r w:rsidRPr="00BC0230">
              <w:rPr>
                <w:lang w:eastAsia="en-US"/>
              </w:rPr>
              <w:t>1</w:t>
            </w:r>
          </w:p>
        </w:tc>
        <w:tc>
          <w:tcPr>
            <w:tcW w:w="3060" w:type="dxa"/>
          </w:tcPr>
          <w:p w:rsidR="00391DA8" w:rsidRPr="00BC0230" w:rsidRDefault="00391DA8" w:rsidP="00391DA8">
            <w:pPr>
              <w:spacing w:before="240"/>
              <w:rPr>
                <w:lang w:eastAsia="en-US"/>
              </w:rPr>
            </w:pPr>
            <w:r w:rsidRPr="00BC0230">
              <w:rPr>
                <w:lang w:eastAsia="en-US"/>
              </w:rPr>
              <w:t>Report on review with proposed amendments</w:t>
            </w:r>
          </w:p>
        </w:tc>
        <w:tc>
          <w:tcPr>
            <w:tcW w:w="1409" w:type="dxa"/>
          </w:tcPr>
          <w:p w:rsidR="00391DA8" w:rsidRPr="00BC0230" w:rsidRDefault="00391DA8" w:rsidP="00391DA8">
            <w:pPr>
              <w:spacing w:before="240"/>
              <w:rPr>
                <w:lang w:eastAsia="en-US"/>
              </w:rPr>
            </w:pPr>
            <w:proofErr w:type="spellStart"/>
            <w:r w:rsidRPr="00BC0230">
              <w:rPr>
                <w:lang w:eastAsia="en-US"/>
              </w:rPr>
              <w:t>MfR</w:t>
            </w:r>
            <w:proofErr w:type="spellEnd"/>
          </w:p>
        </w:tc>
        <w:tc>
          <w:tcPr>
            <w:tcW w:w="1136" w:type="dxa"/>
          </w:tcPr>
          <w:p w:rsidR="00391DA8" w:rsidRPr="00BC0230" w:rsidRDefault="00391DA8" w:rsidP="00391DA8">
            <w:pPr>
              <w:spacing w:before="240"/>
              <w:jc w:val="center"/>
              <w:rPr>
                <w:lang w:eastAsia="en-US"/>
              </w:rPr>
            </w:pPr>
            <w:r w:rsidRPr="00BC0230">
              <w:rPr>
                <w:lang w:eastAsia="en-US"/>
              </w:rPr>
              <w:t>4</w:t>
            </w:r>
          </w:p>
        </w:tc>
        <w:tc>
          <w:tcPr>
            <w:tcW w:w="1116" w:type="dxa"/>
          </w:tcPr>
          <w:p w:rsidR="00391DA8" w:rsidRPr="00BC0230" w:rsidRDefault="00391DA8" w:rsidP="00391DA8">
            <w:pPr>
              <w:spacing w:before="240"/>
              <w:jc w:val="center"/>
              <w:rPr>
                <w:lang w:eastAsia="en-US"/>
              </w:rPr>
            </w:pPr>
            <w:r w:rsidRPr="00BC0230">
              <w:rPr>
                <w:lang w:eastAsia="en-US"/>
              </w:rPr>
              <w:t>4</w:t>
            </w:r>
          </w:p>
        </w:tc>
      </w:tr>
      <w:tr w:rsidR="00391DA8"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0" w:type="dxa"/>
            <w:gridSpan w:val="6"/>
            <w:shd w:val="clear" w:color="auto" w:fill="D9D9D9"/>
            <w:vAlign w:val="center"/>
          </w:tcPr>
          <w:p w:rsidR="00391DA8" w:rsidRPr="00BC0230" w:rsidRDefault="00391DA8" w:rsidP="00391DA8">
            <w:pPr>
              <w:spacing w:before="240"/>
              <w:rPr>
                <w:b/>
                <w:lang w:eastAsia="en-US"/>
              </w:rPr>
            </w:pPr>
            <w:r w:rsidRPr="00BC0230">
              <w:rPr>
                <w:b/>
                <w:lang w:eastAsia="en-US"/>
              </w:rPr>
              <w:t>Max. Possible Score</w:t>
            </w:r>
          </w:p>
        </w:tc>
        <w:tc>
          <w:tcPr>
            <w:tcW w:w="1116" w:type="dxa"/>
            <w:shd w:val="clear" w:color="auto" w:fill="D9D9D9"/>
          </w:tcPr>
          <w:p w:rsidR="00391DA8" w:rsidRPr="00BC0230" w:rsidRDefault="00391DA8" w:rsidP="00391DA8">
            <w:pPr>
              <w:spacing w:before="240"/>
              <w:jc w:val="center"/>
              <w:rPr>
                <w:b/>
                <w:lang w:eastAsia="en-US"/>
              </w:rPr>
            </w:pPr>
            <w:r w:rsidRPr="00BC0230">
              <w:rPr>
                <w:b/>
                <w:lang w:eastAsia="en-US"/>
              </w:rPr>
              <w:t>97</w:t>
            </w:r>
          </w:p>
        </w:tc>
      </w:tr>
    </w:tbl>
    <w:p w:rsidR="00391DA8" w:rsidRPr="00BC0230" w:rsidRDefault="00391DA8" w:rsidP="00391DA8">
      <w:pPr>
        <w:spacing w:before="240"/>
        <w:rPr>
          <w:b/>
          <w:lang w:eastAsia="en-US"/>
        </w:rPr>
      </w:pPr>
    </w:p>
    <w:p w:rsidR="00391DA8" w:rsidRPr="00BC0230" w:rsidRDefault="00391DA8" w:rsidP="00E35B36">
      <w:pPr>
        <w:spacing w:before="120"/>
      </w:pPr>
    </w:p>
    <w:p w:rsidR="00056737" w:rsidRPr="00BC0230" w:rsidRDefault="00056737" w:rsidP="00E35B36">
      <w:pPr>
        <w:spacing w:before="120"/>
        <w:sectPr w:rsidR="00056737" w:rsidRPr="00BC0230" w:rsidSect="00391DA8">
          <w:pgSz w:w="16838" w:h="11906" w:orient="landscape"/>
          <w:pgMar w:top="1440" w:right="1440" w:bottom="1440" w:left="1440" w:header="720" w:footer="720" w:gutter="0"/>
          <w:cols w:space="720"/>
          <w:docGrid w:linePitch="360"/>
        </w:sectPr>
      </w:pPr>
    </w:p>
    <w:p w:rsidR="00391DA8" w:rsidRPr="00BC0230" w:rsidRDefault="00056737" w:rsidP="00056737">
      <w:pPr>
        <w:pStyle w:val="Heading1"/>
        <w:numPr>
          <w:ilvl w:val="0"/>
          <w:numId w:val="0"/>
        </w:numPr>
        <w:ind w:left="432"/>
      </w:pPr>
      <w:bookmarkStart w:id="41" w:name="_Toc322921249"/>
      <w:r w:rsidRPr="00BC0230">
        <w:lastRenderedPageBreak/>
        <w:t>Annex 3 Terms of Reference</w:t>
      </w:r>
      <w:bookmarkEnd w:id="41"/>
    </w:p>
    <w:p w:rsidR="00BF0E16" w:rsidRPr="00BC0230" w:rsidRDefault="00BF0E16" w:rsidP="00056737">
      <w:pPr>
        <w:spacing w:before="120"/>
        <w:rPr>
          <w:rFonts w:ascii="Calibri" w:hAnsi="Calibri"/>
          <w:b/>
        </w:rPr>
      </w:pPr>
    </w:p>
    <w:p w:rsidR="00056737" w:rsidRPr="00BC0230" w:rsidRDefault="00056737" w:rsidP="00056737">
      <w:pPr>
        <w:spacing w:before="120"/>
        <w:rPr>
          <w:rFonts w:ascii="Calibri" w:hAnsi="Calibri"/>
          <w:b/>
        </w:rPr>
      </w:pPr>
      <w:r w:rsidRPr="00BC0230">
        <w:rPr>
          <w:rFonts w:ascii="Calibri" w:hAnsi="Calibri"/>
          <w:b/>
        </w:rPr>
        <w:t>Objective</w:t>
      </w:r>
    </w:p>
    <w:p w:rsidR="00BF0E16" w:rsidRPr="00BC0230" w:rsidRDefault="00BF0E16" w:rsidP="00056737">
      <w:pPr>
        <w:rPr>
          <w:rFonts w:ascii="Calibri" w:hAnsi="Calibri"/>
        </w:rPr>
      </w:pPr>
    </w:p>
    <w:p w:rsidR="00056737" w:rsidRPr="00BC0230" w:rsidRDefault="00056737" w:rsidP="00056737">
      <w:pPr>
        <w:rPr>
          <w:rFonts w:ascii="Calibri" w:hAnsi="Calibri"/>
        </w:rPr>
      </w:pPr>
      <w:r w:rsidRPr="00BC0230">
        <w:rPr>
          <w:rFonts w:ascii="Calibri" w:hAnsi="Calibri"/>
        </w:rPr>
        <w:t>To assess progress made under the Incentivising Public Financial Management Reform in Samoa program and to assess the programs ongoing effectiveness.</w:t>
      </w:r>
    </w:p>
    <w:p w:rsidR="00056737" w:rsidRPr="00BC0230" w:rsidRDefault="00056737" w:rsidP="00056737">
      <w:pPr>
        <w:rPr>
          <w:rFonts w:ascii="Calibri" w:hAnsi="Calibri"/>
        </w:rPr>
      </w:pPr>
    </w:p>
    <w:p w:rsidR="00056737" w:rsidRPr="00BC0230" w:rsidRDefault="00056737" w:rsidP="00056737">
      <w:pPr>
        <w:rPr>
          <w:rFonts w:ascii="Calibri" w:hAnsi="Calibri"/>
          <w:b/>
        </w:rPr>
      </w:pPr>
      <w:r w:rsidRPr="00BC0230">
        <w:rPr>
          <w:rFonts w:ascii="Calibri" w:hAnsi="Calibri"/>
          <w:b/>
        </w:rPr>
        <w:t xml:space="preserve">Scope of </w:t>
      </w:r>
      <w:smartTag w:uri="urn:schemas-microsoft-com:office:smarttags" w:element="City">
        <w:smartTag w:uri="urn:schemas-microsoft-com:office:smarttags" w:element="place">
          <w:r w:rsidRPr="00BC0230">
            <w:rPr>
              <w:rFonts w:ascii="Calibri" w:hAnsi="Calibri"/>
              <w:b/>
            </w:rPr>
            <w:t>Mission</w:t>
          </w:r>
        </w:smartTag>
      </w:smartTag>
    </w:p>
    <w:p w:rsidR="00056737" w:rsidRPr="00BC0230" w:rsidRDefault="00056737" w:rsidP="00BF0E16">
      <w:pPr>
        <w:rPr>
          <w:rFonts w:ascii="Calibri" w:hAnsi="Calibri"/>
        </w:rPr>
      </w:pPr>
      <w:r w:rsidRPr="00BC0230">
        <w:rPr>
          <w:rFonts w:ascii="Calibri" w:hAnsi="Calibri"/>
        </w:rPr>
        <w:t xml:space="preserve">Assess Government of Samoa progress against the fixed and variable targets of the Incentivising Public Financial Management Reform in Samoa program due for completion by 30 March 2012. </w:t>
      </w:r>
    </w:p>
    <w:p w:rsidR="00056737" w:rsidRPr="00BC0230" w:rsidRDefault="00056737" w:rsidP="00BF0E16">
      <w:pPr>
        <w:numPr>
          <w:ilvl w:val="0"/>
          <w:numId w:val="12"/>
        </w:numPr>
        <w:rPr>
          <w:rFonts w:ascii="Calibri" w:hAnsi="Calibri"/>
        </w:rPr>
      </w:pPr>
      <w:r w:rsidRPr="00BC0230">
        <w:rPr>
          <w:rFonts w:ascii="Calibri" w:hAnsi="Calibri"/>
        </w:rPr>
        <w:t xml:space="preserve">Make recommendations on amount of payment to be made by </w:t>
      </w:r>
      <w:proofErr w:type="spellStart"/>
      <w:r w:rsidRPr="00BC0230">
        <w:rPr>
          <w:rFonts w:ascii="Calibri" w:hAnsi="Calibri"/>
        </w:rPr>
        <w:t>AusAID</w:t>
      </w:r>
      <w:proofErr w:type="spellEnd"/>
      <w:r w:rsidRPr="00BC0230">
        <w:rPr>
          <w:rFonts w:ascii="Calibri" w:hAnsi="Calibri"/>
        </w:rPr>
        <w:t xml:space="preserve"> with particular justification and discussion regarding targets that have not been completed or are only partially complete. </w:t>
      </w:r>
    </w:p>
    <w:p w:rsidR="00056737" w:rsidRPr="00BC0230" w:rsidRDefault="00056737" w:rsidP="00BF0E16">
      <w:pPr>
        <w:numPr>
          <w:ilvl w:val="0"/>
          <w:numId w:val="12"/>
        </w:numPr>
        <w:rPr>
          <w:rFonts w:ascii="Calibri" w:hAnsi="Calibri"/>
        </w:rPr>
      </w:pPr>
      <w:r w:rsidRPr="00BC0230">
        <w:rPr>
          <w:rFonts w:ascii="Calibri" w:hAnsi="Calibri"/>
        </w:rPr>
        <w:t xml:space="preserve">Make recommendations on amount of payment to be made by New Zealand MFAT against the Results Based Budget Support arrangement. </w:t>
      </w:r>
    </w:p>
    <w:p w:rsidR="00056737" w:rsidRPr="00BC0230" w:rsidRDefault="00056737" w:rsidP="00BF0E16">
      <w:pPr>
        <w:numPr>
          <w:ilvl w:val="0"/>
          <w:numId w:val="12"/>
        </w:numPr>
        <w:rPr>
          <w:rFonts w:ascii="Calibri" w:hAnsi="Calibri"/>
        </w:rPr>
      </w:pPr>
      <w:r w:rsidRPr="00BC0230">
        <w:rPr>
          <w:rFonts w:ascii="Calibri" w:hAnsi="Calibri"/>
        </w:rPr>
        <w:t>Assess progress made against 30</w:t>
      </w:r>
      <w:r w:rsidRPr="00BC0230">
        <w:rPr>
          <w:rFonts w:ascii="Calibri" w:hAnsi="Calibri"/>
          <w:vertAlign w:val="superscript"/>
        </w:rPr>
        <w:t xml:space="preserve"> </w:t>
      </w:r>
      <w:r w:rsidRPr="00BC0230">
        <w:rPr>
          <w:rFonts w:ascii="Calibri" w:hAnsi="Calibri"/>
        </w:rPr>
        <w:t>June 2012 targets and make recommendations for areas requiring key actions.</w:t>
      </w:r>
    </w:p>
    <w:p w:rsidR="00056737" w:rsidRPr="00BC0230" w:rsidRDefault="00056737" w:rsidP="00BF0E16">
      <w:pPr>
        <w:numPr>
          <w:ilvl w:val="0"/>
          <w:numId w:val="12"/>
        </w:numPr>
        <w:rPr>
          <w:rFonts w:ascii="Calibri" w:hAnsi="Calibri"/>
        </w:rPr>
      </w:pPr>
      <w:r w:rsidRPr="00BC0230">
        <w:rPr>
          <w:rFonts w:ascii="Calibri" w:hAnsi="Calibri"/>
        </w:rPr>
        <w:t xml:space="preserve">Engage with IMF Article IV Assessment Mission to gain a coordinated view of </w:t>
      </w:r>
      <w:smartTag w:uri="urn:schemas-microsoft-com:office:smarttags" w:element="place">
        <w:r w:rsidRPr="00BC0230">
          <w:rPr>
            <w:rFonts w:ascii="Calibri" w:hAnsi="Calibri"/>
          </w:rPr>
          <w:t>Samoa</w:t>
        </w:r>
      </w:smartTag>
      <w:r w:rsidRPr="00BC0230">
        <w:rPr>
          <w:rFonts w:ascii="Calibri" w:hAnsi="Calibri"/>
        </w:rPr>
        <w:t>’s macroeconomic situation.</w:t>
      </w:r>
    </w:p>
    <w:p w:rsidR="00056737" w:rsidRPr="00BC0230" w:rsidRDefault="00056737" w:rsidP="00056737">
      <w:pPr>
        <w:ind w:left="720"/>
        <w:rPr>
          <w:rFonts w:ascii="Calibri" w:hAnsi="Calibri"/>
        </w:rPr>
      </w:pPr>
    </w:p>
    <w:p w:rsidR="00056737" w:rsidRPr="00BC0230" w:rsidRDefault="00056737" w:rsidP="00BF0E16">
      <w:pPr>
        <w:rPr>
          <w:rFonts w:ascii="Calibri" w:hAnsi="Calibri"/>
        </w:rPr>
      </w:pPr>
      <w:r w:rsidRPr="00BC0230">
        <w:rPr>
          <w:rFonts w:ascii="Calibri" w:hAnsi="Calibri"/>
        </w:rPr>
        <w:t xml:space="preserve">Assess the effectiveness of the program in generating sustainable change, including: </w:t>
      </w:r>
    </w:p>
    <w:p w:rsidR="00056737" w:rsidRPr="00BC0230" w:rsidRDefault="00056737" w:rsidP="00BF0E16">
      <w:pPr>
        <w:numPr>
          <w:ilvl w:val="0"/>
          <w:numId w:val="13"/>
        </w:numPr>
        <w:rPr>
          <w:rFonts w:ascii="Calibri" w:hAnsi="Calibri"/>
        </w:rPr>
      </w:pPr>
      <w:r w:rsidRPr="00BC0230">
        <w:rPr>
          <w:rFonts w:ascii="Calibri" w:hAnsi="Calibri"/>
        </w:rPr>
        <w:t xml:space="preserve">The suitability of current disbursement and acquittal mechanisms in terms of the ability for the funds and interest to be used as budget support. </w:t>
      </w:r>
    </w:p>
    <w:p w:rsidR="00056737" w:rsidRPr="00BC0230" w:rsidRDefault="00056737" w:rsidP="00BF0E16">
      <w:pPr>
        <w:numPr>
          <w:ilvl w:val="0"/>
          <w:numId w:val="13"/>
        </w:numPr>
        <w:rPr>
          <w:rFonts w:ascii="Calibri" w:hAnsi="Calibri"/>
        </w:rPr>
      </w:pPr>
      <w:r w:rsidRPr="00BC0230">
        <w:rPr>
          <w:rFonts w:ascii="Calibri" w:hAnsi="Calibri"/>
        </w:rPr>
        <w:t xml:space="preserve">The effectiveness of current targets in generating suitable and sustainable public financial management reform within Government of Samoa. </w:t>
      </w:r>
    </w:p>
    <w:p w:rsidR="00056737" w:rsidRPr="00BC0230" w:rsidRDefault="00056737" w:rsidP="00BF0E16">
      <w:pPr>
        <w:numPr>
          <w:ilvl w:val="0"/>
          <w:numId w:val="13"/>
        </w:numPr>
        <w:rPr>
          <w:rFonts w:ascii="Calibri" w:hAnsi="Calibri"/>
        </w:rPr>
      </w:pPr>
      <w:r w:rsidRPr="00BC0230">
        <w:rPr>
          <w:rFonts w:ascii="Calibri" w:hAnsi="Calibri"/>
        </w:rPr>
        <w:t>Recommendations as to suitable targets for 30 June 2013 in discussion with Post and other development partners.</w:t>
      </w:r>
    </w:p>
    <w:p w:rsidR="00056737" w:rsidRPr="00BC0230" w:rsidRDefault="00056737" w:rsidP="00BF0E16">
      <w:pPr>
        <w:numPr>
          <w:ilvl w:val="0"/>
          <w:numId w:val="13"/>
        </w:numPr>
        <w:rPr>
          <w:rFonts w:ascii="Calibri" w:hAnsi="Calibri"/>
        </w:rPr>
      </w:pPr>
      <w:r w:rsidRPr="00BC0230">
        <w:rPr>
          <w:rFonts w:ascii="Calibri" w:hAnsi="Calibri"/>
        </w:rPr>
        <w:t xml:space="preserve">Advice and support to Apia Post on public financial management analysis. </w:t>
      </w:r>
    </w:p>
    <w:p w:rsidR="00056737" w:rsidRPr="00BC0230" w:rsidRDefault="00056737" w:rsidP="00056737">
      <w:pPr>
        <w:rPr>
          <w:rFonts w:ascii="Calibri" w:hAnsi="Calibri"/>
        </w:rPr>
      </w:pPr>
    </w:p>
    <w:p w:rsidR="00BF0E16" w:rsidRPr="00BC0230" w:rsidRDefault="00BF0E16" w:rsidP="00056737">
      <w:pPr>
        <w:rPr>
          <w:rFonts w:ascii="Calibri" w:hAnsi="Calibri"/>
        </w:rPr>
      </w:pPr>
    </w:p>
    <w:p w:rsidR="00056737" w:rsidRPr="00BC0230" w:rsidRDefault="00056737" w:rsidP="00056737">
      <w:pPr>
        <w:rPr>
          <w:rFonts w:ascii="Calibri" w:hAnsi="Calibri"/>
          <w:b/>
        </w:rPr>
      </w:pPr>
      <w:r w:rsidRPr="00BC0230">
        <w:rPr>
          <w:rFonts w:ascii="Calibri" w:hAnsi="Calibri"/>
          <w:b/>
        </w:rPr>
        <w:t>Team Members</w:t>
      </w:r>
    </w:p>
    <w:p w:rsidR="00BF0E16" w:rsidRPr="00BC0230" w:rsidRDefault="00BF0E16" w:rsidP="00056737">
      <w:pPr>
        <w:rPr>
          <w:rFonts w:ascii="Calibri" w:hAnsi="Calibri"/>
          <w:b/>
        </w:rPr>
      </w:pPr>
    </w:p>
    <w:p w:rsidR="00056737" w:rsidRPr="00BC0230" w:rsidRDefault="00056737" w:rsidP="00056737">
      <w:pPr>
        <w:rPr>
          <w:rFonts w:ascii="Calibri" w:hAnsi="Calibri"/>
        </w:rPr>
      </w:pPr>
      <w:r w:rsidRPr="00BC0230">
        <w:rPr>
          <w:rFonts w:ascii="Calibri" w:hAnsi="Calibri"/>
        </w:rPr>
        <w:t>Tony Higgins – PFM Consultant: Team leader and report author</w:t>
      </w:r>
    </w:p>
    <w:p w:rsidR="00056737" w:rsidRPr="00BC0230" w:rsidRDefault="00056737" w:rsidP="00056737">
      <w:pPr>
        <w:rPr>
          <w:rFonts w:ascii="Calibri" w:hAnsi="Calibri"/>
        </w:rPr>
      </w:pPr>
      <w:r w:rsidRPr="00BC0230">
        <w:rPr>
          <w:rFonts w:ascii="Calibri" w:hAnsi="Calibri"/>
        </w:rPr>
        <w:t xml:space="preserve">Jonathan </w:t>
      </w:r>
      <w:proofErr w:type="spellStart"/>
      <w:r w:rsidRPr="00BC0230">
        <w:rPr>
          <w:rFonts w:ascii="Calibri" w:hAnsi="Calibri"/>
        </w:rPr>
        <w:t>Gouy</w:t>
      </w:r>
      <w:proofErr w:type="spellEnd"/>
      <w:r w:rsidRPr="00BC0230">
        <w:rPr>
          <w:rFonts w:ascii="Calibri" w:hAnsi="Calibri"/>
        </w:rPr>
        <w:t xml:space="preserve"> – </w:t>
      </w:r>
      <w:proofErr w:type="spellStart"/>
      <w:r w:rsidRPr="00BC0230">
        <w:rPr>
          <w:rFonts w:ascii="Calibri" w:hAnsi="Calibri"/>
        </w:rPr>
        <w:t>AusAID</w:t>
      </w:r>
      <w:proofErr w:type="spellEnd"/>
      <w:r w:rsidRPr="00BC0230">
        <w:rPr>
          <w:rFonts w:ascii="Calibri" w:hAnsi="Calibri"/>
        </w:rPr>
        <w:t xml:space="preserve"> Economic Adviser (TBC): Economist and report contributor</w:t>
      </w:r>
    </w:p>
    <w:p w:rsidR="00056737" w:rsidRPr="00BC0230" w:rsidRDefault="00056737" w:rsidP="00056737">
      <w:pPr>
        <w:rPr>
          <w:rFonts w:ascii="Calibri" w:hAnsi="Calibri"/>
        </w:rPr>
      </w:pPr>
      <w:proofErr w:type="spellStart"/>
      <w:r w:rsidRPr="00BC0230">
        <w:rPr>
          <w:rFonts w:ascii="Calibri" w:hAnsi="Calibri"/>
        </w:rPr>
        <w:t>Lae</w:t>
      </w:r>
      <w:proofErr w:type="spellEnd"/>
      <w:r w:rsidRPr="00BC0230">
        <w:rPr>
          <w:rFonts w:ascii="Calibri" w:hAnsi="Calibri"/>
        </w:rPr>
        <w:t xml:space="preserve"> </w:t>
      </w:r>
      <w:proofErr w:type="spellStart"/>
      <w:r w:rsidRPr="00BC0230">
        <w:rPr>
          <w:rFonts w:ascii="Calibri" w:hAnsi="Calibri"/>
        </w:rPr>
        <w:t>Siliva</w:t>
      </w:r>
      <w:proofErr w:type="spellEnd"/>
      <w:r w:rsidRPr="00BC0230">
        <w:rPr>
          <w:rFonts w:ascii="Calibri" w:hAnsi="Calibri"/>
        </w:rPr>
        <w:t xml:space="preserve"> – Ministry of Finance PFM Reform Coordinator: </w:t>
      </w:r>
      <w:proofErr w:type="spellStart"/>
      <w:r w:rsidRPr="00BC0230">
        <w:rPr>
          <w:rFonts w:ascii="Calibri" w:hAnsi="Calibri"/>
        </w:rPr>
        <w:t>GoS</w:t>
      </w:r>
      <w:proofErr w:type="spellEnd"/>
      <w:r w:rsidRPr="00BC0230">
        <w:rPr>
          <w:rFonts w:ascii="Calibri" w:hAnsi="Calibri"/>
        </w:rPr>
        <w:t xml:space="preserve"> participant</w:t>
      </w:r>
    </w:p>
    <w:p w:rsidR="00BF0E16" w:rsidRPr="00BC0230" w:rsidRDefault="00056737" w:rsidP="00BF0E16">
      <w:pPr>
        <w:rPr>
          <w:rFonts w:ascii="Calibri" w:hAnsi="Calibri"/>
        </w:rPr>
        <w:sectPr w:rsidR="00BF0E16" w:rsidRPr="00BC0230" w:rsidSect="00BF0E16">
          <w:pgSz w:w="11906" w:h="16838"/>
          <w:pgMar w:top="1440" w:right="1440" w:bottom="1440" w:left="1440" w:header="720" w:footer="720" w:gutter="0"/>
          <w:cols w:space="720"/>
          <w:docGrid w:linePitch="360"/>
        </w:sectPr>
      </w:pPr>
      <w:r w:rsidRPr="00BC0230">
        <w:rPr>
          <w:rFonts w:ascii="Calibri" w:hAnsi="Calibri"/>
        </w:rPr>
        <w:t xml:space="preserve">Frances Sutherland – Second Secretary, Development Cooperation: </w:t>
      </w:r>
      <w:proofErr w:type="spellStart"/>
      <w:r w:rsidRPr="00BC0230">
        <w:rPr>
          <w:rFonts w:ascii="Calibri" w:hAnsi="Calibri"/>
        </w:rPr>
        <w:t>AusAID</w:t>
      </w:r>
      <w:proofErr w:type="spellEnd"/>
      <w:r w:rsidRPr="00BC0230">
        <w:rPr>
          <w:rFonts w:ascii="Calibri" w:hAnsi="Calibri"/>
        </w:rPr>
        <w:t xml:space="preserve"> participant</w:t>
      </w:r>
    </w:p>
    <w:p w:rsidR="00BF0E16" w:rsidRPr="00BC0230" w:rsidRDefault="00BF0E16" w:rsidP="0057747F">
      <w:pPr>
        <w:pStyle w:val="Heading1"/>
        <w:numPr>
          <w:ilvl w:val="0"/>
          <w:numId w:val="0"/>
        </w:numPr>
        <w:ind w:left="432"/>
      </w:pPr>
      <w:bookmarkStart w:id="42" w:name="_Toc322921250"/>
      <w:r w:rsidRPr="00BC0230">
        <w:lastRenderedPageBreak/>
        <w:t>Annex 4 Summary of Progress Against the 30 March 2012 Milestones</w:t>
      </w:r>
      <w:bookmarkEnd w:id="42"/>
    </w:p>
    <w:p w:rsidR="00BF0E16" w:rsidRPr="00BC0230" w:rsidRDefault="00BF0E16" w:rsidP="00BF0E16"/>
    <w:tbl>
      <w:tblPr>
        <w:tblW w:w="15289" w:type="dxa"/>
        <w:tblInd w:w="-439" w:type="dxa"/>
        <w:tblLayout w:type="fixed"/>
        <w:tblLook w:val="01E0" w:firstRow="1" w:lastRow="1" w:firstColumn="1" w:lastColumn="1" w:noHBand="0" w:noVBand="0"/>
      </w:tblPr>
      <w:tblGrid>
        <w:gridCol w:w="2340"/>
        <w:gridCol w:w="4860"/>
        <w:gridCol w:w="2502"/>
        <w:gridCol w:w="1414"/>
        <w:gridCol w:w="4173"/>
      </w:tblGrid>
      <w:tr w:rsidR="00BF0E16" w:rsidRPr="00BC0230" w:rsidTr="00871A4C">
        <w:trPr>
          <w:trHeight w:val="797"/>
          <w:tblHeader/>
        </w:trPr>
        <w:tc>
          <w:tcPr>
            <w:tcW w:w="2340" w:type="dxa"/>
            <w:shd w:val="clear" w:color="auto" w:fill="D9D9D9" w:themeFill="background1" w:themeFillShade="D9"/>
          </w:tcPr>
          <w:p w:rsidR="00BF0E16" w:rsidRPr="00BC0230" w:rsidRDefault="00BF0E16" w:rsidP="00BF0E16">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Indicator Title</w:t>
            </w:r>
          </w:p>
        </w:tc>
        <w:tc>
          <w:tcPr>
            <w:tcW w:w="4860" w:type="dxa"/>
            <w:shd w:val="clear" w:color="auto" w:fill="D9D9D9" w:themeFill="background1" w:themeFillShade="D9"/>
          </w:tcPr>
          <w:p w:rsidR="00BF0E16" w:rsidRPr="00BC0230" w:rsidRDefault="00BF0E16" w:rsidP="00BF0E16">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Policy Actions</w:t>
            </w:r>
          </w:p>
        </w:tc>
        <w:tc>
          <w:tcPr>
            <w:tcW w:w="2502" w:type="dxa"/>
            <w:shd w:val="clear" w:color="auto" w:fill="D9D9D9" w:themeFill="background1" w:themeFillShade="D9"/>
          </w:tcPr>
          <w:p w:rsidR="00BF0E16" w:rsidRPr="00BC0230" w:rsidRDefault="00BF0E16" w:rsidP="00BF0E16">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Means of verification</w:t>
            </w:r>
          </w:p>
        </w:tc>
        <w:tc>
          <w:tcPr>
            <w:tcW w:w="1414" w:type="dxa"/>
            <w:shd w:val="clear" w:color="auto" w:fill="D9D9D9" w:themeFill="background1" w:themeFillShade="D9"/>
          </w:tcPr>
          <w:p w:rsidR="00BF0E16" w:rsidRPr="00BC0230" w:rsidRDefault="00BF0E16" w:rsidP="00BF0E16">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Responsible</w:t>
            </w:r>
          </w:p>
        </w:tc>
        <w:tc>
          <w:tcPr>
            <w:tcW w:w="4173" w:type="dxa"/>
            <w:shd w:val="clear" w:color="auto" w:fill="D9D9D9" w:themeFill="background1" w:themeFillShade="D9"/>
          </w:tcPr>
          <w:p w:rsidR="00BF0E16" w:rsidRPr="00BC0230" w:rsidRDefault="00BF0E16" w:rsidP="00BF0E16">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As at 18 April 2012</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Sector Planning</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Number of additional Sector Plans approved and made public and under implementation with content including: at least 3 key performance indicators, institutional arrangements including non-government entities, and an annual review mechanism.  Four sectors currently meet the basic criteria: water, health, education and law and justice. Target of 5 sectors (1 additional).</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Approval of Sector plans by CDC or Cabinet; publically available documents. Reports and Minutes from Annual Review Meetings</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EPPD and line-Ministries</w:t>
            </w:r>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TCM Plan – copy of </w:t>
            </w:r>
            <w:proofErr w:type="spellStart"/>
            <w:r w:rsidRPr="00BC0230">
              <w:rPr>
                <w:rFonts w:asciiTheme="minorHAnsi" w:eastAsiaTheme="minorHAnsi" w:hAnsiTheme="minorHAnsi" w:cstheme="minorBidi"/>
                <w:sz w:val="20"/>
                <w:szCs w:val="20"/>
                <w:lang w:eastAsia="en-US"/>
              </w:rPr>
              <w:t>semi final</w:t>
            </w:r>
            <w:proofErr w:type="spellEnd"/>
            <w:r w:rsidRPr="00BC0230">
              <w:rPr>
                <w:rFonts w:asciiTheme="minorHAnsi" w:eastAsiaTheme="minorHAnsi" w:hAnsiTheme="minorHAnsi" w:cstheme="minorBidi"/>
                <w:sz w:val="20"/>
                <w:szCs w:val="20"/>
                <w:lang w:eastAsia="en-US"/>
              </w:rPr>
              <w:t xml:space="preserve"> draft provided. Awaiting approval and launch. </w:t>
            </w:r>
          </w:p>
          <w:p w:rsidR="00BF0E16" w:rsidRPr="00BC0230" w:rsidRDefault="00BF0E16" w:rsidP="00BF0E16">
            <w:pPr>
              <w:numPr>
                <w:ilvl w:val="0"/>
                <w:numId w:val="10"/>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The performance indicators – in place - many of these will require special data collection arrangements</w:t>
            </w:r>
          </w:p>
          <w:p w:rsidR="00BF0E16" w:rsidRPr="00BC0230" w:rsidRDefault="00BF0E16" w:rsidP="00BF0E16">
            <w:pPr>
              <w:numPr>
                <w:ilvl w:val="0"/>
                <w:numId w:val="10"/>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Institutional arrangements – discussed with MCIL, but not in the plan</w:t>
            </w:r>
          </w:p>
          <w:p w:rsidR="00BF0E16" w:rsidRPr="00BC0230" w:rsidRDefault="00BF0E16" w:rsidP="00BF0E16">
            <w:pPr>
              <w:numPr>
                <w:ilvl w:val="0"/>
                <w:numId w:val="10"/>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Annual review mechanism – discussed on p.42 of Part 2 – that it will be set up after the TCM is approved. But not clear what it will look like</w:t>
            </w:r>
          </w:p>
          <w:p w:rsidR="00BF0E16" w:rsidRPr="00BC0230" w:rsidRDefault="00BF0E16" w:rsidP="00BF0E16">
            <w:pPr>
              <w:numPr>
                <w:ilvl w:val="0"/>
                <w:numId w:val="10"/>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MTEF – a work in progress – there is a 50% funding gap to be filled</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Procurement review</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External review of Government procurement systems undertaken</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Procurement Review Report</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MoF</w:t>
            </w:r>
            <w:proofErr w:type="spellEnd"/>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MoF</w:t>
            </w:r>
            <w:proofErr w:type="spellEnd"/>
            <w:r w:rsidRPr="00BC0230">
              <w:rPr>
                <w:rFonts w:asciiTheme="minorHAnsi" w:eastAsiaTheme="minorHAnsi" w:hAnsiTheme="minorHAnsi" w:cstheme="minorBidi"/>
                <w:sz w:val="20"/>
                <w:szCs w:val="20"/>
                <w:lang w:eastAsia="en-US"/>
              </w:rPr>
              <w:t xml:space="preserve"> took decision to delay this until July, following completion of TA &amp; finalization of revised documents, manuals etc.  Otherwise MAPS review would be reviewing old framework.  Value of the review would be lost.  Progress:</w:t>
            </w:r>
          </w:p>
          <w:p w:rsidR="00BF0E16" w:rsidRPr="00BC0230" w:rsidRDefault="00BF0E16" w:rsidP="00BF0E16">
            <w:pPr>
              <w:numPr>
                <w:ilvl w:val="0"/>
                <w:numId w:val="11"/>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Procurement unit in place</w:t>
            </w:r>
          </w:p>
          <w:p w:rsidR="00BF0E16" w:rsidRPr="00BC0230" w:rsidRDefault="00BF0E16" w:rsidP="00BF0E16">
            <w:pPr>
              <w:numPr>
                <w:ilvl w:val="0"/>
                <w:numId w:val="11"/>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TA is working with Procurement Unit</w:t>
            </w:r>
          </w:p>
          <w:p w:rsidR="00BF0E16" w:rsidRPr="00BC0230" w:rsidRDefault="00BF0E16" w:rsidP="00BF0E16">
            <w:pPr>
              <w:numPr>
                <w:ilvl w:val="0"/>
                <w:numId w:val="11"/>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MAPS reviewer has been identified and scheduled</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lastRenderedPageBreak/>
              <w:t>Monitoring arrears</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Policy and action plan developed for late payment to suppliers and monitoring the extent of arrears by line-Ministries</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Draft policy / action plan approved by PFM Task Force</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Accounts, </w:t>
            </w:r>
            <w:proofErr w:type="spellStart"/>
            <w:r w:rsidRPr="00BC0230">
              <w:rPr>
                <w:rFonts w:asciiTheme="minorHAnsi" w:eastAsiaTheme="minorHAnsi" w:hAnsiTheme="minorHAnsi" w:cstheme="minorBidi"/>
                <w:sz w:val="20"/>
                <w:szCs w:val="20"/>
                <w:lang w:eastAsia="en-US"/>
              </w:rPr>
              <w:t>MoF</w:t>
            </w:r>
            <w:proofErr w:type="spellEnd"/>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Policy in place</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Action plan in place. </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Critical step in the action plan is timing and securing statements from key utilities and suppliers to identify invoices not recorded as commitments or accounts payable.  Requires legwork and persistence.  Best done in May</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Finance Sector Coordination</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Improved coordination across the Finance Sector as evidenced by the number of Finance Sector Advisory Committee meetings held in FY 2011/12</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meetings</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CEO, </w:t>
            </w:r>
            <w:proofErr w:type="spellStart"/>
            <w:r w:rsidRPr="00BC0230">
              <w:rPr>
                <w:rFonts w:asciiTheme="minorHAnsi" w:eastAsiaTheme="minorHAnsi" w:hAnsiTheme="minorHAnsi" w:cstheme="minorBidi"/>
                <w:sz w:val="20"/>
                <w:szCs w:val="20"/>
                <w:lang w:eastAsia="en-US"/>
              </w:rPr>
              <w:t>MoF</w:t>
            </w:r>
            <w:proofErr w:type="spellEnd"/>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Annual Review Meeting provided</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March progress report provided</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meeting of 20 October provided</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Agenda for April meeting provided – minutes to come</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Budget Planning Committee</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Budget Cycle adhered to and links with planning strengthened as evidenced by Budget Planning Committee meetings taking place at least quarterly in FY 2011/12. (Number of meetings)</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meetings</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EPPD, Budget &amp; Aid - </w:t>
            </w:r>
            <w:proofErr w:type="spellStart"/>
            <w:r w:rsidRPr="00BC0230">
              <w:rPr>
                <w:rFonts w:asciiTheme="minorHAnsi" w:eastAsiaTheme="minorHAnsi" w:hAnsiTheme="minorHAnsi" w:cstheme="minorBidi"/>
                <w:sz w:val="20"/>
                <w:szCs w:val="20"/>
                <w:lang w:eastAsia="en-US"/>
              </w:rPr>
              <w:t>MoF</w:t>
            </w:r>
            <w:proofErr w:type="spellEnd"/>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20 October provided</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8 March provided</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(budget strategy was not tabled at that meeting.  Formal tabling of key documents and documenting of approvals, action items </w:t>
            </w:r>
            <w:proofErr w:type="spellStart"/>
            <w:r w:rsidRPr="00BC0230">
              <w:rPr>
                <w:rFonts w:asciiTheme="minorHAnsi" w:eastAsiaTheme="minorHAnsi" w:hAnsiTheme="minorHAnsi" w:cstheme="minorBidi"/>
                <w:sz w:val="20"/>
                <w:szCs w:val="20"/>
                <w:lang w:eastAsia="en-US"/>
              </w:rPr>
              <w:t>etc</w:t>
            </w:r>
            <w:proofErr w:type="spellEnd"/>
            <w:r w:rsidRPr="00BC0230">
              <w:rPr>
                <w:rFonts w:asciiTheme="minorHAnsi" w:eastAsiaTheme="minorHAnsi" w:hAnsiTheme="minorHAnsi" w:cstheme="minorBidi"/>
                <w:sz w:val="20"/>
                <w:szCs w:val="20"/>
                <w:lang w:eastAsia="en-US"/>
              </w:rPr>
              <w:t xml:space="preserve"> adds value to budget process)</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Public accounts</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Public accounts for 2010/11 submitted to Audit Office by end October 2011</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Letter to Audit Office </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Accounts, </w:t>
            </w:r>
            <w:proofErr w:type="spellStart"/>
            <w:r w:rsidRPr="00BC0230">
              <w:rPr>
                <w:rFonts w:asciiTheme="minorHAnsi" w:eastAsiaTheme="minorHAnsi" w:hAnsiTheme="minorHAnsi" w:cstheme="minorBidi"/>
                <w:sz w:val="20"/>
                <w:szCs w:val="20"/>
                <w:lang w:eastAsia="en-US"/>
              </w:rPr>
              <w:t>MoF</w:t>
            </w:r>
            <w:proofErr w:type="spellEnd"/>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2011 Public Accounts submitted to OAG on 24 Oct</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lastRenderedPageBreak/>
              <w:t>Budget monitoring</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Mid Term Review of the 2011-12 Budget and the related performance framework completed</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Mid-term Review</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Budget, </w:t>
            </w:r>
            <w:proofErr w:type="spellStart"/>
            <w:r w:rsidRPr="00BC0230">
              <w:rPr>
                <w:rFonts w:asciiTheme="minorHAnsi" w:eastAsiaTheme="minorHAnsi" w:hAnsiTheme="minorHAnsi" w:cstheme="minorBidi"/>
                <w:sz w:val="20"/>
                <w:szCs w:val="20"/>
                <w:lang w:eastAsia="en-US"/>
              </w:rPr>
              <w:t>MoF</w:t>
            </w:r>
            <w:proofErr w:type="spellEnd"/>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Copy of </w:t>
            </w:r>
            <w:proofErr w:type="spellStart"/>
            <w:r w:rsidRPr="00BC0230">
              <w:rPr>
                <w:rFonts w:asciiTheme="minorHAnsi" w:eastAsiaTheme="minorHAnsi" w:hAnsiTheme="minorHAnsi" w:cstheme="minorBidi"/>
                <w:sz w:val="20"/>
                <w:szCs w:val="20"/>
                <w:lang w:eastAsia="en-US"/>
              </w:rPr>
              <w:t>mid term</w:t>
            </w:r>
            <w:proofErr w:type="spellEnd"/>
            <w:r w:rsidRPr="00BC0230">
              <w:rPr>
                <w:rFonts w:asciiTheme="minorHAnsi" w:eastAsiaTheme="minorHAnsi" w:hAnsiTheme="minorHAnsi" w:cstheme="minorBidi"/>
                <w:sz w:val="20"/>
                <w:szCs w:val="20"/>
                <w:lang w:eastAsia="en-US"/>
              </w:rPr>
              <w:t xml:space="preserve"> review provided</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Inland Revenue staff training and motivation</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Training needs analysis and staff engagement survey completed for Inland Revenue Services</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TNA and executive summary of Staff Engagement approved by CEO, MFR</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MfR</w:t>
            </w:r>
            <w:proofErr w:type="spellEnd"/>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TNA provided</w:t>
            </w:r>
          </w:p>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Staff Engagement Action Plan provided</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Inland Revenue Information systems</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Development of a strategic IT Plan for Inland Revenue Services, and approval of the Plan</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IT Plan  approved by CEO, MFR</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MFR</w:t>
            </w:r>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Strategic IT Plan provided</w:t>
            </w:r>
          </w:p>
        </w:tc>
      </w:tr>
      <w:tr w:rsidR="00BF0E16" w:rsidRPr="00BC0230" w:rsidTr="0087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Inland Revenue Debt Collection strategy</w:t>
            </w:r>
          </w:p>
        </w:tc>
        <w:tc>
          <w:tcPr>
            <w:tcW w:w="4860"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Drafting of a Debt Collection Strategy for Inland Revenue Services</w:t>
            </w:r>
          </w:p>
        </w:tc>
        <w:tc>
          <w:tcPr>
            <w:tcW w:w="2502"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Debt Strategy approved by CEO, MFR</w:t>
            </w:r>
          </w:p>
        </w:tc>
        <w:tc>
          <w:tcPr>
            <w:tcW w:w="1414"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MFR</w:t>
            </w:r>
          </w:p>
        </w:tc>
        <w:tc>
          <w:tcPr>
            <w:tcW w:w="4173" w:type="dxa"/>
          </w:tcPr>
          <w:p w:rsidR="00BF0E16" w:rsidRPr="00BC0230" w:rsidRDefault="00BF0E16" w:rsidP="00BF0E16">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collections and enforcement strategy provided</w:t>
            </w:r>
          </w:p>
        </w:tc>
      </w:tr>
    </w:tbl>
    <w:p w:rsidR="00BF0E16" w:rsidRPr="00BC0230" w:rsidRDefault="00BF0E16" w:rsidP="00BF0E16">
      <w:pPr>
        <w:spacing w:before="120"/>
        <w:rPr>
          <w:rFonts w:ascii="Calibri" w:hAnsi="Calibri"/>
        </w:rPr>
      </w:pPr>
    </w:p>
    <w:p w:rsidR="00871A4C" w:rsidRPr="00BC0230" w:rsidRDefault="00871A4C" w:rsidP="00BF0E16">
      <w:pPr>
        <w:spacing w:before="120"/>
        <w:rPr>
          <w:rFonts w:ascii="Calibri" w:hAnsi="Calibri"/>
        </w:rPr>
        <w:sectPr w:rsidR="00871A4C" w:rsidRPr="00BC0230" w:rsidSect="00391DA8">
          <w:pgSz w:w="16838" w:h="11906" w:orient="landscape"/>
          <w:pgMar w:top="1440" w:right="1440" w:bottom="1440" w:left="1440" w:header="720" w:footer="720" w:gutter="0"/>
          <w:cols w:space="720"/>
          <w:docGrid w:linePitch="360"/>
        </w:sectPr>
      </w:pPr>
    </w:p>
    <w:p w:rsidR="00871A4C" w:rsidRPr="00BC0230" w:rsidRDefault="00AA7ACC" w:rsidP="00963896">
      <w:pPr>
        <w:pStyle w:val="Heading1"/>
        <w:numPr>
          <w:ilvl w:val="0"/>
          <w:numId w:val="0"/>
        </w:numPr>
        <w:ind w:left="432"/>
      </w:pPr>
      <w:bookmarkStart w:id="43" w:name="_Toc322921251"/>
      <w:r w:rsidRPr="00BC0230">
        <w:lastRenderedPageBreak/>
        <w:t>Annex 5 Assessment of Progress Against the 30 June 2012 Milestones</w:t>
      </w:r>
      <w:bookmarkEnd w:id="43"/>
    </w:p>
    <w:tbl>
      <w:tblPr>
        <w:tblpPr w:leftFromText="180" w:rightFromText="180" w:vertAnchor="text" w:horzAnchor="margin" w:tblpXSpec="center" w:tblpY="490"/>
        <w:tblW w:w="14850" w:type="dxa"/>
        <w:tblLayout w:type="fixed"/>
        <w:tblLook w:val="01E0" w:firstRow="1" w:lastRow="1" w:firstColumn="1" w:lastColumn="1" w:noHBand="0" w:noVBand="0"/>
      </w:tblPr>
      <w:tblGrid>
        <w:gridCol w:w="1980"/>
        <w:gridCol w:w="4785"/>
        <w:gridCol w:w="3402"/>
        <w:gridCol w:w="1226"/>
        <w:gridCol w:w="2890"/>
        <w:gridCol w:w="567"/>
      </w:tblGrid>
      <w:tr w:rsidR="00AA7ACC" w:rsidRPr="00BC0230" w:rsidTr="0057747F">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7ACC" w:rsidRPr="00BC0230" w:rsidRDefault="00AA7ACC" w:rsidP="00AA7ACC">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Indicator Title</w:t>
            </w:r>
          </w:p>
        </w:tc>
        <w:tc>
          <w:tcPr>
            <w:tcW w:w="4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7ACC" w:rsidRPr="00BC0230" w:rsidRDefault="00AA7ACC" w:rsidP="00AA7ACC">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Policy Actions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7ACC" w:rsidRPr="00BC0230" w:rsidRDefault="00AA7ACC" w:rsidP="00AA7ACC">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Means of verification</w:t>
            </w:r>
          </w:p>
        </w:tc>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7ACC" w:rsidRPr="00BC0230" w:rsidRDefault="00AA7ACC" w:rsidP="00AA7ACC">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Responsible</w:t>
            </w:r>
          </w:p>
        </w:tc>
        <w:tc>
          <w:tcPr>
            <w:tcW w:w="2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7ACC" w:rsidRPr="00BC0230" w:rsidRDefault="00AA7ACC" w:rsidP="00AA7ACC">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b/>
                <w:sz w:val="20"/>
                <w:szCs w:val="20"/>
                <w:lang w:eastAsia="en-US"/>
              </w:rPr>
              <w:t>Comments on Progress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7ACC" w:rsidRPr="00BC0230" w:rsidRDefault="00AA7ACC" w:rsidP="00AA7ACC">
            <w:pPr>
              <w:spacing w:after="200" w:line="276" w:lineRule="auto"/>
              <w:jc w:val="center"/>
              <w:rPr>
                <w:rFonts w:asciiTheme="minorHAnsi" w:eastAsiaTheme="minorHAnsi" w:hAnsiTheme="minorHAnsi" w:cstheme="minorBidi"/>
                <w:b/>
                <w:sz w:val="20"/>
                <w:szCs w:val="20"/>
                <w:lang w:eastAsia="en-US"/>
              </w:rPr>
            </w:pPr>
            <w:r w:rsidRPr="00BC0230">
              <w:rPr>
                <w:rFonts w:asciiTheme="minorHAnsi" w:eastAsiaTheme="minorHAnsi" w:hAnsiTheme="minorHAnsi" w:cstheme="minorBidi"/>
                <w:noProof/>
                <w:sz w:val="22"/>
                <w:szCs w:val="22"/>
              </w:rPr>
              <w:drawing>
                <wp:inline distT="0" distB="0" distL="0" distR="0" wp14:anchorId="16906779" wp14:editId="3CDE424E">
                  <wp:extent cx="314325" cy="394315"/>
                  <wp:effectExtent l="0" t="0" r="0" b="6350"/>
                  <wp:docPr id="4" name="Picture 4" descr="C:\Users\Anthony\Desktop\sig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ny\Desktop\signal.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429" r="23428"/>
                          <a:stretch/>
                        </pic:blipFill>
                        <pic:spPr bwMode="auto">
                          <a:xfrm>
                            <a:off x="0" y="0"/>
                            <a:ext cx="315223" cy="395442"/>
                          </a:xfrm>
                          <a:prstGeom prst="rect">
                            <a:avLst/>
                          </a:prstGeom>
                          <a:noFill/>
                          <a:ln>
                            <a:noFill/>
                          </a:ln>
                          <a:effectLst>
                            <a:glow>
                              <a:srgbClr val="4F81BD">
                                <a:alpha val="41000"/>
                              </a:srgbClr>
                            </a:glow>
                          </a:effectLst>
                          <a:extLst>
                            <a:ext uri="{53640926-AAD7-44D8-BBD7-CCE9431645EC}">
                              <a14:shadowObscured xmlns:a14="http://schemas.microsoft.com/office/drawing/2010/main"/>
                            </a:ext>
                          </a:extLst>
                        </pic:spPr>
                      </pic:pic>
                    </a:graphicData>
                  </a:graphic>
                </wp:inline>
              </w:drawing>
            </w:r>
          </w:p>
        </w:tc>
      </w:tr>
      <w:tr w:rsidR="00AA7ACC" w:rsidRPr="00BC0230" w:rsidTr="0057747F">
        <w:tc>
          <w:tcPr>
            <w:tcW w:w="1980"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Update of SDS</w:t>
            </w:r>
          </w:p>
        </w:tc>
        <w:tc>
          <w:tcPr>
            <w:tcW w:w="4785"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New SDS (2012-16) with higher level strategies, challenges and priorities linked to sector level plans developed through participatory process, approved by Cabinet and made publicly available</w:t>
            </w:r>
          </w:p>
        </w:tc>
        <w:tc>
          <w:tcPr>
            <w:tcW w:w="3402"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Approval of SDS by CDC or Cabinet; publically available SDS documents</w:t>
            </w:r>
          </w:p>
        </w:tc>
        <w:tc>
          <w:tcPr>
            <w:tcW w:w="1226"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EPPD, </w:t>
            </w:r>
            <w:proofErr w:type="spellStart"/>
            <w:r w:rsidRPr="00BC0230">
              <w:rPr>
                <w:rFonts w:asciiTheme="minorHAnsi" w:eastAsiaTheme="minorHAnsi" w:hAnsiTheme="minorHAnsi" w:cstheme="minorBidi"/>
                <w:sz w:val="20"/>
                <w:szCs w:val="20"/>
                <w:lang w:eastAsia="en-US"/>
              </w:rPr>
              <w:t>MoF</w:t>
            </w:r>
            <w:proofErr w:type="spellEnd"/>
          </w:p>
        </w:tc>
        <w:tc>
          <w:tcPr>
            <w:tcW w:w="2890"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On Track</w:t>
            </w:r>
          </w:p>
        </w:tc>
        <w:tc>
          <w:tcPr>
            <w:tcW w:w="567" w:type="dxa"/>
            <w:tcBorders>
              <w:top w:val="single" w:sz="4" w:space="0" w:color="auto"/>
              <w:left w:val="single" w:sz="4" w:space="0" w:color="auto"/>
              <w:bottom w:val="single" w:sz="4" w:space="0" w:color="auto"/>
              <w:right w:val="single" w:sz="4" w:space="0" w:color="auto"/>
            </w:tcBorders>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Targeting the vulnerable</w:t>
            </w:r>
          </w:p>
        </w:tc>
        <w:tc>
          <w:tcPr>
            <w:tcW w:w="4785"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Concept paper with analysis on vulnerable groups, their needs and mechanisms for targeting support</w:t>
            </w:r>
          </w:p>
        </w:tc>
        <w:tc>
          <w:tcPr>
            <w:tcW w:w="3402"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Concept Paper submitted to CDC (Agenda)</w:t>
            </w:r>
          </w:p>
        </w:tc>
        <w:tc>
          <w:tcPr>
            <w:tcW w:w="1226"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EPPD, </w:t>
            </w:r>
            <w:proofErr w:type="spellStart"/>
            <w:r w:rsidRPr="00BC0230">
              <w:rPr>
                <w:rFonts w:asciiTheme="minorHAnsi" w:eastAsiaTheme="minorHAnsi" w:hAnsiTheme="minorHAnsi" w:cstheme="minorBidi"/>
                <w:sz w:val="20"/>
                <w:szCs w:val="20"/>
                <w:lang w:eastAsia="en-US"/>
              </w:rPr>
              <w:t>MoF</w:t>
            </w:r>
            <w:proofErr w:type="spellEnd"/>
          </w:p>
        </w:tc>
        <w:tc>
          <w:tcPr>
            <w:tcW w:w="2890" w:type="dxa"/>
            <w:tcBorders>
              <w:top w:val="single" w:sz="4" w:space="0" w:color="auto"/>
            </w:tcBorders>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Completed</w:t>
            </w:r>
          </w:p>
        </w:tc>
        <w:tc>
          <w:tcPr>
            <w:tcW w:w="567" w:type="dxa"/>
            <w:tcBorders>
              <w:top w:val="single" w:sz="4" w:space="0" w:color="auto"/>
            </w:tcBorders>
            <w:shd w:val="clear" w:color="auto" w:fill="92D05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Sector Planning</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Number of additional Sector Plans approved and publically released and under implementation with content including: at least 3 key performance indicators, institutional arrangements including non-government entities, and an annual review mechanism.  Total target of 6 sectors</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Approval of Sector plans by CDC or Cabinet; publically available documents</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EPPD and line-Ministries</w:t>
            </w:r>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Several candidates, e.g. Finance, Energy, Education</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However, attention to KPIs, institutional arrangements, and annual review mechanism</w:t>
            </w:r>
          </w:p>
        </w:tc>
        <w:tc>
          <w:tcPr>
            <w:tcW w:w="567" w:type="dxa"/>
            <w:shd w:val="clear" w:color="auto" w:fill="FFC00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SOE privatisation</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One additional SOE to be prepared for privatisation</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Cabinet approval of proposed privatization </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SOEMD</w:t>
            </w:r>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Several candidates</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SOE Governance</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of SOE Boards with no Government Ministers or officials – Target of 70%</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List of Board appointments</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SOEMD,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Legislation in place</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Boards selected</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Awaiting Cabinet decision on Chairs</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lastRenderedPageBreak/>
              <w:t>SOE Governance</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Induction training module for SOE Board Directors developed and training programme commenced</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Copy of training programme </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SOEMD,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Training scheduled for 8 May</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SOE Performance</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Key performance indicators (KPIs) agreed and approved by Boards and responsible Minister for at least 5 SOEs. Target number of 5 SOEs</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approved KPIs; evidence of approval by Minister</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SOEMD,</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Framework for KPIs for SOEs in place- will be based around Statement of Corporate Objectives</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Expected that each Minister will sign letter of expectation with Boards</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Training for line-Ministries</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Training programme to support the accounting function in line-Ministries commenced</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Training programme and copies of training reports</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Systems Support Unit,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numPr>
                <w:ilvl w:val="0"/>
                <w:numId w:val="15"/>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Under preparation</w:t>
            </w:r>
          </w:p>
          <w:p w:rsidR="00AA7ACC" w:rsidRPr="00BC0230" w:rsidRDefault="00AA7ACC" w:rsidP="00AA7ACC">
            <w:pPr>
              <w:numPr>
                <w:ilvl w:val="0"/>
                <w:numId w:val="15"/>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Finance One training environment established on level 2 of CB</w:t>
            </w:r>
          </w:p>
          <w:p w:rsidR="00AA7ACC" w:rsidRPr="00BC0230" w:rsidRDefault="00AA7ACC" w:rsidP="00AA7ACC">
            <w:pPr>
              <w:numPr>
                <w:ilvl w:val="0"/>
                <w:numId w:val="15"/>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Dates for training?</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Treasury Instructions</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Finalise and approve revised Treasury Instructions</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Confirmation of Cabinet approval </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MoF</w:t>
            </w:r>
            <w:proofErr w:type="spellEnd"/>
          </w:p>
        </w:tc>
        <w:tc>
          <w:tcPr>
            <w:tcW w:w="2890" w:type="dxa"/>
            <w:shd w:val="clear" w:color="auto" w:fill="auto"/>
          </w:tcPr>
          <w:p w:rsidR="00AA7ACC" w:rsidRPr="00BC0230" w:rsidRDefault="00AA7ACC" w:rsidP="00AA7ACC">
            <w:pPr>
              <w:numPr>
                <w:ilvl w:val="0"/>
                <w:numId w:val="14"/>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To go out to ministries for comment</w:t>
            </w:r>
          </w:p>
          <w:p w:rsidR="00AA7ACC" w:rsidRPr="00BC0230" w:rsidRDefault="00AA7ACC" w:rsidP="00AA7ACC">
            <w:pPr>
              <w:numPr>
                <w:ilvl w:val="0"/>
                <w:numId w:val="14"/>
              </w:numPr>
              <w:spacing w:after="200" w:line="276" w:lineRule="auto"/>
              <w:contextualSpacing/>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Also, awaiting revision of the chapter on Procurement</w:t>
            </w:r>
          </w:p>
        </w:tc>
        <w:tc>
          <w:tcPr>
            <w:tcW w:w="567" w:type="dxa"/>
            <w:shd w:val="clear" w:color="auto" w:fill="FFC00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Monitoring arrears</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Information report on the extent of arrears, including arrears in relation to orders not supported by a purchase order, available by 30</w:t>
            </w:r>
            <w:r w:rsidRPr="00BC0230">
              <w:rPr>
                <w:rFonts w:asciiTheme="minorHAnsi" w:eastAsiaTheme="minorHAnsi" w:hAnsiTheme="minorHAnsi" w:cstheme="minorBidi"/>
                <w:sz w:val="20"/>
                <w:szCs w:val="20"/>
                <w:vertAlign w:val="superscript"/>
                <w:lang w:eastAsia="en-US"/>
              </w:rPr>
              <w:t>th</w:t>
            </w:r>
            <w:r w:rsidRPr="00BC0230">
              <w:rPr>
                <w:rFonts w:asciiTheme="minorHAnsi" w:eastAsiaTheme="minorHAnsi" w:hAnsiTheme="minorHAnsi" w:cstheme="minorBidi"/>
                <w:sz w:val="20"/>
                <w:szCs w:val="20"/>
                <w:lang w:eastAsia="en-US"/>
              </w:rPr>
              <w:t xml:space="preserve"> June 2012 and target set for reduction by June 2013.</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Report from Accounting Division</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Accounts,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Expecting a baseline report for May 2012 by end of June 2012, based on information from suppliers</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Finance Sector Coordination</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Improved coordination across the Finance Sector as evidenced by the number of Finance Sector Advisory Committee meetings held in FY 2011/12 (since last assessment)</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meetings</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CEO,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One more meeting expected</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lastRenderedPageBreak/>
              <w:t>Procurement Reform</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Develop a credible action plan in response to procurement review findings</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Action plan, minutes of discussion in PFM Task Force or Finance Sector Coordination meeting</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Will necessarily be delayed until August.  Can still be assessed in October/November</w:t>
            </w:r>
          </w:p>
        </w:tc>
        <w:tc>
          <w:tcPr>
            <w:tcW w:w="567" w:type="dxa"/>
            <w:shd w:val="clear" w:color="auto" w:fill="FFC00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Procurement systems </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Publication of information on tenders awards over 500,000SAT and standard templates for service tenders on </w:t>
            </w:r>
            <w:proofErr w:type="spellStart"/>
            <w:r w:rsidRPr="00BC0230">
              <w:rPr>
                <w:rFonts w:asciiTheme="minorHAnsi" w:eastAsiaTheme="minorHAnsi" w:hAnsiTheme="minorHAnsi" w:cstheme="minorBidi"/>
                <w:sz w:val="20"/>
                <w:szCs w:val="20"/>
                <w:lang w:eastAsia="en-US"/>
              </w:rPr>
              <w:t>MoF</w:t>
            </w:r>
            <w:proofErr w:type="spellEnd"/>
            <w:r w:rsidRPr="00BC0230">
              <w:rPr>
                <w:rFonts w:asciiTheme="minorHAnsi" w:eastAsiaTheme="minorHAnsi" w:hAnsiTheme="minorHAnsi" w:cstheme="minorBidi"/>
                <w:sz w:val="20"/>
                <w:szCs w:val="20"/>
                <w:lang w:eastAsia="en-US"/>
              </w:rPr>
              <w:t xml:space="preserve"> web site</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Web site print out</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Procurement </w:t>
            </w:r>
            <w:proofErr w:type="spellStart"/>
            <w:r w:rsidRPr="00BC0230">
              <w:rPr>
                <w:rFonts w:asciiTheme="minorHAnsi" w:eastAsiaTheme="minorHAnsi" w:hAnsiTheme="minorHAnsi" w:cstheme="minorBidi"/>
                <w:sz w:val="20"/>
                <w:szCs w:val="20"/>
                <w:lang w:eastAsia="en-US"/>
              </w:rPr>
              <w:t>MoF</w:t>
            </w:r>
            <w:proofErr w:type="spellEnd"/>
          </w:p>
        </w:tc>
        <w:tc>
          <w:tcPr>
            <w:tcW w:w="2890" w:type="dxa"/>
            <w:shd w:val="clear" w:color="auto" w:fill="FFFF00"/>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Intention is to achieve this by June 2012</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Debt Management Unit </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Debt Management Unit established and MTDMS reviewed with new targets agreed for 2012/13</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Contracts for staff. Fiscal strategy with inputs on debt strategy/ performance</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Aid,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New staff already in place</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Is the other indicator a fiscal strategy or a debt </w:t>
            </w:r>
            <w:proofErr w:type="spellStart"/>
            <w:r w:rsidRPr="00BC0230">
              <w:rPr>
                <w:rFonts w:asciiTheme="minorHAnsi" w:eastAsiaTheme="minorHAnsi" w:hAnsiTheme="minorHAnsi" w:cstheme="minorBidi"/>
                <w:sz w:val="20"/>
                <w:szCs w:val="20"/>
                <w:lang w:eastAsia="en-US"/>
              </w:rPr>
              <w:t>mgt</w:t>
            </w:r>
            <w:proofErr w:type="spellEnd"/>
            <w:r w:rsidRPr="00BC0230">
              <w:rPr>
                <w:rFonts w:asciiTheme="minorHAnsi" w:eastAsiaTheme="minorHAnsi" w:hAnsiTheme="minorHAnsi" w:cstheme="minorBidi"/>
                <w:sz w:val="20"/>
                <w:szCs w:val="20"/>
                <w:lang w:eastAsia="en-US"/>
              </w:rPr>
              <w:t xml:space="preserve"> strategy?</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Strategic Plan for Internal Audit</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Strategic Plan for Internal audit across Government completed and submitted for consideration</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Documentary evidence of submission to cabinet</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Internal Audit,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 draft form as at 18 April</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Budget Planning Committee</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Budget Cycle adhered to and links with planning strengthened as evidenced by Budget Planning Committee meetings taking place at least quarterly in FY 2011/12. (Number of meetings) (since last assessment)</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Minutes of meetings</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EPPD, Budget &amp; Aid - </w:t>
            </w:r>
            <w:proofErr w:type="spellStart"/>
            <w:r w:rsidRPr="00BC0230">
              <w:rPr>
                <w:rFonts w:asciiTheme="minorHAnsi" w:eastAsiaTheme="minorHAnsi" w:hAnsiTheme="minorHAnsi" w:cstheme="minorBidi"/>
                <w:sz w:val="20"/>
                <w:szCs w:val="20"/>
                <w:lang w:eastAsia="en-US"/>
              </w:rPr>
              <w:t>MoF</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Further meetings expected as budget is being finalized </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Budget review</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Mid term</w:t>
            </w:r>
            <w:proofErr w:type="spellEnd"/>
            <w:r w:rsidRPr="00BC0230">
              <w:rPr>
                <w:rFonts w:asciiTheme="minorHAnsi" w:eastAsiaTheme="minorHAnsi" w:hAnsiTheme="minorHAnsi" w:cstheme="minorBidi"/>
                <w:sz w:val="20"/>
                <w:szCs w:val="20"/>
                <w:lang w:eastAsia="en-US"/>
              </w:rPr>
              <w:t xml:space="preserve"> review of 2011-12 budget and performance framework publically released</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Publically available review report</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EPPD, Budget</w:t>
            </w:r>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How will this be published</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bottom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Budget cycle</w:t>
            </w:r>
          </w:p>
        </w:tc>
        <w:tc>
          <w:tcPr>
            <w:tcW w:w="4785" w:type="dxa"/>
            <w:tcBorders>
              <w:bottom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Adherence to budget cycle for the budget preparation process in preparing 2012/12 budget</w:t>
            </w:r>
          </w:p>
        </w:tc>
        <w:tc>
          <w:tcPr>
            <w:tcW w:w="3402" w:type="dxa"/>
            <w:tcBorders>
              <w:bottom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Copies of budget circulars</w:t>
            </w:r>
          </w:p>
        </w:tc>
        <w:tc>
          <w:tcPr>
            <w:tcW w:w="1226" w:type="dxa"/>
            <w:tcBorders>
              <w:bottom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Budget, </w:t>
            </w:r>
            <w:proofErr w:type="spellStart"/>
            <w:r w:rsidRPr="00BC0230">
              <w:rPr>
                <w:rFonts w:asciiTheme="minorHAnsi" w:eastAsiaTheme="minorHAnsi" w:hAnsiTheme="minorHAnsi" w:cstheme="minorBidi"/>
                <w:sz w:val="20"/>
                <w:szCs w:val="20"/>
                <w:lang w:eastAsia="en-US"/>
              </w:rPr>
              <w:t>MoF</w:t>
            </w:r>
            <w:proofErr w:type="spellEnd"/>
          </w:p>
        </w:tc>
        <w:tc>
          <w:tcPr>
            <w:tcW w:w="2890" w:type="dxa"/>
            <w:tcBorders>
              <w:bottom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Awaiting copies of budget circulars</w:t>
            </w:r>
          </w:p>
        </w:tc>
        <w:tc>
          <w:tcPr>
            <w:tcW w:w="567" w:type="dxa"/>
            <w:tcBorders>
              <w:bottom w:val="single" w:sz="4" w:space="0" w:color="auto"/>
            </w:tcBorders>
            <w:shd w:val="clear" w:color="auto" w:fill="92D05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rPr>
          <w:trHeight w:val="861"/>
        </w:trPr>
        <w:tc>
          <w:tcPr>
            <w:tcW w:w="1980"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Communication strategy</w:t>
            </w:r>
          </w:p>
        </w:tc>
        <w:tc>
          <w:tcPr>
            <w:tcW w:w="4785"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Communication/ engagement strategy for private sector and civil society prepared</w:t>
            </w:r>
          </w:p>
        </w:tc>
        <w:tc>
          <w:tcPr>
            <w:tcW w:w="3402"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Evidence of submission of strategy to Cabinet</w:t>
            </w:r>
          </w:p>
        </w:tc>
        <w:tc>
          <w:tcPr>
            <w:tcW w:w="1226"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MoF</w:t>
            </w:r>
            <w:proofErr w:type="spellEnd"/>
          </w:p>
        </w:tc>
        <w:tc>
          <w:tcPr>
            <w:tcW w:w="2890" w:type="dxa"/>
            <w:tcBorders>
              <w:top w:val="single" w:sz="4" w:space="0" w:color="auto"/>
              <w:left w:val="single" w:sz="4" w:space="0" w:color="auto"/>
              <w:bottom w:val="single" w:sz="4" w:space="0" w:color="auto"/>
              <w:right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Completed</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Copy of the FK or Cabinet Decision?</w:t>
            </w: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lastRenderedPageBreak/>
              <w:t>Inland Revenue Customer Survey</w:t>
            </w:r>
          </w:p>
        </w:tc>
        <w:tc>
          <w:tcPr>
            <w:tcW w:w="4785"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Customer satisfaction survey completed by </w:t>
            </w:r>
            <w:proofErr w:type="spellStart"/>
            <w:r w:rsidRPr="00BC0230">
              <w:rPr>
                <w:rFonts w:asciiTheme="minorHAnsi" w:eastAsiaTheme="minorHAnsi" w:hAnsiTheme="minorHAnsi" w:cstheme="minorBidi"/>
                <w:sz w:val="20"/>
                <w:szCs w:val="20"/>
                <w:lang w:eastAsia="en-US"/>
              </w:rPr>
              <w:t>MfR</w:t>
            </w:r>
            <w:proofErr w:type="spellEnd"/>
          </w:p>
        </w:tc>
        <w:tc>
          <w:tcPr>
            <w:tcW w:w="3402"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Customer Survey Report</w:t>
            </w:r>
          </w:p>
        </w:tc>
        <w:tc>
          <w:tcPr>
            <w:tcW w:w="1226"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MfR</w:t>
            </w:r>
            <w:proofErr w:type="spellEnd"/>
          </w:p>
        </w:tc>
        <w:tc>
          <w:tcPr>
            <w:tcW w:w="2890" w:type="dxa"/>
            <w:tcBorders>
              <w:top w:val="single" w:sz="4" w:space="0" w:color="auto"/>
            </w:tcBorders>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These are now being completed quarterly – copy of?</w:t>
            </w:r>
          </w:p>
        </w:tc>
        <w:tc>
          <w:tcPr>
            <w:tcW w:w="567" w:type="dxa"/>
            <w:tcBorders>
              <w:top w:val="single" w:sz="4" w:space="0" w:color="auto"/>
            </w:tcBorders>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Inland Revenue Tax Arrears</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 tax arrears report will be prepared</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Exec summary of tax arrears report submitted to Revenue Board</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MfR</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Awaiting data cleansing as RMS is upgraded.  Data can then be used to compile the report</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On course for June</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Inland Revenue Database</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The RMS Inland Revenue Database upgrade completed</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Completion Report on database Upgrade</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MfR</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Phase 1 completed</w:t>
            </w:r>
          </w:p>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Other modules being implemented under Phase 2</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r w:rsidR="00AA7ACC" w:rsidRPr="00BC0230" w:rsidTr="0057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Tax legislation</w:t>
            </w:r>
          </w:p>
        </w:tc>
        <w:tc>
          <w:tcPr>
            <w:tcW w:w="4785"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 xml:space="preserve">The legislative framework (Income Tax Act 1974 &amp; Income Tax Administration Act 1974) for Inland Revenue Service will be reviewed to modernize language and style and introduce </w:t>
            </w:r>
            <w:proofErr w:type="spellStart"/>
            <w:r w:rsidRPr="00BC0230">
              <w:rPr>
                <w:rFonts w:asciiTheme="minorHAnsi" w:eastAsiaTheme="minorHAnsi" w:hAnsiTheme="minorHAnsi" w:cstheme="minorBidi"/>
                <w:sz w:val="20"/>
                <w:szCs w:val="20"/>
                <w:lang w:eastAsia="en-US"/>
              </w:rPr>
              <w:t>self assessment</w:t>
            </w:r>
            <w:proofErr w:type="spellEnd"/>
            <w:r w:rsidRPr="00BC0230">
              <w:rPr>
                <w:rFonts w:asciiTheme="minorHAnsi" w:eastAsiaTheme="minorHAnsi" w:hAnsiTheme="minorHAnsi" w:cstheme="minorBidi"/>
                <w:sz w:val="20"/>
                <w:szCs w:val="20"/>
                <w:lang w:eastAsia="en-US"/>
              </w:rPr>
              <w:t xml:space="preserve"> for Income Tax</w:t>
            </w:r>
          </w:p>
        </w:tc>
        <w:tc>
          <w:tcPr>
            <w:tcW w:w="3402"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Report on review with proposed amendments</w:t>
            </w:r>
          </w:p>
        </w:tc>
        <w:tc>
          <w:tcPr>
            <w:tcW w:w="1226"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proofErr w:type="spellStart"/>
            <w:r w:rsidRPr="00BC0230">
              <w:rPr>
                <w:rFonts w:asciiTheme="minorHAnsi" w:eastAsiaTheme="minorHAnsi" w:hAnsiTheme="minorHAnsi" w:cstheme="minorBidi"/>
                <w:sz w:val="20"/>
                <w:szCs w:val="20"/>
                <w:lang w:eastAsia="en-US"/>
              </w:rPr>
              <w:t>MfR</w:t>
            </w:r>
            <w:proofErr w:type="spellEnd"/>
          </w:p>
        </w:tc>
        <w:tc>
          <w:tcPr>
            <w:tcW w:w="2890" w:type="dxa"/>
          </w:tcPr>
          <w:p w:rsidR="00AA7ACC" w:rsidRPr="00BC0230" w:rsidRDefault="00AA7ACC" w:rsidP="00AA7ACC">
            <w:pPr>
              <w:spacing w:after="200" w:line="276" w:lineRule="auto"/>
              <w:rPr>
                <w:rFonts w:asciiTheme="minorHAnsi" w:eastAsiaTheme="minorHAnsi" w:hAnsiTheme="minorHAnsi" w:cstheme="minorBidi"/>
                <w:sz w:val="20"/>
                <w:szCs w:val="20"/>
                <w:lang w:eastAsia="en-US"/>
              </w:rPr>
            </w:pPr>
            <w:r w:rsidRPr="00BC0230">
              <w:rPr>
                <w:rFonts w:asciiTheme="minorHAnsi" w:eastAsiaTheme="minorHAnsi" w:hAnsiTheme="minorHAnsi" w:cstheme="minorBidi"/>
                <w:sz w:val="20"/>
                <w:szCs w:val="20"/>
                <w:lang w:eastAsia="en-US"/>
              </w:rPr>
              <w:t>2 Bills are now before Parliament, and have gone through first reading</w:t>
            </w:r>
          </w:p>
        </w:tc>
        <w:tc>
          <w:tcPr>
            <w:tcW w:w="567" w:type="dxa"/>
            <w:shd w:val="clear" w:color="auto" w:fill="00B0F0"/>
          </w:tcPr>
          <w:p w:rsidR="00AA7ACC" w:rsidRPr="00BC0230" w:rsidRDefault="00AA7ACC" w:rsidP="00AA7ACC">
            <w:pPr>
              <w:spacing w:after="200" w:line="276" w:lineRule="auto"/>
              <w:jc w:val="center"/>
              <w:rPr>
                <w:rFonts w:asciiTheme="minorHAnsi" w:eastAsiaTheme="minorHAnsi" w:hAnsiTheme="minorHAnsi" w:cstheme="minorBidi"/>
                <w:sz w:val="20"/>
                <w:szCs w:val="20"/>
                <w:lang w:eastAsia="en-US"/>
              </w:rPr>
            </w:pPr>
          </w:p>
        </w:tc>
      </w:tr>
    </w:tbl>
    <w:p w:rsidR="00871A4C" w:rsidRPr="00BC0230" w:rsidRDefault="00871A4C" w:rsidP="00BF0E16">
      <w:pPr>
        <w:spacing w:before="120"/>
        <w:rPr>
          <w:rFonts w:ascii="Calibri" w:hAnsi="Calibri"/>
        </w:rPr>
      </w:pPr>
    </w:p>
    <w:p w:rsidR="00871A4C" w:rsidRPr="00BC0230" w:rsidRDefault="00871A4C" w:rsidP="00BF0E16">
      <w:pPr>
        <w:spacing w:before="120"/>
        <w:rPr>
          <w:rFonts w:ascii="Calibri" w:hAnsi="Calibri"/>
        </w:rPr>
      </w:pPr>
    </w:p>
    <w:p w:rsidR="009D7A34" w:rsidRPr="00BC0230" w:rsidRDefault="009D7A34" w:rsidP="00BF0E16">
      <w:pPr>
        <w:rPr>
          <w:rFonts w:ascii="Calibri" w:hAnsi="Calibri"/>
        </w:rPr>
        <w:sectPr w:rsidR="009D7A34" w:rsidRPr="00BC0230" w:rsidSect="00391DA8">
          <w:pgSz w:w="16838" w:h="11906" w:orient="landscape"/>
          <w:pgMar w:top="1440" w:right="1440" w:bottom="1440" w:left="1440" w:header="720" w:footer="720" w:gutter="0"/>
          <w:cols w:space="720"/>
          <w:docGrid w:linePitch="360"/>
        </w:sectPr>
      </w:pPr>
    </w:p>
    <w:p w:rsidR="00381E65" w:rsidRPr="00BC0230" w:rsidRDefault="00C23091" w:rsidP="00381E65">
      <w:pPr>
        <w:pStyle w:val="Heading1"/>
        <w:numPr>
          <w:ilvl w:val="0"/>
          <w:numId w:val="0"/>
        </w:numPr>
      </w:pPr>
      <w:bookmarkStart w:id="44" w:name="_Toc306896495"/>
      <w:bookmarkStart w:id="45" w:name="_Toc322921252"/>
      <w:r>
        <w:rPr>
          <w:rFonts w:cs="Arial"/>
          <w:iCs/>
        </w:rPr>
        <w:lastRenderedPageBreak/>
        <w:t>Annex 6</w:t>
      </w:r>
      <w:r w:rsidR="00381E65" w:rsidRPr="00BC0230">
        <w:rPr>
          <w:rFonts w:cs="Arial"/>
          <w:iCs/>
        </w:rPr>
        <w:t xml:space="preserve"> Possible Targets for end June 2013</w:t>
      </w:r>
      <w:bookmarkEnd w:id="44"/>
      <w:bookmarkEnd w:id="45"/>
      <w:r w:rsidR="00381E65" w:rsidRPr="00BC0230">
        <w:t xml:space="preserve"> </w:t>
      </w:r>
    </w:p>
    <w:p w:rsidR="00381E65" w:rsidRPr="00BC0230" w:rsidRDefault="00381E65" w:rsidP="00381E65">
      <w:pPr>
        <w:spacing w:before="120"/>
      </w:pPr>
      <w:r w:rsidRPr="00BC0230">
        <w:t xml:space="preserve">(Developed </w:t>
      </w:r>
      <w:proofErr w:type="spellStart"/>
      <w:r w:rsidRPr="00BC0230">
        <w:t>mid 2011</w:t>
      </w:r>
      <w:proofErr w:type="spellEnd"/>
      <w:r w:rsidRPr="00BC0230">
        <w:t xml:space="preserve">, and may now be out of date.  Refer to discussion in section </w:t>
      </w:r>
      <w:r w:rsidRPr="00BC0230">
        <w:fldChar w:fldCharType="begin"/>
      </w:r>
      <w:r w:rsidRPr="00BC0230">
        <w:instrText xml:space="preserve"> REF _Ref322770682 \r \h </w:instrText>
      </w:r>
      <w:r w:rsidRPr="00BC0230">
        <w:fldChar w:fldCharType="separate"/>
      </w:r>
      <w:r w:rsidRPr="00BC0230">
        <w:t>8.2.2</w:t>
      </w:r>
      <w:r w:rsidRPr="00BC0230">
        <w:fldChar w:fldCharType="end"/>
      </w:r>
      <w:r w:rsidRPr="00BC0230">
        <w:t xml:space="preserve"> above)</w:t>
      </w:r>
    </w:p>
    <w:p w:rsidR="00381E65" w:rsidRPr="00BC0230" w:rsidRDefault="00381E65" w:rsidP="00381E65">
      <w:pPr>
        <w:rPr>
          <w:rFonts w:ascii="Calibri" w:hAnsi="Calibri"/>
          <w:b/>
          <w:sz w:val="20"/>
          <w:szCs w:val="20"/>
        </w:rPr>
      </w:pPr>
    </w:p>
    <w:tbl>
      <w:tblPr>
        <w:tblW w:w="1582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697"/>
        <w:gridCol w:w="5308"/>
        <w:gridCol w:w="1450"/>
        <w:gridCol w:w="3050"/>
        <w:gridCol w:w="1417"/>
        <w:gridCol w:w="1134"/>
        <w:gridCol w:w="1213"/>
      </w:tblGrid>
      <w:tr w:rsidR="00381E65" w:rsidRPr="00BC0230" w:rsidTr="00716D47">
        <w:tc>
          <w:tcPr>
            <w:tcW w:w="555"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Ref</w:t>
            </w:r>
          </w:p>
        </w:tc>
        <w:tc>
          <w:tcPr>
            <w:tcW w:w="1697"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Indicator Title</w:t>
            </w:r>
          </w:p>
        </w:tc>
        <w:tc>
          <w:tcPr>
            <w:tcW w:w="5308"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Policy Actions</w:t>
            </w:r>
          </w:p>
        </w:tc>
        <w:tc>
          <w:tcPr>
            <w:tcW w:w="1450"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Target No. of deliverables</w:t>
            </w:r>
          </w:p>
        </w:tc>
        <w:tc>
          <w:tcPr>
            <w:tcW w:w="3050"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Means of verification</w:t>
            </w:r>
          </w:p>
        </w:tc>
        <w:tc>
          <w:tcPr>
            <w:tcW w:w="1417"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Responsible</w:t>
            </w:r>
          </w:p>
        </w:tc>
        <w:tc>
          <w:tcPr>
            <w:tcW w:w="1134"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Weight</w:t>
            </w:r>
          </w:p>
          <w:p w:rsidR="00381E65" w:rsidRPr="00BC0230" w:rsidRDefault="00381E65" w:rsidP="00381E65">
            <w:pPr>
              <w:jc w:val="center"/>
              <w:rPr>
                <w:rFonts w:ascii="Calibri" w:hAnsi="Calibri"/>
              </w:rPr>
            </w:pPr>
            <w:r w:rsidRPr="00BC0230">
              <w:rPr>
                <w:rFonts w:ascii="Calibri" w:hAnsi="Calibri"/>
              </w:rPr>
              <w:t>(max 5)</w:t>
            </w:r>
          </w:p>
        </w:tc>
        <w:tc>
          <w:tcPr>
            <w:tcW w:w="1213" w:type="dxa"/>
            <w:shd w:val="clear" w:color="auto" w:fill="D9D9D9"/>
            <w:vAlign w:val="center"/>
          </w:tcPr>
          <w:p w:rsidR="00381E65" w:rsidRPr="00BC0230" w:rsidRDefault="00381E65" w:rsidP="00381E65">
            <w:pPr>
              <w:jc w:val="center"/>
              <w:rPr>
                <w:rFonts w:ascii="Calibri" w:hAnsi="Calibri"/>
              </w:rPr>
            </w:pPr>
            <w:r w:rsidRPr="00BC0230">
              <w:rPr>
                <w:rFonts w:ascii="Calibri" w:hAnsi="Calibri"/>
              </w:rPr>
              <w:t>Score (Target. x Weight)</w:t>
            </w:r>
          </w:p>
        </w:tc>
      </w:tr>
      <w:tr w:rsidR="00381E65" w:rsidRPr="00BC0230" w:rsidTr="00716D47">
        <w:tc>
          <w:tcPr>
            <w:tcW w:w="15824" w:type="dxa"/>
            <w:gridSpan w:val="8"/>
          </w:tcPr>
          <w:p w:rsidR="00381E65" w:rsidRPr="00BC0230" w:rsidRDefault="00381E65" w:rsidP="00381E65">
            <w:pPr>
              <w:jc w:val="center"/>
            </w:pPr>
            <w:r w:rsidRPr="00BC0230">
              <w:rPr>
                <w:rFonts w:ascii="Calibri" w:hAnsi="Calibri"/>
              </w:rPr>
              <w:t>Strengthened planning systems</w:t>
            </w:r>
          </w:p>
        </w:tc>
      </w:tr>
      <w:tr w:rsidR="00381E65" w:rsidRPr="00BC0230" w:rsidTr="00716D47">
        <w:tc>
          <w:tcPr>
            <w:tcW w:w="555" w:type="dxa"/>
          </w:tcPr>
          <w:p w:rsidR="00381E65" w:rsidRPr="00BC0230" w:rsidRDefault="00381E65" w:rsidP="00381E65">
            <w:pPr>
              <w:rPr>
                <w:rFonts w:ascii="Calibri" w:hAnsi="Calibri"/>
              </w:rPr>
            </w:pPr>
            <w:r w:rsidRPr="00BC0230">
              <w:t>1</w:t>
            </w:r>
          </w:p>
        </w:tc>
        <w:tc>
          <w:tcPr>
            <w:tcW w:w="1697" w:type="dxa"/>
          </w:tcPr>
          <w:p w:rsidR="00381E65" w:rsidRPr="00BC0230" w:rsidRDefault="00381E65" w:rsidP="00381E65">
            <w:pPr>
              <w:rPr>
                <w:rFonts w:ascii="Calibri" w:hAnsi="Calibri"/>
              </w:rPr>
            </w:pPr>
            <w:r w:rsidRPr="00BC0230">
              <w:rPr>
                <w:rFonts w:ascii="Calibri" w:hAnsi="Calibri"/>
              </w:rPr>
              <w:t>Sector Planning</w:t>
            </w:r>
          </w:p>
        </w:tc>
        <w:tc>
          <w:tcPr>
            <w:tcW w:w="5308" w:type="dxa"/>
          </w:tcPr>
          <w:p w:rsidR="00381E65" w:rsidRPr="00BC0230" w:rsidRDefault="00381E65" w:rsidP="00381E65">
            <w:pPr>
              <w:rPr>
                <w:rFonts w:ascii="Calibri" w:hAnsi="Calibri"/>
              </w:rPr>
            </w:pPr>
            <w:r w:rsidRPr="00BC0230">
              <w:rPr>
                <w:rFonts w:ascii="Calibri" w:hAnsi="Calibri"/>
              </w:rPr>
              <w:t>Number of sector plans approved with content including: at least 3 key performance indicators with targets, institutional arrangements including non-government entities, and an annual review mechanism.  Target number of 13 sectors</w:t>
            </w:r>
          </w:p>
        </w:tc>
        <w:tc>
          <w:tcPr>
            <w:tcW w:w="1450" w:type="dxa"/>
          </w:tcPr>
          <w:p w:rsidR="00381E65" w:rsidRPr="00BC0230" w:rsidRDefault="00381E65" w:rsidP="00381E65">
            <w:pPr>
              <w:jc w:val="center"/>
              <w:rPr>
                <w:rFonts w:ascii="Calibri" w:hAnsi="Calibri"/>
              </w:rPr>
            </w:pPr>
            <w:r w:rsidRPr="00BC0230">
              <w:rPr>
                <w:rFonts w:ascii="Calibri" w:hAnsi="Calibri"/>
              </w:rPr>
              <w:t>4</w:t>
            </w:r>
          </w:p>
        </w:tc>
        <w:tc>
          <w:tcPr>
            <w:tcW w:w="3050" w:type="dxa"/>
          </w:tcPr>
          <w:p w:rsidR="00381E65" w:rsidRPr="00BC0230" w:rsidRDefault="00381E65" w:rsidP="00381E65">
            <w:pPr>
              <w:rPr>
                <w:rFonts w:ascii="Calibri" w:hAnsi="Calibri"/>
              </w:rPr>
            </w:pPr>
            <w:r w:rsidRPr="00BC0230">
              <w:rPr>
                <w:rFonts w:ascii="Calibri" w:hAnsi="Calibri"/>
              </w:rPr>
              <w:t>Approval of Sector plans by CDC or Cabinet</w:t>
            </w:r>
          </w:p>
        </w:tc>
        <w:tc>
          <w:tcPr>
            <w:tcW w:w="1417" w:type="dxa"/>
          </w:tcPr>
          <w:p w:rsidR="00381E65" w:rsidRPr="00BC0230" w:rsidRDefault="00381E65" w:rsidP="00381E65">
            <w:pPr>
              <w:rPr>
                <w:rFonts w:ascii="Calibri" w:hAnsi="Calibri"/>
              </w:rPr>
            </w:pPr>
            <w:r w:rsidRPr="00BC0230">
              <w:rPr>
                <w:rFonts w:ascii="Calibri" w:hAnsi="Calibri"/>
              </w:rPr>
              <w:t>EPPD and line-Ministries</w:t>
            </w:r>
          </w:p>
        </w:tc>
        <w:tc>
          <w:tcPr>
            <w:tcW w:w="1134" w:type="dxa"/>
          </w:tcPr>
          <w:p w:rsidR="00381E65" w:rsidRPr="00BC0230" w:rsidRDefault="00381E65" w:rsidP="00381E65">
            <w:pPr>
              <w:jc w:val="center"/>
              <w:rPr>
                <w:rFonts w:ascii="Calibri" w:hAnsi="Calibri"/>
              </w:rPr>
            </w:pPr>
            <w:r w:rsidRPr="00BC0230">
              <w:rPr>
                <w:rFonts w:ascii="Calibri" w:hAnsi="Calibri"/>
              </w:rPr>
              <w:t>5</w:t>
            </w:r>
          </w:p>
        </w:tc>
        <w:tc>
          <w:tcPr>
            <w:tcW w:w="1213" w:type="dxa"/>
          </w:tcPr>
          <w:p w:rsidR="00381E65" w:rsidRPr="00BC0230" w:rsidRDefault="00381E65" w:rsidP="00381E65">
            <w:pPr>
              <w:jc w:val="center"/>
              <w:rPr>
                <w:rFonts w:ascii="Calibri" w:hAnsi="Calibri"/>
              </w:rPr>
            </w:pPr>
            <w:r w:rsidRPr="00BC0230">
              <w:rPr>
                <w:rFonts w:ascii="Calibri" w:hAnsi="Calibri"/>
              </w:rPr>
              <w:t>20</w:t>
            </w:r>
          </w:p>
        </w:tc>
      </w:tr>
      <w:tr w:rsidR="00381E65" w:rsidRPr="00BC0230" w:rsidTr="00716D47">
        <w:tc>
          <w:tcPr>
            <w:tcW w:w="555" w:type="dxa"/>
          </w:tcPr>
          <w:p w:rsidR="00381E65" w:rsidRPr="00BC0230" w:rsidRDefault="00381E65" w:rsidP="00381E65">
            <w:pPr>
              <w:rPr>
                <w:rFonts w:ascii="Calibri" w:hAnsi="Calibri"/>
              </w:rPr>
            </w:pPr>
            <w:r w:rsidRPr="00BC0230">
              <w:t>3</w:t>
            </w:r>
          </w:p>
        </w:tc>
        <w:tc>
          <w:tcPr>
            <w:tcW w:w="1697" w:type="dxa"/>
          </w:tcPr>
          <w:p w:rsidR="00381E65" w:rsidRPr="00BC0230" w:rsidRDefault="00381E65" w:rsidP="00381E65">
            <w:pPr>
              <w:rPr>
                <w:rFonts w:ascii="Calibri" w:hAnsi="Calibri"/>
              </w:rPr>
            </w:pPr>
            <w:r w:rsidRPr="00BC0230">
              <w:rPr>
                <w:rFonts w:ascii="Calibri" w:hAnsi="Calibri"/>
              </w:rPr>
              <w:t>Sector Monitoring</w:t>
            </w:r>
          </w:p>
        </w:tc>
        <w:tc>
          <w:tcPr>
            <w:tcW w:w="5308" w:type="dxa"/>
          </w:tcPr>
          <w:p w:rsidR="00381E65" w:rsidRPr="00BC0230" w:rsidRDefault="00381E65" w:rsidP="00381E65">
            <w:pPr>
              <w:rPr>
                <w:rFonts w:ascii="Calibri" w:hAnsi="Calibri"/>
              </w:rPr>
            </w:pPr>
            <w:r w:rsidRPr="00BC0230">
              <w:rPr>
                <w:rFonts w:ascii="Calibri" w:hAnsi="Calibri"/>
              </w:rPr>
              <w:t>Number of Sector Plans being monitored with annual review meetings with all stakeholders to discuss progress/ constraints and performance indicators. Target number of 5 sectors</w:t>
            </w:r>
          </w:p>
        </w:tc>
        <w:tc>
          <w:tcPr>
            <w:tcW w:w="1450" w:type="dxa"/>
          </w:tcPr>
          <w:p w:rsidR="00381E65" w:rsidRPr="00BC0230" w:rsidRDefault="00381E65" w:rsidP="00381E65">
            <w:pPr>
              <w:jc w:val="center"/>
              <w:rPr>
                <w:rFonts w:ascii="Calibri" w:hAnsi="Calibri"/>
              </w:rPr>
            </w:pPr>
            <w:r w:rsidRPr="00BC0230">
              <w:rPr>
                <w:rFonts w:ascii="Calibri" w:hAnsi="Calibri"/>
              </w:rPr>
              <w:t>5</w:t>
            </w:r>
          </w:p>
        </w:tc>
        <w:tc>
          <w:tcPr>
            <w:tcW w:w="3050" w:type="dxa"/>
          </w:tcPr>
          <w:p w:rsidR="00381E65" w:rsidRPr="00BC0230" w:rsidRDefault="00381E65" w:rsidP="00381E65">
            <w:pPr>
              <w:rPr>
                <w:rFonts w:ascii="Calibri" w:hAnsi="Calibri"/>
              </w:rPr>
            </w:pPr>
            <w:r w:rsidRPr="00BC0230">
              <w:rPr>
                <w:rFonts w:ascii="Calibri" w:hAnsi="Calibri"/>
              </w:rPr>
              <w:t>Minutes of sector meetings</w:t>
            </w:r>
          </w:p>
        </w:tc>
        <w:tc>
          <w:tcPr>
            <w:tcW w:w="1417" w:type="dxa"/>
          </w:tcPr>
          <w:p w:rsidR="00381E65" w:rsidRPr="00BC0230" w:rsidRDefault="00381E65" w:rsidP="00381E65">
            <w:pPr>
              <w:rPr>
                <w:rFonts w:ascii="Calibri" w:hAnsi="Calibri"/>
              </w:rPr>
            </w:pPr>
            <w:r w:rsidRPr="00BC0230">
              <w:rPr>
                <w:rFonts w:ascii="Calibri" w:hAnsi="Calibri"/>
              </w:rPr>
              <w:t>EPPD and line-Ministries</w:t>
            </w:r>
          </w:p>
        </w:tc>
        <w:tc>
          <w:tcPr>
            <w:tcW w:w="1134" w:type="dxa"/>
          </w:tcPr>
          <w:p w:rsidR="00381E65" w:rsidRPr="00BC0230" w:rsidRDefault="00381E65" w:rsidP="00381E65">
            <w:pPr>
              <w:jc w:val="center"/>
              <w:rPr>
                <w:rFonts w:ascii="Calibri" w:hAnsi="Calibri"/>
              </w:rPr>
            </w:pPr>
            <w:r w:rsidRPr="00BC0230">
              <w:rPr>
                <w:rFonts w:ascii="Calibri" w:hAnsi="Calibri"/>
              </w:rPr>
              <w:t>5</w:t>
            </w:r>
          </w:p>
        </w:tc>
        <w:tc>
          <w:tcPr>
            <w:tcW w:w="1213" w:type="dxa"/>
          </w:tcPr>
          <w:p w:rsidR="00381E65" w:rsidRPr="00BC0230" w:rsidRDefault="00381E65" w:rsidP="00381E65">
            <w:pPr>
              <w:jc w:val="center"/>
              <w:rPr>
                <w:rFonts w:ascii="Calibri" w:hAnsi="Calibri"/>
              </w:rPr>
            </w:pPr>
            <w:r w:rsidRPr="00BC0230">
              <w:rPr>
                <w:rFonts w:ascii="Calibri" w:hAnsi="Calibri"/>
              </w:rPr>
              <w:t>25</w:t>
            </w:r>
          </w:p>
        </w:tc>
      </w:tr>
      <w:tr w:rsidR="00381E65" w:rsidRPr="00BC0230" w:rsidTr="00716D47">
        <w:tc>
          <w:tcPr>
            <w:tcW w:w="15824" w:type="dxa"/>
            <w:gridSpan w:val="8"/>
          </w:tcPr>
          <w:p w:rsidR="00381E65" w:rsidRPr="00BC0230" w:rsidRDefault="00381E65" w:rsidP="00381E65">
            <w:pPr>
              <w:jc w:val="center"/>
            </w:pPr>
            <w:r w:rsidRPr="00BC0230">
              <w:rPr>
                <w:rFonts w:ascii="Calibri" w:hAnsi="Calibri"/>
              </w:rPr>
              <w:t>Enhanced economic contribution of SOEs</w:t>
            </w:r>
          </w:p>
        </w:tc>
      </w:tr>
      <w:tr w:rsidR="00381E65" w:rsidRPr="00BC0230" w:rsidTr="00716D47">
        <w:tc>
          <w:tcPr>
            <w:tcW w:w="555" w:type="dxa"/>
          </w:tcPr>
          <w:p w:rsidR="00381E65" w:rsidRPr="00BC0230" w:rsidRDefault="00381E65" w:rsidP="00381E65">
            <w:pPr>
              <w:rPr>
                <w:rFonts w:ascii="Calibri" w:hAnsi="Calibri"/>
              </w:rPr>
            </w:pPr>
            <w:r w:rsidRPr="00BC0230">
              <w:t>5</w:t>
            </w:r>
          </w:p>
        </w:tc>
        <w:tc>
          <w:tcPr>
            <w:tcW w:w="1697" w:type="dxa"/>
          </w:tcPr>
          <w:p w:rsidR="00381E65" w:rsidRPr="00BC0230" w:rsidRDefault="00381E65" w:rsidP="00381E65">
            <w:pPr>
              <w:rPr>
                <w:rFonts w:ascii="Calibri" w:hAnsi="Calibri"/>
              </w:rPr>
            </w:pPr>
            <w:r w:rsidRPr="00BC0230">
              <w:rPr>
                <w:rFonts w:ascii="Calibri" w:hAnsi="Calibri"/>
              </w:rPr>
              <w:t>SOE Governance</w:t>
            </w:r>
          </w:p>
        </w:tc>
        <w:tc>
          <w:tcPr>
            <w:tcW w:w="5308" w:type="dxa"/>
          </w:tcPr>
          <w:p w:rsidR="00381E65" w:rsidRPr="00BC0230" w:rsidRDefault="00381E65" w:rsidP="00381E65">
            <w:pPr>
              <w:rPr>
                <w:rFonts w:ascii="Calibri" w:hAnsi="Calibri"/>
              </w:rPr>
            </w:pPr>
            <w:r w:rsidRPr="00BC0230">
              <w:rPr>
                <w:rFonts w:ascii="Calibri" w:hAnsi="Calibri"/>
              </w:rPr>
              <w:t>% of SOE Boards with no Government Ministers or officials – Target of 75%</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List of Board appointments</w:t>
            </w:r>
          </w:p>
        </w:tc>
        <w:tc>
          <w:tcPr>
            <w:tcW w:w="1417" w:type="dxa"/>
          </w:tcPr>
          <w:p w:rsidR="00381E65" w:rsidRPr="00BC0230" w:rsidRDefault="00381E65" w:rsidP="00381E65">
            <w:pPr>
              <w:rPr>
                <w:rFonts w:ascii="Calibri" w:hAnsi="Calibri"/>
              </w:rPr>
            </w:pPr>
            <w:r w:rsidRPr="00BC0230">
              <w:rPr>
                <w:rFonts w:ascii="Calibri" w:hAnsi="Calibri"/>
              </w:rPr>
              <w:t xml:space="preserve">SOEMD,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4</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tcPr>
          <w:p w:rsidR="00381E65" w:rsidRPr="00BC0230" w:rsidRDefault="00381E65" w:rsidP="00381E65">
            <w:pPr>
              <w:rPr>
                <w:rFonts w:ascii="Calibri" w:hAnsi="Calibri"/>
              </w:rPr>
            </w:pPr>
            <w:r w:rsidRPr="00BC0230">
              <w:t>5</w:t>
            </w:r>
          </w:p>
        </w:tc>
        <w:tc>
          <w:tcPr>
            <w:tcW w:w="1697" w:type="dxa"/>
          </w:tcPr>
          <w:p w:rsidR="00381E65" w:rsidRPr="00BC0230" w:rsidRDefault="00381E65" w:rsidP="00381E65">
            <w:pPr>
              <w:rPr>
                <w:rFonts w:ascii="Calibri" w:hAnsi="Calibri"/>
              </w:rPr>
            </w:pPr>
            <w:r w:rsidRPr="00BC0230">
              <w:rPr>
                <w:rFonts w:ascii="Calibri" w:hAnsi="Calibri"/>
              </w:rPr>
              <w:t xml:space="preserve">SOE Governance </w:t>
            </w:r>
          </w:p>
        </w:tc>
        <w:tc>
          <w:tcPr>
            <w:tcW w:w="5308" w:type="dxa"/>
          </w:tcPr>
          <w:p w:rsidR="00381E65" w:rsidRPr="00BC0230" w:rsidRDefault="00381E65" w:rsidP="00381E65">
            <w:pPr>
              <w:rPr>
                <w:rFonts w:ascii="Calibri" w:hAnsi="Calibri"/>
              </w:rPr>
            </w:pPr>
            <w:r w:rsidRPr="00BC0230">
              <w:rPr>
                <w:rFonts w:ascii="Calibri" w:hAnsi="Calibri"/>
              </w:rPr>
              <w:t xml:space="preserve">Induction training completed for at least 50% of SOE Board Directors.  </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Training Reports</w:t>
            </w:r>
          </w:p>
        </w:tc>
        <w:tc>
          <w:tcPr>
            <w:tcW w:w="1417" w:type="dxa"/>
          </w:tcPr>
          <w:p w:rsidR="00381E65" w:rsidRPr="00BC0230" w:rsidRDefault="00381E65" w:rsidP="00381E65">
            <w:pPr>
              <w:rPr>
                <w:rFonts w:ascii="Calibri" w:hAnsi="Calibri"/>
              </w:rPr>
            </w:pPr>
            <w:r w:rsidRPr="00BC0230">
              <w:rPr>
                <w:rFonts w:ascii="Calibri" w:hAnsi="Calibri"/>
              </w:rPr>
              <w:t xml:space="preserve">SOEMD,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4</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tcPr>
          <w:p w:rsidR="00381E65" w:rsidRPr="00BC0230" w:rsidRDefault="00381E65" w:rsidP="00381E65">
            <w:pPr>
              <w:rPr>
                <w:rFonts w:ascii="Calibri" w:hAnsi="Calibri"/>
              </w:rPr>
            </w:pPr>
            <w:r w:rsidRPr="00BC0230">
              <w:t>6</w:t>
            </w:r>
          </w:p>
        </w:tc>
        <w:tc>
          <w:tcPr>
            <w:tcW w:w="1697" w:type="dxa"/>
          </w:tcPr>
          <w:p w:rsidR="00381E65" w:rsidRPr="00BC0230" w:rsidRDefault="00381E65" w:rsidP="00381E65">
            <w:pPr>
              <w:rPr>
                <w:rFonts w:ascii="Calibri" w:hAnsi="Calibri"/>
              </w:rPr>
            </w:pPr>
            <w:r w:rsidRPr="00BC0230">
              <w:rPr>
                <w:rFonts w:ascii="Calibri" w:hAnsi="Calibri"/>
              </w:rPr>
              <w:t>SOE Performance</w:t>
            </w:r>
          </w:p>
        </w:tc>
        <w:tc>
          <w:tcPr>
            <w:tcW w:w="5308" w:type="dxa"/>
          </w:tcPr>
          <w:p w:rsidR="00381E65" w:rsidRPr="00BC0230" w:rsidRDefault="00381E65" w:rsidP="00381E65">
            <w:pPr>
              <w:rPr>
                <w:rFonts w:ascii="Calibri" w:hAnsi="Calibri"/>
              </w:rPr>
            </w:pPr>
            <w:r w:rsidRPr="00BC0230">
              <w:rPr>
                <w:rFonts w:ascii="Calibri" w:hAnsi="Calibri"/>
              </w:rPr>
              <w:t>Key performance indicators (KPIs) agreed for at least 15 SOEs</w:t>
            </w:r>
          </w:p>
        </w:tc>
        <w:tc>
          <w:tcPr>
            <w:tcW w:w="1450" w:type="dxa"/>
          </w:tcPr>
          <w:p w:rsidR="00381E65" w:rsidRPr="00BC0230" w:rsidRDefault="00381E65" w:rsidP="00381E65">
            <w:pPr>
              <w:jc w:val="center"/>
              <w:rPr>
                <w:rFonts w:ascii="Calibri" w:hAnsi="Calibri"/>
              </w:rPr>
            </w:pPr>
            <w:r w:rsidRPr="00BC0230">
              <w:rPr>
                <w:rFonts w:ascii="Calibri" w:hAnsi="Calibri"/>
              </w:rPr>
              <w:t>10</w:t>
            </w:r>
          </w:p>
        </w:tc>
        <w:tc>
          <w:tcPr>
            <w:tcW w:w="3050" w:type="dxa"/>
          </w:tcPr>
          <w:p w:rsidR="00381E65" w:rsidRPr="00BC0230" w:rsidRDefault="00381E65" w:rsidP="00381E65">
            <w:pPr>
              <w:rPr>
                <w:rFonts w:ascii="Calibri" w:hAnsi="Calibri"/>
              </w:rPr>
            </w:pPr>
            <w:r w:rsidRPr="00BC0230">
              <w:rPr>
                <w:rFonts w:ascii="Calibri" w:hAnsi="Calibri"/>
              </w:rPr>
              <w:t xml:space="preserve">Copy of approved KPIs </w:t>
            </w:r>
          </w:p>
        </w:tc>
        <w:tc>
          <w:tcPr>
            <w:tcW w:w="1417" w:type="dxa"/>
          </w:tcPr>
          <w:p w:rsidR="00381E65" w:rsidRPr="00BC0230" w:rsidRDefault="00381E65" w:rsidP="00381E65">
            <w:pPr>
              <w:rPr>
                <w:rFonts w:ascii="Calibri" w:hAnsi="Calibri"/>
              </w:rPr>
            </w:pPr>
            <w:r w:rsidRPr="00BC0230">
              <w:rPr>
                <w:rFonts w:ascii="Calibri" w:hAnsi="Calibri"/>
              </w:rPr>
              <w:t>SOEMD,</w:t>
            </w:r>
          </w:p>
          <w:p w:rsidR="00381E65" w:rsidRPr="00BC0230" w:rsidRDefault="00381E65" w:rsidP="00381E65">
            <w:pPr>
              <w:rPr>
                <w:rFonts w:ascii="Calibri" w:hAnsi="Calibri"/>
              </w:rPr>
            </w:pP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5</w:t>
            </w:r>
          </w:p>
        </w:tc>
        <w:tc>
          <w:tcPr>
            <w:tcW w:w="1213" w:type="dxa"/>
          </w:tcPr>
          <w:p w:rsidR="00381E65" w:rsidRPr="00BC0230" w:rsidRDefault="00381E65" w:rsidP="00381E65">
            <w:pPr>
              <w:jc w:val="center"/>
              <w:rPr>
                <w:rFonts w:ascii="Calibri" w:hAnsi="Calibri"/>
              </w:rPr>
            </w:pPr>
            <w:r w:rsidRPr="00BC0230">
              <w:rPr>
                <w:rFonts w:ascii="Calibri" w:hAnsi="Calibri"/>
              </w:rPr>
              <w:t>50</w:t>
            </w:r>
          </w:p>
        </w:tc>
      </w:tr>
      <w:tr w:rsidR="00381E65" w:rsidRPr="00BC0230" w:rsidTr="00716D47">
        <w:tc>
          <w:tcPr>
            <w:tcW w:w="15824" w:type="dxa"/>
            <w:gridSpan w:val="8"/>
          </w:tcPr>
          <w:p w:rsidR="00381E65" w:rsidRPr="00BC0230" w:rsidRDefault="00381E65" w:rsidP="00381E65">
            <w:pPr>
              <w:jc w:val="center"/>
            </w:pPr>
            <w:r w:rsidRPr="00BC0230">
              <w:rPr>
                <w:rFonts w:ascii="Calibri" w:hAnsi="Calibri"/>
              </w:rPr>
              <w:t>Improved Public Financial Management Systems</w:t>
            </w:r>
          </w:p>
        </w:tc>
      </w:tr>
      <w:tr w:rsidR="00381E65" w:rsidRPr="00BC0230" w:rsidTr="00716D47">
        <w:tc>
          <w:tcPr>
            <w:tcW w:w="555" w:type="dxa"/>
          </w:tcPr>
          <w:p w:rsidR="00381E65" w:rsidRPr="00BC0230" w:rsidRDefault="00381E65" w:rsidP="00381E65">
            <w:pPr>
              <w:rPr>
                <w:rFonts w:ascii="Calibri" w:hAnsi="Calibri"/>
              </w:rPr>
            </w:pPr>
            <w:r w:rsidRPr="00BC0230">
              <w:t>10</w:t>
            </w:r>
          </w:p>
        </w:tc>
        <w:tc>
          <w:tcPr>
            <w:tcW w:w="1697" w:type="dxa"/>
          </w:tcPr>
          <w:p w:rsidR="00381E65" w:rsidRPr="00BC0230" w:rsidRDefault="00381E65" w:rsidP="00381E65">
            <w:pPr>
              <w:rPr>
                <w:rFonts w:ascii="Calibri" w:hAnsi="Calibri"/>
              </w:rPr>
            </w:pPr>
            <w:r w:rsidRPr="00BC0230">
              <w:rPr>
                <w:rFonts w:ascii="Calibri" w:hAnsi="Calibri"/>
              </w:rPr>
              <w:t>Finance Sector Coordination</w:t>
            </w:r>
          </w:p>
        </w:tc>
        <w:tc>
          <w:tcPr>
            <w:tcW w:w="5308" w:type="dxa"/>
          </w:tcPr>
          <w:p w:rsidR="00381E65" w:rsidRPr="00BC0230" w:rsidRDefault="00381E65" w:rsidP="00381E65">
            <w:pPr>
              <w:rPr>
                <w:rFonts w:ascii="Calibri" w:hAnsi="Calibri"/>
              </w:rPr>
            </w:pPr>
            <w:r w:rsidRPr="00BC0230">
              <w:rPr>
                <w:rFonts w:ascii="Calibri" w:hAnsi="Calibri"/>
              </w:rPr>
              <w:t>No. of Finance Sector Advisory Committee meetings held in FY 2012/13</w:t>
            </w:r>
          </w:p>
        </w:tc>
        <w:tc>
          <w:tcPr>
            <w:tcW w:w="1450" w:type="dxa"/>
          </w:tcPr>
          <w:p w:rsidR="00381E65" w:rsidRPr="00BC0230" w:rsidRDefault="00381E65" w:rsidP="00381E65">
            <w:pPr>
              <w:jc w:val="center"/>
              <w:rPr>
                <w:rFonts w:ascii="Calibri" w:hAnsi="Calibri"/>
              </w:rPr>
            </w:pPr>
            <w:r w:rsidRPr="00BC0230">
              <w:rPr>
                <w:rFonts w:ascii="Calibri" w:hAnsi="Calibri"/>
              </w:rPr>
              <w:t>4</w:t>
            </w:r>
          </w:p>
        </w:tc>
        <w:tc>
          <w:tcPr>
            <w:tcW w:w="3050" w:type="dxa"/>
          </w:tcPr>
          <w:p w:rsidR="00381E65" w:rsidRPr="00BC0230" w:rsidRDefault="00381E65" w:rsidP="00381E65">
            <w:pPr>
              <w:rPr>
                <w:rFonts w:ascii="Calibri" w:hAnsi="Calibri"/>
              </w:rPr>
            </w:pPr>
            <w:r w:rsidRPr="00BC0230">
              <w:rPr>
                <w:rFonts w:ascii="Calibri" w:hAnsi="Calibri"/>
              </w:rPr>
              <w:t>Minutes of meetings</w:t>
            </w:r>
          </w:p>
        </w:tc>
        <w:tc>
          <w:tcPr>
            <w:tcW w:w="1417" w:type="dxa"/>
          </w:tcPr>
          <w:p w:rsidR="00381E65" w:rsidRPr="00BC0230" w:rsidRDefault="00381E65" w:rsidP="00381E65">
            <w:pPr>
              <w:rPr>
                <w:rFonts w:ascii="Calibri" w:hAnsi="Calibri"/>
              </w:rPr>
            </w:pPr>
            <w:r w:rsidRPr="00BC0230">
              <w:rPr>
                <w:rFonts w:ascii="Calibri" w:hAnsi="Calibri"/>
              </w:rPr>
              <w:t xml:space="preserve">CEO,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2</w:t>
            </w:r>
          </w:p>
        </w:tc>
        <w:tc>
          <w:tcPr>
            <w:tcW w:w="1213" w:type="dxa"/>
          </w:tcPr>
          <w:p w:rsidR="00381E65" w:rsidRPr="00BC0230" w:rsidRDefault="00381E65" w:rsidP="00381E65">
            <w:pPr>
              <w:jc w:val="center"/>
              <w:rPr>
                <w:rFonts w:ascii="Calibri" w:hAnsi="Calibri"/>
              </w:rPr>
            </w:pPr>
            <w:r w:rsidRPr="00BC0230">
              <w:rPr>
                <w:rFonts w:ascii="Calibri" w:hAnsi="Calibri"/>
              </w:rPr>
              <w:t>8</w:t>
            </w:r>
          </w:p>
        </w:tc>
      </w:tr>
      <w:tr w:rsidR="00381E65" w:rsidRPr="00BC0230" w:rsidTr="00716D47">
        <w:tc>
          <w:tcPr>
            <w:tcW w:w="555" w:type="dxa"/>
          </w:tcPr>
          <w:p w:rsidR="00381E65" w:rsidRPr="00BC0230" w:rsidRDefault="00381E65" w:rsidP="00381E65">
            <w:pPr>
              <w:rPr>
                <w:rFonts w:ascii="Calibri" w:hAnsi="Calibri"/>
              </w:rPr>
            </w:pPr>
            <w:r w:rsidRPr="00BC0230">
              <w:t>11</w:t>
            </w:r>
          </w:p>
        </w:tc>
        <w:tc>
          <w:tcPr>
            <w:tcW w:w="1697" w:type="dxa"/>
          </w:tcPr>
          <w:p w:rsidR="00381E65" w:rsidRPr="00BC0230" w:rsidRDefault="00381E65" w:rsidP="00381E65">
            <w:pPr>
              <w:rPr>
                <w:rFonts w:ascii="Calibri" w:hAnsi="Calibri"/>
              </w:rPr>
            </w:pPr>
            <w:r w:rsidRPr="00BC0230">
              <w:rPr>
                <w:rFonts w:ascii="Calibri" w:hAnsi="Calibri"/>
              </w:rPr>
              <w:t xml:space="preserve">Procurement systems </w:t>
            </w:r>
          </w:p>
        </w:tc>
        <w:tc>
          <w:tcPr>
            <w:tcW w:w="5308" w:type="dxa"/>
          </w:tcPr>
          <w:p w:rsidR="00381E65" w:rsidRPr="00BC0230" w:rsidRDefault="00381E65" w:rsidP="00381E65">
            <w:pPr>
              <w:rPr>
                <w:rFonts w:ascii="Calibri" w:hAnsi="Calibri"/>
              </w:rPr>
            </w:pPr>
            <w:r w:rsidRPr="00BC0230">
              <w:rPr>
                <w:rFonts w:ascii="Calibri" w:hAnsi="Calibri"/>
              </w:rPr>
              <w:t>Database maintained with information on all tender board decision</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Database report</w:t>
            </w:r>
          </w:p>
        </w:tc>
        <w:tc>
          <w:tcPr>
            <w:tcW w:w="1417" w:type="dxa"/>
          </w:tcPr>
          <w:p w:rsidR="00381E65" w:rsidRPr="00BC0230" w:rsidRDefault="00381E65" w:rsidP="00381E65">
            <w:pPr>
              <w:rPr>
                <w:rFonts w:ascii="Calibri" w:hAnsi="Calibri"/>
              </w:rPr>
            </w:pPr>
            <w:r w:rsidRPr="00BC0230">
              <w:rPr>
                <w:rFonts w:ascii="Calibri" w:hAnsi="Calibri"/>
              </w:rPr>
              <w:t xml:space="preserve">Procurement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2</w:t>
            </w:r>
          </w:p>
        </w:tc>
        <w:tc>
          <w:tcPr>
            <w:tcW w:w="1213" w:type="dxa"/>
          </w:tcPr>
          <w:p w:rsidR="00381E65" w:rsidRPr="00BC0230" w:rsidRDefault="00381E65" w:rsidP="00381E65">
            <w:pPr>
              <w:jc w:val="center"/>
              <w:rPr>
                <w:rFonts w:ascii="Calibri" w:hAnsi="Calibri"/>
              </w:rPr>
            </w:pPr>
            <w:r w:rsidRPr="00BC0230">
              <w:rPr>
                <w:rFonts w:ascii="Calibri" w:hAnsi="Calibri"/>
              </w:rPr>
              <w:t>2</w:t>
            </w:r>
          </w:p>
        </w:tc>
      </w:tr>
      <w:tr w:rsidR="00381E65" w:rsidRPr="00BC0230" w:rsidTr="00716D47">
        <w:tc>
          <w:tcPr>
            <w:tcW w:w="555" w:type="dxa"/>
          </w:tcPr>
          <w:p w:rsidR="00381E65" w:rsidRPr="00BC0230" w:rsidRDefault="00381E65" w:rsidP="00381E65">
            <w:pPr>
              <w:rPr>
                <w:rFonts w:ascii="Calibri" w:hAnsi="Calibri"/>
              </w:rPr>
            </w:pPr>
            <w:r w:rsidRPr="00BC0230">
              <w:lastRenderedPageBreak/>
              <w:t>11</w:t>
            </w:r>
          </w:p>
        </w:tc>
        <w:tc>
          <w:tcPr>
            <w:tcW w:w="1697" w:type="dxa"/>
          </w:tcPr>
          <w:p w:rsidR="00381E65" w:rsidRPr="00BC0230" w:rsidRDefault="00381E65" w:rsidP="00381E65">
            <w:pPr>
              <w:rPr>
                <w:rFonts w:ascii="Calibri" w:hAnsi="Calibri"/>
              </w:rPr>
            </w:pPr>
            <w:r w:rsidRPr="00BC0230">
              <w:rPr>
                <w:rFonts w:ascii="Calibri" w:hAnsi="Calibri"/>
              </w:rPr>
              <w:t>Procurement templates</w:t>
            </w:r>
          </w:p>
        </w:tc>
        <w:tc>
          <w:tcPr>
            <w:tcW w:w="5308" w:type="dxa"/>
          </w:tcPr>
          <w:p w:rsidR="00381E65" w:rsidRPr="00BC0230" w:rsidRDefault="00381E65" w:rsidP="00381E65">
            <w:pPr>
              <w:rPr>
                <w:rFonts w:ascii="Calibri" w:hAnsi="Calibri"/>
              </w:rPr>
            </w:pPr>
            <w:r w:rsidRPr="00BC0230">
              <w:rPr>
                <w:rFonts w:ascii="Calibri" w:hAnsi="Calibri"/>
              </w:rPr>
              <w:t>Procurement templates and contracts finalized and distributed to line Ministries</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Circular letter to Line-Ministries</w:t>
            </w:r>
          </w:p>
        </w:tc>
        <w:tc>
          <w:tcPr>
            <w:tcW w:w="1417" w:type="dxa"/>
          </w:tcPr>
          <w:p w:rsidR="00381E65" w:rsidRPr="00BC0230" w:rsidRDefault="00381E65" w:rsidP="00381E65">
            <w:pPr>
              <w:rPr>
                <w:rFonts w:ascii="Calibri" w:hAnsi="Calibri"/>
              </w:rPr>
            </w:pP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3</w:t>
            </w:r>
          </w:p>
        </w:tc>
        <w:tc>
          <w:tcPr>
            <w:tcW w:w="1213" w:type="dxa"/>
          </w:tcPr>
          <w:p w:rsidR="00381E65" w:rsidRPr="00BC0230" w:rsidRDefault="00381E65" w:rsidP="00381E65">
            <w:pPr>
              <w:jc w:val="center"/>
              <w:rPr>
                <w:rFonts w:ascii="Calibri" w:hAnsi="Calibri"/>
              </w:rPr>
            </w:pPr>
            <w:r w:rsidRPr="00BC0230">
              <w:rPr>
                <w:rFonts w:ascii="Calibri" w:hAnsi="Calibri"/>
              </w:rPr>
              <w:t>3</w:t>
            </w:r>
          </w:p>
        </w:tc>
      </w:tr>
      <w:tr w:rsidR="00381E65" w:rsidRPr="00BC0230" w:rsidTr="00716D47">
        <w:tc>
          <w:tcPr>
            <w:tcW w:w="555" w:type="dxa"/>
          </w:tcPr>
          <w:p w:rsidR="00381E65" w:rsidRPr="00BC0230" w:rsidRDefault="00381E65" w:rsidP="00381E65">
            <w:pPr>
              <w:rPr>
                <w:rFonts w:ascii="Calibri" w:hAnsi="Calibri"/>
              </w:rPr>
            </w:pPr>
            <w:r w:rsidRPr="00BC0230">
              <w:t>13</w:t>
            </w:r>
          </w:p>
        </w:tc>
        <w:tc>
          <w:tcPr>
            <w:tcW w:w="1697" w:type="dxa"/>
          </w:tcPr>
          <w:p w:rsidR="00381E65" w:rsidRPr="00BC0230" w:rsidRDefault="00381E65" w:rsidP="00381E65">
            <w:pPr>
              <w:rPr>
                <w:rFonts w:ascii="Calibri" w:hAnsi="Calibri"/>
              </w:rPr>
            </w:pPr>
            <w:r w:rsidRPr="00BC0230">
              <w:rPr>
                <w:rFonts w:ascii="Calibri" w:hAnsi="Calibri"/>
              </w:rPr>
              <w:t>Strategic Plan for Internal Audit</w:t>
            </w:r>
          </w:p>
        </w:tc>
        <w:tc>
          <w:tcPr>
            <w:tcW w:w="5308" w:type="dxa"/>
          </w:tcPr>
          <w:p w:rsidR="00381E65" w:rsidRPr="00BC0230" w:rsidRDefault="00381E65" w:rsidP="00381E65">
            <w:pPr>
              <w:rPr>
                <w:rFonts w:ascii="Calibri" w:hAnsi="Calibri"/>
              </w:rPr>
            </w:pPr>
            <w:r w:rsidRPr="00BC0230">
              <w:rPr>
                <w:rFonts w:ascii="Calibri" w:hAnsi="Calibri"/>
              </w:rPr>
              <w:t>Strategic Plan for Internal audit across Government approved and under implementation</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Evidence of Cabinet approval and first implementation reports</w:t>
            </w:r>
          </w:p>
        </w:tc>
        <w:tc>
          <w:tcPr>
            <w:tcW w:w="1417" w:type="dxa"/>
          </w:tcPr>
          <w:p w:rsidR="00381E65" w:rsidRPr="00BC0230" w:rsidRDefault="00381E65" w:rsidP="00381E65">
            <w:pPr>
              <w:rPr>
                <w:rFonts w:ascii="Calibri" w:hAnsi="Calibri"/>
              </w:rPr>
            </w:pPr>
            <w:r w:rsidRPr="00BC0230">
              <w:rPr>
                <w:rFonts w:ascii="Calibri" w:hAnsi="Calibri"/>
              </w:rPr>
              <w:t xml:space="preserve">Internal Audit,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3</w:t>
            </w:r>
          </w:p>
        </w:tc>
        <w:tc>
          <w:tcPr>
            <w:tcW w:w="1213" w:type="dxa"/>
          </w:tcPr>
          <w:p w:rsidR="00381E65" w:rsidRPr="00BC0230" w:rsidRDefault="00381E65" w:rsidP="00381E65">
            <w:pPr>
              <w:jc w:val="center"/>
              <w:rPr>
                <w:rFonts w:ascii="Calibri" w:hAnsi="Calibri"/>
              </w:rPr>
            </w:pPr>
            <w:r w:rsidRPr="00BC0230">
              <w:rPr>
                <w:rFonts w:ascii="Calibri" w:hAnsi="Calibri"/>
              </w:rPr>
              <w:t>3</w:t>
            </w:r>
          </w:p>
        </w:tc>
      </w:tr>
      <w:tr w:rsidR="00381E65" w:rsidRPr="00BC0230" w:rsidTr="00716D47">
        <w:tc>
          <w:tcPr>
            <w:tcW w:w="555" w:type="dxa"/>
          </w:tcPr>
          <w:p w:rsidR="00381E65" w:rsidRPr="00BC0230" w:rsidRDefault="00381E65" w:rsidP="00381E65">
            <w:pPr>
              <w:rPr>
                <w:rFonts w:ascii="Calibri" w:hAnsi="Calibri"/>
              </w:rPr>
            </w:pPr>
            <w:r w:rsidRPr="00BC0230">
              <w:t>8</w:t>
            </w:r>
          </w:p>
        </w:tc>
        <w:tc>
          <w:tcPr>
            <w:tcW w:w="1697" w:type="dxa"/>
          </w:tcPr>
          <w:p w:rsidR="00381E65" w:rsidRPr="00BC0230" w:rsidRDefault="00381E65" w:rsidP="00381E65">
            <w:pPr>
              <w:rPr>
                <w:rFonts w:ascii="Calibri" w:hAnsi="Calibri"/>
              </w:rPr>
            </w:pPr>
            <w:r w:rsidRPr="00BC0230">
              <w:rPr>
                <w:rFonts w:ascii="Calibri" w:hAnsi="Calibri"/>
              </w:rPr>
              <w:t>Public accounts</w:t>
            </w:r>
          </w:p>
        </w:tc>
        <w:tc>
          <w:tcPr>
            <w:tcW w:w="5308" w:type="dxa"/>
          </w:tcPr>
          <w:p w:rsidR="00381E65" w:rsidRPr="00BC0230" w:rsidRDefault="00381E65" w:rsidP="00381E65">
            <w:pPr>
              <w:rPr>
                <w:rFonts w:ascii="Calibri" w:hAnsi="Calibri"/>
              </w:rPr>
            </w:pPr>
            <w:r w:rsidRPr="00BC0230">
              <w:rPr>
                <w:rFonts w:ascii="Calibri" w:hAnsi="Calibri"/>
              </w:rPr>
              <w:t>Public accounts for 2011/12 submitted by end October 2012</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 xml:space="preserve">Letter to Audit Office </w:t>
            </w:r>
          </w:p>
        </w:tc>
        <w:tc>
          <w:tcPr>
            <w:tcW w:w="1417" w:type="dxa"/>
          </w:tcPr>
          <w:p w:rsidR="00381E65" w:rsidRPr="00BC0230" w:rsidRDefault="00381E65" w:rsidP="00381E65">
            <w:pPr>
              <w:rPr>
                <w:rFonts w:ascii="Calibri" w:hAnsi="Calibri"/>
              </w:rPr>
            </w:pPr>
            <w:r w:rsidRPr="00BC0230">
              <w:rPr>
                <w:rFonts w:ascii="Calibri" w:hAnsi="Calibri"/>
              </w:rPr>
              <w:t xml:space="preserve">Accounts,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4</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tcPr>
          <w:p w:rsidR="00381E65" w:rsidRPr="00BC0230" w:rsidRDefault="00381E65" w:rsidP="00381E65">
            <w:pPr>
              <w:rPr>
                <w:rFonts w:ascii="Calibri" w:hAnsi="Calibri"/>
              </w:rPr>
            </w:pPr>
            <w:r w:rsidRPr="00BC0230">
              <w:t>13</w:t>
            </w:r>
          </w:p>
        </w:tc>
        <w:tc>
          <w:tcPr>
            <w:tcW w:w="1697" w:type="dxa"/>
          </w:tcPr>
          <w:p w:rsidR="00381E65" w:rsidRPr="00BC0230" w:rsidRDefault="00381E65" w:rsidP="00381E65">
            <w:pPr>
              <w:rPr>
                <w:rFonts w:ascii="Calibri" w:hAnsi="Calibri"/>
              </w:rPr>
            </w:pPr>
            <w:r w:rsidRPr="00BC0230">
              <w:rPr>
                <w:rFonts w:ascii="Calibri" w:hAnsi="Calibri"/>
              </w:rPr>
              <w:t>Audit Office Reporting</w:t>
            </w:r>
          </w:p>
        </w:tc>
        <w:tc>
          <w:tcPr>
            <w:tcW w:w="5308" w:type="dxa"/>
          </w:tcPr>
          <w:p w:rsidR="00381E65" w:rsidRPr="00BC0230" w:rsidRDefault="00381E65" w:rsidP="00381E65">
            <w:pPr>
              <w:rPr>
                <w:rFonts w:ascii="Calibri" w:hAnsi="Calibri"/>
              </w:rPr>
            </w:pPr>
            <w:r w:rsidRPr="00BC0230">
              <w:rPr>
                <w:rFonts w:ascii="Calibri" w:hAnsi="Calibri"/>
              </w:rPr>
              <w:t>Audit Office Activity Report for 2011/12 submitted to Parliament within 8 months from end of period</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Copy of approved Audit Report</w:t>
            </w:r>
          </w:p>
        </w:tc>
        <w:tc>
          <w:tcPr>
            <w:tcW w:w="1417" w:type="dxa"/>
          </w:tcPr>
          <w:p w:rsidR="00381E65" w:rsidRPr="00BC0230" w:rsidRDefault="00381E65" w:rsidP="00381E65">
            <w:pPr>
              <w:rPr>
                <w:rFonts w:ascii="Calibri" w:hAnsi="Calibri"/>
              </w:rPr>
            </w:pPr>
            <w:r w:rsidRPr="00BC0230">
              <w:rPr>
                <w:rFonts w:ascii="Calibri" w:hAnsi="Calibri"/>
              </w:rPr>
              <w:t>AO</w:t>
            </w:r>
          </w:p>
        </w:tc>
        <w:tc>
          <w:tcPr>
            <w:tcW w:w="1134" w:type="dxa"/>
          </w:tcPr>
          <w:p w:rsidR="00381E65" w:rsidRPr="00BC0230" w:rsidRDefault="00381E65" w:rsidP="00381E65">
            <w:pPr>
              <w:jc w:val="center"/>
              <w:rPr>
                <w:rFonts w:ascii="Calibri" w:hAnsi="Calibri"/>
              </w:rPr>
            </w:pPr>
            <w:r w:rsidRPr="00BC0230">
              <w:rPr>
                <w:rFonts w:ascii="Calibri" w:hAnsi="Calibri"/>
              </w:rPr>
              <w:t>2</w:t>
            </w:r>
          </w:p>
        </w:tc>
        <w:tc>
          <w:tcPr>
            <w:tcW w:w="1213" w:type="dxa"/>
          </w:tcPr>
          <w:p w:rsidR="00381E65" w:rsidRPr="00BC0230" w:rsidRDefault="00381E65" w:rsidP="00381E65">
            <w:pPr>
              <w:jc w:val="center"/>
              <w:rPr>
                <w:rFonts w:ascii="Calibri" w:hAnsi="Calibri"/>
              </w:rPr>
            </w:pPr>
            <w:r w:rsidRPr="00BC0230">
              <w:rPr>
                <w:rFonts w:ascii="Calibri" w:hAnsi="Calibri"/>
              </w:rPr>
              <w:t>2</w:t>
            </w:r>
          </w:p>
        </w:tc>
      </w:tr>
      <w:tr w:rsidR="00381E65" w:rsidRPr="00BC0230" w:rsidTr="00716D47">
        <w:trPr>
          <w:cantSplit/>
        </w:trPr>
        <w:tc>
          <w:tcPr>
            <w:tcW w:w="555" w:type="dxa"/>
          </w:tcPr>
          <w:p w:rsidR="00381E65" w:rsidRPr="00BC0230" w:rsidRDefault="00381E65" w:rsidP="00381E65">
            <w:pPr>
              <w:rPr>
                <w:rFonts w:ascii="Calibri" w:hAnsi="Calibri"/>
              </w:rPr>
            </w:pPr>
            <w:r w:rsidRPr="00BC0230">
              <w:t>13</w:t>
            </w:r>
          </w:p>
        </w:tc>
        <w:tc>
          <w:tcPr>
            <w:tcW w:w="1697" w:type="dxa"/>
          </w:tcPr>
          <w:p w:rsidR="00381E65" w:rsidRPr="00BC0230" w:rsidRDefault="00381E65" w:rsidP="00381E65">
            <w:pPr>
              <w:rPr>
                <w:rFonts w:ascii="Calibri" w:hAnsi="Calibri"/>
              </w:rPr>
            </w:pPr>
            <w:r w:rsidRPr="00BC0230">
              <w:rPr>
                <w:rFonts w:ascii="Calibri" w:hAnsi="Calibri"/>
              </w:rPr>
              <w:t>Audit of Public Accounts</w:t>
            </w:r>
          </w:p>
        </w:tc>
        <w:tc>
          <w:tcPr>
            <w:tcW w:w="5308" w:type="dxa"/>
          </w:tcPr>
          <w:p w:rsidR="00381E65" w:rsidRPr="00BC0230" w:rsidRDefault="00381E65" w:rsidP="00381E65">
            <w:pPr>
              <w:rPr>
                <w:rFonts w:ascii="Calibri" w:hAnsi="Calibri"/>
              </w:rPr>
            </w:pPr>
            <w:r w:rsidRPr="00BC0230">
              <w:rPr>
                <w:rFonts w:ascii="Calibri" w:hAnsi="Calibri"/>
              </w:rPr>
              <w:t xml:space="preserve">Audit Office Report on the 2011/12 Public Accounts will be completed within 8 months of submission from </w:t>
            </w:r>
            <w:proofErr w:type="spellStart"/>
            <w:r w:rsidRPr="00BC0230">
              <w:rPr>
                <w:rFonts w:ascii="Calibri" w:hAnsi="Calibri"/>
              </w:rPr>
              <w:t>MoF</w:t>
            </w:r>
            <w:proofErr w:type="spellEnd"/>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Date of Audit Opinion</w:t>
            </w:r>
          </w:p>
        </w:tc>
        <w:tc>
          <w:tcPr>
            <w:tcW w:w="1417" w:type="dxa"/>
          </w:tcPr>
          <w:p w:rsidR="00381E65" w:rsidRPr="00BC0230" w:rsidRDefault="00381E65" w:rsidP="00381E65">
            <w:pPr>
              <w:rPr>
                <w:rFonts w:ascii="Calibri" w:hAnsi="Calibri"/>
              </w:rPr>
            </w:pPr>
            <w:r w:rsidRPr="00BC0230">
              <w:rPr>
                <w:rFonts w:ascii="Calibri" w:hAnsi="Calibri"/>
              </w:rPr>
              <w:t>AO</w:t>
            </w:r>
          </w:p>
        </w:tc>
        <w:tc>
          <w:tcPr>
            <w:tcW w:w="1134" w:type="dxa"/>
          </w:tcPr>
          <w:p w:rsidR="00381E65" w:rsidRPr="00BC0230" w:rsidRDefault="00381E65" w:rsidP="00381E65">
            <w:pPr>
              <w:jc w:val="center"/>
              <w:rPr>
                <w:rFonts w:ascii="Calibri" w:hAnsi="Calibri"/>
              </w:rPr>
            </w:pPr>
            <w:r w:rsidRPr="00BC0230">
              <w:rPr>
                <w:rFonts w:ascii="Calibri" w:hAnsi="Calibri"/>
              </w:rPr>
              <w:t>3</w:t>
            </w:r>
          </w:p>
        </w:tc>
        <w:tc>
          <w:tcPr>
            <w:tcW w:w="1213" w:type="dxa"/>
          </w:tcPr>
          <w:p w:rsidR="00381E65" w:rsidRPr="00BC0230" w:rsidRDefault="00381E65" w:rsidP="00381E65">
            <w:pPr>
              <w:jc w:val="center"/>
              <w:rPr>
                <w:rFonts w:ascii="Calibri" w:hAnsi="Calibri"/>
              </w:rPr>
            </w:pPr>
            <w:r w:rsidRPr="00BC0230">
              <w:rPr>
                <w:rFonts w:ascii="Calibri" w:hAnsi="Calibri"/>
              </w:rPr>
              <w:t>3</w:t>
            </w:r>
          </w:p>
        </w:tc>
      </w:tr>
      <w:tr w:rsidR="00381E65" w:rsidRPr="00BC0230" w:rsidTr="00716D47">
        <w:tc>
          <w:tcPr>
            <w:tcW w:w="555" w:type="dxa"/>
          </w:tcPr>
          <w:p w:rsidR="00381E65" w:rsidRPr="00BC0230" w:rsidRDefault="00381E65" w:rsidP="00381E65">
            <w:pPr>
              <w:rPr>
                <w:rFonts w:ascii="Calibri" w:hAnsi="Calibri"/>
              </w:rPr>
            </w:pPr>
            <w:r w:rsidRPr="00BC0230">
              <w:t>8</w:t>
            </w:r>
          </w:p>
        </w:tc>
        <w:tc>
          <w:tcPr>
            <w:tcW w:w="1697" w:type="dxa"/>
          </w:tcPr>
          <w:p w:rsidR="00381E65" w:rsidRPr="00BC0230" w:rsidRDefault="00381E65" w:rsidP="00381E65">
            <w:pPr>
              <w:rPr>
                <w:rFonts w:ascii="Calibri" w:hAnsi="Calibri"/>
              </w:rPr>
            </w:pPr>
            <w:r w:rsidRPr="00BC0230">
              <w:rPr>
                <w:rFonts w:ascii="Calibri" w:hAnsi="Calibri"/>
              </w:rPr>
              <w:t>PEFA</w:t>
            </w:r>
          </w:p>
        </w:tc>
        <w:tc>
          <w:tcPr>
            <w:tcW w:w="5308" w:type="dxa"/>
          </w:tcPr>
          <w:p w:rsidR="00381E65" w:rsidRPr="00BC0230" w:rsidRDefault="00381E65" w:rsidP="00381E65">
            <w:pPr>
              <w:rPr>
                <w:rFonts w:ascii="Calibri" w:hAnsi="Calibri"/>
              </w:rPr>
            </w:pPr>
            <w:r w:rsidRPr="00BC0230">
              <w:rPr>
                <w:rFonts w:ascii="Calibri" w:hAnsi="Calibri"/>
              </w:rPr>
              <w:t xml:space="preserve">PEFA assessment undertaken and Report made public on </w:t>
            </w:r>
            <w:proofErr w:type="spellStart"/>
            <w:r w:rsidRPr="00BC0230">
              <w:rPr>
                <w:rFonts w:ascii="Calibri" w:hAnsi="Calibri"/>
              </w:rPr>
              <w:t>MoF</w:t>
            </w:r>
            <w:proofErr w:type="spellEnd"/>
            <w:r w:rsidRPr="00BC0230">
              <w:rPr>
                <w:rFonts w:ascii="Calibri" w:hAnsi="Calibri"/>
              </w:rPr>
              <w:t xml:space="preserve"> website</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proofErr w:type="spellStart"/>
            <w:r w:rsidRPr="00BC0230">
              <w:rPr>
                <w:rFonts w:ascii="Calibri" w:hAnsi="Calibri"/>
              </w:rPr>
              <w:t>MoF</w:t>
            </w:r>
            <w:proofErr w:type="spellEnd"/>
            <w:r w:rsidRPr="00BC0230">
              <w:rPr>
                <w:rFonts w:ascii="Calibri" w:hAnsi="Calibri"/>
              </w:rPr>
              <w:t xml:space="preserve"> Web site extract</w:t>
            </w:r>
          </w:p>
        </w:tc>
        <w:tc>
          <w:tcPr>
            <w:tcW w:w="1417" w:type="dxa"/>
          </w:tcPr>
          <w:p w:rsidR="00381E65" w:rsidRPr="00BC0230" w:rsidRDefault="00381E65" w:rsidP="00381E65">
            <w:pPr>
              <w:rPr>
                <w:rFonts w:ascii="Calibri" w:hAnsi="Calibri"/>
              </w:rPr>
            </w:pP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3</w:t>
            </w:r>
          </w:p>
        </w:tc>
        <w:tc>
          <w:tcPr>
            <w:tcW w:w="1213" w:type="dxa"/>
          </w:tcPr>
          <w:p w:rsidR="00381E65" w:rsidRPr="00BC0230" w:rsidRDefault="00381E65" w:rsidP="00381E65">
            <w:pPr>
              <w:jc w:val="center"/>
              <w:rPr>
                <w:rFonts w:ascii="Calibri" w:hAnsi="Calibri"/>
              </w:rPr>
            </w:pPr>
            <w:r w:rsidRPr="00BC0230">
              <w:rPr>
                <w:rFonts w:ascii="Calibri" w:hAnsi="Calibri"/>
              </w:rPr>
              <w:t>3</w:t>
            </w:r>
          </w:p>
        </w:tc>
      </w:tr>
      <w:tr w:rsidR="00381E65" w:rsidRPr="00BC0230" w:rsidTr="00716D47">
        <w:tc>
          <w:tcPr>
            <w:tcW w:w="15824" w:type="dxa"/>
            <w:gridSpan w:val="8"/>
          </w:tcPr>
          <w:p w:rsidR="00381E65" w:rsidRPr="00BC0230" w:rsidRDefault="00381E65" w:rsidP="00381E65">
            <w:pPr>
              <w:jc w:val="center"/>
            </w:pPr>
            <w:r w:rsidRPr="00BC0230">
              <w:rPr>
                <w:rFonts w:ascii="Calibri" w:hAnsi="Calibri"/>
              </w:rPr>
              <w:t>Maintenance of Overall Fiscal Discipline</w:t>
            </w:r>
          </w:p>
        </w:tc>
      </w:tr>
      <w:tr w:rsidR="00381E65" w:rsidRPr="00BC0230" w:rsidTr="00716D47">
        <w:tc>
          <w:tcPr>
            <w:tcW w:w="555" w:type="dxa"/>
          </w:tcPr>
          <w:p w:rsidR="00381E65" w:rsidRPr="00BC0230" w:rsidRDefault="00381E65" w:rsidP="00381E65"/>
        </w:tc>
        <w:tc>
          <w:tcPr>
            <w:tcW w:w="1697" w:type="dxa"/>
          </w:tcPr>
          <w:p w:rsidR="00381E65" w:rsidRPr="00BC0230" w:rsidRDefault="00381E65" w:rsidP="00381E65">
            <w:pPr>
              <w:rPr>
                <w:rFonts w:ascii="Calibri" w:hAnsi="Calibri"/>
              </w:rPr>
            </w:pPr>
            <w:r w:rsidRPr="00BC0230">
              <w:rPr>
                <w:rFonts w:ascii="Calibri" w:hAnsi="Calibri"/>
              </w:rPr>
              <w:t>Budget Planning Committee</w:t>
            </w:r>
          </w:p>
        </w:tc>
        <w:tc>
          <w:tcPr>
            <w:tcW w:w="5308" w:type="dxa"/>
          </w:tcPr>
          <w:p w:rsidR="00381E65" w:rsidRPr="00BC0230" w:rsidRDefault="00381E65" w:rsidP="00381E65">
            <w:pPr>
              <w:rPr>
                <w:rFonts w:ascii="Calibri" w:hAnsi="Calibri"/>
              </w:rPr>
            </w:pPr>
            <w:r w:rsidRPr="00BC0230">
              <w:rPr>
                <w:rFonts w:ascii="Calibri" w:hAnsi="Calibri"/>
              </w:rPr>
              <w:t>Budget Planning Committee meeting at least quarterly to guide budget cycle and strengthen links with planning in FY 2012/13. Number of meetings</w:t>
            </w:r>
          </w:p>
        </w:tc>
        <w:tc>
          <w:tcPr>
            <w:tcW w:w="1450" w:type="dxa"/>
          </w:tcPr>
          <w:p w:rsidR="00381E65" w:rsidRPr="00BC0230" w:rsidRDefault="00381E65" w:rsidP="00381E65">
            <w:pPr>
              <w:jc w:val="center"/>
              <w:rPr>
                <w:rFonts w:ascii="Calibri" w:hAnsi="Calibri"/>
              </w:rPr>
            </w:pPr>
            <w:r w:rsidRPr="00BC0230">
              <w:rPr>
                <w:rFonts w:ascii="Calibri" w:hAnsi="Calibri"/>
              </w:rPr>
              <w:t>4</w:t>
            </w:r>
          </w:p>
        </w:tc>
        <w:tc>
          <w:tcPr>
            <w:tcW w:w="3050" w:type="dxa"/>
          </w:tcPr>
          <w:p w:rsidR="00381E65" w:rsidRPr="00BC0230" w:rsidRDefault="00381E65" w:rsidP="00381E65">
            <w:pPr>
              <w:rPr>
                <w:rFonts w:ascii="Calibri" w:hAnsi="Calibri"/>
              </w:rPr>
            </w:pPr>
            <w:r w:rsidRPr="00BC0230">
              <w:rPr>
                <w:rFonts w:ascii="Calibri" w:hAnsi="Calibri"/>
              </w:rPr>
              <w:t>Minutes of meetings</w:t>
            </w:r>
          </w:p>
        </w:tc>
        <w:tc>
          <w:tcPr>
            <w:tcW w:w="1417" w:type="dxa"/>
          </w:tcPr>
          <w:p w:rsidR="00381E65" w:rsidRPr="00BC0230" w:rsidRDefault="00381E65" w:rsidP="00381E65">
            <w:pPr>
              <w:rPr>
                <w:rFonts w:ascii="Calibri" w:hAnsi="Calibri"/>
              </w:rPr>
            </w:pPr>
            <w:r w:rsidRPr="00BC0230">
              <w:rPr>
                <w:rFonts w:ascii="Calibri" w:hAnsi="Calibri"/>
              </w:rPr>
              <w:t xml:space="preserve">EPPD, Budget &amp; Aid -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1</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tcPr>
          <w:p w:rsidR="00381E65" w:rsidRPr="00BC0230" w:rsidRDefault="00381E65" w:rsidP="00381E65">
            <w:pPr>
              <w:rPr>
                <w:rFonts w:ascii="Calibri" w:hAnsi="Calibri"/>
              </w:rPr>
            </w:pPr>
            <w:r w:rsidRPr="00BC0230">
              <w:rPr>
                <w:rFonts w:ascii="Calibri" w:hAnsi="Calibri"/>
              </w:rPr>
              <w:t>15</w:t>
            </w:r>
          </w:p>
        </w:tc>
        <w:tc>
          <w:tcPr>
            <w:tcW w:w="1697" w:type="dxa"/>
          </w:tcPr>
          <w:p w:rsidR="00381E65" w:rsidRPr="00BC0230" w:rsidRDefault="00381E65" w:rsidP="00381E65">
            <w:pPr>
              <w:rPr>
                <w:rFonts w:ascii="Calibri" w:hAnsi="Calibri"/>
              </w:rPr>
            </w:pPr>
            <w:r w:rsidRPr="00BC0230">
              <w:rPr>
                <w:rFonts w:ascii="Calibri" w:hAnsi="Calibri"/>
              </w:rPr>
              <w:t>Debt Sustainability Report</w:t>
            </w:r>
          </w:p>
        </w:tc>
        <w:tc>
          <w:tcPr>
            <w:tcW w:w="5308" w:type="dxa"/>
          </w:tcPr>
          <w:p w:rsidR="00381E65" w:rsidRPr="00BC0230" w:rsidRDefault="00381E65" w:rsidP="00381E65">
            <w:pPr>
              <w:rPr>
                <w:rFonts w:ascii="Calibri" w:hAnsi="Calibri"/>
              </w:rPr>
            </w:pPr>
            <w:r w:rsidRPr="00BC0230">
              <w:rPr>
                <w:rFonts w:ascii="Calibri" w:hAnsi="Calibri"/>
              </w:rPr>
              <w:t>Debt sustainability Report produced by the new Debt Management Unit for the 2013/14 budget preparation</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Debt Sustainability Report</w:t>
            </w:r>
          </w:p>
        </w:tc>
        <w:tc>
          <w:tcPr>
            <w:tcW w:w="1417" w:type="dxa"/>
          </w:tcPr>
          <w:p w:rsidR="00381E65" w:rsidRPr="00BC0230" w:rsidRDefault="00381E65" w:rsidP="00381E65">
            <w:pPr>
              <w:rPr>
                <w:rFonts w:ascii="Calibri" w:hAnsi="Calibri"/>
              </w:rPr>
            </w:pPr>
            <w:r w:rsidRPr="00BC0230">
              <w:rPr>
                <w:rFonts w:ascii="Calibri" w:hAnsi="Calibri"/>
              </w:rPr>
              <w:t xml:space="preserve">Aid and Debt </w:t>
            </w:r>
            <w:proofErr w:type="spellStart"/>
            <w:r w:rsidRPr="00BC0230">
              <w:rPr>
                <w:rFonts w:ascii="Calibri" w:hAnsi="Calibri"/>
              </w:rPr>
              <w:t>Mgmt</w:t>
            </w:r>
            <w:proofErr w:type="spellEnd"/>
            <w:r w:rsidRPr="00BC0230">
              <w:rPr>
                <w:rFonts w:ascii="Calibri" w:hAnsi="Calibri"/>
              </w:rPr>
              <w:t xml:space="preserve"> Division</w:t>
            </w:r>
          </w:p>
        </w:tc>
        <w:tc>
          <w:tcPr>
            <w:tcW w:w="1134" w:type="dxa"/>
          </w:tcPr>
          <w:p w:rsidR="00381E65" w:rsidRPr="00BC0230" w:rsidRDefault="00381E65" w:rsidP="00381E65">
            <w:pPr>
              <w:jc w:val="center"/>
              <w:rPr>
                <w:rFonts w:ascii="Calibri" w:hAnsi="Calibri"/>
              </w:rPr>
            </w:pPr>
            <w:r w:rsidRPr="00BC0230">
              <w:rPr>
                <w:rFonts w:ascii="Calibri" w:hAnsi="Calibri"/>
              </w:rPr>
              <w:t>4</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tcPr>
          <w:p w:rsidR="00381E65" w:rsidRPr="00BC0230" w:rsidRDefault="00381E65" w:rsidP="00381E65">
            <w:pPr>
              <w:rPr>
                <w:rFonts w:ascii="Calibri" w:hAnsi="Calibri"/>
              </w:rPr>
            </w:pPr>
            <w:r w:rsidRPr="00BC0230">
              <w:rPr>
                <w:rFonts w:ascii="Calibri" w:hAnsi="Calibri"/>
              </w:rPr>
              <w:t>14</w:t>
            </w:r>
          </w:p>
        </w:tc>
        <w:tc>
          <w:tcPr>
            <w:tcW w:w="1697" w:type="dxa"/>
          </w:tcPr>
          <w:p w:rsidR="00381E65" w:rsidRPr="00BC0230" w:rsidRDefault="00381E65" w:rsidP="00381E65">
            <w:pPr>
              <w:rPr>
                <w:rFonts w:ascii="Calibri" w:hAnsi="Calibri"/>
              </w:rPr>
            </w:pPr>
            <w:r w:rsidRPr="00BC0230">
              <w:rPr>
                <w:rFonts w:ascii="Calibri" w:hAnsi="Calibri"/>
              </w:rPr>
              <w:t>Budget cycle</w:t>
            </w:r>
          </w:p>
        </w:tc>
        <w:tc>
          <w:tcPr>
            <w:tcW w:w="5308" w:type="dxa"/>
          </w:tcPr>
          <w:p w:rsidR="00381E65" w:rsidRPr="00BC0230" w:rsidRDefault="00381E65" w:rsidP="00381E65">
            <w:pPr>
              <w:rPr>
                <w:rFonts w:ascii="Calibri" w:hAnsi="Calibri"/>
              </w:rPr>
            </w:pPr>
            <w:r w:rsidRPr="00BC0230">
              <w:rPr>
                <w:rFonts w:ascii="Calibri" w:hAnsi="Calibri"/>
              </w:rPr>
              <w:t>Adherence to budget cycle for the budget preparation process in preparing 2013/14 budget</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Copies of budget circulars</w:t>
            </w:r>
          </w:p>
        </w:tc>
        <w:tc>
          <w:tcPr>
            <w:tcW w:w="1417" w:type="dxa"/>
          </w:tcPr>
          <w:p w:rsidR="00381E65" w:rsidRPr="00BC0230" w:rsidRDefault="00381E65" w:rsidP="00381E65">
            <w:pPr>
              <w:rPr>
                <w:rFonts w:ascii="Calibri" w:hAnsi="Calibri"/>
              </w:rPr>
            </w:pPr>
            <w:r w:rsidRPr="00BC0230">
              <w:rPr>
                <w:rFonts w:ascii="Calibri" w:hAnsi="Calibri"/>
              </w:rPr>
              <w:t xml:space="preserve">Budget,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3</w:t>
            </w:r>
          </w:p>
        </w:tc>
        <w:tc>
          <w:tcPr>
            <w:tcW w:w="1213" w:type="dxa"/>
          </w:tcPr>
          <w:p w:rsidR="00381E65" w:rsidRPr="00BC0230" w:rsidRDefault="00381E65" w:rsidP="00381E65">
            <w:pPr>
              <w:jc w:val="center"/>
              <w:rPr>
                <w:rFonts w:ascii="Calibri" w:hAnsi="Calibri"/>
              </w:rPr>
            </w:pPr>
            <w:r w:rsidRPr="00BC0230">
              <w:rPr>
                <w:rFonts w:ascii="Calibri" w:hAnsi="Calibri"/>
              </w:rPr>
              <w:t>3</w:t>
            </w:r>
          </w:p>
        </w:tc>
      </w:tr>
      <w:tr w:rsidR="00381E65" w:rsidRPr="00BC0230" w:rsidTr="00716D47">
        <w:tc>
          <w:tcPr>
            <w:tcW w:w="555" w:type="dxa"/>
          </w:tcPr>
          <w:p w:rsidR="00381E65" w:rsidRPr="00BC0230" w:rsidRDefault="00381E65" w:rsidP="00381E65">
            <w:pPr>
              <w:rPr>
                <w:rFonts w:ascii="Calibri" w:hAnsi="Calibri"/>
              </w:rPr>
            </w:pPr>
            <w:r w:rsidRPr="00BC0230">
              <w:rPr>
                <w:rFonts w:ascii="Calibri" w:hAnsi="Calibri"/>
              </w:rPr>
              <w:t>15</w:t>
            </w:r>
          </w:p>
        </w:tc>
        <w:tc>
          <w:tcPr>
            <w:tcW w:w="1697" w:type="dxa"/>
          </w:tcPr>
          <w:p w:rsidR="00381E65" w:rsidRPr="00BC0230" w:rsidRDefault="00381E65" w:rsidP="00381E65">
            <w:pPr>
              <w:rPr>
                <w:rFonts w:ascii="Calibri" w:hAnsi="Calibri"/>
              </w:rPr>
            </w:pPr>
            <w:r w:rsidRPr="00BC0230">
              <w:rPr>
                <w:rFonts w:ascii="Calibri" w:hAnsi="Calibri"/>
              </w:rPr>
              <w:t xml:space="preserve">Debt Management Unit </w:t>
            </w:r>
          </w:p>
        </w:tc>
        <w:tc>
          <w:tcPr>
            <w:tcW w:w="5308" w:type="dxa"/>
          </w:tcPr>
          <w:p w:rsidR="00381E65" w:rsidRPr="00BC0230" w:rsidRDefault="00381E65" w:rsidP="00381E65">
            <w:pPr>
              <w:rPr>
                <w:rFonts w:ascii="Calibri" w:hAnsi="Calibri"/>
              </w:rPr>
            </w:pPr>
            <w:r w:rsidRPr="00BC0230">
              <w:rPr>
                <w:rFonts w:ascii="Calibri" w:hAnsi="Calibri"/>
              </w:rPr>
              <w:t>MTDMS reviewed with new targets agreed for 2013/14</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Contracts for staff. Fiscal strategy with inputs on debt strategy /performance</w:t>
            </w:r>
          </w:p>
        </w:tc>
        <w:tc>
          <w:tcPr>
            <w:tcW w:w="1417" w:type="dxa"/>
          </w:tcPr>
          <w:p w:rsidR="00381E65" w:rsidRPr="00BC0230" w:rsidRDefault="00381E65" w:rsidP="00381E65">
            <w:pPr>
              <w:rPr>
                <w:rFonts w:ascii="Calibri" w:hAnsi="Calibri"/>
              </w:rPr>
            </w:pPr>
            <w:r w:rsidRPr="00BC0230">
              <w:rPr>
                <w:rFonts w:ascii="Calibri" w:hAnsi="Calibri"/>
              </w:rPr>
              <w:t xml:space="preserve">Aid,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2</w:t>
            </w:r>
          </w:p>
        </w:tc>
        <w:tc>
          <w:tcPr>
            <w:tcW w:w="1213" w:type="dxa"/>
          </w:tcPr>
          <w:p w:rsidR="00381E65" w:rsidRPr="00BC0230" w:rsidRDefault="00381E65" w:rsidP="00381E65">
            <w:pPr>
              <w:jc w:val="center"/>
              <w:rPr>
                <w:rFonts w:ascii="Calibri" w:hAnsi="Calibri"/>
              </w:rPr>
            </w:pPr>
            <w:r w:rsidRPr="00BC0230">
              <w:rPr>
                <w:rFonts w:ascii="Calibri" w:hAnsi="Calibri"/>
              </w:rPr>
              <w:t>2</w:t>
            </w:r>
          </w:p>
        </w:tc>
      </w:tr>
      <w:tr w:rsidR="00381E65" w:rsidRPr="00BC0230" w:rsidTr="00716D47">
        <w:tc>
          <w:tcPr>
            <w:tcW w:w="15824" w:type="dxa"/>
            <w:gridSpan w:val="8"/>
          </w:tcPr>
          <w:p w:rsidR="00381E65" w:rsidRPr="00BC0230" w:rsidRDefault="00381E65" w:rsidP="00381E65">
            <w:pPr>
              <w:jc w:val="center"/>
            </w:pPr>
            <w:r w:rsidRPr="00BC0230">
              <w:rPr>
                <w:rFonts w:ascii="Calibri" w:hAnsi="Calibri"/>
              </w:rPr>
              <w:t>Consultation and engagement of stakeholders</w:t>
            </w:r>
          </w:p>
        </w:tc>
      </w:tr>
      <w:tr w:rsidR="00381E65" w:rsidRPr="00BC0230" w:rsidTr="00716D47">
        <w:tc>
          <w:tcPr>
            <w:tcW w:w="555" w:type="dxa"/>
          </w:tcPr>
          <w:p w:rsidR="00381E65" w:rsidRPr="00BC0230" w:rsidRDefault="00381E65" w:rsidP="00381E65">
            <w:pPr>
              <w:rPr>
                <w:rFonts w:ascii="Calibri" w:hAnsi="Calibri"/>
              </w:rPr>
            </w:pPr>
          </w:p>
        </w:tc>
        <w:tc>
          <w:tcPr>
            <w:tcW w:w="1697" w:type="dxa"/>
          </w:tcPr>
          <w:p w:rsidR="00381E65" w:rsidRPr="00BC0230" w:rsidRDefault="00381E65" w:rsidP="00381E65">
            <w:pPr>
              <w:rPr>
                <w:rFonts w:ascii="Calibri" w:hAnsi="Calibri"/>
              </w:rPr>
            </w:pPr>
            <w:r w:rsidRPr="00BC0230">
              <w:rPr>
                <w:rFonts w:ascii="Calibri" w:hAnsi="Calibri"/>
              </w:rPr>
              <w:t>Donor Coordination</w:t>
            </w:r>
          </w:p>
        </w:tc>
        <w:tc>
          <w:tcPr>
            <w:tcW w:w="5308" w:type="dxa"/>
          </w:tcPr>
          <w:p w:rsidR="00381E65" w:rsidRPr="00BC0230" w:rsidRDefault="00381E65" w:rsidP="00381E65">
            <w:pPr>
              <w:rPr>
                <w:rFonts w:ascii="Calibri" w:hAnsi="Calibri"/>
              </w:rPr>
            </w:pPr>
            <w:r w:rsidRPr="00BC0230">
              <w:rPr>
                <w:rFonts w:ascii="Calibri" w:hAnsi="Calibri"/>
              </w:rPr>
              <w:t>No. of donor coordination meetings held in FY 11/12</w:t>
            </w:r>
          </w:p>
        </w:tc>
        <w:tc>
          <w:tcPr>
            <w:tcW w:w="1450" w:type="dxa"/>
          </w:tcPr>
          <w:p w:rsidR="00381E65" w:rsidRPr="00BC0230" w:rsidRDefault="00381E65" w:rsidP="00381E65">
            <w:pPr>
              <w:jc w:val="center"/>
              <w:rPr>
                <w:rFonts w:ascii="Calibri" w:hAnsi="Calibri"/>
              </w:rPr>
            </w:pPr>
            <w:r w:rsidRPr="00BC0230">
              <w:rPr>
                <w:rFonts w:ascii="Calibri" w:hAnsi="Calibri"/>
              </w:rPr>
              <w:t>4</w:t>
            </w:r>
          </w:p>
        </w:tc>
        <w:tc>
          <w:tcPr>
            <w:tcW w:w="3050" w:type="dxa"/>
          </w:tcPr>
          <w:p w:rsidR="00381E65" w:rsidRPr="00BC0230" w:rsidRDefault="00381E65" w:rsidP="00381E65">
            <w:pPr>
              <w:rPr>
                <w:rFonts w:ascii="Calibri" w:hAnsi="Calibri"/>
              </w:rPr>
            </w:pPr>
            <w:r w:rsidRPr="00BC0230">
              <w:rPr>
                <w:rFonts w:ascii="Calibri" w:hAnsi="Calibri"/>
              </w:rPr>
              <w:t>Minutes of meetings</w:t>
            </w:r>
          </w:p>
        </w:tc>
        <w:tc>
          <w:tcPr>
            <w:tcW w:w="1417" w:type="dxa"/>
          </w:tcPr>
          <w:p w:rsidR="00381E65" w:rsidRPr="00BC0230" w:rsidRDefault="00381E65" w:rsidP="00381E65">
            <w:pPr>
              <w:rPr>
                <w:rFonts w:ascii="Calibri" w:hAnsi="Calibri"/>
              </w:rPr>
            </w:pPr>
            <w:r w:rsidRPr="00BC0230">
              <w:rPr>
                <w:rFonts w:ascii="Calibri" w:hAnsi="Calibri"/>
              </w:rPr>
              <w:t xml:space="preserve">Aid Div.,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1</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tcPr>
          <w:p w:rsidR="00381E65" w:rsidRPr="00BC0230" w:rsidRDefault="00381E65" w:rsidP="00381E65">
            <w:pPr>
              <w:rPr>
                <w:rFonts w:ascii="Calibri" w:hAnsi="Calibri"/>
              </w:rPr>
            </w:pPr>
            <w:r w:rsidRPr="00BC0230">
              <w:rPr>
                <w:rFonts w:ascii="Calibri" w:hAnsi="Calibri"/>
              </w:rPr>
              <w:t>16</w:t>
            </w:r>
          </w:p>
        </w:tc>
        <w:tc>
          <w:tcPr>
            <w:tcW w:w="1697" w:type="dxa"/>
          </w:tcPr>
          <w:p w:rsidR="00381E65" w:rsidRPr="00BC0230" w:rsidRDefault="00381E65" w:rsidP="00381E65">
            <w:pPr>
              <w:rPr>
                <w:rFonts w:ascii="Calibri" w:hAnsi="Calibri"/>
              </w:rPr>
            </w:pPr>
            <w:r w:rsidRPr="00BC0230">
              <w:rPr>
                <w:rFonts w:ascii="Calibri" w:hAnsi="Calibri"/>
              </w:rPr>
              <w:t>Communicatio</w:t>
            </w:r>
            <w:r w:rsidRPr="00BC0230">
              <w:rPr>
                <w:rFonts w:ascii="Calibri" w:hAnsi="Calibri"/>
              </w:rPr>
              <w:lastRenderedPageBreak/>
              <w:t>n strategy</w:t>
            </w:r>
          </w:p>
        </w:tc>
        <w:tc>
          <w:tcPr>
            <w:tcW w:w="5308" w:type="dxa"/>
          </w:tcPr>
          <w:p w:rsidR="00381E65" w:rsidRPr="00BC0230" w:rsidRDefault="00381E65" w:rsidP="00381E65">
            <w:pPr>
              <w:rPr>
                <w:rFonts w:ascii="Calibri" w:hAnsi="Calibri"/>
              </w:rPr>
            </w:pPr>
            <w:r w:rsidRPr="00BC0230">
              <w:rPr>
                <w:rFonts w:ascii="Calibri" w:hAnsi="Calibri"/>
              </w:rPr>
              <w:lastRenderedPageBreak/>
              <w:t xml:space="preserve">Communication/ engagement strategy for private </w:t>
            </w:r>
            <w:r w:rsidRPr="00BC0230">
              <w:rPr>
                <w:rFonts w:ascii="Calibri" w:hAnsi="Calibri"/>
              </w:rPr>
              <w:lastRenderedPageBreak/>
              <w:t>sector and civil society under implementation</w:t>
            </w:r>
          </w:p>
        </w:tc>
        <w:tc>
          <w:tcPr>
            <w:tcW w:w="1450" w:type="dxa"/>
          </w:tcPr>
          <w:p w:rsidR="00381E65" w:rsidRPr="00BC0230" w:rsidRDefault="00381E65" w:rsidP="00381E65">
            <w:pPr>
              <w:jc w:val="center"/>
              <w:rPr>
                <w:rFonts w:ascii="Calibri" w:hAnsi="Calibri"/>
              </w:rPr>
            </w:pPr>
            <w:r w:rsidRPr="00BC0230">
              <w:rPr>
                <w:rFonts w:ascii="Calibri" w:hAnsi="Calibri"/>
              </w:rPr>
              <w:lastRenderedPageBreak/>
              <w:t>1</w:t>
            </w:r>
          </w:p>
        </w:tc>
        <w:tc>
          <w:tcPr>
            <w:tcW w:w="3050" w:type="dxa"/>
          </w:tcPr>
          <w:p w:rsidR="00381E65" w:rsidRPr="00BC0230" w:rsidRDefault="00381E65" w:rsidP="00381E65">
            <w:pPr>
              <w:rPr>
                <w:rFonts w:ascii="Calibri" w:hAnsi="Calibri"/>
              </w:rPr>
            </w:pPr>
            <w:r w:rsidRPr="00BC0230">
              <w:rPr>
                <w:rFonts w:ascii="Calibri" w:hAnsi="Calibri"/>
              </w:rPr>
              <w:t xml:space="preserve">Reports from Engagement </w:t>
            </w:r>
            <w:r w:rsidRPr="00BC0230">
              <w:rPr>
                <w:rFonts w:ascii="Calibri" w:hAnsi="Calibri"/>
              </w:rPr>
              <w:lastRenderedPageBreak/>
              <w:t>meetings and copy of engagement program</w:t>
            </w:r>
          </w:p>
        </w:tc>
        <w:tc>
          <w:tcPr>
            <w:tcW w:w="1417" w:type="dxa"/>
          </w:tcPr>
          <w:p w:rsidR="00381E65" w:rsidRPr="00BC0230" w:rsidRDefault="00381E65" w:rsidP="00381E65">
            <w:pPr>
              <w:rPr>
                <w:rFonts w:ascii="Calibri" w:hAnsi="Calibri"/>
              </w:rPr>
            </w:pPr>
            <w:proofErr w:type="spellStart"/>
            <w:r w:rsidRPr="00BC0230">
              <w:rPr>
                <w:rFonts w:ascii="Calibri" w:hAnsi="Calibri"/>
              </w:rPr>
              <w:lastRenderedPageBreak/>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4</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15824" w:type="dxa"/>
            <w:gridSpan w:val="8"/>
          </w:tcPr>
          <w:p w:rsidR="00381E65" w:rsidRPr="00BC0230" w:rsidRDefault="00381E65" w:rsidP="00381E65">
            <w:pPr>
              <w:jc w:val="center"/>
              <w:rPr>
                <w:rFonts w:ascii="Calibri" w:hAnsi="Calibri"/>
              </w:rPr>
            </w:pPr>
            <w:r w:rsidRPr="00BC0230">
              <w:rPr>
                <w:rFonts w:ascii="Calibri" w:hAnsi="Calibri"/>
              </w:rPr>
              <w:lastRenderedPageBreak/>
              <w:t>Other milestones</w:t>
            </w:r>
          </w:p>
        </w:tc>
      </w:tr>
      <w:tr w:rsidR="00381E65" w:rsidRPr="00BC0230" w:rsidTr="00716D47">
        <w:tc>
          <w:tcPr>
            <w:tcW w:w="555" w:type="dxa"/>
          </w:tcPr>
          <w:p w:rsidR="00381E65" w:rsidRPr="00BC0230" w:rsidRDefault="00381E65" w:rsidP="00381E65">
            <w:pPr>
              <w:rPr>
                <w:rFonts w:ascii="Calibri" w:hAnsi="Calibri"/>
              </w:rPr>
            </w:pPr>
          </w:p>
        </w:tc>
        <w:tc>
          <w:tcPr>
            <w:tcW w:w="1697" w:type="dxa"/>
          </w:tcPr>
          <w:p w:rsidR="00381E65" w:rsidRPr="00BC0230" w:rsidRDefault="00381E65" w:rsidP="00381E65">
            <w:pPr>
              <w:rPr>
                <w:rFonts w:ascii="Calibri" w:hAnsi="Calibri"/>
              </w:rPr>
            </w:pPr>
            <w:r w:rsidRPr="00BC0230">
              <w:rPr>
                <w:rFonts w:ascii="Calibri" w:hAnsi="Calibri"/>
              </w:rPr>
              <w:t>Updating Customs Database</w:t>
            </w:r>
          </w:p>
        </w:tc>
        <w:tc>
          <w:tcPr>
            <w:tcW w:w="5308" w:type="dxa"/>
          </w:tcPr>
          <w:p w:rsidR="00381E65" w:rsidRPr="00BC0230" w:rsidRDefault="00381E65" w:rsidP="00381E65">
            <w:pPr>
              <w:rPr>
                <w:rFonts w:ascii="Calibri" w:hAnsi="Calibri"/>
              </w:rPr>
            </w:pPr>
            <w:r w:rsidRPr="00BC0230">
              <w:rPr>
                <w:rFonts w:ascii="Calibri" w:hAnsi="Calibri"/>
              </w:rPr>
              <w:t xml:space="preserve">The </w:t>
            </w:r>
            <w:proofErr w:type="spellStart"/>
            <w:r w:rsidRPr="00BC0230">
              <w:rPr>
                <w:rFonts w:ascii="Calibri" w:hAnsi="Calibri"/>
              </w:rPr>
              <w:t>MfR</w:t>
            </w:r>
            <w:proofErr w:type="spellEnd"/>
            <w:r w:rsidRPr="00BC0230">
              <w:rPr>
                <w:rFonts w:ascii="Calibri" w:hAnsi="Calibri"/>
              </w:rPr>
              <w:t xml:space="preserve"> customs database, ASYCUDA, will be upgraded</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Copy of upgrade report</w:t>
            </w:r>
          </w:p>
        </w:tc>
        <w:tc>
          <w:tcPr>
            <w:tcW w:w="1417" w:type="dxa"/>
          </w:tcPr>
          <w:p w:rsidR="00381E65" w:rsidRPr="00BC0230" w:rsidRDefault="00381E65" w:rsidP="00381E65">
            <w:pPr>
              <w:rPr>
                <w:rFonts w:ascii="Calibri" w:hAnsi="Calibri"/>
              </w:rPr>
            </w:pPr>
            <w:proofErr w:type="spellStart"/>
            <w:r w:rsidRPr="00BC0230">
              <w:rPr>
                <w:rFonts w:ascii="Calibri" w:hAnsi="Calibri"/>
              </w:rPr>
              <w:t>MfR</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2</w:t>
            </w:r>
          </w:p>
        </w:tc>
        <w:tc>
          <w:tcPr>
            <w:tcW w:w="1213" w:type="dxa"/>
          </w:tcPr>
          <w:p w:rsidR="00381E65" w:rsidRPr="00BC0230" w:rsidRDefault="00381E65" w:rsidP="00381E65">
            <w:pPr>
              <w:jc w:val="center"/>
              <w:rPr>
                <w:rFonts w:ascii="Calibri" w:hAnsi="Calibri"/>
              </w:rPr>
            </w:pPr>
            <w:r w:rsidRPr="00BC0230">
              <w:rPr>
                <w:rFonts w:ascii="Calibri" w:hAnsi="Calibri"/>
              </w:rPr>
              <w:t>2</w:t>
            </w:r>
          </w:p>
        </w:tc>
      </w:tr>
      <w:tr w:rsidR="00381E65" w:rsidRPr="00BC0230" w:rsidTr="00716D47">
        <w:tc>
          <w:tcPr>
            <w:tcW w:w="555" w:type="dxa"/>
          </w:tcPr>
          <w:p w:rsidR="00381E65" w:rsidRPr="00BC0230" w:rsidRDefault="00381E65" w:rsidP="00381E65">
            <w:pPr>
              <w:rPr>
                <w:rFonts w:ascii="Calibri" w:hAnsi="Calibri"/>
              </w:rPr>
            </w:pPr>
          </w:p>
        </w:tc>
        <w:tc>
          <w:tcPr>
            <w:tcW w:w="1697" w:type="dxa"/>
          </w:tcPr>
          <w:p w:rsidR="00381E65" w:rsidRPr="00BC0230" w:rsidRDefault="00381E65" w:rsidP="00381E65">
            <w:pPr>
              <w:rPr>
                <w:rFonts w:ascii="Calibri" w:hAnsi="Calibri"/>
              </w:rPr>
            </w:pPr>
            <w:r w:rsidRPr="00BC0230">
              <w:rPr>
                <w:rFonts w:ascii="Calibri" w:hAnsi="Calibri"/>
              </w:rPr>
              <w:t>Inland Revenue Staff Training</w:t>
            </w:r>
          </w:p>
        </w:tc>
        <w:tc>
          <w:tcPr>
            <w:tcW w:w="5308" w:type="dxa"/>
          </w:tcPr>
          <w:p w:rsidR="00381E65" w:rsidRPr="00BC0230" w:rsidRDefault="00381E65" w:rsidP="00381E65">
            <w:pPr>
              <w:rPr>
                <w:rFonts w:ascii="Calibri" w:hAnsi="Calibri"/>
              </w:rPr>
            </w:pPr>
            <w:r w:rsidRPr="00BC0230">
              <w:rPr>
                <w:rFonts w:ascii="Calibri" w:hAnsi="Calibri"/>
              </w:rPr>
              <w:t>Staff training programme under implementation</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Copy of training report</w:t>
            </w:r>
          </w:p>
        </w:tc>
        <w:tc>
          <w:tcPr>
            <w:tcW w:w="1417" w:type="dxa"/>
          </w:tcPr>
          <w:p w:rsidR="00381E65" w:rsidRPr="00BC0230" w:rsidRDefault="00381E65" w:rsidP="00381E65">
            <w:pPr>
              <w:rPr>
                <w:rFonts w:ascii="Calibri" w:hAnsi="Calibri"/>
              </w:rPr>
            </w:pPr>
            <w:proofErr w:type="spellStart"/>
            <w:r w:rsidRPr="00BC0230">
              <w:rPr>
                <w:rFonts w:ascii="Calibri" w:hAnsi="Calibri"/>
              </w:rPr>
              <w:t>MfR</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2</w:t>
            </w:r>
          </w:p>
        </w:tc>
        <w:tc>
          <w:tcPr>
            <w:tcW w:w="1213" w:type="dxa"/>
          </w:tcPr>
          <w:p w:rsidR="00381E65" w:rsidRPr="00BC0230" w:rsidRDefault="00381E65" w:rsidP="00381E65">
            <w:pPr>
              <w:jc w:val="center"/>
              <w:rPr>
                <w:rFonts w:ascii="Calibri" w:hAnsi="Calibri"/>
              </w:rPr>
            </w:pPr>
            <w:r w:rsidRPr="00BC0230">
              <w:rPr>
                <w:rFonts w:ascii="Calibri" w:hAnsi="Calibri"/>
              </w:rPr>
              <w:t>2</w:t>
            </w:r>
          </w:p>
        </w:tc>
      </w:tr>
      <w:tr w:rsidR="00381E65" w:rsidRPr="00BC0230" w:rsidTr="00716D47">
        <w:trPr>
          <w:cantSplit/>
        </w:trPr>
        <w:tc>
          <w:tcPr>
            <w:tcW w:w="555" w:type="dxa"/>
          </w:tcPr>
          <w:p w:rsidR="00381E65" w:rsidRPr="00BC0230" w:rsidRDefault="00381E65" w:rsidP="00381E65">
            <w:pPr>
              <w:rPr>
                <w:rFonts w:ascii="Calibri" w:hAnsi="Calibri"/>
              </w:rPr>
            </w:pPr>
          </w:p>
        </w:tc>
        <w:tc>
          <w:tcPr>
            <w:tcW w:w="1697" w:type="dxa"/>
          </w:tcPr>
          <w:p w:rsidR="00381E65" w:rsidRPr="00BC0230" w:rsidRDefault="00381E65" w:rsidP="00381E65">
            <w:pPr>
              <w:rPr>
                <w:rFonts w:ascii="Calibri" w:hAnsi="Calibri"/>
              </w:rPr>
            </w:pPr>
            <w:r w:rsidRPr="00BC0230">
              <w:rPr>
                <w:rFonts w:ascii="Calibri" w:hAnsi="Calibri"/>
              </w:rPr>
              <w:t>Inland Revenue Taxpayer Information</w:t>
            </w:r>
          </w:p>
        </w:tc>
        <w:tc>
          <w:tcPr>
            <w:tcW w:w="5308" w:type="dxa"/>
          </w:tcPr>
          <w:p w:rsidR="00381E65" w:rsidRPr="00BC0230" w:rsidRDefault="00381E65" w:rsidP="00381E65">
            <w:pPr>
              <w:rPr>
                <w:rFonts w:ascii="Calibri" w:hAnsi="Calibri"/>
              </w:rPr>
            </w:pPr>
            <w:r w:rsidRPr="00BC0230">
              <w:rPr>
                <w:rFonts w:ascii="Calibri" w:hAnsi="Calibri"/>
              </w:rPr>
              <w:t>Improved accessibility and quality of information made available for tax payers and introduction of taxpayer education campaigns</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MFR publications and web site and education campaign reports</w:t>
            </w:r>
          </w:p>
        </w:tc>
        <w:tc>
          <w:tcPr>
            <w:tcW w:w="1417" w:type="dxa"/>
          </w:tcPr>
          <w:p w:rsidR="00381E65" w:rsidRPr="00BC0230" w:rsidRDefault="00381E65" w:rsidP="00381E65">
            <w:pPr>
              <w:rPr>
                <w:rFonts w:ascii="Calibri" w:hAnsi="Calibri"/>
              </w:rPr>
            </w:pPr>
            <w:proofErr w:type="spellStart"/>
            <w:r w:rsidRPr="00BC0230">
              <w:rPr>
                <w:rFonts w:ascii="Calibri" w:hAnsi="Calibri"/>
              </w:rPr>
              <w:t>MfR</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4</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tcPr>
          <w:p w:rsidR="00381E65" w:rsidRPr="00BC0230" w:rsidRDefault="00381E65" w:rsidP="00381E65">
            <w:pPr>
              <w:rPr>
                <w:rFonts w:ascii="Calibri" w:hAnsi="Calibri"/>
              </w:rPr>
            </w:pPr>
          </w:p>
        </w:tc>
        <w:tc>
          <w:tcPr>
            <w:tcW w:w="1697" w:type="dxa"/>
          </w:tcPr>
          <w:p w:rsidR="00381E65" w:rsidRPr="00BC0230" w:rsidRDefault="00381E65" w:rsidP="00381E65">
            <w:pPr>
              <w:rPr>
                <w:rFonts w:ascii="Calibri" w:hAnsi="Calibri"/>
              </w:rPr>
            </w:pPr>
            <w:r w:rsidRPr="00BC0230">
              <w:rPr>
                <w:rFonts w:ascii="Calibri" w:hAnsi="Calibri"/>
              </w:rPr>
              <w:t>Updating Tax legislation</w:t>
            </w:r>
          </w:p>
        </w:tc>
        <w:tc>
          <w:tcPr>
            <w:tcW w:w="5308" w:type="dxa"/>
          </w:tcPr>
          <w:p w:rsidR="00381E65" w:rsidRPr="00BC0230" w:rsidRDefault="00381E65" w:rsidP="00381E65">
            <w:pPr>
              <w:rPr>
                <w:rFonts w:ascii="Calibri" w:hAnsi="Calibri"/>
              </w:rPr>
            </w:pPr>
            <w:r w:rsidRPr="00BC0230">
              <w:rPr>
                <w:rFonts w:ascii="Calibri" w:hAnsi="Calibri"/>
              </w:rPr>
              <w:t>The revision to IR income tax legislation approved by Parliament and enacted</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Copy of New Income Tax Act and Income Tax Administration Act</w:t>
            </w:r>
          </w:p>
        </w:tc>
        <w:tc>
          <w:tcPr>
            <w:tcW w:w="1417" w:type="dxa"/>
          </w:tcPr>
          <w:p w:rsidR="00381E65" w:rsidRPr="00BC0230" w:rsidRDefault="00381E65" w:rsidP="00381E65">
            <w:pPr>
              <w:rPr>
                <w:rFonts w:ascii="Calibri" w:hAnsi="Calibri"/>
              </w:rPr>
            </w:pPr>
            <w:proofErr w:type="spellStart"/>
            <w:r w:rsidRPr="00BC0230">
              <w:rPr>
                <w:rFonts w:ascii="Calibri" w:hAnsi="Calibri"/>
              </w:rPr>
              <w:t>MfR</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5</w:t>
            </w:r>
          </w:p>
        </w:tc>
        <w:tc>
          <w:tcPr>
            <w:tcW w:w="1213" w:type="dxa"/>
          </w:tcPr>
          <w:p w:rsidR="00381E65" w:rsidRPr="00BC0230" w:rsidRDefault="00381E65" w:rsidP="00381E65">
            <w:pPr>
              <w:jc w:val="center"/>
              <w:rPr>
                <w:rFonts w:ascii="Calibri" w:hAnsi="Calibri"/>
              </w:rPr>
            </w:pPr>
            <w:r w:rsidRPr="00BC0230">
              <w:rPr>
                <w:rFonts w:ascii="Calibri" w:hAnsi="Calibri"/>
              </w:rPr>
              <w:t>5</w:t>
            </w:r>
          </w:p>
        </w:tc>
      </w:tr>
      <w:tr w:rsidR="00381E65" w:rsidRPr="00BC0230" w:rsidTr="00716D47">
        <w:tc>
          <w:tcPr>
            <w:tcW w:w="555" w:type="dxa"/>
          </w:tcPr>
          <w:p w:rsidR="00381E65" w:rsidRPr="00BC0230" w:rsidRDefault="00381E65" w:rsidP="00381E65">
            <w:pPr>
              <w:rPr>
                <w:rFonts w:ascii="Calibri" w:hAnsi="Calibri"/>
              </w:rPr>
            </w:pPr>
          </w:p>
        </w:tc>
        <w:tc>
          <w:tcPr>
            <w:tcW w:w="1697" w:type="dxa"/>
          </w:tcPr>
          <w:p w:rsidR="00381E65" w:rsidRPr="00BC0230" w:rsidRDefault="00381E65" w:rsidP="00381E65">
            <w:pPr>
              <w:rPr>
                <w:rFonts w:ascii="Calibri" w:hAnsi="Calibri"/>
              </w:rPr>
            </w:pPr>
            <w:r w:rsidRPr="00BC0230">
              <w:rPr>
                <w:rFonts w:ascii="Calibri" w:hAnsi="Calibri"/>
              </w:rPr>
              <w:t>Training for line-Ministries</w:t>
            </w:r>
          </w:p>
        </w:tc>
        <w:tc>
          <w:tcPr>
            <w:tcW w:w="5308" w:type="dxa"/>
          </w:tcPr>
          <w:p w:rsidR="00381E65" w:rsidRPr="00BC0230" w:rsidRDefault="00381E65" w:rsidP="00381E65">
            <w:pPr>
              <w:rPr>
                <w:rFonts w:ascii="Calibri" w:hAnsi="Calibri"/>
              </w:rPr>
            </w:pPr>
            <w:r w:rsidRPr="00BC0230">
              <w:rPr>
                <w:rFonts w:ascii="Calibri" w:hAnsi="Calibri"/>
              </w:rPr>
              <w:t xml:space="preserve">Training programme on accounting procedures  and Finance One rolled out to at least 50% of line-Ministries </w:t>
            </w:r>
          </w:p>
        </w:tc>
        <w:tc>
          <w:tcPr>
            <w:tcW w:w="1450" w:type="dxa"/>
          </w:tcPr>
          <w:p w:rsidR="00381E65" w:rsidRPr="00BC0230" w:rsidRDefault="00381E65" w:rsidP="00381E65">
            <w:pPr>
              <w:jc w:val="center"/>
              <w:rPr>
                <w:rFonts w:ascii="Calibri" w:hAnsi="Calibri"/>
              </w:rPr>
            </w:pPr>
            <w:r w:rsidRPr="00BC0230">
              <w:rPr>
                <w:rFonts w:ascii="Calibri" w:hAnsi="Calibri"/>
              </w:rPr>
              <w:t>1</w:t>
            </w:r>
          </w:p>
        </w:tc>
        <w:tc>
          <w:tcPr>
            <w:tcW w:w="3050" w:type="dxa"/>
          </w:tcPr>
          <w:p w:rsidR="00381E65" w:rsidRPr="00BC0230" w:rsidRDefault="00381E65" w:rsidP="00381E65">
            <w:pPr>
              <w:rPr>
                <w:rFonts w:ascii="Calibri" w:hAnsi="Calibri"/>
              </w:rPr>
            </w:pPr>
            <w:r w:rsidRPr="00BC0230">
              <w:rPr>
                <w:rFonts w:ascii="Calibri" w:hAnsi="Calibri"/>
              </w:rPr>
              <w:t>Training programme and copies of training reports</w:t>
            </w:r>
          </w:p>
        </w:tc>
        <w:tc>
          <w:tcPr>
            <w:tcW w:w="1417" w:type="dxa"/>
          </w:tcPr>
          <w:p w:rsidR="00381E65" w:rsidRPr="00BC0230" w:rsidRDefault="00381E65" w:rsidP="00381E65">
            <w:pPr>
              <w:rPr>
                <w:rFonts w:ascii="Calibri" w:hAnsi="Calibri"/>
              </w:rPr>
            </w:pPr>
            <w:r w:rsidRPr="00BC0230">
              <w:rPr>
                <w:rFonts w:ascii="Calibri" w:hAnsi="Calibri"/>
              </w:rPr>
              <w:t xml:space="preserve">Accounts + Systems Support Unit, </w:t>
            </w:r>
            <w:proofErr w:type="spellStart"/>
            <w:r w:rsidRPr="00BC0230">
              <w:rPr>
                <w:rFonts w:ascii="Calibri" w:hAnsi="Calibri"/>
              </w:rPr>
              <w:t>MoF</w:t>
            </w:r>
            <w:proofErr w:type="spellEnd"/>
          </w:p>
        </w:tc>
        <w:tc>
          <w:tcPr>
            <w:tcW w:w="1134" w:type="dxa"/>
          </w:tcPr>
          <w:p w:rsidR="00381E65" w:rsidRPr="00BC0230" w:rsidRDefault="00381E65" w:rsidP="00381E65">
            <w:pPr>
              <w:jc w:val="center"/>
              <w:rPr>
                <w:rFonts w:ascii="Calibri" w:hAnsi="Calibri"/>
              </w:rPr>
            </w:pPr>
            <w:r w:rsidRPr="00BC0230">
              <w:rPr>
                <w:rFonts w:ascii="Calibri" w:hAnsi="Calibri"/>
              </w:rPr>
              <w:t>4</w:t>
            </w:r>
          </w:p>
        </w:tc>
        <w:tc>
          <w:tcPr>
            <w:tcW w:w="1213" w:type="dxa"/>
          </w:tcPr>
          <w:p w:rsidR="00381E65" w:rsidRPr="00BC0230" w:rsidRDefault="00381E65" w:rsidP="00381E65">
            <w:pPr>
              <w:jc w:val="center"/>
              <w:rPr>
                <w:rFonts w:ascii="Calibri" w:hAnsi="Calibri"/>
              </w:rPr>
            </w:pPr>
            <w:r w:rsidRPr="00BC0230">
              <w:rPr>
                <w:rFonts w:ascii="Calibri" w:hAnsi="Calibri"/>
              </w:rPr>
              <w:t>4</w:t>
            </w:r>
          </w:p>
        </w:tc>
      </w:tr>
      <w:tr w:rsidR="00381E65" w:rsidRPr="00BC0230" w:rsidTr="00716D47">
        <w:tc>
          <w:tcPr>
            <w:tcW w:w="555" w:type="dxa"/>
            <w:shd w:val="clear" w:color="auto" w:fill="D9D9D9"/>
          </w:tcPr>
          <w:p w:rsidR="00381E65" w:rsidRPr="00BC0230" w:rsidRDefault="00381E65" w:rsidP="00381E65">
            <w:pPr>
              <w:rPr>
                <w:rFonts w:ascii="Calibri" w:hAnsi="Calibri"/>
                <w:b/>
              </w:rPr>
            </w:pPr>
          </w:p>
        </w:tc>
        <w:tc>
          <w:tcPr>
            <w:tcW w:w="1697" w:type="dxa"/>
            <w:shd w:val="clear" w:color="auto" w:fill="D9D9D9"/>
          </w:tcPr>
          <w:p w:rsidR="00381E65" w:rsidRPr="00BC0230" w:rsidRDefault="00381E65" w:rsidP="00381E65">
            <w:pPr>
              <w:rPr>
                <w:rFonts w:ascii="Calibri" w:hAnsi="Calibri"/>
                <w:b/>
              </w:rPr>
            </w:pPr>
            <w:r w:rsidRPr="00BC0230">
              <w:rPr>
                <w:rFonts w:ascii="Calibri" w:hAnsi="Calibri"/>
                <w:b/>
              </w:rPr>
              <w:t>Max. Possible Score</w:t>
            </w:r>
          </w:p>
        </w:tc>
        <w:tc>
          <w:tcPr>
            <w:tcW w:w="5308" w:type="dxa"/>
            <w:shd w:val="clear" w:color="auto" w:fill="D9D9D9"/>
          </w:tcPr>
          <w:p w:rsidR="00381E65" w:rsidRPr="00BC0230" w:rsidRDefault="00381E65" w:rsidP="00381E65">
            <w:pPr>
              <w:rPr>
                <w:rFonts w:ascii="Calibri" w:hAnsi="Calibri"/>
                <w:b/>
              </w:rPr>
            </w:pPr>
          </w:p>
        </w:tc>
        <w:tc>
          <w:tcPr>
            <w:tcW w:w="1450" w:type="dxa"/>
            <w:shd w:val="clear" w:color="auto" w:fill="D9D9D9"/>
          </w:tcPr>
          <w:p w:rsidR="00381E65" w:rsidRPr="00BC0230" w:rsidRDefault="00381E65" w:rsidP="00381E65">
            <w:pPr>
              <w:jc w:val="center"/>
              <w:rPr>
                <w:rFonts w:ascii="Calibri" w:hAnsi="Calibri"/>
                <w:b/>
              </w:rPr>
            </w:pPr>
          </w:p>
        </w:tc>
        <w:tc>
          <w:tcPr>
            <w:tcW w:w="3050" w:type="dxa"/>
            <w:shd w:val="clear" w:color="auto" w:fill="D9D9D9"/>
          </w:tcPr>
          <w:p w:rsidR="00381E65" w:rsidRPr="00BC0230" w:rsidRDefault="00381E65" w:rsidP="00381E65">
            <w:pPr>
              <w:rPr>
                <w:rFonts w:ascii="Calibri" w:hAnsi="Calibri"/>
                <w:b/>
              </w:rPr>
            </w:pPr>
          </w:p>
        </w:tc>
        <w:tc>
          <w:tcPr>
            <w:tcW w:w="1417" w:type="dxa"/>
            <w:shd w:val="clear" w:color="auto" w:fill="D9D9D9"/>
          </w:tcPr>
          <w:p w:rsidR="00381E65" w:rsidRPr="00BC0230" w:rsidRDefault="00381E65" w:rsidP="00381E65">
            <w:pPr>
              <w:rPr>
                <w:rFonts w:ascii="Calibri" w:hAnsi="Calibri"/>
                <w:b/>
              </w:rPr>
            </w:pPr>
          </w:p>
        </w:tc>
        <w:tc>
          <w:tcPr>
            <w:tcW w:w="1134" w:type="dxa"/>
            <w:shd w:val="clear" w:color="auto" w:fill="D9D9D9"/>
          </w:tcPr>
          <w:p w:rsidR="00381E65" w:rsidRPr="00BC0230" w:rsidRDefault="00381E65" w:rsidP="00381E65">
            <w:pPr>
              <w:jc w:val="center"/>
              <w:rPr>
                <w:rFonts w:ascii="Calibri" w:hAnsi="Calibri"/>
                <w:b/>
              </w:rPr>
            </w:pPr>
          </w:p>
        </w:tc>
        <w:tc>
          <w:tcPr>
            <w:tcW w:w="1213" w:type="dxa"/>
            <w:shd w:val="clear" w:color="auto" w:fill="D9D9D9"/>
          </w:tcPr>
          <w:p w:rsidR="00381E65" w:rsidRPr="00BC0230" w:rsidRDefault="00381E65" w:rsidP="00381E65">
            <w:pPr>
              <w:jc w:val="center"/>
              <w:rPr>
                <w:rFonts w:ascii="Calibri" w:hAnsi="Calibri"/>
                <w:b/>
              </w:rPr>
            </w:pPr>
            <w:r w:rsidRPr="00BC0230">
              <w:rPr>
                <w:rFonts w:ascii="Calibri" w:hAnsi="Calibri"/>
                <w:b/>
              </w:rPr>
              <w:t>169</w:t>
            </w:r>
          </w:p>
        </w:tc>
      </w:tr>
    </w:tbl>
    <w:p w:rsidR="00381E65" w:rsidRPr="00BC0230" w:rsidRDefault="00381E65" w:rsidP="00BF0E16">
      <w:pPr>
        <w:rPr>
          <w:rFonts w:ascii="Calibri" w:hAnsi="Calibri"/>
        </w:rPr>
      </w:pPr>
    </w:p>
    <w:p w:rsidR="00381E65" w:rsidRPr="00BC0230" w:rsidRDefault="00381E65" w:rsidP="00BF0E16">
      <w:pPr>
        <w:rPr>
          <w:rFonts w:ascii="Calibri" w:hAnsi="Calibri"/>
        </w:rPr>
      </w:pPr>
    </w:p>
    <w:sectPr w:rsidR="00381E65" w:rsidRPr="00BC0230" w:rsidSect="00381E6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273" w:rsidRDefault="00C31273" w:rsidP="00E35B36">
      <w:r>
        <w:separator/>
      </w:r>
    </w:p>
  </w:endnote>
  <w:endnote w:type="continuationSeparator" w:id="0">
    <w:p w:rsidR="00C31273" w:rsidRDefault="00C31273" w:rsidP="00E3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273" w:rsidRDefault="00C31273" w:rsidP="00E35B36">
      <w:r>
        <w:separator/>
      </w:r>
    </w:p>
  </w:footnote>
  <w:footnote w:type="continuationSeparator" w:id="0">
    <w:p w:rsidR="00C31273" w:rsidRDefault="00C31273" w:rsidP="00E35B36">
      <w:r>
        <w:continuationSeparator/>
      </w:r>
    </w:p>
  </w:footnote>
  <w:footnote w:id="1">
    <w:p w:rsidR="001E7E92" w:rsidRPr="00E35B36" w:rsidRDefault="001E7E92">
      <w:pPr>
        <w:pStyle w:val="FootnoteText"/>
        <w:rPr>
          <w:lang w:val="en-US"/>
        </w:rPr>
      </w:pPr>
      <w:r>
        <w:rPr>
          <w:rStyle w:val="FootnoteReference"/>
        </w:rPr>
        <w:footnoteRef/>
      </w:r>
      <w:r>
        <w:t xml:space="preserve"> </w:t>
      </w:r>
      <w:r>
        <w:rPr>
          <w:lang w:val="en-US"/>
        </w:rPr>
        <w:t>Design Note, ‘</w:t>
      </w:r>
      <w:r>
        <w:t xml:space="preserve">Incentivising Public Financial Management Reform in Samoa’, </w:t>
      </w:r>
      <w:proofErr w:type="spellStart"/>
      <w:r>
        <w:t>AusAID</w:t>
      </w:r>
      <w:proofErr w:type="spellEnd"/>
      <w:r>
        <w:t>, October 2011</w:t>
      </w:r>
    </w:p>
  </w:footnote>
  <w:footnote w:id="2">
    <w:p w:rsidR="001E7E92" w:rsidRPr="008A4C8F" w:rsidRDefault="001E7E92">
      <w:pPr>
        <w:pStyle w:val="FootnoteText"/>
        <w:rPr>
          <w:lang w:val="en-US"/>
        </w:rPr>
      </w:pPr>
      <w:r>
        <w:rPr>
          <w:rStyle w:val="FootnoteReference"/>
        </w:rPr>
        <w:footnoteRef/>
      </w:r>
      <w:r>
        <w:t xml:space="preserve"> </w:t>
      </w:r>
      <w:r>
        <w:rPr>
          <w:lang w:val="en-US"/>
        </w:rPr>
        <w:t>There were the economic impacts from the Global Financial Crisis and the Tsunami that struck Samoa in September 2009</w:t>
      </w:r>
    </w:p>
  </w:footnote>
  <w:footnote w:id="3">
    <w:p w:rsidR="001E7E92" w:rsidRPr="009E5667" w:rsidRDefault="001E7E92" w:rsidP="00F36F28">
      <w:pPr>
        <w:pStyle w:val="FootnoteText"/>
        <w:rPr>
          <w:rFonts w:asciiTheme="minorHAnsi" w:hAnsiTheme="minorHAnsi" w:cstheme="minorHAnsi"/>
          <w:sz w:val="16"/>
          <w:szCs w:val="16"/>
        </w:rPr>
      </w:pPr>
      <w:r w:rsidRPr="009E5667">
        <w:rPr>
          <w:rStyle w:val="FootnoteReference"/>
          <w:rFonts w:asciiTheme="minorHAnsi" w:eastAsiaTheme="majorEastAsia" w:hAnsiTheme="minorHAnsi" w:cstheme="minorHAnsi"/>
          <w:sz w:val="16"/>
          <w:szCs w:val="16"/>
        </w:rPr>
        <w:footnoteRef/>
      </w:r>
      <w:r w:rsidRPr="009E5667">
        <w:rPr>
          <w:rFonts w:asciiTheme="minorHAnsi" w:hAnsiTheme="minorHAnsi" w:cstheme="minorHAnsi"/>
          <w:sz w:val="16"/>
          <w:szCs w:val="16"/>
        </w:rPr>
        <w:t xml:space="preserve"> IMF Staff Missions are carried out in the off year to the bi annual IMF Article IV Missions. These missions are usually carried out in February/March of each year</w:t>
      </w:r>
    </w:p>
  </w:footnote>
  <w:footnote w:id="4">
    <w:p w:rsidR="001E7E92" w:rsidRPr="001E11A8" w:rsidRDefault="001E7E92" w:rsidP="001E11A8">
      <w:pPr>
        <w:pStyle w:val="FootnoteText"/>
        <w:rPr>
          <w:lang w:val="en-US"/>
        </w:rPr>
      </w:pPr>
      <w:r>
        <w:rPr>
          <w:rStyle w:val="FootnoteReference"/>
        </w:rPr>
        <w:footnoteRef/>
      </w:r>
      <w:r>
        <w:t xml:space="preserve"> </w:t>
      </w:r>
      <w:r w:rsidRPr="001E11A8">
        <w:rPr>
          <w:bCs/>
          <w:sz w:val="18"/>
          <w:szCs w:val="18"/>
        </w:rPr>
        <w:t>Samoa: Strengthening Public Financial Management in Pacific Developing Member Countries, ADB, Feb 2010</w:t>
      </w:r>
    </w:p>
  </w:footnote>
  <w:footnote w:id="5">
    <w:p w:rsidR="001E7E92" w:rsidRPr="00C446D3" w:rsidRDefault="001E7E92">
      <w:pPr>
        <w:pStyle w:val="FootnoteText"/>
        <w:rPr>
          <w:lang w:val="en-US"/>
        </w:rPr>
      </w:pPr>
      <w:r>
        <w:rPr>
          <w:rStyle w:val="FootnoteReference"/>
        </w:rPr>
        <w:footnoteRef/>
      </w:r>
      <w:r>
        <w:t xml:space="preserve"> </w:t>
      </w:r>
      <w:r>
        <w:rPr>
          <w:lang w:val="en-US"/>
        </w:rPr>
        <w:t xml:space="preserve">Samoa PFM Reform Design Note, </w:t>
      </w:r>
      <w:proofErr w:type="spellStart"/>
      <w:r>
        <w:rPr>
          <w:lang w:val="en-US"/>
        </w:rPr>
        <w:t>AusAID</w:t>
      </w:r>
      <w:proofErr w:type="spellEnd"/>
      <w:r>
        <w:rPr>
          <w:lang w:val="en-US"/>
        </w:rPr>
        <w:t>, October 2011, Annex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B2"/>
    <w:multiLevelType w:val="hybridMultilevel"/>
    <w:tmpl w:val="BD12E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F46B89"/>
    <w:multiLevelType w:val="hybridMultilevel"/>
    <w:tmpl w:val="BC98B99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nsid w:val="0B3C3373"/>
    <w:multiLevelType w:val="hybridMultilevel"/>
    <w:tmpl w:val="100A9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D812EBD"/>
    <w:multiLevelType w:val="hybridMultilevel"/>
    <w:tmpl w:val="8EFE5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06A6765"/>
    <w:multiLevelType w:val="hybridMultilevel"/>
    <w:tmpl w:val="A41E9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08978A3"/>
    <w:multiLevelType w:val="hybridMultilevel"/>
    <w:tmpl w:val="30FCA9D8"/>
    <w:lvl w:ilvl="0" w:tplc="E264C028">
      <w:start w:val="30"/>
      <w:numFmt w:val="bullet"/>
      <w:lvlText w:val="-"/>
      <w:lvlJc w:val="left"/>
      <w:pPr>
        <w:tabs>
          <w:tab w:val="num" w:pos="720"/>
        </w:tabs>
        <w:ind w:left="720" w:hanging="360"/>
      </w:pPr>
      <w:rPr>
        <w:rFonts w:ascii="Calibri" w:eastAsia="Times New Roman" w:hAnsi="Calibri"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7FA74C8"/>
    <w:multiLevelType w:val="hybridMultilevel"/>
    <w:tmpl w:val="86FC1C4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nsid w:val="1A723FB7"/>
    <w:multiLevelType w:val="hybridMultilevel"/>
    <w:tmpl w:val="BC98B99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1A7B17D5"/>
    <w:multiLevelType w:val="hybridMultilevel"/>
    <w:tmpl w:val="0FF6937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CED6136"/>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2083841"/>
    <w:multiLevelType w:val="hybridMultilevel"/>
    <w:tmpl w:val="CE02D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C94230"/>
    <w:multiLevelType w:val="hybridMultilevel"/>
    <w:tmpl w:val="F7588A1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nsid w:val="26AD7E0E"/>
    <w:multiLevelType w:val="hybridMultilevel"/>
    <w:tmpl w:val="7262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86633B"/>
    <w:multiLevelType w:val="hybridMultilevel"/>
    <w:tmpl w:val="1D489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8B97050"/>
    <w:multiLevelType w:val="hybridMultilevel"/>
    <w:tmpl w:val="E5741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A307A3"/>
    <w:multiLevelType w:val="hybridMultilevel"/>
    <w:tmpl w:val="86FC1C4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nsid w:val="45C258A3"/>
    <w:multiLevelType w:val="hybridMultilevel"/>
    <w:tmpl w:val="7610C03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4E097064"/>
    <w:multiLevelType w:val="hybridMultilevel"/>
    <w:tmpl w:val="3DC40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A7F719E"/>
    <w:multiLevelType w:val="hybridMultilevel"/>
    <w:tmpl w:val="F2E83042"/>
    <w:lvl w:ilvl="0" w:tplc="227083A6">
      <w:start w:val="1"/>
      <w:numFmt w:val="lowerLetter"/>
      <w:lvlText w:val="%1)"/>
      <w:lvlJc w:val="left"/>
      <w:pPr>
        <w:tabs>
          <w:tab w:val="num" w:pos="405"/>
        </w:tabs>
        <w:ind w:left="405" w:hanging="360"/>
      </w:pPr>
      <w:rPr>
        <w:rFonts w:hint="default"/>
      </w:rPr>
    </w:lvl>
    <w:lvl w:ilvl="1" w:tplc="0C090019" w:tentative="1">
      <w:start w:val="1"/>
      <w:numFmt w:val="lowerLetter"/>
      <w:lvlText w:val="%2."/>
      <w:lvlJc w:val="left"/>
      <w:pPr>
        <w:tabs>
          <w:tab w:val="num" w:pos="1125"/>
        </w:tabs>
        <w:ind w:left="1125" w:hanging="360"/>
      </w:pPr>
    </w:lvl>
    <w:lvl w:ilvl="2" w:tplc="0C09001B" w:tentative="1">
      <w:start w:val="1"/>
      <w:numFmt w:val="lowerRoman"/>
      <w:lvlText w:val="%3."/>
      <w:lvlJc w:val="right"/>
      <w:pPr>
        <w:tabs>
          <w:tab w:val="num" w:pos="1845"/>
        </w:tabs>
        <w:ind w:left="1845" w:hanging="180"/>
      </w:pPr>
    </w:lvl>
    <w:lvl w:ilvl="3" w:tplc="0C09000F" w:tentative="1">
      <w:start w:val="1"/>
      <w:numFmt w:val="decimal"/>
      <w:lvlText w:val="%4."/>
      <w:lvlJc w:val="left"/>
      <w:pPr>
        <w:tabs>
          <w:tab w:val="num" w:pos="2565"/>
        </w:tabs>
        <w:ind w:left="2565" w:hanging="360"/>
      </w:pPr>
    </w:lvl>
    <w:lvl w:ilvl="4" w:tplc="0C090019" w:tentative="1">
      <w:start w:val="1"/>
      <w:numFmt w:val="lowerLetter"/>
      <w:lvlText w:val="%5."/>
      <w:lvlJc w:val="left"/>
      <w:pPr>
        <w:tabs>
          <w:tab w:val="num" w:pos="3285"/>
        </w:tabs>
        <w:ind w:left="3285" w:hanging="360"/>
      </w:pPr>
    </w:lvl>
    <w:lvl w:ilvl="5" w:tplc="0C09001B" w:tentative="1">
      <w:start w:val="1"/>
      <w:numFmt w:val="lowerRoman"/>
      <w:lvlText w:val="%6."/>
      <w:lvlJc w:val="right"/>
      <w:pPr>
        <w:tabs>
          <w:tab w:val="num" w:pos="4005"/>
        </w:tabs>
        <w:ind w:left="4005" w:hanging="180"/>
      </w:pPr>
    </w:lvl>
    <w:lvl w:ilvl="6" w:tplc="0C09000F" w:tentative="1">
      <w:start w:val="1"/>
      <w:numFmt w:val="decimal"/>
      <w:lvlText w:val="%7."/>
      <w:lvlJc w:val="left"/>
      <w:pPr>
        <w:tabs>
          <w:tab w:val="num" w:pos="4725"/>
        </w:tabs>
        <w:ind w:left="4725" w:hanging="360"/>
      </w:pPr>
    </w:lvl>
    <w:lvl w:ilvl="7" w:tplc="0C090019" w:tentative="1">
      <w:start w:val="1"/>
      <w:numFmt w:val="lowerLetter"/>
      <w:lvlText w:val="%8."/>
      <w:lvlJc w:val="left"/>
      <w:pPr>
        <w:tabs>
          <w:tab w:val="num" w:pos="5445"/>
        </w:tabs>
        <w:ind w:left="5445" w:hanging="360"/>
      </w:pPr>
    </w:lvl>
    <w:lvl w:ilvl="8" w:tplc="0C09001B" w:tentative="1">
      <w:start w:val="1"/>
      <w:numFmt w:val="lowerRoman"/>
      <w:lvlText w:val="%9."/>
      <w:lvlJc w:val="right"/>
      <w:pPr>
        <w:tabs>
          <w:tab w:val="num" w:pos="6165"/>
        </w:tabs>
        <w:ind w:left="6165" w:hanging="180"/>
      </w:pPr>
    </w:lvl>
  </w:abstractNum>
  <w:abstractNum w:abstractNumId="19">
    <w:nsid w:val="5E8157FA"/>
    <w:multiLevelType w:val="hybridMultilevel"/>
    <w:tmpl w:val="B35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3144944"/>
    <w:multiLevelType w:val="hybridMultilevel"/>
    <w:tmpl w:val="009CA3A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663D6F33"/>
    <w:multiLevelType w:val="hybridMultilevel"/>
    <w:tmpl w:val="71D8C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9C906F2"/>
    <w:multiLevelType w:val="hybridMultilevel"/>
    <w:tmpl w:val="29842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6E4B11"/>
    <w:multiLevelType w:val="hybridMultilevel"/>
    <w:tmpl w:val="45263B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D9D6104"/>
    <w:multiLevelType w:val="hybridMultilevel"/>
    <w:tmpl w:val="25544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EF6262C"/>
    <w:multiLevelType w:val="hybridMultilevel"/>
    <w:tmpl w:val="FF6A3A0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F624984"/>
    <w:multiLevelType w:val="hybridMultilevel"/>
    <w:tmpl w:val="31E6C4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43A2D0B"/>
    <w:multiLevelType w:val="hybridMultilevel"/>
    <w:tmpl w:val="9774A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5"/>
  </w:num>
  <w:num w:numId="5">
    <w:abstractNumId w:val="18"/>
  </w:num>
  <w:num w:numId="6">
    <w:abstractNumId w:val="17"/>
  </w:num>
  <w:num w:numId="7">
    <w:abstractNumId w:val="11"/>
  </w:num>
  <w:num w:numId="8">
    <w:abstractNumId w:val="16"/>
  </w:num>
  <w:num w:numId="9">
    <w:abstractNumId w:val="22"/>
  </w:num>
  <w:num w:numId="10">
    <w:abstractNumId w:val="3"/>
  </w:num>
  <w:num w:numId="11">
    <w:abstractNumId w:val="21"/>
  </w:num>
  <w:num w:numId="12">
    <w:abstractNumId w:val="8"/>
  </w:num>
  <w:num w:numId="13">
    <w:abstractNumId w:val="20"/>
  </w:num>
  <w:num w:numId="14">
    <w:abstractNumId w:val="19"/>
  </w:num>
  <w:num w:numId="15">
    <w:abstractNumId w:val="24"/>
  </w:num>
  <w:num w:numId="16">
    <w:abstractNumId w:val="14"/>
  </w:num>
  <w:num w:numId="17">
    <w:abstractNumId w:val="23"/>
  </w:num>
  <w:num w:numId="18">
    <w:abstractNumId w:val="13"/>
  </w:num>
  <w:num w:numId="19">
    <w:abstractNumId w:val="4"/>
  </w:num>
  <w:num w:numId="20">
    <w:abstractNumId w:val="2"/>
  </w:num>
  <w:num w:numId="21">
    <w:abstractNumId w:val="27"/>
  </w:num>
  <w:num w:numId="22">
    <w:abstractNumId w:val="0"/>
  </w:num>
  <w:num w:numId="23">
    <w:abstractNumId w:val="25"/>
  </w:num>
  <w:num w:numId="24">
    <w:abstractNumId w:val="26"/>
  </w:num>
  <w:num w:numId="25">
    <w:abstractNumId w:val="12"/>
  </w:num>
  <w:num w:numId="26">
    <w:abstractNumId w:val="10"/>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AA"/>
    <w:rsid w:val="00024E41"/>
    <w:rsid w:val="00027B9E"/>
    <w:rsid w:val="0003785D"/>
    <w:rsid w:val="00054338"/>
    <w:rsid w:val="00056737"/>
    <w:rsid w:val="00080523"/>
    <w:rsid w:val="000A2737"/>
    <w:rsid w:val="000A4273"/>
    <w:rsid w:val="000A69C2"/>
    <w:rsid w:val="000F57D6"/>
    <w:rsid w:val="001120ED"/>
    <w:rsid w:val="00141492"/>
    <w:rsid w:val="001769A9"/>
    <w:rsid w:val="001D613A"/>
    <w:rsid w:val="001E11A8"/>
    <w:rsid w:val="001E7E92"/>
    <w:rsid w:val="002046DE"/>
    <w:rsid w:val="0021038B"/>
    <w:rsid w:val="0022767F"/>
    <w:rsid w:val="002424C9"/>
    <w:rsid w:val="00263A0E"/>
    <w:rsid w:val="0027656F"/>
    <w:rsid w:val="00285E44"/>
    <w:rsid w:val="00297F95"/>
    <w:rsid w:val="002B77EF"/>
    <w:rsid w:val="002D705D"/>
    <w:rsid w:val="002E48ED"/>
    <w:rsid w:val="00304988"/>
    <w:rsid w:val="0033155E"/>
    <w:rsid w:val="003336CA"/>
    <w:rsid w:val="0034509A"/>
    <w:rsid w:val="00354E43"/>
    <w:rsid w:val="00355615"/>
    <w:rsid w:val="0037528B"/>
    <w:rsid w:val="00381E65"/>
    <w:rsid w:val="0038758B"/>
    <w:rsid w:val="00391DA8"/>
    <w:rsid w:val="003972A5"/>
    <w:rsid w:val="00397A90"/>
    <w:rsid w:val="003A4C79"/>
    <w:rsid w:val="003C31A4"/>
    <w:rsid w:val="003D56E3"/>
    <w:rsid w:val="003D66CE"/>
    <w:rsid w:val="004078E8"/>
    <w:rsid w:val="00413877"/>
    <w:rsid w:val="00423DDD"/>
    <w:rsid w:val="00427A96"/>
    <w:rsid w:val="00442E85"/>
    <w:rsid w:val="00453A57"/>
    <w:rsid w:val="00467EF2"/>
    <w:rsid w:val="004738DA"/>
    <w:rsid w:val="00473BB2"/>
    <w:rsid w:val="004926A7"/>
    <w:rsid w:val="004B798E"/>
    <w:rsid w:val="004F08EE"/>
    <w:rsid w:val="005160D4"/>
    <w:rsid w:val="005617FD"/>
    <w:rsid w:val="00570890"/>
    <w:rsid w:val="0057747F"/>
    <w:rsid w:val="00582F02"/>
    <w:rsid w:val="005937B9"/>
    <w:rsid w:val="005B7CD0"/>
    <w:rsid w:val="005C34E4"/>
    <w:rsid w:val="005D2571"/>
    <w:rsid w:val="005D78C2"/>
    <w:rsid w:val="005F04C7"/>
    <w:rsid w:val="005F2026"/>
    <w:rsid w:val="00602898"/>
    <w:rsid w:val="00610663"/>
    <w:rsid w:val="0064591C"/>
    <w:rsid w:val="00652A5C"/>
    <w:rsid w:val="006A6B23"/>
    <w:rsid w:val="006A7CEB"/>
    <w:rsid w:val="006B2864"/>
    <w:rsid w:val="006C0563"/>
    <w:rsid w:val="006C63C7"/>
    <w:rsid w:val="00705081"/>
    <w:rsid w:val="00716D47"/>
    <w:rsid w:val="007400A9"/>
    <w:rsid w:val="00744C6F"/>
    <w:rsid w:val="0075179D"/>
    <w:rsid w:val="00752643"/>
    <w:rsid w:val="0076050D"/>
    <w:rsid w:val="007B4DEB"/>
    <w:rsid w:val="007D540A"/>
    <w:rsid w:val="007E6024"/>
    <w:rsid w:val="00813F3B"/>
    <w:rsid w:val="00814FD9"/>
    <w:rsid w:val="00840642"/>
    <w:rsid w:val="00852497"/>
    <w:rsid w:val="00871A4C"/>
    <w:rsid w:val="008A4C8F"/>
    <w:rsid w:val="008F2AF6"/>
    <w:rsid w:val="00910283"/>
    <w:rsid w:val="00914808"/>
    <w:rsid w:val="00914908"/>
    <w:rsid w:val="00917354"/>
    <w:rsid w:val="00956AE2"/>
    <w:rsid w:val="00963896"/>
    <w:rsid w:val="009A2231"/>
    <w:rsid w:val="009B46F1"/>
    <w:rsid w:val="009B6646"/>
    <w:rsid w:val="009D7A34"/>
    <w:rsid w:val="009E5667"/>
    <w:rsid w:val="009F3B03"/>
    <w:rsid w:val="00A00D9C"/>
    <w:rsid w:val="00A647FE"/>
    <w:rsid w:val="00A91A7A"/>
    <w:rsid w:val="00A939B2"/>
    <w:rsid w:val="00AA107D"/>
    <w:rsid w:val="00AA7378"/>
    <w:rsid w:val="00AA7ACC"/>
    <w:rsid w:val="00AC5FA4"/>
    <w:rsid w:val="00AF12F3"/>
    <w:rsid w:val="00B04FFA"/>
    <w:rsid w:val="00B144B0"/>
    <w:rsid w:val="00B468A9"/>
    <w:rsid w:val="00B51DB5"/>
    <w:rsid w:val="00B608C6"/>
    <w:rsid w:val="00B9353F"/>
    <w:rsid w:val="00BA4EAA"/>
    <w:rsid w:val="00BB6222"/>
    <w:rsid w:val="00BC0230"/>
    <w:rsid w:val="00BC05B4"/>
    <w:rsid w:val="00BC5A00"/>
    <w:rsid w:val="00BD660F"/>
    <w:rsid w:val="00BF0E16"/>
    <w:rsid w:val="00C21FA3"/>
    <w:rsid w:val="00C23091"/>
    <w:rsid w:val="00C31273"/>
    <w:rsid w:val="00C441D0"/>
    <w:rsid w:val="00C446D3"/>
    <w:rsid w:val="00C46B96"/>
    <w:rsid w:val="00C50373"/>
    <w:rsid w:val="00C65DD8"/>
    <w:rsid w:val="00C83B3B"/>
    <w:rsid w:val="00C870DC"/>
    <w:rsid w:val="00CA3103"/>
    <w:rsid w:val="00CB3443"/>
    <w:rsid w:val="00CC4B21"/>
    <w:rsid w:val="00CD0045"/>
    <w:rsid w:val="00CD7D87"/>
    <w:rsid w:val="00CE56C2"/>
    <w:rsid w:val="00D0015E"/>
    <w:rsid w:val="00D0643E"/>
    <w:rsid w:val="00D11FE7"/>
    <w:rsid w:val="00D168E5"/>
    <w:rsid w:val="00D414B7"/>
    <w:rsid w:val="00D91231"/>
    <w:rsid w:val="00D917EA"/>
    <w:rsid w:val="00DB374F"/>
    <w:rsid w:val="00DB7FBB"/>
    <w:rsid w:val="00DE7E3C"/>
    <w:rsid w:val="00E01EA5"/>
    <w:rsid w:val="00E07E44"/>
    <w:rsid w:val="00E10780"/>
    <w:rsid w:val="00E15571"/>
    <w:rsid w:val="00E231B3"/>
    <w:rsid w:val="00E35B36"/>
    <w:rsid w:val="00E41D63"/>
    <w:rsid w:val="00E522B6"/>
    <w:rsid w:val="00E7312E"/>
    <w:rsid w:val="00E748DC"/>
    <w:rsid w:val="00EA260F"/>
    <w:rsid w:val="00EB3293"/>
    <w:rsid w:val="00EB3CA8"/>
    <w:rsid w:val="00ED042D"/>
    <w:rsid w:val="00EE2C47"/>
    <w:rsid w:val="00EF43F3"/>
    <w:rsid w:val="00EF46B2"/>
    <w:rsid w:val="00EF5E59"/>
    <w:rsid w:val="00F14478"/>
    <w:rsid w:val="00F30582"/>
    <w:rsid w:val="00F36F28"/>
    <w:rsid w:val="00F4389B"/>
    <w:rsid w:val="00F653C0"/>
    <w:rsid w:val="00F65D91"/>
    <w:rsid w:val="00F73970"/>
    <w:rsid w:val="00F84632"/>
    <w:rsid w:val="00FD6E67"/>
    <w:rsid w:val="00FE0BA8"/>
    <w:rsid w:val="00FE6917"/>
    <w:rsid w:val="00FF356B"/>
    <w:rsid w:val="00FF6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EAA"/>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A4EAA"/>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643E"/>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643E"/>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643E"/>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643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643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643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643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643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AA"/>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D0643E"/>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D0643E"/>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uiPriority w:val="9"/>
    <w:semiHidden/>
    <w:rsid w:val="00D0643E"/>
    <w:rPr>
      <w:rFonts w:asciiTheme="majorHAnsi" w:eastAsiaTheme="majorEastAsia" w:hAnsiTheme="majorHAnsi" w:cstheme="majorBidi"/>
      <w:b/>
      <w:bCs/>
      <w:i/>
      <w:iCs/>
      <w:color w:val="4F81BD" w:themeColor="accent1"/>
      <w:sz w:val="24"/>
      <w:szCs w:val="24"/>
      <w:lang w:eastAsia="en-AU"/>
    </w:rPr>
  </w:style>
  <w:style w:type="character" w:customStyle="1" w:styleId="Heading5Char">
    <w:name w:val="Heading 5 Char"/>
    <w:basedOn w:val="DefaultParagraphFont"/>
    <w:link w:val="Heading5"/>
    <w:uiPriority w:val="9"/>
    <w:semiHidden/>
    <w:rsid w:val="00D0643E"/>
    <w:rPr>
      <w:rFonts w:asciiTheme="majorHAnsi" w:eastAsiaTheme="majorEastAsia" w:hAnsiTheme="majorHAnsi" w:cstheme="majorBidi"/>
      <w:color w:val="243F60" w:themeColor="accent1" w:themeShade="7F"/>
      <w:sz w:val="24"/>
      <w:szCs w:val="24"/>
      <w:lang w:eastAsia="en-AU"/>
    </w:rPr>
  </w:style>
  <w:style w:type="character" w:customStyle="1" w:styleId="Heading6Char">
    <w:name w:val="Heading 6 Char"/>
    <w:basedOn w:val="DefaultParagraphFont"/>
    <w:link w:val="Heading6"/>
    <w:uiPriority w:val="9"/>
    <w:semiHidden/>
    <w:rsid w:val="00D0643E"/>
    <w:rPr>
      <w:rFonts w:asciiTheme="majorHAnsi" w:eastAsiaTheme="majorEastAsia" w:hAnsiTheme="majorHAnsi" w:cstheme="majorBidi"/>
      <w:i/>
      <w:iCs/>
      <w:color w:val="243F60" w:themeColor="accent1" w:themeShade="7F"/>
      <w:sz w:val="24"/>
      <w:szCs w:val="24"/>
      <w:lang w:eastAsia="en-AU"/>
    </w:rPr>
  </w:style>
  <w:style w:type="character" w:customStyle="1" w:styleId="Heading7Char">
    <w:name w:val="Heading 7 Char"/>
    <w:basedOn w:val="DefaultParagraphFont"/>
    <w:link w:val="Heading7"/>
    <w:uiPriority w:val="9"/>
    <w:semiHidden/>
    <w:rsid w:val="00D0643E"/>
    <w:rPr>
      <w:rFonts w:asciiTheme="majorHAnsi" w:eastAsiaTheme="majorEastAsia" w:hAnsiTheme="majorHAnsi" w:cstheme="majorBidi"/>
      <w:i/>
      <w:iCs/>
      <w:color w:val="404040" w:themeColor="text1" w:themeTint="BF"/>
      <w:sz w:val="24"/>
      <w:szCs w:val="24"/>
      <w:lang w:eastAsia="en-AU"/>
    </w:rPr>
  </w:style>
  <w:style w:type="character" w:customStyle="1" w:styleId="Heading8Char">
    <w:name w:val="Heading 8 Char"/>
    <w:basedOn w:val="DefaultParagraphFont"/>
    <w:link w:val="Heading8"/>
    <w:uiPriority w:val="9"/>
    <w:semiHidden/>
    <w:rsid w:val="00D0643E"/>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D0643E"/>
    <w:rPr>
      <w:rFonts w:asciiTheme="majorHAnsi" w:eastAsiaTheme="majorEastAsia" w:hAnsiTheme="majorHAnsi" w:cstheme="majorBidi"/>
      <w:i/>
      <w:iCs/>
      <w:color w:val="404040" w:themeColor="text1" w:themeTint="BF"/>
      <w:sz w:val="20"/>
      <w:szCs w:val="20"/>
      <w:lang w:eastAsia="en-AU"/>
    </w:rPr>
  </w:style>
  <w:style w:type="paragraph" w:styleId="FootnoteText">
    <w:name w:val="footnote text"/>
    <w:basedOn w:val="Normal"/>
    <w:link w:val="FootnoteTextChar"/>
    <w:semiHidden/>
    <w:unhideWhenUsed/>
    <w:rsid w:val="00E35B36"/>
    <w:rPr>
      <w:sz w:val="20"/>
      <w:szCs w:val="20"/>
    </w:rPr>
  </w:style>
  <w:style w:type="character" w:customStyle="1" w:styleId="FootnoteTextChar">
    <w:name w:val="Footnote Text Char"/>
    <w:basedOn w:val="DefaultParagraphFont"/>
    <w:link w:val="FootnoteText"/>
    <w:uiPriority w:val="99"/>
    <w:semiHidden/>
    <w:rsid w:val="00E35B3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E35B36"/>
    <w:rPr>
      <w:vertAlign w:val="superscript"/>
    </w:rPr>
  </w:style>
  <w:style w:type="table" w:styleId="TableGrid">
    <w:name w:val="Table Grid"/>
    <w:basedOn w:val="TableNormal"/>
    <w:uiPriority w:val="59"/>
    <w:rsid w:val="00F36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4C7"/>
    <w:pPr>
      <w:ind w:left="720"/>
      <w:contextualSpacing/>
    </w:pPr>
  </w:style>
  <w:style w:type="paragraph" w:styleId="BalloonText">
    <w:name w:val="Balloon Text"/>
    <w:basedOn w:val="Normal"/>
    <w:link w:val="BalloonTextChar"/>
    <w:uiPriority w:val="99"/>
    <w:semiHidden/>
    <w:unhideWhenUsed/>
    <w:rsid w:val="00AA7ACC"/>
    <w:rPr>
      <w:rFonts w:ascii="Tahoma" w:hAnsi="Tahoma" w:cs="Tahoma"/>
      <w:sz w:val="16"/>
      <w:szCs w:val="16"/>
    </w:rPr>
  </w:style>
  <w:style w:type="character" w:customStyle="1" w:styleId="BalloonTextChar">
    <w:name w:val="Balloon Text Char"/>
    <w:basedOn w:val="DefaultParagraphFont"/>
    <w:link w:val="BalloonText"/>
    <w:uiPriority w:val="99"/>
    <w:semiHidden/>
    <w:rsid w:val="00AA7ACC"/>
    <w:rPr>
      <w:rFonts w:ascii="Tahoma" w:eastAsia="Times New Roman" w:hAnsi="Tahoma" w:cs="Tahoma"/>
      <w:sz w:val="16"/>
      <w:szCs w:val="16"/>
      <w:lang w:eastAsia="en-AU"/>
    </w:rPr>
  </w:style>
  <w:style w:type="paragraph" w:styleId="TOCHeading">
    <w:name w:val="TOC Heading"/>
    <w:basedOn w:val="Heading1"/>
    <w:next w:val="Normal"/>
    <w:uiPriority w:val="39"/>
    <w:semiHidden/>
    <w:unhideWhenUsed/>
    <w:qFormat/>
    <w:rsid w:val="0057747F"/>
    <w:pPr>
      <w:numPr>
        <w:numId w:val="0"/>
      </w:numPr>
      <w:spacing w:line="276" w:lineRule="auto"/>
      <w:outlineLvl w:val="9"/>
    </w:pPr>
    <w:rPr>
      <w:lang w:val="en-US" w:eastAsia="ja-JP"/>
    </w:rPr>
  </w:style>
  <w:style w:type="paragraph" w:styleId="TOC1">
    <w:name w:val="toc 1"/>
    <w:basedOn w:val="Normal"/>
    <w:next w:val="Normal"/>
    <w:autoRedefine/>
    <w:uiPriority w:val="39"/>
    <w:unhideWhenUsed/>
    <w:rsid w:val="0057747F"/>
    <w:pPr>
      <w:spacing w:after="100"/>
    </w:pPr>
  </w:style>
  <w:style w:type="paragraph" w:styleId="TOC2">
    <w:name w:val="toc 2"/>
    <w:basedOn w:val="Normal"/>
    <w:next w:val="Normal"/>
    <w:autoRedefine/>
    <w:uiPriority w:val="39"/>
    <w:unhideWhenUsed/>
    <w:rsid w:val="0057747F"/>
    <w:pPr>
      <w:spacing w:after="100"/>
      <w:ind w:left="240"/>
    </w:pPr>
  </w:style>
  <w:style w:type="paragraph" w:styleId="TOC3">
    <w:name w:val="toc 3"/>
    <w:basedOn w:val="Normal"/>
    <w:next w:val="Normal"/>
    <w:autoRedefine/>
    <w:uiPriority w:val="39"/>
    <w:unhideWhenUsed/>
    <w:rsid w:val="0057747F"/>
    <w:pPr>
      <w:spacing w:after="100"/>
      <w:ind w:left="480"/>
    </w:pPr>
  </w:style>
  <w:style w:type="character" w:styleId="Hyperlink">
    <w:name w:val="Hyperlink"/>
    <w:basedOn w:val="DefaultParagraphFont"/>
    <w:uiPriority w:val="99"/>
    <w:unhideWhenUsed/>
    <w:rsid w:val="0057747F"/>
    <w:rPr>
      <w:color w:val="0000FF" w:themeColor="hyperlink"/>
      <w:u w:val="single"/>
    </w:rPr>
  </w:style>
  <w:style w:type="paragraph" w:styleId="Caption">
    <w:name w:val="caption"/>
    <w:basedOn w:val="Normal"/>
    <w:next w:val="Normal"/>
    <w:uiPriority w:val="35"/>
    <w:unhideWhenUsed/>
    <w:qFormat/>
    <w:rsid w:val="00B9353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EAA"/>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A4EAA"/>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643E"/>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643E"/>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643E"/>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643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643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643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643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643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AA"/>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D0643E"/>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D0643E"/>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uiPriority w:val="9"/>
    <w:semiHidden/>
    <w:rsid w:val="00D0643E"/>
    <w:rPr>
      <w:rFonts w:asciiTheme="majorHAnsi" w:eastAsiaTheme="majorEastAsia" w:hAnsiTheme="majorHAnsi" w:cstheme="majorBidi"/>
      <w:b/>
      <w:bCs/>
      <w:i/>
      <w:iCs/>
      <w:color w:val="4F81BD" w:themeColor="accent1"/>
      <w:sz w:val="24"/>
      <w:szCs w:val="24"/>
      <w:lang w:eastAsia="en-AU"/>
    </w:rPr>
  </w:style>
  <w:style w:type="character" w:customStyle="1" w:styleId="Heading5Char">
    <w:name w:val="Heading 5 Char"/>
    <w:basedOn w:val="DefaultParagraphFont"/>
    <w:link w:val="Heading5"/>
    <w:uiPriority w:val="9"/>
    <w:semiHidden/>
    <w:rsid w:val="00D0643E"/>
    <w:rPr>
      <w:rFonts w:asciiTheme="majorHAnsi" w:eastAsiaTheme="majorEastAsia" w:hAnsiTheme="majorHAnsi" w:cstheme="majorBidi"/>
      <w:color w:val="243F60" w:themeColor="accent1" w:themeShade="7F"/>
      <w:sz w:val="24"/>
      <w:szCs w:val="24"/>
      <w:lang w:eastAsia="en-AU"/>
    </w:rPr>
  </w:style>
  <w:style w:type="character" w:customStyle="1" w:styleId="Heading6Char">
    <w:name w:val="Heading 6 Char"/>
    <w:basedOn w:val="DefaultParagraphFont"/>
    <w:link w:val="Heading6"/>
    <w:uiPriority w:val="9"/>
    <w:semiHidden/>
    <w:rsid w:val="00D0643E"/>
    <w:rPr>
      <w:rFonts w:asciiTheme="majorHAnsi" w:eastAsiaTheme="majorEastAsia" w:hAnsiTheme="majorHAnsi" w:cstheme="majorBidi"/>
      <w:i/>
      <w:iCs/>
      <w:color w:val="243F60" w:themeColor="accent1" w:themeShade="7F"/>
      <w:sz w:val="24"/>
      <w:szCs w:val="24"/>
      <w:lang w:eastAsia="en-AU"/>
    </w:rPr>
  </w:style>
  <w:style w:type="character" w:customStyle="1" w:styleId="Heading7Char">
    <w:name w:val="Heading 7 Char"/>
    <w:basedOn w:val="DefaultParagraphFont"/>
    <w:link w:val="Heading7"/>
    <w:uiPriority w:val="9"/>
    <w:semiHidden/>
    <w:rsid w:val="00D0643E"/>
    <w:rPr>
      <w:rFonts w:asciiTheme="majorHAnsi" w:eastAsiaTheme="majorEastAsia" w:hAnsiTheme="majorHAnsi" w:cstheme="majorBidi"/>
      <w:i/>
      <w:iCs/>
      <w:color w:val="404040" w:themeColor="text1" w:themeTint="BF"/>
      <w:sz w:val="24"/>
      <w:szCs w:val="24"/>
      <w:lang w:eastAsia="en-AU"/>
    </w:rPr>
  </w:style>
  <w:style w:type="character" w:customStyle="1" w:styleId="Heading8Char">
    <w:name w:val="Heading 8 Char"/>
    <w:basedOn w:val="DefaultParagraphFont"/>
    <w:link w:val="Heading8"/>
    <w:uiPriority w:val="9"/>
    <w:semiHidden/>
    <w:rsid w:val="00D0643E"/>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D0643E"/>
    <w:rPr>
      <w:rFonts w:asciiTheme="majorHAnsi" w:eastAsiaTheme="majorEastAsia" w:hAnsiTheme="majorHAnsi" w:cstheme="majorBidi"/>
      <w:i/>
      <w:iCs/>
      <w:color w:val="404040" w:themeColor="text1" w:themeTint="BF"/>
      <w:sz w:val="20"/>
      <w:szCs w:val="20"/>
      <w:lang w:eastAsia="en-AU"/>
    </w:rPr>
  </w:style>
  <w:style w:type="paragraph" w:styleId="FootnoteText">
    <w:name w:val="footnote text"/>
    <w:basedOn w:val="Normal"/>
    <w:link w:val="FootnoteTextChar"/>
    <w:semiHidden/>
    <w:unhideWhenUsed/>
    <w:rsid w:val="00E35B36"/>
    <w:rPr>
      <w:sz w:val="20"/>
      <w:szCs w:val="20"/>
    </w:rPr>
  </w:style>
  <w:style w:type="character" w:customStyle="1" w:styleId="FootnoteTextChar">
    <w:name w:val="Footnote Text Char"/>
    <w:basedOn w:val="DefaultParagraphFont"/>
    <w:link w:val="FootnoteText"/>
    <w:uiPriority w:val="99"/>
    <w:semiHidden/>
    <w:rsid w:val="00E35B3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E35B36"/>
    <w:rPr>
      <w:vertAlign w:val="superscript"/>
    </w:rPr>
  </w:style>
  <w:style w:type="table" w:styleId="TableGrid">
    <w:name w:val="Table Grid"/>
    <w:basedOn w:val="TableNormal"/>
    <w:uiPriority w:val="59"/>
    <w:rsid w:val="00F36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4C7"/>
    <w:pPr>
      <w:ind w:left="720"/>
      <w:contextualSpacing/>
    </w:pPr>
  </w:style>
  <w:style w:type="paragraph" w:styleId="BalloonText">
    <w:name w:val="Balloon Text"/>
    <w:basedOn w:val="Normal"/>
    <w:link w:val="BalloonTextChar"/>
    <w:uiPriority w:val="99"/>
    <w:semiHidden/>
    <w:unhideWhenUsed/>
    <w:rsid w:val="00AA7ACC"/>
    <w:rPr>
      <w:rFonts w:ascii="Tahoma" w:hAnsi="Tahoma" w:cs="Tahoma"/>
      <w:sz w:val="16"/>
      <w:szCs w:val="16"/>
    </w:rPr>
  </w:style>
  <w:style w:type="character" w:customStyle="1" w:styleId="BalloonTextChar">
    <w:name w:val="Balloon Text Char"/>
    <w:basedOn w:val="DefaultParagraphFont"/>
    <w:link w:val="BalloonText"/>
    <w:uiPriority w:val="99"/>
    <w:semiHidden/>
    <w:rsid w:val="00AA7ACC"/>
    <w:rPr>
      <w:rFonts w:ascii="Tahoma" w:eastAsia="Times New Roman" w:hAnsi="Tahoma" w:cs="Tahoma"/>
      <w:sz w:val="16"/>
      <w:szCs w:val="16"/>
      <w:lang w:eastAsia="en-AU"/>
    </w:rPr>
  </w:style>
  <w:style w:type="paragraph" w:styleId="TOCHeading">
    <w:name w:val="TOC Heading"/>
    <w:basedOn w:val="Heading1"/>
    <w:next w:val="Normal"/>
    <w:uiPriority w:val="39"/>
    <w:semiHidden/>
    <w:unhideWhenUsed/>
    <w:qFormat/>
    <w:rsid w:val="0057747F"/>
    <w:pPr>
      <w:numPr>
        <w:numId w:val="0"/>
      </w:numPr>
      <w:spacing w:line="276" w:lineRule="auto"/>
      <w:outlineLvl w:val="9"/>
    </w:pPr>
    <w:rPr>
      <w:lang w:val="en-US" w:eastAsia="ja-JP"/>
    </w:rPr>
  </w:style>
  <w:style w:type="paragraph" w:styleId="TOC1">
    <w:name w:val="toc 1"/>
    <w:basedOn w:val="Normal"/>
    <w:next w:val="Normal"/>
    <w:autoRedefine/>
    <w:uiPriority w:val="39"/>
    <w:unhideWhenUsed/>
    <w:rsid w:val="0057747F"/>
    <w:pPr>
      <w:spacing w:after="100"/>
    </w:pPr>
  </w:style>
  <w:style w:type="paragraph" w:styleId="TOC2">
    <w:name w:val="toc 2"/>
    <w:basedOn w:val="Normal"/>
    <w:next w:val="Normal"/>
    <w:autoRedefine/>
    <w:uiPriority w:val="39"/>
    <w:unhideWhenUsed/>
    <w:rsid w:val="0057747F"/>
    <w:pPr>
      <w:spacing w:after="100"/>
      <w:ind w:left="240"/>
    </w:pPr>
  </w:style>
  <w:style w:type="paragraph" w:styleId="TOC3">
    <w:name w:val="toc 3"/>
    <w:basedOn w:val="Normal"/>
    <w:next w:val="Normal"/>
    <w:autoRedefine/>
    <w:uiPriority w:val="39"/>
    <w:unhideWhenUsed/>
    <w:rsid w:val="0057747F"/>
    <w:pPr>
      <w:spacing w:after="100"/>
      <w:ind w:left="480"/>
    </w:pPr>
  </w:style>
  <w:style w:type="character" w:styleId="Hyperlink">
    <w:name w:val="Hyperlink"/>
    <w:basedOn w:val="DefaultParagraphFont"/>
    <w:uiPriority w:val="99"/>
    <w:unhideWhenUsed/>
    <w:rsid w:val="0057747F"/>
    <w:rPr>
      <w:color w:val="0000FF" w:themeColor="hyperlink"/>
      <w:u w:val="single"/>
    </w:rPr>
  </w:style>
  <w:style w:type="paragraph" w:styleId="Caption">
    <w:name w:val="caption"/>
    <w:basedOn w:val="Normal"/>
    <w:next w:val="Normal"/>
    <w:uiPriority w:val="35"/>
    <w:unhideWhenUsed/>
    <w:qFormat/>
    <w:rsid w:val="00B9353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6537E-7DC0-448A-97D7-A7FCF85AB7AB}"/>
</file>

<file path=customXml/itemProps2.xml><?xml version="1.0" encoding="utf-8"?>
<ds:datastoreItem xmlns:ds="http://schemas.openxmlformats.org/officeDocument/2006/customXml" ds:itemID="{9251239D-8F08-4402-A9F9-65E885416D43}"/>
</file>

<file path=customXml/itemProps3.xml><?xml version="1.0" encoding="utf-8"?>
<ds:datastoreItem xmlns:ds="http://schemas.openxmlformats.org/officeDocument/2006/customXml" ds:itemID="{E4CECE00-BE13-4EC6-8E85-EE4B31BCEF71}"/>
</file>

<file path=customXml/itemProps4.xml><?xml version="1.0" encoding="utf-8"?>
<ds:datastoreItem xmlns:ds="http://schemas.openxmlformats.org/officeDocument/2006/customXml" ds:itemID="{0367A2ED-6888-4061-A37A-AACC8A022599}"/>
</file>

<file path=docProps/app.xml><?xml version="1.0" encoding="utf-8"?>
<Properties xmlns="http://schemas.openxmlformats.org/officeDocument/2006/extended-properties" xmlns:vt="http://schemas.openxmlformats.org/officeDocument/2006/docPropsVTypes">
  <Template>Normal.dotm</Template>
  <TotalTime>4</TotalTime>
  <Pages>37</Pages>
  <Words>11575</Words>
  <Characters>65980</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77401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dc:creator>
  <cp:lastModifiedBy>Owen Martin</cp:lastModifiedBy>
  <cp:revision>2</cp:revision>
  <dcterms:created xsi:type="dcterms:W3CDTF">2012-05-23T02:09:00Z</dcterms:created>
  <dcterms:modified xsi:type="dcterms:W3CDTF">2012-05-23T02:09:00Z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2900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