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7304" w14:textId="27425C9E" w:rsidR="004109A3" w:rsidRPr="000A5D10" w:rsidRDefault="004109A3" w:rsidP="000A5D10">
      <w:pPr>
        <w:pStyle w:val="Heading1"/>
      </w:pPr>
      <w:r w:rsidRPr="000A5D10">
        <w:t>How is the Pacific Engagement Visa (PEV)</w:t>
      </w:r>
      <w:r w:rsidR="00F84110" w:rsidRPr="000A5D10">
        <w:t xml:space="preserve"> </w:t>
      </w:r>
      <w:r w:rsidRPr="000A5D10">
        <w:t>different from the Pacific Australia Labour Mobility (PALM) scheme?</w:t>
      </w:r>
    </w:p>
    <w:p w14:paraId="511A1E6B" w14:textId="2B520793" w:rsidR="004109A3" w:rsidRPr="000A5D10" w:rsidRDefault="004109A3" w:rsidP="000A5D10">
      <w:pPr>
        <w:pStyle w:val="Heading2"/>
      </w:pPr>
      <w:r w:rsidRPr="000A5D10">
        <w:t>PALM scheme</w:t>
      </w:r>
    </w:p>
    <w:p w14:paraId="720DD106" w14:textId="6C2EDE4A" w:rsidR="004109A3" w:rsidRPr="00EE7F19" w:rsidRDefault="7F9A3977" w:rsidP="004109A3">
      <w:pPr>
        <w:pStyle w:val="Body"/>
        <w:ind w:left="567" w:right="423"/>
      </w:pPr>
      <w:r>
        <w:t xml:space="preserve">The Pacific Australia Labour Mobility (PALM) scheme is a </w:t>
      </w:r>
      <w:r w:rsidRPr="00BE6D9B">
        <w:rPr>
          <w:b/>
          <w:bCs/>
        </w:rPr>
        <w:t>temporary</w:t>
      </w:r>
      <w:r>
        <w:t xml:space="preserve"> migration program which allows eligible Australian businesses to hire workers from nine </w:t>
      </w:r>
      <w:proofErr w:type="gramStart"/>
      <w:r>
        <w:t>Pacific island</w:t>
      </w:r>
      <w:proofErr w:type="gramEnd"/>
      <w:r w:rsidR="003517A3">
        <w:t xml:space="preserve"> countrie</w:t>
      </w:r>
      <w:r>
        <w:t>s and Timor-Leste</w:t>
      </w:r>
      <w:r w:rsidR="004109A3">
        <w:t xml:space="preserve"> when there are not enough local workers available</w:t>
      </w:r>
      <w:r>
        <w:t>.</w:t>
      </w:r>
    </w:p>
    <w:p w14:paraId="1718D170" w14:textId="1812E18E" w:rsidR="004109A3" w:rsidRPr="00EE7F19" w:rsidRDefault="7F9A3977" w:rsidP="004109A3">
      <w:pPr>
        <w:pStyle w:val="Body"/>
        <w:ind w:left="567" w:right="423"/>
      </w:pPr>
      <w:r>
        <w:t xml:space="preserve">Through the PALM scheme, Pacific and Timor-Leste workers take up a range of </w:t>
      </w:r>
      <w:r w:rsidR="64E99D72">
        <w:t>short</w:t>
      </w:r>
      <w:r w:rsidR="009863C7">
        <w:t>-</w:t>
      </w:r>
      <w:r w:rsidR="64E99D72">
        <w:t>term</w:t>
      </w:r>
      <w:r>
        <w:t xml:space="preserve"> (up </w:t>
      </w:r>
      <w:r>
        <w:br/>
        <w:t xml:space="preserve">to 9 months) and long-term job opportunities (one to four years) in </w:t>
      </w:r>
      <w:r w:rsidR="29E7F715">
        <w:t xml:space="preserve">unskilled, </w:t>
      </w:r>
      <w:r>
        <w:t>low</w:t>
      </w:r>
      <w:r w:rsidR="39C7F564">
        <w:t xml:space="preserve"> </w:t>
      </w:r>
      <w:r>
        <w:t xml:space="preserve">and semi-skilled positions, </w:t>
      </w:r>
      <w:r w:rsidR="00136DD7">
        <w:t xml:space="preserve">enabling them </w:t>
      </w:r>
      <w:r>
        <w:t>to</w:t>
      </w:r>
      <w:r w:rsidR="00136DD7">
        <w:t xml:space="preserve"> develop skills and </w:t>
      </w:r>
      <w:r>
        <w:t xml:space="preserve">send income home to support their families and communities. </w:t>
      </w:r>
    </w:p>
    <w:p w14:paraId="2E276BB6" w14:textId="2763C267" w:rsidR="004109A3" w:rsidRPr="00EE7F19" w:rsidRDefault="7F9A3977" w:rsidP="004109A3">
      <w:pPr>
        <w:pStyle w:val="Body"/>
        <w:ind w:left="567" w:right="423"/>
        <w:rPr>
          <w:b/>
          <w:bCs/>
        </w:rPr>
      </w:pPr>
      <w:r>
        <w:t>PALM scheme workers are required to depart Australia to reconnect with their families and communities</w:t>
      </w:r>
      <w:r w:rsidR="00136DD7">
        <w:t>. This is for three</w:t>
      </w:r>
      <w:r>
        <w:t xml:space="preserve"> months fo</w:t>
      </w:r>
      <w:r w:rsidR="00A81DBA">
        <w:t xml:space="preserve">llowing the conclusion of </w:t>
      </w:r>
      <w:r w:rsidR="00136DD7">
        <w:t xml:space="preserve">a </w:t>
      </w:r>
      <w:r w:rsidR="00FC1FE0">
        <w:t>short-term</w:t>
      </w:r>
      <w:r w:rsidR="64E99D72">
        <w:t xml:space="preserve"> </w:t>
      </w:r>
      <w:r>
        <w:t xml:space="preserve">placement and </w:t>
      </w:r>
      <w:r w:rsidR="00136DD7">
        <w:t>six</w:t>
      </w:r>
      <w:r>
        <w:t xml:space="preserve"> months fo</w:t>
      </w:r>
      <w:r w:rsidR="00715398">
        <w:t xml:space="preserve">llowing the conclusion of </w:t>
      </w:r>
      <w:r w:rsidR="00136DD7">
        <w:t>a</w:t>
      </w:r>
      <w:r w:rsidR="00715398">
        <w:t xml:space="preserve"> </w:t>
      </w:r>
      <w:r>
        <w:t>long-term placement</w:t>
      </w:r>
      <w:r w:rsidR="009863C7">
        <w:t xml:space="preserve"> before they can reapply to join the scheme</w:t>
      </w:r>
      <w:r>
        <w:t>.</w:t>
      </w:r>
    </w:p>
    <w:p w14:paraId="395BFD89" w14:textId="77777777" w:rsidR="004109A3" w:rsidRPr="00101A40" w:rsidRDefault="004109A3" w:rsidP="000A5D10">
      <w:pPr>
        <w:pStyle w:val="Heading2"/>
      </w:pPr>
      <w:r w:rsidRPr="00101A40">
        <w:t>Pacific Engagement Visa</w:t>
      </w:r>
    </w:p>
    <w:p w14:paraId="191A3123" w14:textId="6F052D07" w:rsidR="004109A3" w:rsidRPr="007A23F5" w:rsidRDefault="7F9A3977" w:rsidP="004109A3">
      <w:pPr>
        <w:pStyle w:val="Body"/>
        <w:ind w:left="567" w:right="423"/>
      </w:pPr>
      <w:r>
        <w:t xml:space="preserve">The Pacific Engagement Visa </w:t>
      </w:r>
      <w:r w:rsidR="00505FA6">
        <w:t xml:space="preserve">will be </w:t>
      </w:r>
      <w:r>
        <w:t xml:space="preserve">a new </w:t>
      </w:r>
      <w:r w:rsidRPr="00BE6D9B">
        <w:rPr>
          <w:b/>
          <w:bCs/>
        </w:rPr>
        <w:t>permanent</w:t>
      </w:r>
      <w:r>
        <w:t xml:space="preserve"> resident visa program for participating countries across the Pacific and Timor-Leste</w:t>
      </w:r>
      <w:r w:rsidR="009E0A13">
        <w:t>.</w:t>
      </w:r>
    </w:p>
    <w:p w14:paraId="1CDBC051" w14:textId="04801CD6" w:rsidR="004109A3" w:rsidRPr="007A23F5" w:rsidRDefault="2BE2D908" w:rsidP="004109A3">
      <w:pPr>
        <w:pStyle w:val="Body"/>
        <w:ind w:left="567" w:right="423"/>
      </w:pPr>
      <w:r>
        <w:t>Each year u</w:t>
      </w:r>
      <w:r w:rsidR="7F9A3977">
        <w:t xml:space="preserve">p to 3,000 visas, inclusive of partners and dependent children, will be allocated through a </w:t>
      </w:r>
      <w:r w:rsidR="000D4E23">
        <w:t xml:space="preserve">random electronic </w:t>
      </w:r>
      <w:r w:rsidR="7F9A3977">
        <w:t>ballot process.</w:t>
      </w:r>
      <w:r w:rsidR="1C7B4FC5">
        <w:t xml:space="preserve"> </w:t>
      </w:r>
      <w:r w:rsidR="004756A6">
        <w:t xml:space="preserve">Those selected in the ballot </w:t>
      </w:r>
      <w:r w:rsidR="00B23A9A">
        <w:t>will be able to apply for permanent residence in Australia</w:t>
      </w:r>
      <w:r w:rsidR="0027634D">
        <w:t>, subject to meeting eligibility requirements</w:t>
      </w:r>
      <w:r w:rsidR="00B23A9A">
        <w:t xml:space="preserve">. </w:t>
      </w:r>
      <w:r w:rsidR="00993E71">
        <w:t xml:space="preserve">PALM scheme workers on valid </w:t>
      </w:r>
      <w:r w:rsidR="00D43A92">
        <w:t>temporary visa</w:t>
      </w:r>
      <w:r w:rsidR="0010110D">
        <w:t>s</w:t>
      </w:r>
      <w:r w:rsidR="00D43A92">
        <w:t xml:space="preserve"> will be eligible to register </w:t>
      </w:r>
      <w:r w:rsidR="0010110D">
        <w:t xml:space="preserve">for the ballot. </w:t>
      </w:r>
    </w:p>
    <w:p w14:paraId="17FF83B3" w14:textId="17168FCF" w:rsidR="00101A40" w:rsidRDefault="7F9A3977" w:rsidP="00257F31">
      <w:pPr>
        <w:pStyle w:val="Body"/>
        <w:ind w:left="567" w:right="423"/>
      </w:pPr>
      <w:r>
        <w:t xml:space="preserve">The Pacific Engagement Visa seeks to grow Australia’s Pacific and Timor-Leste diaspora, build on our strong people-to-people links, and encourage greater cultural, business, investment and educational exchange. </w:t>
      </w:r>
      <w:r w:rsidR="00101A40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79" w:type="dxa"/>
        </w:tblCellMar>
        <w:tblLook w:val="06A0" w:firstRow="1" w:lastRow="0" w:firstColumn="1" w:lastColumn="0" w:noHBand="1" w:noVBand="1"/>
      </w:tblPr>
      <w:tblGrid>
        <w:gridCol w:w="2263"/>
        <w:gridCol w:w="4116"/>
        <w:gridCol w:w="3686"/>
      </w:tblGrid>
      <w:tr w:rsidR="00101A40" w14:paraId="191C420C" w14:textId="77777777" w:rsidTr="00C70FD2">
        <w:trPr>
          <w:trHeight w:val="699"/>
          <w:tblHeader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  <w:right w:val="single" w:sz="8" w:space="0" w:color="519153"/>
            </w:tcBorders>
            <w:shd w:val="clear" w:color="auto" w:fill="E4F0E4"/>
          </w:tcPr>
          <w:p w14:paraId="3E8D0942" w14:textId="77777777" w:rsidR="00101A40" w:rsidRPr="007A23F5" w:rsidRDefault="00101A40" w:rsidP="004F2ADA">
            <w:pPr>
              <w:spacing w:before="60" w:after="60" w:line="240" w:lineRule="auto"/>
              <w:jc w:val="center"/>
              <w:rPr>
                <w:rFonts w:ascii="Segoe UI" w:eastAsia="Segoe UI" w:hAnsi="Segoe UI" w:cs="Segoe UI"/>
                <w:b/>
                <w:bCs/>
                <w:color w:val="002060"/>
              </w:rPr>
            </w:pPr>
            <w:r w:rsidRPr="007A23F5">
              <w:rPr>
                <w:rFonts w:ascii="Segoe UI" w:eastAsia="Segoe UI" w:hAnsi="Segoe UI" w:cs="Segoe UI"/>
                <w:b/>
                <w:bCs/>
                <w:color w:val="002060"/>
              </w:rPr>
              <w:lastRenderedPageBreak/>
              <w:t>Program settings</w:t>
            </w:r>
          </w:p>
        </w:tc>
        <w:tc>
          <w:tcPr>
            <w:tcW w:w="4116" w:type="dxa"/>
            <w:tcBorders>
              <w:top w:val="single" w:sz="8" w:space="0" w:color="519153"/>
              <w:left w:val="single" w:sz="8" w:space="0" w:color="519153"/>
              <w:bottom w:val="single" w:sz="8" w:space="0" w:color="519153"/>
              <w:right w:val="single" w:sz="8" w:space="0" w:color="519153"/>
            </w:tcBorders>
            <w:shd w:val="clear" w:color="auto" w:fill="E4F0E4"/>
          </w:tcPr>
          <w:p w14:paraId="43A8F7CD" w14:textId="77777777" w:rsidR="00101A40" w:rsidRPr="007A23F5" w:rsidRDefault="00101A40" w:rsidP="004F2ADA">
            <w:pPr>
              <w:spacing w:before="60" w:after="60" w:line="240" w:lineRule="auto"/>
              <w:jc w:val="center"/>
              <w:rPr>
                <w:rFonts w:ascii="Segoe UI" w:eastAsia="Segoe UI" w:hAnsi="Segoe UI" w:cs="Segoe UI"/>
                <w:b/>
                <w:bCs/>
                <w:color w:val="002060"/>
              </w:rPr>
            </w:pPr>
            <w:r w:rsidRPr="007A23F5">
              <w:rPr>
                <w:rFonts w:ascii="Segoe UI" w:eastAsia="Segoe UI" w:hAnsi="Segoe UI" w:cs="Segoe UI"/>
                <w:b/>
                <w:bCs/>
                <w:color w:val="002060"/>
              </w:rPr>
              <w:t xml:space="preserve">Pacific Australia Labour </w:t>
            </w:r>
            <w:r>
              <w:rPr>
                <w:rFonts w:ascii="Segoe UI" w:eastAsia="Segoe UI" w:hAnsi="Segoe UI" w:cs="Segoe UI"/>
                <w:b/>
                <w:bCs/>
                <w:color w:val="002060"/>
              </w:rPr>
              <w:br/>
            </w:r>
            <w:r w:rsidRPr="007A23F5">
              <w:rPr>
                <w:rFonts w:ascii="Segoe UI" w:eastAsia="Segoe UI" w:hAnsi="Segoe UI" w:cs="Segoe UI"/>
                <w:b/>
                <w:bCs/>
                <w:color w:val="002060"/>
              </w:rPr>
              <w:t>Mobility (PALM) scheme</w:t>
            </w:r>
          </w:p>
        </w:tc>
        <w:tc>
          <w:tcPr>
            <w:tcW w:w="3686" w:type="dxa"/>
            <w:tcBorders>
              <w:top w:val="single" w:sz="8" w:space="0" w:color="519153"/>
              <w:left w:val="single" w:sz="8" w:space="0" w:color="519153"/>
              <w:bottom w:val="single" w:sz="8" w:space="0" w:color="519153"/>
            </w:tcBorders>
            <w:shd w:val="clear" w:color="auto" w:fill="E4F0E4"/>
          </w:tcPr>
          <w:p w14:paraId="4437509C" w14:textId="77777777" w:rsidR="00101A40" w:rsidRPr="007A23F5" w:rsidRDefault="00101A40" w:rsidP="004F2ADA">
            <w:pPr>
              <w:spacing w:before="60" w:after="60" w:line="240" w:lineRule="auto"/>
              <w:jc w:val="center"/>
              <w:rPr>
                <w:rFonts w:ascii="Segoe UI" w:eastAsia="Segoe UI" w:hAnsi="Segoe UI" w:cs="Segoe UI"/>
                <w:b/>
                <w:bCs/>
                <w:color w:val="002060"/>
              </w:rPr>
            </w:pPr>
            <w:r w:rsidRPr="007A23F5">
              <w:rPr>
                <w:rFonts w:ascii="Segoe UI" w:eastAsia="Segoe UI" w:hAnsi="Segoe UI" w:cs="Segoe UI"/>
                <w:b/>
                <w:bCs/>
                <w:color w:val="002060"/>
              </w:rPr>
              <w:t xml:space="preserve">Pacific Engagement </w:t>
            </w:r>
            <w:r>
              <w:rPr>
                <w:rFonts w:ascii="Segoe UI" w:eastAsia="Segoe UI" w:hAnsi="Segoe UI" w:cs="Segoe UI"/>
                <w:b/>
                <w:bCs/>
                <w:color w:val="002060"/>
              </w:rPr>
              <w:br/>
            </w:r>
            <w:r w:rsidRPr="007A23F5">
              <w:rPr>
                <w:rFonts w:ascii="Segoe UI" w:eastAsia="Segoe UI" w:hAnsi="Segoe UI" w:cs="Segoe UI"/>
                <w:b/>
                <w:bCs/>
                <w:color w:val="002060"/>
              </w:rPr>
              <w:t>Visa (PEV)</w:t>
            </w:r>
          </w:p>
        </w:tc>
      </w:tr>
      <w:tr w:rsidR="00101A40" w14:paraId="562B9BDA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  <w:right w:val="nil"/>
            </w:tcBorders>
          </w:tcPr>
          <w:p w14:paraId="69B60715" w14:textId="5797B843" w:rsidR="00101A40" w:rsidRPr="001C0835" w:rsidRDefault="00101A40" w:rsidP="00257F31">
            <w:pPr>
              <w:pStyle w:val="chead"/>
            </w:pPr>
            <w:r w:rsidRPr="001C0835">
              <w:t>Purpose</w:t>
            </w:r>
          </w:p>
        </w:tc>
        <w:tc>
          <w:tcPr>
            <w:tcW w:w="4116" w:type="dxa"/>
            <w:tcBorders>
              <w:top w:val="single" w:sz="8" w:space="0" w:color="519153"/>
              <w:left w:val="nil"/>
              <w:bottom w:val="single" w:sz="8" w:space="0" w:color="519153"/>
              <w:right w:val="nil"/>
            </w:tcBorders>
          </w:tcPr>
          <w:p w14:paraId="073AA140" w14:textId="77777777" w:rsidR="00101A40" w:rsidRPr="007B5821" w:rsidRDefault="00101A40" w:rsidP="004F2ADA">
            <w:pPr>
              <w:pStyle w:val="bodytable"/>
            </w:pPr>
            <w:r w:rsidRPr="007B5821">
              <w:t xml:space="preserve">The PALM scheme is a </w:t>
            </w:r>
            <w:r w:rsidRPr="00BE6D9B">
              <w:rPr>
                <w:b/>
                <w:bCs/>
              </w:rPr>
              <w:t>temporary</w:t>
            </w:r>
            <w:r w:rsidRPr="007B5821">
              <w:t xml:space="preserve"> migration program allowing workers to take up jobs in Australia, develop their skills and send income home to support their families and communities.</w:t>
            </w:r>
            <w:r>
              <w:t xml:space="preserve">  </w:t>
            </w:r>
          </w:p>
        </w:tc>
        <w:tc>
          <w:tcPr>
            <w:tcW w:w="3686" w:type="dxa"/>
            <w:tcBorders>
              <w:top w:val="single" w:sz="8" w:space="0" w:color="519153"/>
              <w:left w:val="nil"/>
              <w:bottom w:val="single" w:sz="8" w:space="0" w:color="519153"/>
            </w:tcBorders>
          </w:tcPr>
          <w:p w14:paraId="6F48C7F3" w14:textId="77777777" w:rsidR="00101A40" w:rsidRPr="007B5821" w:rsidRDefault="00101A40" w:rsidP="004F2ADA">
            <w:pPr>
              <w:pStyle w:val="bodytable"/>
            </w:pPr>
            <w:r>
              <w:t xml:space="preserve">The PEV is a </w:t>
            </w:r>
            <w:r w:rsidRPr="00BE6D9B">
              <w:rPr>
                <w:b/>
                <w:bCs/>
              </w:rPr>
              <w:t>permanent</w:t>
            </w:r>
            <w:r>
              <w:t xml:space="preserve"> residence visa aimed at building greater people, cultural, business, and educational links between Australia and the Pacific.</w:t>
            </w:r>
          </w:p>
        </w:tc>
      </w:tr>
      <w:tr w:rsidR="00101A40" w14:paraId="41203F57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3ED842B6" w14:textId="7284C7CA" w:rsidR="00101A40" w:rsidRPr="001C0835" w:rsidRDefault="00101A40" w:rsidP="00257F31">
            <w:pPr>
              <w:pStyle w:val="chead"/>
            </w:pPr>
            <w:r w:rsidRPr="001C0835">
              <w:t xml:space="preserve">Participating countries 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0984238D" w14:textId="77777777" w:rsidR="00101A40" w:rsidRPr="00966230" w:rsidRDefault="00101A40" w:rsidP="004F2ADA">
            <w:pPr>
              <w:pStyle w:val="bodytable"/>
              <w:rPr>
                <w:lang w:val="fi-FI"/>
              </w:rPr>
            </w:pPr>
            <w:r w:rsidRPr="00966230">
              <w:rPr>
                <w:lang w:val="fi-FI"/>
              </w:rPr>
              <w:t>Fiji, Kiribati, Nauru, Papua New Guinea, Samoa, Solomon Islands, Timor-Leste, Tonga, Tuvalu, Vanuatu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1FB6C13F" w14:textId="4B05970E" w:rsidR="00101A40" w:rsidRPr="007B5821" w:rsidRDefault="474650F0" w:rsidP="004F2ADA">
            <w:pPr>
              <w:pStyle w:val="bodytable"/>
            </w:pPr>
            <w:r>
              <w:t>Countries currently participating:</w:t>
            </w:r>
            <w:r w:rsidR="005B5ABF">
              <w:t xml:space="preserve"> </w:t>
            </w:r>
            <w:r w:rsidR="00101A40" w:rsidRPr="007B5821">
              <w:t xml:space="preserve">Federated States of Micronesia, </w:t>
            </w:r>
            <w:proofErr w:type="gramStart"/>
            <w:r w:rsidR="00101A40" w:rsidRPr="007B5821">
              <w:t>Fiji,  Nauru</w:t>
            </w:r>
            <w:proofErr w:type="gramEnd"/>
            <w:r w:rsidR="00101A40" w:rsidRPr="007B5821">
              <w:t xml:space="preserve">, Palau, Papua New Guinea,  Solomon Islands, Timor-Leste, Tonga, Tuvalu and Vanuatu </w:t>
            </w:r>
          </w:p>
        </w:tc>
      </w:tr>
      <w:tr w:rsidR="00101A40" w14:paraId="251F5FAA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0D2AC1F4" w14:textId="77777777" w:rsidR="00101A40" w:rsidRPr="003937AF" w:rsidRDefault="00101A40" w:rsidP="004F2ADA">
            <w:pPr>
              <w:pStyle w:val="chead"/>
            </w:pPr>
            <w:r w:rsidRPr="003937AF">
              <w:t>Number of participants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3C5F5CD9" w14:textId="14D9879F" w:rsidR="00101A40" w:rsidRPr="007B5821" w:rsidRDefault="33B305CE" w:rsidP="004F2ADA">
            <w:pPr>
              <w:pStyle w:val="bodytable"/>
            </w:pPr>
            <w:r>
              <w:t>D</w:t>
            </w:r>
            <w:r w:rsidR="00101A40">
              <w:t xml:space="preserve">emand driven 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3179B4F1" w14:textId="5D11D3E8" w:rsidR="00101A40" w:rsidRPr="007B5821" w:rsidRDefault="00BF4044" w:rsidP="004F2ADA">
            <w:pPr>
              <w:pStyle w:val="bodytable"/>
            </w:pPr>
            <w:r>
              <w:t>Up to</w:t>
            </w:r>
            <w:r w:rsidR="00101A40" w:rsidRPr="007B5821">
              <w:t xml:space="preserve"> 3,000 visas each year (inclusive of partners and children)</w:t>
            </w:r>
          </w:p>
        </w:tc>
      </w:tr>
      <w:tr w:rsidR="00101A40" w14:paraId="24EDDB9B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5335B628" w14:textId="6AF18E56" w:rsidR="00101A40" w:rsidRPr="003937AF" w:rsidRDefault="00101A40" w:rsidP="00257F31">
            <w:pPr>
              <w:pStyle w:val="chead"/>
            </w:pPr>
            <w:r w:rsidRPr="003937AF">
              <w:t>Application process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4E9A001C" w14:textId="50342613" w:rsidR="00101A40" w:rsidRPr="007B5821" w:rsidRDefault="00101A40" w:rsidP="004F2ADA">
            <w:pPr>
              <w:pStyle w:val="bodytable"/>
            </w:pPr>
            <w:r>
              <w:t xml:space="preserve">Worker registers interest with the participating country labour sending </w:t>
            </w:r>
            <w:r w:rsidR="008C2E80">
              <w:t xml:space="preserve">unit </w:t>
            </w:r>
            <w:r>
              <w:t xml:space="preserve">and is placed in the country’s ‘work ready pool.’ </w:t>
            </w:r>
          </w:p>
          <w:p w14:paraId="05031B60" w14:textId="77777777" w:rsidR="00101A40" w:rsidRPr="007B5821" w:rsidRDefault="00101A40" w:rsidP="004F2ADA">
            <w:pPr>
              <w:pStyle w:val="bodytable"/>
            </w:pPr>
            <w:r w:rsidRPr="007B5821">
              <w:t>Employer undertakes a recruitment process.</w:t>
            </w:r>
          </w:p>
          <w:p w14:paraId="633DE640" w14:textId="182EC05A" w:rsidR="00101A40" w:rsidRPr="007B5821" w:rsidRDefault="00101A40" w:rsidP="004F2ADA">
            <w:pPr>
              <w:pStyle w:val="bodytable"/>
            </w:pPr>
            <w:r w:rsidRPr="007B5821">
              <w:t>Worker applies for an employer</w:t>
            </w:r>
            <w:r w:rsidR="008C2E80">
              <w:t>-</w:t>
            </w:r>
            <w:r w:rsidRPr="007B5821">
              <w:t xml:space="preserve">sponsored visa. Further details: </w:t>
            </w:r>
            <w:hyperlink r:id="rId11" w:history="1">
              <w:r w:rsidRPr="001B0935">
                <w:rPr>
                  <w:rStyle w:val="Hyperlink"/>
                  <w:rFonts w:cstheme="minorHAnsi"/>
                </w:rPr>
                <w:t>How to apply | PALM scheme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>
              <w:rPr>
                <w:rStyle w:val="Hyperlink"/>
                <w:rFonts w:cstheme="minorHAnsi"/>
                <w:u w:val="none"/>
              </w:rPr>
              <w:t>(for workers)</w:t>
            </w:r>
            <w:r w:rsidRPr="001B0935">
              <w:rPr>
                <w:rFonts w:asciiTheme="minorHAnsi" w:hAnsiTheme="minorHAnsi" w:cstheme="minorHAnsi"/>
              </w:rPr>
              <w:t xml:space="preserve"> and </w:t>
            </w:r>
            <w:hyperlink r:id="rId12" w:history="1">
              <w:r>
                <w:rPr>
                  <w:rStyle w:val="Hyperlink"/>
                </w:rPr>
                <w:t>Recruitment | PALM scheme</w:t>
              </w:r>
            </w:hyperlink>
            <w:r w:rsidDel="005E0AF1">
              <w:t xml:space="preserve"> </w:t>
            </w:r>
            <w:r>
              <w:rPr>
                <w:rStyle w:val="Hyperlink"/>
                <w:rFonts w:cstheme="minorHAnsi"/>
                <w:u w:val="none"/>
              </w:rPr>
              <w:t>(for employers)</w:t>
            </w:r>
            <w:r w:rsidRPr="001B0935">
              <w:rPr>
                <w:rFonts w:asciiTheme="minorHAnsi" w:hAnsiTheme="minorHAnsi" w:cstheme="minorHAnsi"/>
              </w:rPr>
              <w:t>.</w:t>
            </w:r>
            <w:r w:rsidRPr="007B5821">
              <w:t xml:space="preserve"> 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  <w:shd w:val="clear" w:color="auto" w:fill="auto"/>
          </w:tcPr>
          <w:p w14:paraId="58B6FDD0" w14:textId="77777777" w:rsidR="00101A40" w:rsidRPr="007B5821" w:rsidRDefault="00101A40" w:rsidP="004F2ADA">
            <w:pPr>
              <w:pStyle w:val="bodytable"/>
            </w:pPr>
            <w:r>
              <w:t xml:space="preserve">Eligible nationals from participating countries will be able to register in an annual ballot. </w:t>
            </w:r>
          </w:p>
          <w:p w14:paraId="7F340939" w14:textId="77777777" w:rsidR="00101A40" w:rsidRPr="007B5821" w:rsidRDefault="00101A40" w:rsidP="004F2ADA">
            <w:pPr>
              <w:pStyle w:val="bodytable"/>
            </w:pPr>
            <w:r>
              <w:t xml:space="preserve">An electronic system will randomly select entrants. </w:t>
            </w:r>
          </w:p>
          <w:p w14:paraId="0A52C8CB" w14:textId="77777777" w:rsidR="00101A40" w:rsidRPr="007B5821" w:rsidRDefault="00101A40" w:rsidP="004F2ADA">
            <w:pPr>
              <w:pStyle w:val="bodytable"/>
            </w:pPr>
            <w:r w:rsidRPr="007B5821">
              <w:t xml:space="preserve">Successful entrants and their immediate family </w:t>
            </w:r>
            <w:r>
              <w:t>will be able to</w:t>
            </w:r>
            <w:r w:rsidRPr="007B5821">
              <w:t xml:space="preserve"> apply for a PEV.</w:t>
            </w:r>
          </w:p>
        </w:tc>
      </w:tr>
      <w:tr w:rsidR="00101A40" w14:paraId="7A305753" w14:textId="77777777" w:rsidTr="27267AAE">
        <w:trPr>
          <w:cantSplit/>
          <w:trHeight w:val="777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540E8434" w14:textId="77777777" w:rsidR="00101A40" w:rsidRPr="003937AF" w:rsidRDefault="00101A40" w:rsidP="004F2ADA">
            <w:pPr>
              <w:pStyle w:val="chead"/>
            </w:pPr>
            <w:r w:rsidRPr="003937AF">
              <w:t>Length of stay in Australia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4BF28FE3" w14:textId="77777777" w:rsidR="00101A40" w:rsidRPr="0071049D" w:rsidRDefault="00101A40" w:rsidP="004F2ADA">
            <w:pPr>
              <w:pStyle w:val="bodybullet"/>
              <w:numPr>
                <w:ilvl w:val="0"/>
                <w:numId w:val="0"/>
              </w:numPr>
              <w:spacing w:after="0"/>
            </w:pPr>
            <w:r w:rsidRPr="0071049D">
              <w:t>Short-term: up to 9 months</w:t>
            </w:r>
          </w:p>
          <w:p w14:paraId="3386DEDE" w14:textId="77777777" w:rsidR="00101A40" w:rsidRPr="001B0935" w:rsidRDefault="00101A40" w:rsidP="004F2ADA">
            <w:pPr>
              <w:pStyle w:val="bodybullet"/>
              <w:numPr>
                <w:ilvl w:val="0"/>
                <w:numId w:val="0"/>
              </w:numPr>
            </w:pPr>
            <w:r w:rsidRPr="0071049D">
              <w:t>Long</w:t>
            </w:r>
            <w:r w:rsidRPr="001B0935">
              <w:t>-term: 1-4 years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5820B799" w14:textId="77777777" w:rsidR="00101A40" w:rsidRPr="001B0935" w:rsidRDefault="00101A40" w:rsidP="004F2ADA">
            <w:pPr>
              <w:pStyle w:val="bodytable"/>
              <w:rPr>
                <w:rFonts w:asciiTheme="minorHAnsi" w:hAnsiTheme="minorHAnsi" w:cstheme="minorBidi"/>
              </w:rPr>
            </w:pPr>
            <w:r w:rsidRPr="29688A7A">
              <w:rPr>
                <w:rFonts w:asciiTheme="minorHAnsi" w:hAnsiTheme="minorHAnsi" w:cstheme="minorBidi"/>
              </w:rPr>
              <w:t>Enables permanent stay in Australia</w:t>
            </w:r>
          </w:p>
        </w:tc>
      </w:tr>
      <w:tr w:rsidR="00101A40" w14:paraId="68F7FE16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2B92F6D3" w14:textId="77777777" w:rsidR="00101A40" w:rsidRPr="00C64051" w:rsidRDefault="00101A40" w:rsidP="004F2ADA">
            <w:pPr>
              <w:pStyle w:val="chead"/>
            </w:pPr>
            <w:r w:rsidRPr="00C64051">
              <w:t>Visa type</w:t>
            </w:r>
          </w:p>
          <w:p w14:paraId="4013D73E" w14:textId="77777777" w:rsidR="00101A40" w:rsidRPr="00C64051" w:rsidRDefault="00101A40" w:rsidP="004F2ADA">
            <w:pPr>
              <w:pStyle w:val="chead"/>
            </w:pP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54353027" w14:textId="1975FF47" w:rsidR="00101A40" w:rsidRPr="007B5821" w:rsidRDefault="00101A40" w:rsidP="004F2ADA">
            <w:pPr>
              <w:pStyle w:val="bodytable"/>
            </w:pPr>
            <w:r w:rsidRPr="007B5821">
              <w:t xml:space="preserve">Temporary Work (International Relations) </w:t>
            </w:r>
            <w:r w:rsidR="001063F6">
              <w:t>v</w:t>
            </w:r>
            <w:r w:rsidRPr="007B5821">
              <w:t>isa</w:t>
            </w:r>
            <w:r w:rsidR="001063F6">
              <w:t xml:space="preserve"> (subclass 403) Pacific Australia Labour Mobility stream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17851EB7" w14:textId="63F0EEA7" w:rsidR="00101A40" w:rsidRPr="007B5821" w:rsidRDefault="00306A11" w:rsidP="004F2ADA">
            <w:pPr>
              <w:pStyle w:val="bodytable"/>
            </w:pPr>
            <w:r>
              <w:t>Pacific Engagement (subclass 192) visa</w:t>
            </w:r>
            <w:r w:rsidR="00FE6AFC">
              <w:t xml:space="preserve"> </w:t>
            </w:r>
          </w:p>
        </w:tc>
      </w:tr>
      <w:tr w:rsidR="00101A40" w14:paraId="1B6EA81A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5CE0ACB7" w14:textId="06EA47E0" w:rsidR="00101A40" w:rsidRPr="00C64051" w:rsidRDefault="00101A40" w:rsidP="00257F31">
            <w:pPr>
              <w:pStyle w:val="chead"/>
            </w:pPr>
            <w:r w:rsidRPr="00C64051">
              <w:lastRenderedPageBreak/>
              <w:t>Eligibility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324EDC19" w14:textId="77777777" w:rsidR="00101A40" w:rsidRDefault="00101A40" w:rsidP="004F2ADA">
            <w:pPr>
              <w:pStyle w:val="bodytable"/>
            </w:pPr>
            <w:r w:rsidRPr="00C64051">
              <w:t>21 years and over</w:t>
            </w:r>
            <w:r>
              <w:t>.</w:t>
            </w:r>
          </w:p>
          <w:p w14:paraId="165E68FA" w14:textId="7834A989" w:rsidR="00101A40" w:rsidRPr="00C64051" w:rsidRDefault="00101A40" w:rsidP="004F2ADA">
            <w:pPr>
              <w:pStyle w:val="bodytable"/>
            </w:pPr>
            <w:r>
              <w:t xml:space="preserve">Sponsored by a PALM scheme </w:t>
            </w:r>
            <w:r w:rsidR="0AE1074E">
              <w:t>e</w:t>
            </w:r>
            <w:r>
              <w:t>mployer.</w:t>
            </w:r>
          </w:p>
          <w:p w14:paraId="3EEDF3A5" w14:textId="77777777" w:rsidR="00101A40" w:rsidRPr="00C64051" w:rsidRDefault="00101A40" w:rsidP="004F2ADA">
            <w:pPr>
              <w:pStyle w:val="bodytable"/>
            </w:pPr>
            <w:r w:rsidRPr="00C64051">
              <w:t>English language (long-term work only), health and character requirements.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0243B187" w14:textId="059152BC" w:rsidR="00B92717" w:rsidRDefault="00101A40" w:rsidP="004F2ADA">
            <w:pPr>
              <w:pStyle w:val="bodytable"/>
            </w:pPr>
            <w:r>
              <w:t>Citizen of a participating country.</w:t>
            </w:r>
          </w:p>
          <w:p w14:paraId="49A8DCF4" w14:textId="15E7199D" w:rsidR="00101A40" w:rsidRDefault="00460AD7" w:rsidP="004F2ADA">
            <w:pPr>
              <w:pStyle w:val="bodytable"/>
            </w:pPr>
            <w:r>
              <w:t>B</w:t>
            </w:r>
            <w:r w:rsidR="0010110D">
              <w:t>orn in or have a parent born in an eligible country</w:t>
            </w:r>
            <w:r w:rsidR="000B32EB">
              <w:t>.</w:t>
            </w:r>
          </w:p>
          <w:p w14:paraId="6E315893" w14:textId="5DCE5607" w:rsidR="00101A40" w:rsidRDefault="007B6210" w:rsidP="004F2ADA">
            <w:pPr>
              <w:pStyle w:val="bodytable"/>
            </w:pPr>
            <w:r>
              <w:t xml:space="preserve">Aged </w:t>
            </w:r>
            <w:r w:rsidR="00101A40" w:rsidRPr="00C64051">
              <w:t xml:space="preserve">18-45 years </w:t>
            </w:r>
            <w:r w:rsidR="00101A40" w:rsidRPr="00C64051" w:rsidDel="000A4EBD">
              <w:t xml:space="preserve">to enter </w:t>
            </w:r>
            <w:r w:rsidR="00101A40" w:rsidRPr="00C64051">
              <w:t>the ballot</w:t>
            </w:r>
            <w:r w:rsidR="00101A40">
              <w:t xml:space="preserve"> (applicants can include partner and legally dependent children in their application). </w:t>
            </w:r>
          </w:p>
          <w:p w14:paraId="761FFABB" w14:textId="4FC73B02" w:rsidR="00101A40" w:rsidRPr="00C64051" w:rsidRDefault="00101A40" w:rsidP="004F2ADA">
            <w:pPr>
              <w:pStyle w:val="bodytable"/>
            </w:pPr>
            <w:r>
              <w:t>Primary applicant selected through the ballot process.</w:t>
            </w:r>
          </w:p>
          <w:p w14:paraId="7073897E" w14:textId="4DDB2559" w:rsidR="00101A40" w:rsidRPr="00C64051" w:rsidRDefault="00101A40" w:rsidP="004F2ADA">
            <w:pPr>
              <w:pStyle w:val="bodytable"/>
            </w:pPr>
            <w:r w:rsidRPr="00C64051">
              <w:t xml:space="preserve">English language, </w:t>
            </w:r>
            <w:r>
              <w:t xml:space="preserve">formal </w:t>
            </w:r>
            <w:r w:rsidR="0056441A">
              <w:t xml:space="preserve">ongoing </w:t>
            </w:r>
            <w:r>
              <w:t xml:space="preserve">job offer in Australia, </w:t>
            </w:r>
            <w:r w:rsidRPr="00C64051">
              <w:t>health and character requirements.</w:t>
            </w:r>
          </w:p>
        </w:tc>
      </w:tr>
      <w:tr w:rsidR="00101A40" w14:paraId="796CE5A5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7F33B4B3" w14:textId="77777777" w:rsidR="00101A40" w:rsidRPr="00C64051" w:rsidRDefault="00101A40" w:rsidP="004F2ADA">
            <w:pPr>
              <w:pStyle w:val="chead"/>
            </w:pPr>
            <w:r w:rsidRPr="00C64051">
              <w:t>Employment</w:t>
            </w:r>
          </w:p>
          <w:p w14:paraId="7DA82D43" w14:textId="77777777" w:rsidR="00101A40" w:rsidRPr="00C64051" w:rsidRDefault="00101A40" w:rsidP="004F2ADA">
            <w:pPr>
              <w:pStyle w:val="chead"/>
            </w:pP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37DD5575" w14:textId="253B62CD" w:rsidR="00101A40" w:rsidRDefault="00101A40" w:rsidP="004F2ADA">
            <w:pPr>
              <w:pStyle w:val="bodytable"/>
            </w:pPr>
            <w:r>
              <w:t xml:space="preserve">Employer sponsored </w:t>
            </w:r>
            <w:r w:rsidR="00B109B9">
              <w:t>–</w:t>
            </w:r>
            <w:r>
              <w:t xml:space="preserve"> </w:t>
            </w:r>
            <w:r w:rsidR="00B109B9">
              <w:t xml:space="preserve">worker </w:t>
            </w:r>
            <w:r>
              <w:t xml:space="preserve">must have an offer of employment from a PALM scheme </w:t>
            </w:r>
            <w:r w:rsidR="52275F5C">
              <w:t>e</w:t>
            </w:r>
            <w:r>
              <w:t>mployer.</w:t>
            </w:r>
          </w:p>
          <w:p w14:paraId="4124358E" w14:textId="3ED3799D" w:rsidR="00101A40" w:rsidRPr="007B5821" w:rsidRDefault="00101A40" w:rsidP="004F2ADA">
            <w:pPr>
              <w:pStyle w:val="bodytable"/>
            </w:pPr>
            <w:r>
              <w:t xml:space="preserve">Under the PALM </w:t>
            </w:r>
            <w:r w:rsidR="27E70CEC">
              <w:t xml:space="preserve">scheme </w:t>
            </w:r>
            <w:r>
              <w:t>visa conditions, workers cannot work with any employer other than their sponsor unless approved by the Department of Employment and Workplace Relations.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25277070" w14:textId="710F8892" w:rsidR="00101A40" w:rsidRPr="007B5821" w:rsidRDefault="5A75054E" w:rsidP="004F2ADA">
            <w:pPr>
              <w:pStyle w:val="bodytable"/>
            </w:pPr>
            <w:r>
              <w:t xml:space="preserve">Primary or secondary applicant </w:t>
            </w:r>
            <w:r w:rsidR="1B1AEA71">
              <w:t>m</w:t>
            </w:r>
            <w:r w:rsidR="00101A40">
              <w:t>ust have received a</w:t>
            </w:r>
            <w:r w:rsidR="2F329406">
              <w:t>n</w:t>
            </w:r>
            <w:r w:rsidR="00101A40">
              <w:t xml:space="preserve"> </w:t>
            </w:r>
            <w:r w:rsidR="39C777E7">
              <w:t xml:space="preserve">ongoing job offer </w:t>
            </w:r>
            <w:r w:rsidR="00101A40">
              <w:t>in Australia to be eligible to be granted a PEV (job offer not required to enter the ballot).</w:t>
            </w:r>
          </w:p>
          <w:p w14:paraId="75114915" w14:textId="77777777" w:rsidR="00101A40" w:rsidRPr="007B5821" w:rsidRDefault="00101A40" w:rsidP="004F2ADA">
            <w:pPr>
              <w:pStyle w:val="bodytable"/>
            </w:pPr>
            <w:r>
              <w:t xml:space="preserve">Can work for any employer in Australia. </w:t>
            </w:r>
          </w:p>
          <w:p w14:paraId="332DA703" w14:textId="77777777" w:rsidR="00101A40" w:rsidRPr="007B5821" w:rsidRDefault="00101A40" w:rsidP="004F2ADA">
            <w:pPr>
              <w:pStyle w:val="bodytable"/>
            </w:pPr>
            <w:r>
              <w:t>Support will be provided to connect successful ballot entrants with employers.</w:t>
            </w:r>
          </w:p>
        </w:tc>
      </w:tr>
      <w:tr w:rsidR="00101A40" w14:paraId="4509278A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24E2FF92" w14:textId="64D42235" w:rsidR="00101A40" w:rsidRPr="00C64051" w:rsidRDefault="00101A40" w:rsidP="00257F31">
            <w:pPr>
              <w:pStyle w:val="Body"/>
              <w:spacing w:before="60" w:after="60" w:line="264" w:lineRule="auto"/>
              <w:rPr>
                <w:b/>
                <w:bCs/>
                <w:color w:val="002060"/>
              </w:rPr>
            </w:pPr>
            <w:r w:rsidRPr="00C64051">
              <w:rPr>
                <w:b/>
                <w:bCs/>
                <w:color w:val="002060"/>
              </w:rPr>
              <w:t>Duration of work placements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33735184" w14:textId="77777777" w:rsidR="00101A40" w:rsidRPr="007B5821" w:rsidRDefault="00101A40" w:rsidP="004F2ADA">
            <w:pPr>
              <w:pStyle w:val="bodytable"/>
            </w:pPr>
            <w:r>
              <w:t>Short-term</w:t>
            </w:r>
            <w:r w:rsidRPr="007B5821">
              <w:t xml:space="preserve"> work: up to 9 months</w:t>
            </w:r>
            <w:r>
              <w:t xml:space="preserve"> with the requirement that workers achieve a ‘net financial benefit’ during their stay.</w:t>
            </w:r>
          </w:p>
          <w:p w14:paraId="6A0B07BF" w14:textId="77777777" w:rsidR="00101A40" w:rsidRPr="00BC597E" w:rsidRDefault="00101A40" w:rsidP="004F2ADA">
            <w:pPr>
              <w:pStyle w:val="bodytable"/>
            </w:pPr>
            <w:r>
              <w:t>Long-term work: 1-4 years.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44351F93" w14:textId="77777777" w:rsidR="00101A40" w:rsidRPr="007B5821" w:rsidRDefault="00101A40" w:rsidP="004F2ADA">
            <w:pPr>
              <w:pStyle w:val="bodytable"/>
            </w:pPr>
            <w:r>
              <w:t>Can work for any employer without restriction.</w:t>
            </w:r>
          </w:p>
        </w:tc>
      </w:tr>
      <w:tr w:rsidR="00101A40" w14:paraId="3AF0F919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7E1FFABD" w14:textId="3931302F" w:rsidR="00101A40" w:rsidRPr="00C64051" w:rsidRDefault="00101A40" w:rsidP="00257F31">
            <w:pPr>
              <w:pStyle w:val="Body"/>
              <w:spacing w:before="60" w:after="60" w:line="264" w:lineRule="auto"/>
              <w:rPr>
                <w:b/>
                <w:bCs/>
                <w:color w:val="002060"/>
              </w:rPr>
            </w:pPr>
            <w:r w:rsidRPr="00C64051">
              <w:rPr>
                <w:b/>
                <w:bCs/>
                <w:color w:val="002060"/>
              </w:rPr>
              <w:t xml:space="preserve">Location 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2BE329BC" w14:textId="77777777" w:rsidR="00101A40" w:rsidRPr="007B5821" w:rsidRDefault="00101A40" w:rsidP="004F2ADA">
            <w:pPr>
              <w:pStyle w:val="bodytable"/>
            </w:pPr>
            <w:r w:rsidRPr="007B5821">
              <w:t xml:space="preserve">Employers in the agriculture sector can be based anywhere in Australia, including employers in agriculture-related food product manufacturing. </w:t>
            </w:r>
          </w:p>
          <w:p w14:paraId="44C4DB8D" w14:textId="77777777" w:rsidR="00101A40" w:rsidRPr="00BC597E" w:rsidRDefault="00101A40" w:rsidP="004F2ADA">
            <w:pPr>
              <w:pStyle w:val="bodytable"/>
            </w:pPr>
            <w:r w:rsidRPr="007B5821">
              <w:t>Employers in other sectors must be based in regional or rural Australia.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4F278A49" w14:textId="77777777" w:rsidR="00101A40" w:rsidRPr="007B5821" w:rsidRDefault="00101A40" w:rsidP="004F2ADA">
            <w:pPr>
              <w:pStyle w:val="bodytable"/>
            </w:pPr>
            <w:r>
              <w:t>No geographic restrictions</w:t>
            </w:r>
          </w:p>
        </w:tc>
      </w:tr>
      <w:tr w:rsidR="00101A40" w14:paraId="6E6D4E89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4991011C" w14:textId="77777777" w:rsidR="00101A40" w:rsidRPr="00C64051" w:rsidRDefault="00101A40" w:rsidP="004F2ADA">
            <w:pPr>
              <w:pStyle w:val="Body"/>
              <w:spacing w:before="60" w:after="60" w:line="264" w:lineRule="auto"/>
              <w:rPr>
                <w:b/>
                <w:bCs/>
                <w:color w:val="002060"/>
              </w:rPr>
            </w:pPr>
            <w:r w:rsidRPr="00C64051">
              <w:rPr>
                <w:b/>
                <w:bCs/>
                <w:color w:val="002060"/>
              </w:rPr>
              <w:t>Skill level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5AE45E85" w14:textId="77777777" w:rsidR="00101A40" w:rsidRPr="00BC597E" w:rsidRDefault="00101A40" w:rsidP="004F2ADA">
            <w:pPr>
              <w:pStyle w:val="bodytable"/>
            </w:pPr>
            <w:r w:rsidRPr="007B5821">
              <w:t>Unskilled, low-skilled and semi-skilled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060AFBDF" w14:textId="77777777" w:rsidR="00101A40" w:rsidRPr="007B5821" w:rsidRDefault="00101A40" w:rsidP="004F2ADA">
            <w:pPr>
              <w:pStyle w:val="bodytable"/>
            </w:pPr>
            <w:r>
              <w:t>Any skill level</w:t>
            </w:r>
          </w:p>
        </w:tc>
      </w:tr>
      <w:tr w:rsidR="00101A40" w14:paraId="5FD4FBD1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04F8777E" w14:textId="4FEE601E" w:rsidR="00101A40" w:rsidRPr="00C64051" w:rsidRDefault="00101A40" w:rsidP="00257F31">
            <w:pPr>
              <w:pStyle w:val="Body"/>
              <w:spacing w:before="60" w:after="60" w:line="264" w:lineRule="auto"/>
              <w:rPr>
                <w:b/>
                <w:bCs/>
                <w:color w:val="002060"/>
              </w:rPr>
            </w:pPr>
            <w:r w:rsidRPr="29688A7A">
              <w:rPr>
                <w:b/>
                <w:bCs/>
                <w:color w:val="002060"/>
              </w:rPr>
              <w:lastRenderedPageBreak/>
              <w:t>Family/dependants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4B0CC9F4" w14:textId="3744D01D" w:rsidR="00101A40" w:rsidRPr="007B5821" w:rsidRDefault="00101A40" w:rsidP="004F2ADA">
            <w:pPr>
              <w:pStyle w:val="bodytable"/>
            </w:pPr>
            <w:r w:rsidRPr="007B5821">
              <w:t xml:space="preserve">PALM scheme </w:t>
            </w:r>
            <w:r>
              <w:t>short-term workers</w:t>
            </w:r>
            <w:r w:rsidRPr="007B5821">
              <w:t xml:space="preserve">: </w:t>
            </w:r>
            <w:r>
              <w:t xml:space="preserve">cannot bring </w:t>
            </w:r>
            <w:r w:rsidR="00090C25">
              <w:t xml:space="preserve">family members </w:t>
            </w:r>
            <w:r>
              <w:t>to Australia.</w:t>
            </w:r>
          </w:p>
          <w:p w14:paraId="44AC83C9" w14:textId="635C997B" w:rsidR="00101A40" w:rsidRPr="00BC597E" w:rsidRDefault="00101A40" w:rsidP="004F2ADA">
            <w:pPr>
              <w:pStyle w:val="bodytable"/>
            </w:pPr>
            <w:r>
              <w:t xml:space="preserve">PALM scheme long-term workers: </w:t>
            </w:r>
            <w:r w:rsidR="0091745C">
              <w:t xml:space="preserve">Up to </w:t>
            </w:r>
            <w:r>
              <w:t xml:space="preserve">200 families will be selected to participate in </w:t>
            </w:r>
            <w:r w:rsidR="0091745C">
              <w:t xml:space="preserve">the </w:t>
            </w:r>
            <w:r>
              <w:t xml:space="preserve">Family Accompaniment </w:t>
            </w:r>
            <w:r w:rsidR="0091745C">
              <w:t xml:space="preserve">pilot </w:t>
            </w:r>
            <w:r>
              <w:t>in 2024.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2948904F" w14:textId="1146E585" w:rsidR="00101A40" w:rsidRPr="007B5821" w:rsidRDefault="00101A40" w:rsidP="004F2ADA">
            <w:pPr>
              <w:pStyle w:val="bodytable"/>
            </w:pPr>
            <w:r>
              <w:t xml:space="preserve">Primary applicant can bring a partner and </w:t>
            </w:r>
            <w:r w:rsidR="00F245D4">
              <w:t xml:space="preserve">legally </w:t>
            </w:r>
            <w:r>
              <w:t>dependent children</w:t>
            </w:r>
            <w:r w:rsidR="2376A70F">
              <w:t>.</w:t>
            </w:r>
          </w:p>
        </w:tc>
      </w:tr>
      <w:tr w:rsidR="00101A40" w14:paraId="57B84092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4B19CC1D" w14:textId="74041313" w:rsidR="00101A40" w:rsidRPr="00C64051" w:rsidRDefault="00101A40" w:rsidP="00257F31">
            <w:pPr>
              <w:pStyle w:val="chead"/>
            </w:pPr>
            <w:r w:rsidRPr="00C64051">
              <w:t>Access to benefits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37B85186" w14:textId="77777777" w:rsidR="00101A40" w:rsidRPr="007B5821" w:rsidRDefault="00101A40" w:rsidP="004F2ADA">
            <w:pPr>
              <w:pStyle w:val="bodytable"/>
            </w:pPr>
            <w:r w:rsidRPr="007B5821">
              <w:t>PALM scheme workers (short-term and long-term) must have health insurance.</w:t>
            </w:r>
          </w:p>
          <w:p w14:paraId="351C451E" w14:textId="65F0BD47" w:rsidR="00101A40" w:rsidRPr="007B5821" w:rsidRDefault="0091745C" w:rsidP="004F2ADA">
            <w:pPr>
              <w:pStyle w:val="bodytable"/>
            </w:pPr>
            <w:r>
              <w:t xml:space="preserve">Participants </w:t>
            </w:r>
            <w:r w:rsidR="00101A40">
              <w:t xml:space="preserve">in </w:t>
            </w:r>
            <w:r w:rsidR="31BA6572">
              <w:t xml:space="preserve">the </w:t>
            </w:r>
            <w:r w:rsidR="00101A40">
              <w:t xml:space="preserve">family accompaniment </w:t>
            </w:r>
            <w:r w:rsidR="0869DF87">
              <w:t xml:space="preserve">pilot </w:t>
            </w:r>
            <w:r w:rsidR="00101A40">
              <w:t>will have access to the Family Tax Benefit</w:t>
            </w:r>
            <w:r w:rsidR="003517A3">
              <w:t>s</w:t>
            </w:r>
            <w:r w:rsidR="00EA4FB9">
              <w:t xml:space="preserve">, </w:t>
            </w:r>
            <w:r w:rsidR="00101A40">
              <w:t>the Child Care Subsidy</w:t>
            </w:r>
            <w:r w:rsidR="00EA4FB9">
              <w:t xml:space="preserve"> and Medicare.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189455A9" w14:textId="77777777" w:rsidR="00101A40" w:rsidRDefault="00101A40" w:rsidP="004F2ADA">
            <w:pPr>
              <w:pStyle w:val="bodytable"/>
            </w:pPr>
            <w:r>
              <w:t>Support as available to permanent residents, including access to Medicare, public schools, Child Care Subsidy and Family Tax Benefits.</w:t>
            </w:r>
          </w:p>
          <w:p w14:paraId="0DA6EBFF" w14:textId="18BD6A3D" w:rsidR="00101A40" w:rsidRPr="007B5821" w:rsidRDefault="009F2BA0" w:rsidP="004F2ADA">
            <w:pPr>
              <w:pStyle w:val="bodytable"/>
            </w:pPr>
            <w:r>
              <w:t>N</w:t>
            </w:r>
            <w:r w:rsidR="00101A40">
              <w:t xml:space="preserve">o waiting periods for </w:t>
            </w:r>
            <w:proofErr w:type="spellStart"/>
            <w:r w:rsidR="00101A40">
              <w:t>Austudy</w:t>
            </w:r>
            <w:proofErr w:type="spellEnd"/>
            <w:r w:rsidR="00101A40">
              <w:t xml:space="preserve"> or Youth Allowance</w:t>
            </w:r>
            <w:r w:rsidR="00C2595F">
              <w:t xml:space="preserve"> (student and apprentice)</w:t>
            </w:r>
            <w:r w:rsidR="00101A40">
              <w:t xml:space="preserve">, and access to </w:t>
            </w:r>
            <w:r>
              <w:t>the Higher Education Loan Program (HELP) and VET Student Loans.</w:t>
            </w:r>
          </w:p>
        </w:tc>
      </w:tr>
      <w:tr w:rsidR="00101A40" w14:paraId="410D2A78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45C8361C" w14:textId="6B6A9C89" w:rsidR="00101A40" w:rsidRPr="00C64051" w:rsidRDefault="00101A40" w:rsidP="00257F31">
            <w:pPr>
              <w:pStyle w:val="chead"/>
            </w:pPr>
            <w:r w:rsidRPr="00C64051">
              <w:t>Mobilisation costs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2CD09A0D" w14:textId="21657C29" w:rsidR="00101A40" w:rsidRPr="007B5821" w:rsidRDefault="00101A40" w:rsidP="004F2ADA">
            <w:pPr>
              <w:pStyle w:val="bodytable"/>
            </w:pPr>
            <w:r>
              <w:t>PALM</w:t>
            </w:r>
            <w:r w:rsidR="01571B43">
              <w:t xml:space="preserve"> scheme</w:t>
            </w:r>
            <w:r>
              <w:t xml:space="preserve"> workers fund passport and health checks. </w:t>
            </w:r>
          </w:p>
          <w:p w14:paraId="59B2C24F" w14:textId="5DC367B7" w:rsidR="00101A40" w:rsidRPr="007B5821" w:rsidRDefault="01B70517" w:rsidP="004F2ADA">
            <w:pPr>
              <w:pStyle w:val="bodytable"/>
            </w:pPr>
            <w:r>
              <w:t xml:space="preserve">PALM </w:t>
            </w:r>
            <w:r w:rsidR="54B4FFDD">
              <w:t xml:space="preserve">scheme </w:t>
            </w:r>
            <w:r>
              <w:t>employer funds initial</w:t>
            </w:r>
            <w:r w:rsidR="653F767C">
              <w:t xml:space="preserve"> worker</w:t>
            </w:r>
            <w:r>
              <w:t xml:space="preserve"> mobilisation costs (e.g., visa, flights) which they may recoup from </w:t>
            </w:r>
            <w:r w:rsidR="00BD691E">
              <w:t xml:space="preserve">worker </w:t>
            </w:r>
            <w:r>
              <w:t>through deductions from wages, less a $300 employer contribution.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39D52585" w14:textId="77777777" w:rsidR="00101A40" w:rsidRPr="007B5821" w:rsidRDefault="00101A40" w:rsidP="004F2ADA">
            <w:pPr>
              <w:pStyle w:val="bodytable"/>
            </w:pPr>
            <w:r w:rsidRPr="007B5821">
              <w:t xml:space="preserve">PEV holder responsible for </w:t>
            </w:r>
            <w:r>
              <w:t xml:space="preserve">all </w:t>
            </w:r>
            <w:r w:rsidRPr="007B5821">
              <w:t>costs associated with moving and settling in Australia.</w:t>
            </w:r>
          </w:p>
        </w:tc>
      </w:tr>
      <w:tr w:rsidR="00101A40" w14:paraId="6BEA59FC" w14:textId="77777777" w:rsidTr="27267AAE">
        <w:trPr>
          <w:cantSplit/>
          <w:trHeight w:val="300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2B57E2B6" w14:textId="2F124840" w:rsidR="00101A40" w:rsidRPr="00C64051" w:rsidRDefault="00101A40" w:rsidP="00257F31">
            <w:pPr>
              <w:pStyle w:val="Body"/>
              <w:spacing w:before="60" w:after="60" w:line="264" w:lineRule="auto"/>
              <w:rPr>
                <w:b/>
                <w:bCs/>
                <w:color w:val="002060"/>
              </w:rPr>
            </w:pPr>
            <w:r w:rsidRPr="00C64051">
              <w:rPr>
                <w:b/>
                <w:bCs/>
                <w:color w:val="002060"/>
              </w:rPr>
              <w:t>Pre-departure support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65A131A3" w14:textId="77777777" w:rsidR="00101A40" w:rsidRPr="007B5821" w:rsidRDefault="00101A40" w:rsidP="004F2ADA">
            <w:pPr>
              <w:pStyle w:val="bodytable"/>
            </w:pPr>
            <w:r w:rsidRPr="007B5821">
              <w:t>Yes</w:t>
            </w:r>
          </w:p>
          <w:p w14:paraId="73FA2C07" w14:textId="3A49E9AF" w:rsidR="00101A40" w:rsidRPr="00BC597E" w:rsidRDefault="00101A40" w:rsidP="004F2ADA">
            <w:pPr>
              <w:pStyle w:val="bodytable"/>
            </w:pPr>
            <w:r w:rsidRPr="007B5821">
              <w:t xml:space="preserve">Pre-departure briefings provide culturally relevant information </w:t>
            </w:r>
            <w:r w:rsidR="005501A0">
              <w:t xml:space="preserve">in language </w:t>
            </w:r>
            <w:r w:rsidRPr="007B5821">
              <w:t>about employment and life in Australia.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5F78055F" w14:textId="77777777" w:rsidR="00101A40" w:rsidRPr="007B5821" w:rsidRDefault="00101A40" w:rsidP="004F2ADA">
            <w:pPr>
              <w:pStyle w:val="bodytable"/>
            </w:pPr>
            <w:r w:rsidRPr="007B5821">
              <w:t>Yes</w:t>
            </w:r>
          </w:p>
          <w:p w14:paraId="1A72FF08" w14:textId="4096B9B0" w:rsidR="00101A40" w:rsidRPr="007B5821" w:rsidRDefault="00101A40" w:rsidP="004F2ADA">
            <w:pPr>
              <w:pStyle w:val="bodytable"/>
            </w:pPr>
            <w:r>
              <w:t xml:space="preserve">A </w:t>
            </w:r>
            <w:r w:rsidR="00D13E34">
              <w:t xml:space="preserve">free </w:t>
            </w:r>
            <w:r>
              <w:t>service</w:t>
            </w:r>
            <w:r w:rsidR="00FA7D64">
              <w:t xml:space="preserve"> will be available to</w:t>
            </w:r>
            <w:r>
              <w:t xml:space="preserve"> connect applicants with Australian employers and support the visa application process.</w:t>
            </w:r>
          </w:p>
          <w:p w14:paraId="48AE9080" w14:textId="08A0F945" w:rsidR="00101A40" w:rsidRPr="007B5821" w:rsidRDefault="00101A40" w:rsidP="004F2ADA">
            <w:pPr>
              <w:pStyle w:val="bodytable"/>
            </w:pPr>
            <w:r w:rsidRPr="007B5821">
              <w:t xml:space="preserve">Pre-departure briefings </w:t>
            </w:r>
            <w:r>
              <w:t>will</w:t>
            </w:r>
            <w:r w:rsidRPr="007B5821">
              <w:t xml:space="preserve"> provide culturally relevant information </w:t>
            </w:r>
            <w:r w:rsidR="005501A0">
              <w:t xml:space="preserve">in language </w:t>
            </w:r>
            <w:r w:rsidRPr="007B5821">
              <w:t>about life in Australia.</w:t>
            </w:r>
          </w:p>
        </w:tc>
      </w:tr>
      <w:tr w:rsidR="00101A40" w14:paraId="68EB19E7" w14:textId="77777777" w:rsidTr="27267AAE">
        <w:trPr>
          <w:cantSplit/>
          <w:trHeight w:val="3579"/>
        </w:trPr>
        <w:tc>
          <w:tcPr>
            <w:tcW w:w="2263" w:type="dxa"/>
            <w:tcBorders>
              <w:top w:val="single" w:sz="8" w:space="0" w:color="519153"/>
              <w:bottom w:val="single" w:sz="8" w:space="0" w:color="519153"/>
            </w:tcBorders>
          </w:tcPr>
          <w:p w14:paraId="2A023DC7" w14:textId="5B5CC1E7" w:rsidR="00101A40" w:rsidRPr="007B5821" w:rsidRDefault="13827A2B" w:rsidP="00257F31">
            <w:pPr>
              <w:pStyle w:val="Body"/>
            </w:pPr>
            <w:r w:rsidRPr="1ADCC562">
              <w:rPr>
                <w:b/>
                <w:bCs/>
                <w:color w:val="002060"/>
              </w:rPr>
              <w:lastRenderedPageBreak/>
              <w:t>A</w:t>
            </w:r>
            <w:r w:rsidR="00101A40" w:rsidRPr="1ADCC562">
              <w:rPr>
                <w:b/>
                <w:bCs/>
                <w:color w:val="002060"/>
              </w:rPr>
              <w:t>rrival support/welfare and wellbeing requirements</w:t>
            </w:r>
          </w:p>
        </w:tc>
        <w:tc>
          <w:tcPr>
            <w:tcW w:w="4116" w:type="dxa"/>
            <w:tcBorders>
              <w:top w:val="single" w:sz="8" w:space="0" w:color="519153"/>
              <w:bottom w:val="single" w:sz="8" w:space="0" w:color="519153"/>
            </w:tcBorders>
          </w:tcPr>
          <w:p w14:paraId="3308D1C3" w14:textId="77777777" w:rsidR="00101A40" w:rsidRPr="007B5821" w:rsidRDefault="00101A40" w:rsidP="004F2ADA">
            <w:pPr>
              <w:pStyle w:val="Body"/>
            </w:pPr>
            <w:r w:rsidRPr="007B5821">
              <w:t>Yes</w:t>
            </w:r>
          </w:p>
          <w:p w14:paraId="7463F0D7" w14:textId="37F93391" w:rsidR="00101A40" w:rsidRPr="007B5821" w:rsidRDefault="00101A40" w:rsidP="004F2ADA">
            <w:pPr>
              <w:pStyle w:val="Body"/>
            </w:pPr>
            <w:r>
              <w:t xml:space="preserve">PALM </w:t>
            </w:r>
            <w:r w:rsidR="03F48C1A">
              <w:t xml:space="preserve">scheme </w:t>
            </w:r>
            <w:r>
              <w:t>employer is responsible for providing an arrival briefing; meeting accommodation standards, sufficient hours of work; and for the wellbeing of workers, including supporting connections to community and sporting groups, churches and diaspora groups.</w:t>
            </w:r>
          </w:p>
          <w:p w14:paraId="391B617D" w14:textId="77777777" w:rsidR="00101A40" w:rsidRPr="005E05BB" w:rsidRDefault="00101A40" w:rsidP="004F2ADA">
            <w:pPr>
              <w:pStyle w:val="Body"/>
            </w:pPr>
            <w:r w:rsidRPr="005E05BB">
              <w:t>PALM scheme workers receive ongoing support from and through their:</w:t>
            </w:r>
          </w:p>
          <w:p w14:paraId="6A77DC23" w14:textId="6E3C0363" w:rsidR="00101A40" w:rsidRPr="005E05BB" w:rsidRDefault="00101A40" w:rsidP="004F2ADA">
            <w:pPr>
              <w:pStyle w:val="bodybullet"/>
            </w:pPr>
            <w:r>
              <w:t xml:space="preserve">PALM scheme </w:t>
            </w:r>
            <w:r w:rsidR="5BA02F8C">
              <w:t>e</w:t>
            </w:r>
            <w:r>
              <w:t>mployers,</w:t>
            </w:r>
          </w:p>
          <w:p w14:paraId="134521DB" w14:textId="3FAF8B51" w:rsidR="00101A40" w:rsidRPr="005E05BB" w:rsidRDefault="00101A40" w:rsidP="004F2ADA">
            <w:pPr>
              <w:pStyle w:val="bodybullet"/>
            </w:pPr>
            <w:r>
              <w:t xml:space="preserve">PALM </w:t>
            </w:r>
            <w:r w:rsidR="2883C9F1">
              <w:t xml:space="preserve">scheme </w:t>
            </w:r>
            <w:r>
              <w:t>support service line,</w:t>
            </w:r>
          </w:p>
          <w:p w14:paraId="5E307AB1" w14:textId="77777777" w:rsidR="00101A40" w:rsidRPr="007B5821" w:rsidRDefault="00101A40" w:rsidP="00D52238">
            <w:pPr>
              <w:pStyle w:val="bodybullet"/>
              <w:spacing w:after="0"/>
            </w:pPr>
            <w:r>
              <w:t>Country Liaison Officers / Labour Attachés</w:t>
            </w:r>
          </w:p>
        </w:tc>
        <w:tc>
          <w:tcPr>
            <w:tcW w:w="3686" w:type="dxa"/>
            <w:tcBorders>
              <w:top w:val="single" w:sz="8" w:space="0" w:color="519153"/>
              <w:bottom w:val="single" w:sz="8" w:space="0" w:color="519153"/>
            </w:tcBorders>
          </w:tcPr>
          <w:p w14:paraId="04DFB19F" w14:textId="77777777" w:rsidR="00101A40" w:rsidRPr="007B5821" w:rsidRDefault="00101A40" w:rsidP="004F2ADA">
            <w:pPr>
              <w:pStyle w:val="Body"/>
            </w:pPr>
            <w:r w:rsidRPr="007B5821">
              <w:t>Yes</w:t>
            </w:r>
          </w:p>
          <w:p w14:paraId="14ADC1A9" w14:textId="77777777" w:rsidR="00101A40" w:rsidRPr="007B5821" w:rsidRDefault="00101A40" w:rsidP="004F2ADA">
            <w:pPr>
              <w:pStyle w:val="Body"/>
            </w:pPr>
            <w:r>
              <w:t>Settlement support, including through the Adult Migrant English Program (AMEP) and the Settlement Engagement and Transition Support (SETS) program.</w:t>
            </w:r>
          </w:p>
        </w:tc>
      </w:tr>
    </w:tbl>
    <w:p w14:paraId="5D103D44" w14:textId="6A9A9050" w:rsidR="00101A40" w:rsidRPr="00101A40" w:rsidRDefault="00101A40" w:rsidP="00D52238">
      <w:pPr>
        <w:tabs>
          <w:tab w:val="left" w:pos="1140"/>
        </w:tabs>
      </w:pPr>
    </w:p>
    <w:sectPr w:rsidR="00101A40" w:rsidRPr="00101A40" w:rsidSect="00D52238">
      <w:headerReference w:type="default" r:id="rId13"/>
      <w:footerReference w:type="default" r:id="rId14"/>
      <w:type w:val="continuous"/>
      <w:pgSz w:w="11906" w:h="16838" w:code="9"/>
      <w:pgMar w:top="2268" w:right="851" w:bottom="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EA12" w14:textId="77777777" w:rsidR="00EC2A07" w:rsidRDefault="00EC2A07" w:rsidP="00EE32FE">
      <w:pPr>
        <w:spacing w:after="0" w:line="240" w:lineRule="auto"/>
      </w:pPr>
      <w:r>
        <w:separator/>
      </w:r>
    </w:p>
  </w:endnote>
  <w:endnote w:type="continuationSeparator" w:id="0">
    <w:p w14:paraId="658941D5" w14:textId="77777777" w:rsidR="00EC2A07" w:rsidRDefault="00EC2A07" w:rsidP="00EE32FE">
      <w:pPr>
        <w:spacing w:after="0" w:line="240" w:lineRule="auto"/>
      </w:pPr>
      <w:r>
        <w:continuationSeparator/>
      </w:r>
    </w:p>
  </w:endnote>
  <w:endnote w:type="continuationNotice" w:id="1">
    <w:p w14:paraId="3170D54E" w14:textId="77777777" w:rsidR="00EC2A07" w:rsidRDefault="00EC2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9A1D" w14:textId="3B4D520E" w:rsidR="001869DB" w:rsidRPr="00E363E8" w:rsidRDefault="00E363E8" w:rsidP="00E363E8">
    <w:pPr>
      <w:pStyle w:val="Footer"/>
      <w:spacing w:before="720"/>
    </w:pPr>
    <w:r w:rsidRPr="00101A40">
      <w:rPr>
        <w:rStyle w:val="Green"/>
        <w:b/>
        <w:color w:val="auto"/>
      </w:rPr>
      <w:t xml:space="preserve">Page | </w:t>
    </w:r>
    <w:r w:rsidRPr="00101A40">
      <w:rPr>
        <w:rStyle w:val="Green"/>
        <w:b/>
        <w:color w:val="auto"/>
      </w:rPr>
      <w:fldChar w:fldCharType="begin"/>
    </w:r>
    <w:r w:rsidRPr="00101A40">
      <w:rPr>
        <w:rStyle w:val="Green"/>
        <w:b/>
        <w:color w:val="auto"/>
      </w:rPr>
      <w:instrText xml:space="preserve"> PAGE   \* MERGEFORMAT </w:instrText>
    </w:r>
    <w:r w:rsidRPr="00101A40">
      <w:rPr>
        <w:rStyle w:val="Green"/>
        <w:b/>
        <w:color w:val="auto"/>
      </w:rPr>
      <w:fldChar w:fldCharType="separate"/>
    </w:r>
    <w:r w:rsidR="00447382" w:rsidRPr="00101A40">
      <w:rPr>
        <w:rStyle w:val="Green"/>
        <w:b/>
        <w:noProof/>
        <w:color w:val="auto"/>
      </w:rPr>
      <w:t>5</w:t>
    </w:r>
    <w:r w:rsidRPr="00101A40">
      <w:rPr>
        <w:rStyle w:val="Green"/>
        <w:b/>
        <w:noProof/>
        <w:color w:val="auto"/>
      </w:rPr>
      <w:fldChar w:fldCharType="end"/>
    </w:r>
    <w:r w:rsidRPr="00E363E8">
      <w:rPr>
        <w:rStyle w:val="Green"/>
        <w:b/>
        <w:color w:val="FFFFFF" w:themeColor="background1"/>
      </w:rPr>
      <w:t xml:space="preserve"> </w:t>
    </w:r>
    <w:r>
      <w:rPr>
        <w:rStyle w:val="Green"/>
        <w:b/>
        <w:color w:val="FFFFFF" w:themeColor="background1"/>
      </w:rPr>
      <w:tab/>
    </w:r>
    <w:r w:rsidRPr="00101A40">
      <w:rPr>
        <w:rStyle w:val="Green"/>
        <w:b/>
        <w:color w:val="auto"/>
      </w:rPr>
      <w:ptab w:relativeTo="indent" w:alignment="right" w:leader="none"/>
    </w:r>
    <w:r w:rsidRPr="00101A40">
      <w:rPr>
        <w:rStyle w:val="Green"/>
        <w:b/>
        <w:color w:val="auto"/>
      </w:rPr>
      <w:t>DFAT.GOV.AU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7BE1" w14:textId="77777777" w:rsidR="00EC2A07" w:rsidRDefault="00EC2A07" w:rsidP="00EE32FE">
      <w:pPr>
        <w:spacing w:after="0" w:line="240" w:lineRule="auto"/>
      </w:pPr>
      <w:r>
        <w:separator/>
      </w:r>
    </w:p>
  </w:footnote>
  <w:footnote w:type="continuationSeparator" w:id="0">
    <w:p w14:paraId="56D5DABE" w14:textId="77777777" w:rsidR="00EC2A07" w:rsidRDefault="00EC2A07" w:rsidP="00EE32FE">
      <w:pPr>
        <w:spacing w:after="0" w:line="240" w:lineRule="auto"/>
      </w:pPr>
      <w:r>
        <w:continuationSeparator/>
      </w:r>
    </w:p>
  </w:footnote>
  <w:footnote w:type="continuationNotice" w:id="1">
    <w:p w14:paraId="5039EF56" w14:textId="77777777" w:rsidR="00EC2A07" w:rsidRDefault="00EC2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6805" w14:textId="16462089" w:rsidR="001D29C1" w:rsidRDefault="002965B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B5AD601" wp14:editId="5F5E38B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45600" cy="10674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46F"/>
    <w:multiLevelType w:val="hybridMultilevel"/>
    <w:tmpl w:val="CCDA3D3E"/>
    <w:lvl w:ilvl="0" w:tplc="BED0B392">
      <w:start w:val="1"/>
      <w:numFmt w:val="bullet"/>
      <w:pStyle w:val="BodycopyNumbered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3C7"/>
    <w:multiLevelType w:val="multilevel"/>
    <w:tmpl w:val="97E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C4C34"/>
    <w:multiLevelType w:val="hybridMultilevel"/>
    <w:tmpl w:val="527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6413"/>
    <w:multiLevelType w:val="multilevel"/>
    <w:tmpl w:val="52063282"/>
    <w:lvl w:ilvl="0">
      <w:start w:val="1"/>
      <w:numFmt w:val="bullet"/>
      <w:pStyle w:val="List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420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4" w15:restartNumberingAfterBreak="0">
    <w:nsid w:val="2F8533C6"/>
    <w:multiLevelType w:val="hybridMultilevel"/>
    <w:tmpl w:val="1E0C0142"/>
    <w:lvl w:ilvl="0" w:tplc="87647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6D68"/>
    <w:multiLevelType w:val="hybridMultilevel"/>
    <w:tmpl w:val="9E5A5624"/>
    <w:lvl w:ilvl="0" w:tplc="04DA5E2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55A28"/>
    <w:multiLevelType w:val="hybridMultilevel"/>
    <w:tmpl w:val="D14A8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7511"/>
    <w:multiLevelType w:val="hybridMultilevel"/>
    <w:tmpl w:val="D28AB476"/>
    <w:lvl w:ilvl="0" w:tplc="A05EAEAE">
      <w:start w:val="1"/>
      <w:numFmt w:val="bullet"/>
      <w:pStyle w:val="bodybullet"/>
      <w:lvlText w:val=""/>
      <w:lvlJc w:val="left"/>
      <w:pPr>
        <w:ind w:left="720" w:hanging="360"/>
      </w:pPr>
      <w:rPr>
        <w:rFonts w:ascii="Wingdings" w:hAnsi="Wingdings" w:hint="default"/>
        <w:color w:val="5BB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80FB7"/>
    <w:multiLevelType w:val="hybridMultilevel"/>
    <w:tmpl w:val="055ACAB4"/>
    <w:lvl w:ilvl="0" w:tplc="2FE82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25FC"/>
    <w:multiLevelType w:val="hybridMultilevel"/>
    <w:tmpl w:val="E49A8494"/>
    <w:lvl w:ilvl="0" w:tplc="876476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F257F"/>
    <w:multiLevelType w:val="multilevel"/>
    <w:tmpl w:val="8876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094797">
    <w:abstractNumId w:val="0"/>
  </w:num>
  <w:num w:numId="2" w16cid:durableId="1582563770">
    <w:abstractNumId w:val="3"/>
  </w:num>
  <w:num w:numId="3" w16cid:durableId="751120400">
    <w:abstractNumId w:val="2"/>
  </w:num>
  <w:num w:numId="4" w16cid:durableId="711347695">
    <w:abstractNumId w:val="0"/>
  </w:num>
  <w:num w:numId="5" w16cid:durableId="1318344707">
    <w:abstractNumId w:val="3"/>
  </w:num>
  <w:num w:numId="6" w16cid:durableId="1696038300">
    <w:abstractNumId w:val="1"/>
  </w:num>
  <w:num w:numId="7" w16cid:durableId="562568260">
    <w:abstractNumId w:val="10"/>
  </w:num>
  <w:num w:numId="8" w16cid:durableId="1489007788">
    <w:abstractNumId w:val="5"/>
  </w:num>
  <w:num w:numId="9" w16cid:durableId="1045134682">
    <w:abstractNumId w:val="6"/>
  </w:num>
  <w:num w:numId="10" w16cid:durableId="1000425874">
    <w:abstractNumId w:val="4"/>
  </w:num>
  <w:num w:numId="11" w16cid:durableId="551772440">
    <w:abstractNumId w:val="9"/>
  </w:num>
  <w:num w:numId="12" w16cid:durableId="82652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24"/>
    <w:rsid w:val="000017BA"/>
    <w:rsid w:val="00003585"/>
    <w:rsid w:val="0000423B"/>
    <w:rsid w:val="00007BAA"/>
    <w:rsid w:val="00007CA2"/>
    <w:rsid w:val="000159C8"/>
    <w:rsid w:val="00021F36"/>
    <w:rsid w:val="00025428"/>
    <w:rsid w:val="00030679"/>
    <w:rsid w:val="00034D39"/>
    <w:rsid w:val="00035E5C"/>
    <w:rsid w:val="00037CAD"/>
    <w:rsid w:val="0005141E"/>
    <w:rsid w:val="00054DDD"/>
    <w:rsid w:val="000578C7"/>
    <w:rsid w:val="000633EF"/>
    <w:rsid w:val="0006787B"/>
    <w:rsid w:val="00073A7A"/>
    <w:rsid w:val="00082796"/>
    <w:rsid w:val="00083E34"/>
    <w:rsid w:val="00090C25"/>
    <w:rsid w:val="00094761"/>
    <w:rsid w:val="00094A6F"/>
    <w:rsid w:val="000A0FF2"/>
    <w:rsid w:val="000A4EBD"/>
    <w:rsid w:val="000A5148"/>
    <w:rsid w:val="000A5D10"/>
    <w:rsid w:val="000B32EB"/>
    <w:rsid w:val="000B394C"/>
    <w:rsid w:val="000D4E23"/>
    <w:rsid w:val="000F532E"/>
    <w:rsid w:val="0010110D"/>
    <w:rsid w:val="00101A40"/>
    <w:rsid w:val="001063F6"/>
    <w:rsid w:val="00112EEE"/>
    <w:rsid w:val="0012702D"/>
    <w:rsid w:val="00136082"/>
    <w:rsid w:val="00136DD7"/>
    <w:rsid w:val="001405B7"/>
    <w:rsid w:val="00154F11"/>
    <w:rsid w:val="00171610"/>
    <w:rsid w:val="00173B3F"/>
    <w:rsid w:val="00183D53"/>
    <w:rsid w:val="00185AA5"/>
    <w:rsid w:val="001869DB"/>
    <w:rsid w:val="001A0F92"/>
    <w:rsid w:val="001B2F78"/>
    <w:rsid w:val="001B5C34"/>
    <w:rsid w:val="001B64B6"/>
    <w:rsid w:val="001B78EA"/>
    <w:rsid w:val="001C5096"/>
    <w:rsid w:val="001D29C1"/>
    <w:rsid w:val="001D7900"/>
    <w:rsid w:val="0021791D"/>
    <w:rsid w:val="00226457"/>
    <w:rsid w:val="00231902"/>
    <w:rsid w:val="00232F10"/>
    <w:rsid w:val="00235F49"/>
    <w:rsid w:val="00246196"/>
    <w:rsid w:val="00252AE6"/>
    <w:rsid w:val="00257F31"/>
    <w:rsid w:val="00260B27"/>
    <w:rsid w:val="00263DB9"/>
    <w:rsid w:val="00265F91"/>
    <w:rsid w:val="0027247C"/>
    <w:rsid w:val="0027634D"/>
    <w:rsid w:val="00283A29"/>
    <w:rsid w:val="0028433D"/>
    <w:rsid w:val="00287D1B"/>
    <w:rsid w:val="002923D5"/>
    <w:rsid w:val="002933B1"/>
    <w:rsid w:val="002965B1"/>
    <w:rsid w:val="002A6EDB"/>
    <w:rsid w:val="002B2579"/>
    <w:rsid w:val="002C0AAD"/>
    <w:rsid w:val="002C45F4"/>
    <w:rsid w:val="002C53CC"/>
    <w:rsid w:val="002D0D03"/>
    <w:rsid w:val="002F037A"/>
    <w:rsid w:val="0030018E"/>
    <w:rsid w:val="00306A11"/>
    <w:rsid w:val="00312300"/>
    <w:rsid w:val="00317F01"/>
    <w:rsid w:val="00341399"/>
    <w:rsid w:val="0034229A"/>
    <w:rsid w:val="003517A3"/>
    <w:rsid w:val="00355FD7"/>
    <w:rsid w:val="003642AB"/>
    <w:rsid w:val="00372D2E"/>
    <w:rsid w:val="00393569"/>
    <w:rsid w:val="003A7556"/>
    <w:rsid w:val="003D0D05"/>
    <w:rsid w:val="003F08CE"/>
    <w:rsid w:val="004109A3"/>
    <w:rsid w:val="004161E5"/>
    <w:rsid w:val="00416EF1"/>
    <w:rsid w:val="00421C97"/>
    <w:rsid w:val="00424CCB"/>
    <w:rsid w:val="004340FC"/>
    <w:rsid w:val="004439F0"/>
    <w:rsid w:val="00447382"/>
    <w:rsid w:val="00460AD7"/>
    <w:rsid w:val="004756A6"/>
    <w:rsid w:val="00483BD1"/>
    <w:rsid w:val="00495B57"/>
    <w:rsid w:val="004A7102"/>
    <w:rsid w:val="004C1AFF"/>
    <w:rsid w:val="004C4F47"/>
    <w:rsid w:val="004C65B5"/>
    <w:rsid w:val="004D19B1"/>
    <w:rsid w:val="004D2CED"/>
    <w:rsid w:val="004E16BE"/>
    <w:rsid w:val="004E2161"/>
    <w:rsid w:val="004E75EC"/>
    <w:rsid w:val="004E7F31"/>
    <w:rsid w:val="004F2ADA"/>
    <w:rsid w:val="00505FA6"/>
    <w:rsid w:val="00514466"/>
    <w:rsid w:val="00517C65"/>
    <w:rsid w:val="00522946"/>
    <w:rsid w:val="00522DF0"/>
    <w:rsid w:val="00523028"/>
    <w:rsid w:val="00535DC8"/>
    <w:rsid w:val="005501A0"/>
    <w:rsid w:val="0056037F"/>
    <w:rsid w:val="0056441A"/>
    <w:rsid w:val="00587B61"/>
    <w:rsid w:val="00592E1A"/>
    <w:rsid w:val="00595180"/>
    <w:rsid w:val="005A3A5B"/>
    <w:rsid w:val="005A4153"/>
    <w:rsid w:val="005B5ABF"/>
    <w:rsid w:val="005D22FC"/>
    <w:rsid w:val="005E05BB"/>
    <w:rsid w:val="005E06A8"/>
    <w:rsid w:val="005E0AF1"/>
    <w:rsid w:val="005F299C"/>
    <w:rsid w:val="005F7B84"/>
    <w:rsid w:val="00603603"/>
    <w:rsid w:val="006125ED"/>
    <w:rsid w:val="0061301E"/>
    <w:rsid w:val="006260A8"/>
    <w:rsid w:val="00627825"/>
    <w:rsid w:val="006308DC"/>
    <w:rsid w:val="00661961"/>
    <w:rsid w:val="00661C5E"/>
    <w:rsid w:val="00665911"/>
    <w:rsid w:val="00671161"/>
    <w:rsid w:val="0067750D"/>
    <w:rsid w:val="0068376F"/>
    <w:rsid w:val="006B1B6F"/>
    <w:rsid w:val="006B5735"/>
    <w:rsid w:val="006C13E7"/>
    <w:rsid w:val="006D0783"/>
    <w:rsid w:val="006D1C88"/>
    <w:rsid w:val="006E3583"/>
    <w:rsid w:val="006F0A6D"/>
    <w:rsid w:val="006F39FC"/>
    <w:rsid w:val="00704072"/>
    <w:rsid w:val="00715398"/>
    <w:rsid w:val="00733270"/>
    <w:rsid w:val="00737B7A"/>
    <w:rsid w:val="00742A98"/>
    <w:rsid w:val="007446D9"/>
    <w:rsid w:val="007501D1"/>
    <w:rsid w:val="00753539"/>
    <w:rsid w:val="00775451"/>
    <w:rsid w:val="00785CF8"/>
    <w:rsid w:val="007874A3"/>
    <w:rsid w:val="00790F87"/>
    <w:rsid w:val="00791418"/>
    <w:rsid w:val="00792439"/>
    <w:rsid w:val="0079728E"/>
    <w:rsid w:val="007A0FE5"/>
    <w:rsid w:val="007B5821"/>
    <w:rsid w:val="007B6210"/>
    <w:rsid w:val="007B6477"/>
    <w:rsid w:val="007B7BFD"/>
    <w:rsid w:val="007C5166"/>
    <w:rsid w:val="007C64DB"/>
    <w:rsid w:val="007D09EF"/>
    <w:rsid w:val="007D778E"/>
    <w:rsid w:val="007E410D"/>
    <w:rsid w:val="007F078C"/>
    <w:rsid w:val="00841D63"/>
    <w:rsid w:val="00845374"/>
    <w:rsid w:val="008526B1"/>
    <w:rsid w:val="0087207D"/>
    <w:rsid w:val="00896EB8"/>
    <w:rsid w:val="008A226C"/>
    <w:rsid w:val="008A6157"/>
    <w:rsid w:val="008B53B1"/>
    <w:rsid w:val="008B6DA3"/>
    <w:rsid w:val="008C2E80"/>
    <w:rsid w:val="008D530E"/>
    <w:rsid w:val="008E2000"/>
    <w:rsid w:val="008F03C4"/>
    <w:rsid w:val="008F10F7"/>
    <w:rsid w:val="00902F05"/>
    <w:rsid w:val="0091017B"/>
    <w:rsid w:val="00913F0E"/>
    <w:rsid w:val="0091745C"/>
    <w:rsid w:val="00935214"/>
    <w:rsid w:val="00952E59"/>
    <w:rsid w:val="009616A5"/>
    <w:rsid w:val="00966230"/>
    <w:rsid w:val="00967E35"/>
    <w:rsid w:val="00971398"/>
    <w:rsid w:val="009747D8"/>
    <w:rsid w:val="00985A7E"/>
    <w:rsid w:val="00986210"/>
    <w:rsid w:val="009863C7"/>
    <w:rsid w:val="00993E71"/>
    <w:rsid w:val="00995F62"/>
    <w:rsid w:val="009B4C1A"/>
    <w:rsid w:val="009C0429"/>
    <w:rsid w:val="009D1899"/>
    <w:rsid w:val="009D34FE"/>
    <w:rsid w:val="009E0A13"/>
    <w:rsid w:val="009E1A13"/>
    <w:rsid w:val="009E3FA2"/>
    <w:rsid w:val="009E5016"/>
    <w:rsid w:val="009F20D3"/>
    <w:rsid w:val="009F2BA0"/>
    <w:rsid w:val="009F746F"/>
    <w:rsid w:val="00A01D6E"/>
    <w:rsid w:val="00A10967"/>
    <w:rsid w:val="00A245F7"/>
    <w:rsid w:val="00A2647F"/>
    <w:rsid w:val="00A4001E"/>
    <w:rsid w:val="00A470D2"/>
    <w:rsid w:val="00A605EF"/>
    <w:rsid w:val="00A70CAB"/>
    <w:rsid w:val="00A741D5"/>
    <w:rsid w:val="00A75C1E"/>
    <w:rsid w:val="00A81DBA"/>
    <w:rsid w:val="00A9269E"/>
    <w:rsid w:val="00A92F65"/>
    <w:rsid w:val="00A9351F"/>
    <w:rsid w:val="00AA19B8"/>
    <w:rsid w:val="00AC5803"/>
    <w:rsid w:val="00AC66E4"/>
    <w:rsid w:val="00AC6B21"/>
    <w:rsid w:val="00AD6EBE"/>
    <w:rsid w:val="00B050CC"/>
    <w:rsid w:val="00B07DB1"/>
    <w:rsid w:val="00B109B9"/>
    <w:rsid w:val="00B10A8A"/>
    <w:rsid w:val="00B14547"/>
    <w:rsid w:val="00B15EF8"/>
    <w:rsid w:val="00B228B0"/>
    <w:rsid w:val="00B23766"/>
    <w:rsid w:val="00B23A9A"/>
    <w:rsid w:val="00B26738"/>
    <w:rsid w:val="00B4299F"/>
    <w:rsid w:val="00B42B93"/>
    <w:rsid w:val="00B53D3E"/>
    <w:rsid w:val="00B55A77"/>
    <w:rsid w:val="00B56C9C"/>
    <w:rsid w:val="00B80AED"/>
    <w:rsid w:val="00B84E43"/>
    <w:rsid w:val="00B877EE"/>
    <w:rsid w:val="00B90535"/>
    <w:rsid w:val="00B916D6"/>
    <w:rsid w:val="00B92717"/>
    <w:rsid w:val="00B942A8"/>
    <w:rsid w:val="00BA6A39"/>
    <w:rsid w:val="00BB22B5"/>
    <w:rsid w:val="00BD0DF9"/>
    <w:rsid w:val="00BD4995"/>
    <w:rsid w:val="00BD691E"/>
    <w:rsid w:val="00BE3C98"/>
    <w:rsid w:val="00BE6D9B"/>
    <w:rsid w:val="00BF2FBA"/>
    <w:rsid w:val="00BF4044"/>
    <w:rsid w:val="00C0157A"/>
    <w:rsid w:val="00C02DDF"/>
    <w:rsid w:val="00C12F66"/>
    <w:rsid w:val="00C15825"/>
    <w:rsid w:val="00C233CE"/>
    <w:rsid w:val="00C25010"/>
    <w:rsid w:val="00C2595F"/>
    <w:rsid w:val="00C25BC5"/>
    <w:rsid w:val="00C27DC4"/>
    <w:rsid w:val="00C40760"/>
    <w:rsid w:val="00C431E2"/>
    <w:rsid w:val="00C441DA"/>
    <w:rsid w:val="00C44C98"/>
    <w:rsid w:val="00C476DE"/>
    <w:rsid w:val="00C56DC4"/>
    <w:rsid w:val="00C60EBF"/>
    <w:rsid w:val="00C67253"/>
    <w:rsid w:val="00C70FD2"/>
    <w:rsid w:val="00C74814"/>
    <w:rsid w:val="00CB5493"/>
    <w:rsid w:val="00CD6A46"/>
    <w:rsid w:val="00CF14DB"/>
    <w:rsid w:val="00CF54FB"/>
    <w:rsid w:val="00D13E34"/>
    <w:rsid w:val="00D234BA"/>
    <w:rsid w:val="00D36EF7"/>
    <w:rsid w:val="00D36F47"/>
    <w:rsid w:val="00D43A92"/>
    <w:rsid w:val="00D52238"/>
    <w:rsid w:val="00D62BD2"/>
    <w:rsid w:val="00D73E14"/>
    <w:rsid w:val="00D91B09"/>
    <w:rsid w:val="00D92F8C"/>
    <w:rsid w:val="00D950AB"/>
    <w:rsid w:val="00D95A03"/>
    <w:rsid w:val="00D95ECC"/>
    <w:rsid w:val="00DA3604"/>
    <w:rsid w:val="00DA5776"/>
    <w:rsid w:val="00DA6024"/>
    <w:rsid w:val="00DA6934"/>
    <w:rsid w:val="00DB4700"/>
    <w:rsid w:val="00DB524C"/>
    <w:rsid w:val="00DC0301"/>
    <w:rsid w:val="00DC2243"/>
    <w:rsid w:val="00DC31D5"/>
    <w:rsid w:val="00DD4405"/>
    <w:rsid w:val="00DD58B4"/>
    <w:rsid w:val="00DE77B6"/>
    <w:rsid w:val="00DF0C4E"/>
    <w:rsid w:val="00DF79EE"/>
    <w:rsid w:val="00E12E02"/>
    <w:rsid w:val="00E259FA"/>
    <w:rsid w:val="00E363E8"/>
    <w:rsid w:val="00E620AD"/>
    <w:rsid w:val="00E72D41"/>
    <w:rsid w:val="00E74B79"/>
    <w:rsid w:val="00E74EB9"/>
    <w:rsid w:val="00E7506A"/>
    <w:rsid w:val="00E804F6"/>
    <w:rsid w:val="00E92328"/>
    <w:rsid w:val="00E93A42"/>
    <w:rsid w:val="00E942A1"/>
    <w:rsid w:val="00E96915"/>
    <w:rsid w:val="00EA1614"/>
    <w:rsid w:val="00EA4FB9"/>
    <w:rsid w:val="00EA50BA"/>
    <w:rsid w:val="00EA723B"/>
    <w:rsid w:val="00EB7F6E"/>
    <w:rsid w:val="00EC1229"/>
    <w:rsid w:val="00EC2A07"/>
    <w:rsid w:val="00EE328E"/>
    <w:rsid w:val="00EE32FE"/>
    <w:rsid w:val="00EE7F31"/>
    <w:rsid w:val="00F000B3"/>
    <w:rsid w:val="00F119EF"/>
    <w:rsid w:val="00F1659B"/>
    <w:rsid w:val="00F21499"/>
    <w:rsid w:val="00F245D4"/>
    <w:rsid w:val="00F30649"/>
    <w:rsid w:val="00F357E8"/>
    <w:rsid w:val="00F36CAB"/>
    <w:rsid w:val="00F40E27"/>
    <w:rsid w:val="00F47CFA"/>
    <w:rsid w:val="00F63247"/>
    <w:rsid w:val="00F64358"/>
    <w:rsid w:val="00F70A4E"/>
    <w:rsid w:val="00F73A24"/>
    <w:rsid w:val="00F74457"/>
    <w:rsid w:val="00F764BA"/>
    <w:rsid w:val="00F81A7C"/>
    <w:rsid w:val="00F84110"/>
    <w:rsid w:val="00F847B8"/>
    <w:rsid w:val="00F858E4"/>
    <w:rsid w:val="00F8616E"/>
    <w:rsid w:val="00F91A5D"/>
    <w:rsid w:val="00FA1ED4"/>
    <w:rsid w:val="00FA7D64"/>
    <w:rsid w:val="00FC1FE0"/>
    <w:rsid w:val="00FC2BFE"/>
    <w:rsid w:val="00FC5688"/>
    <w:rsid w:val="00FE6AFC"/>
    <w:rsid w:val="00FF4863"/>
    <w:rsid w:val="0103A4F9"/>
    <w:rsid w:val="013BC91F"/>
    <w:rsid w:val="01571B43"/>
    <w:rsid w:val="01AA4BE1"/>
    <w:rsid w:val="01B70517"/>
    <w:rsid w:val="02187FA0"/>
    <w:rsid w:val="034ECDC9"/>
    <w:rsid w:val="03F48C1A"/>
    <w:rsid w:val="04664A04"/>
    <w:rsid w:val="06429B76"/>
    <w:rsid w:val="0667CF11"/>
    <w:rsid w:val="07C439D4"/>
    <w:rsid w:val="07FD36A4"/>
    <w:rsid w:val="0869DF87"/>
    <w:rsid w:val="08FA2090"/>
    <w:rsid w:val="09600A35"/>
    <w:rsid w:val="09CCBE43"/>
    <w:rsid w:val="0AE1074E"/>
    <w:rsid w:val="0B671352"/>
    <w:rsid w:val="0BDAABE0"/>
    <w:rsid w:val="0C12F61D"/>
    <w:rsid w:val="0FEBE5B7"/>
    <w:rsid w:val="10937DC1"/>
    <w:rsid w:val="118DA8EB"/>
    <w:rsid w:val="120064C1"/>
    <w:rsid w:val="13827A2B"/>
    <w:rsid w:val="1472CD4A"/>
    <w:rsid w:val="16049B66"/>
    <w:rsid w:val="1A5481F9"/>
    <w:rsid w:val="1A9E8C32"/>
    <w:rsid w:val="1ADCC562"/>
    <w:rsid w:val="1B1AEA71"/>
    <w:rsid w:val="1C7B4FC5"/>
    <w:rsid w:val="1D59A1CD"/>
    <w:rsid w:val="1DF3181D"/>
    <w:rsid w:val="1FF19AC8"/>
    <w:rsid w:val="2376A70F"/>
    <w:rsid w:val="257E2C36"/>
    <w:rsid w:val="27267AAE"/>
    <w:rsid w:val="27E70CEC"/>
    <w:rsid w:val="2883C9F1"/>
    <w:rsid w:val="29688A7A"/>
    <w:rsid w:val="29E7F715"/>
    <w:rsid w:val="2A17F673"/>
    <w:rsid w:val="2BE2D908"/>
    <w:rsid w:val="2D15144D"/>
    <w:rsid w:val="2EB0E4AE"/>
    <w:rsid w:val="2ED4C81C"/>
    <w:rsid w:val="2F329406"/>
    <w:rsid w:val="31A65A3D"/>
    <w:rsid w:val="31BA6572"/>
    <w:rsid w:val="31C53D4A"/>
    <w:rsid w:val="31ED86D3"/>
    <w:rsid w:val="32F9D9B0"/>
    <w:rsid w:val="33B305CE"/>
    <w:rsid w:val="34D97210"/>
    <w:rsid w:val="35746608"/>
    <w:rsid w:val="36E23EB4"/>
    <w:rsid w:val="372ECF7C"/>
    <w:rsid w:val="38AC06CA"/>
    <w:rsid w:val="398E2C2B"/>
    <w:rsid w:val="39C777E7"/>
    <w:rsid w:val="39C7F564"/>
    <w:rsid w:val="3E072F34"/>
    <w:rsid w:val="401C619A"/>
    <w:rsid w:val="40BD64D1"/>
    <w:rsid w:val="413A6695"/>
    <w:rsid w:val="416713A3"/>
    <w:rsid w:val="4458C0DE"/>
    <w:rsid w:val="474650F0"/>
    <w:rsid w:val="490DE2CD"/>
    <w:rsid w:val="4BA183CD"/>
    <w:rsid w:val="4BD1BFB4"/>
    <w:rsid w:val="4C0ED252"/>
    <w:rsid w:val="4C38B314"/>
    <w:rsid w:val="4FF66E08"/>
    <w:rsid w:val="4FF8DFDF"/>
    <w:rsid w:val="52275F5C"/>
    <w:rsid w:val="522E9513"/>
    <w:rsid w:val="52A247B4"/>
    <w:rsid w:val="54B4FFDD"/>
    <w:rsid w:val="54C9DF2B"/>
    <w:rsid w:val="561BFB1A"/>
    <w:rsid w:val="572B4326"/>
    <w:rsid w:val="59DA017A"/>
    <w:rsid w:val="5A75054E"/>
    <w:rsid w:val="5ABCC13E"/>
    <w:rsid w:val="5B70DD1B"/>
    <w:rsid w:val="5BA02F8C"/>
    <w:rsid w:val="5CFF90B2"/>
    <w:rsid w:val="5EB4BC9B"/>
    <w:rsid w:val="6176A9EC"/>
    <w:rsid w:val="61A49A58"/>
    <w:rsid w:val="6282FCC9"/>
    <w:rsid w:val="642127D5"/>
    <w:rsid w:val="6459AC7F"/>
    <w:rsid w:val="64DB1BDA"/>
    <w:rsid w:val="64E99D72"/>
    <w:rsid w:val="653F767C"/>
    <w:rsid w:val="67566DEC"/>
    <w:rsid w:val="6A8E0EAE"/>
    <w:rsid w:val="6AF686E3"/>
    <w:rsid w:val="6B81D1A1"/>
    <w:rsid w:val="6BD02E6A"/>
    <w:rsid w:val="6C6DA70E"/>
    <w:rsid w:val="6CF2B9C3"/>
    <w:rsid w:val="6F617FD1"/>
    <w:rsid w:val="6F65490F"/>
    <w:rsid w:val="6FA62C95"/>
    <w:rsid w:val="70FD5032"/>
    <w:rsid w:val="72992093"/>
    <w:rsid w:val="73194F5C"/>
    <w:rsid w:val="73F66DE0"/>
    <w:rsid w:val="740166F7"/>
    <w:rsid w:val="7434F0F4"/>
    <w:rsid w:val="743BA655"/>
    <w:rsid w:val="7735D80C"/>
    <w:rsid w:val="77AE0F35"/>
    <w:rsid w:val="7831ED2C"/>
    <w:rsid w:val="78472C4C"/>
    <w:rsid w:val="7870BD92"/>
    <w:rsid w:val="792C4E30"/>
    <w:rsid w:val="7A83DEA4"/>
    <w:rsid w:val="7A93C0EF"/>
    <w:rsid w:val="7F9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05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Ahead"/>
    <w:next w:val="Normal"/>
    <w:link w:val="Heading1Char"/>
    <w:uiPriority w:val="9"/>
    <w:qFormat/>
    <w:rsid w:val="000A5D10"/>
    <w:pPr>
      <w:outlineLvl w:val="0"/>
    </w:pPr>
    <w:rPr>
      <w:sz w:val="36"/>
      <w:szCs w:val="3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0A5D10"/>
    <w:pPr>
      <w:ind w:left="567" w:right="848"/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Normal"/>
    <w:qFormat/>
    <w:rsid w:val="00790F87"/>
    <w:pPr>
      <w:jc w:val="center"/>
    </w:pPr>
    <w:rPr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BodyCopy"/>
    <w:qFormat/>
    <w:rsid w:val="00671161"/>
    <w:pPr>
      <w:spacing w:before="240"/>
    </w:pPr>
    <w:rPr>
      <w:rFonts w:asciiTheme="majorHAnsi" w:hAnsiTheme="majorHAnsi" w:cstheme="majorHAnsi"/>
      <w:caps/>
      <w:sz w:val="32"/>
      <w:szCs w:val="32"/>
    </w:rPr>
  </w:style>
  <w:style w:type="paragraph" w:customStyle="1" w:styleId="H4-Heading4">
    <w:name w:val="H4 - Heading 4"/>
    <w:next w:val="BodyCopy"/>
    <w:qFormat/>
    <w:rsid w:val="00790F87"/>
    <w:pPr>
      <w:spacing w:before="160"/>
    </w:pPr>
    <w:rPr>
      <w:rFonts w:cstheme="minorHAnsi"/>
      <w:b/>
      <w:bCs/>
      <w:color w:val="313E48"/>
      <w:sz w:val="24"/>
      <w:szCs w:val="24"/>
      <w:lang w:eastAsia="en-US"/>
    </w:rPr>
  </w:style>
  <w:style w:type="paragraph" w:customStyle="1" w:styleId="H3-Heading3">
    <w:name w:val="H3 - Heading 3"/>
    <w:basedOn w:val="BodyCopy"/>
    <w:qFormat/>
    <w:rsid w:val="00A01D6E"/>
    <w:pPr>
      <w:spacing w:before="240" w:after="40"/>
    </w:pPr>
    <w:rPr>
      <w:rFonts w:asciiTheme="minorHAnsi" w:hAnsiTheme="minorHAnsi" w:cstheme="minorHAnsi"/>
      <w:b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ind w:left="340" w:hanging="340"/>
    </w:pPr>
  </w:style>
  <w:style w:type="table" w:styleId="TableGrid">
    <w:name w:val="Table Grid"/>
    <w:basedOn w:val="TableNormal"/>
    <w:uiPriority w:val="5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Copy"/>
    <w:qFormat/>
    <w:rsid w:val="00790F87"/>
    <w:pPr>
      <w:spacing w:after="40"/>
    </w:pPr>
    <w:rPr>
      <w:rFonts w:asciiTheme="minorHAnsi" w:hAnsiTheme="minorHAnsi" w:cstheme="minorHAnsi"/>
      <w:b/>
      <w:bCs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0A5D10"/>
    <w:rPr>
      <w:rFonts w:ascii="Segoe UI" w:eastAsia="Times New Roman" w:hAnsi="Segoe UI" w:cs="Segoe UI"/>
      <w:b/>
      <w:bCs/>
      <w:color w:val="00206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5D10"/>
    <w:rPr>
      <w:rFonts w:ascii="Segoe UI" w:eastAsia="Segoe UI" w:hAnsi="Segoe UI" w:cs="Segoe UI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446D9"/>
    <w:rPr>
      <w:rFonts w:asciiTheme="minorHAnsi" w:hAnsiTheme="minorHAnsi" w:cs="MuseoSans-500"/>
      <w:color w:val="auto"/>
      <w:u w:val="single" w:color="0070C0"/>
    </w:rPr>
  </w:style>
  <w:style w:type="paragraph" w:styleId="ListParagraph">
    <w:name w:val="List Paragraph"/>
    <w:aliases w:val="Bullet point,Bullet text,Bulleted Para,Bullets,CV text,Dot pt,F5 List Paragraph,FooterText,L,List Bullet Cab,List Paragraph1,List Paragraph11,List Paragraph111,List Paragraph2,Medium Grid 1 - Accent 21,NFP GP Bulleted List,Recommendation"/>
    <w:basedOn w:val="Normal"/>
    <w:link w:val="ListParagraphChar"/>
    <w:uiPriority w:val="34"/>
    <w:qFormat/>
    <w:rsid w:val="007446D9"/>
    <w:pPr>
      <w:suppressAutoHyphens/>
      <w:spacing w:before="120" w:after="60" w:line="260" w:lineRule="atLeast"/>
      <w:ind w:left="720"/>
      <w:contextualSpacing/>
    </w:pPr>
    <w:rPr>
      <w:rFonts w:asciiTheme="minorHAnsi" w:eastAsiaTheme="minorHAnsi" w:hAnsiTheme="minorHAnsi" w:cstheme="minorBidi"/>
      <w:color w:val="44546A" w:themeColor="text2"/>
      <w:lang w:val="en-GB"/>
    </w:rPr>
  </w:style>
  <w:style w:type="character" w:customStyle="1" w:styleId="ListParagraphChar">
    <w:name w:val="List Paragraph Char"/>
    <w:aliases w:val="Bullet point Char,Bullet text Char,Bulleted Para Char,Bullets Char,CV text Char,Dot pt Char,F5 List Paragraph Char,FooterText Char,L Char,List Bullet Cab Char,List Paragraph1 Char,List Paragraph11 Char,List Paragraph111 Char"/>
    <w:link w:val="ListParagraph"/>
    <w:uiPriority w:val="34"/>
    <w:qFormat/>
    <w:locked/>
    <w:rsid w:val="007446D9"/>
    <w:rPr>
      <w:rFonts w:asciiTheme="minorHAnsi" w:eastAsiaTheme="minorHAnsi" w:hAnsiTheme="minorHAnsi" w:cstheme="minorBidi"/>
      <w:color w:val="44546A" w:themeColor="text2"/>
      <w:sz w:val="22"/>
      <w:szCs w:val="22"/>
      <w:lang w:val="en-GB" w:eastAsia="en-US"/>
    </w:rPr>
  </w:style>
  <w:style w:type="paragraph" w:styleId="ListBullet2">
    <w:name w:val="List Bullet 2"/>
    <w:basedOn w:val="ListBullet"/>
    <w:uiPriority w:val="20"/>
    <w:rsid w:val="007446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7446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7446D9"/>
    <w:pPr>
      <w:numPr>
        <w:ilvl w:val="3"/>
      </w:numPr>
    </w:pPr>
  </w:style>
  <w:style w:type="paragraph" w:styleId="ListBullet">
    <w:name w:val="List Bullet"/>
    <w:basedOn w:val="Normal"/>
    <w:uiPriority w:val="20"/>
    <w:qFormat/>
    <w:rsid w:val="007446D9"/>
    <w:pPr>
      <w:numPr>
        <w:numId w:val="2"/>
      </w:numPr>
      <w:spacing w:before="120" w:after="120" w:line="264" w:lineRule="auto"/>
    </w:pPr>
    <w:rPr>
      <w:rFonts w:asciiTheme="minorHAnsi" w:eastAsiaTheme="minorHAnsi" w:hAnsiTheme="minorHAnsi" w:cstheme="minorBid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5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5E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59B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4109A3"/>
  </w:style>
  <w:style w:type="paragraph" w:customStyle="1" w:styleId="Bhead">
    <w:name w:val="B head"/>
    <w:basedOn w:val="Normal"/>
    <w:qFormat/>
    <w:rsid w:val="004109A3"/>
    <w:pPr>
      <w:spacing w:before="240" w:after="120" w:line="240" w:lineRule="auto"/>
    </w:pPr>
    <w:rPr>
      <w:rFonts w:ascii="Segoe UI" w:eastAsia="Segoe UI" w:hAnsi="Segoe UI" w:cs="Segoe UI"/>
      <w:b/>
      <w:bCs/>
      <w:color w:val="519153"/>
      <w:sz w:val="24"/>
      <w:szCs w:val="24"/>
    </w:rPr>
  </w:style>
  <w:style w:type="paragraph" w:customStyle="1" w:styleId="Ahead">
    <w:name w:val="A head"/>
    <w:basedOn w:val="Normal"/>
    <w:qFormat/>
    <w:rsid w:val="004109A3"/>
    <w:pPr>
      <w:spacing w:before="240"/>
      <w:ind w:left="567"/>
    </w:pPr>
    <w:rPr>
      <w:rFonts w:ascii="Segoe UI" w:eastAsia="Times New Roman" w:hAnsi="Segoe UI" w:cs="Segoe UI"/>
      <w:b/>
      <w:bCs/>
      <w:color w:val="002060"/>
      <w:sz w:val="30"/>
      <w:szCs w:val="30"/>
      <w:lang w:eastAsia="en-AU"/>
    </w:rPr>
  </w:style>
  <w:style w:type="paragraph" w:customStyle="1" w:styleId="bodytable">
    <w:name w:val="body table"/>
    <w:basedOn w:val="Body"/>
    <w:qFormat/>
    <w:rsid w:val="004109A3"/>
    <w:pPr>
      <w:spacing w:before="60" w:after="60" w:line="240" w:lineRule="auto"/>
    </w:pPr>
  </w:style>
  <w:style w:type="paragraph" w:customStyle="1" w:styleId="bodybullet">
    <w:name w:val="body bullet"/>
    <w:basedOn w:val="bodytable"/>
    <w:qFormat/>
    <w:rsid w:val="004109A3"/>
    <w:pPr>
      <w:numPr>
        <w:numId w:val="12"/>
      </w:numPr>
      <w:ind w:left="328" w:hanging="328"/>
    </w:pPr>
    <w:rPr>
      <w:rFonts w:asciiTheme="minorHAnsi" w:hAnsiTheme="minorHAnsi" w:cstheme="minorHAnsi"/>
    </w:rPr>
  </w:style>
  <w:style w:type="paragraph" w:customStyle="1" w:styleId="chead">
    <w:name w:val="c head"/>
    <w:basedOn w:val="Body"/>
    <w:qFormat/>
    <w:rsid w:val="004109A3"/>
    <w:pPr>
      <w:spacing w:before="60" w:after="60" w:line="264" w:lineRule="auto"/>
    </w:pPr>
    <w:rPr>
      <w:rFonts w:ascii="Segoe UI" w:hAnsi="Segoe UI" w:cs="Segoe UI"/>
      <w:b/>
      <w:bCs/>
      <w:color w:val="0020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1E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85C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0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recruit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how-appl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ad36bfb09f76ac2ca18457308e9c5bc4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67676810dac2f9328715f9cf8acf4f97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9860c-347c-4799-b4d8-2173be178eba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  <SharedWithUsers xmlns="de1d7913-2b48-4fb4-9e5c-239c7c65333c">
      <UserInfo>
        <DisplayName>Kathryn Roberts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AD3EFF-2478-47AA-9594-309AE9C27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CE61C-45D6-48E0-AC33-DD464A987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3ead-1a80-496c-9811-84850591db5e"/>
    <ds:schemaRef ds:uri="de1d7913-2b48-4fb4-9e5c-239c7c653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5FE32-7B27-453D-9600-4C4E2CB4A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F6FC0-5ECC-4E42-BD72-BBE644362BD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d553ead-1a80-496c-9811-84850591db5e"/>
    <ds:schemaRef ds:uri="de1d7913-2b48-4fb4-9e5c-239c7c65333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6073</Characters>
  <Application>Microsoft Office Word</Application>
  <DocSecurity>4</DocSecurity>
  <Lines>213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the Pacific Engagement Visa (PEV) different from the Pacific Australia Labour Mobility (PALM) scheme?</vt:lpstr>
    </vt:vector>
  </TitlesOfParts>
  <Company/>
  <LinksUpToDate>false</LinksUpToDate>
  <CharactersWithSpaces>7036</CharactersWithSpaces>
  <SharedDoc>false</SharedDoc>
  <HLinks>
    <vt:vector size="12" baseType="variant"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https://www.palmscheme.gov.au/recruitment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https://www.palmscheme.gov.au/how-apply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the Pacific Engagement Visa (PEV) different from the Pacific Australia Labour Mobility (PALM) scheme?</dc:title>
  <dc:subject/>
  <dc:creator/>
  <cp:keywords>[SEC=OFFICIAL]</cp:keywords>
  <dc:description/>
  <cp:lastModifiedBy/>
  <cp:revision>1</cp:revision>
  <dcterms:created xsi:type="dcterms:W3CDTF">2024-04-26T05:02:00Z</dcterms:created>
  <dcterms:modified xsi:type="dcterms:W3CDTF">2024-04-26T05:02:00Z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2023-05-31T00:41:38Z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ContentTypeId">
    <vt:lpwstr>0x010100A1DDFAC6AB8B644A99DC8F89F51DDD4D</vt:lpwstr>
  </property>
  <property fmtid="{D5CDD505-2E9C-101B-9397-08002B2CF9AE}" pid="24" name="MediaServiceImageTags">
    <vt:lpwstr/>
  </property>
  <property fmtid="{D5CDD505-2E9C-101B-9397-08002B2CF9AE}" pid="25" name="PM_Hash_Salt_Prev">
    <vt:lpwstr>0DD804BFE88778C01B4A3C7086410FD6</vt:lpwstr>
  </property>
  <property fmtid="{D5CDD505-2E9C-101B-9397-08002B2CF9AE}" pid="26" name="PM_Hash_Salt">
    <vt:lpwstr>F8854B61929BB7C6A6937787D8B76CA7</vt:lpwstr>
  </property>
  <property fmtid="{D5CDD505-2E9C-101B-9397-08002B2CF9AE}" pid="27" name="PM_Hash_SHA1">
    <vt:lpwstr>7B59479D05DC3DAE87107A2C36184DA54087CD46</vt:lpwstr>
  </property>
  <property fmtid="{D5CDD505-2E9C-101B-9397-08002B2CF9AE}" pid="28" name="PMHMAC">
    <vt:lpwstr>v=2022.1;a=SHA256;h=17E8E3187F58CD3266AD173B9DF83FE3F751905E655F3842A86799FE555974C7</vt:lpwstr>
  </property>
  <property fmtid="{D5CDD505-2E9C-101B-9397-08002B2CF9AE}" pid="29" name="PM_Originator_Hash_SHA1">
    <vt:lpwstr>D9F6E5C82DFAF7AB6E3D596D48DD43C72EDFDAB4</vt:lpwstr>
  </property>
  <property fmtid="{D5CDD505-2E9C-101B-9397-08002B2CF9AE}" pid="30" name="PM_OriginatorUserAccountName_SHA256">
    <vt:lpwstr>3E9DB5AB808CA91EB3E8EC398CDB7F67B110581D6BB28BC88565729DCE387350</vt:lpwstr>
  </property>
</Properties>
</file>