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6E" w:rsidRDefault="00801E44" w:rsidP="008B276E">
      <w:pPr>
        <w:pStyle w:val="NoParagraphStyle"/>
        <w:keepNext/>
        <w:keepLines/>
        <w:suppressAutoHyphens/>
        <w:spacing w:after="567"/>
        <w:rPr>
          <w:b/>
          <w:bCs/>
          <w:color w:val="495965"/>
          <w:sz w:val="60"/>
          <w:szCs w:val="60"/>
          <w:lang w:val="en-GB"/>
        </w:rPr>
      </w:pPr>
      <w:bookmarkStart w:id="0" w:name="_GoBack"/>
      <w:bookmarkEnd w:id="0"/>
      <w:r>
        <w:rPr>
          <w:noProof/>
          <w:lang w:val="en-AU" w:eastAsia="en-AU"/>
        </w:rPr>
        <w:drawing>
          <wp:inline distT="0" distB="0" distL="0" distR="0" wp14:anchorId="1DC26BDE" wp14:editId="46B0F0E6">
            <wp:extent cx="3261360" cy="640080"/>
            <wp:effectExtent l="0" t="0" r="0" b="7620"/>
            <wp:docPr id="7" name="Picture 7" descr="Official crest of the Australian Government, Department of Foreign Affairs and Trade" title="logo"/>
            <wp:cNvGraphicFramePr/>
            <a:graphic xmlns:a="http://schemas.openxmlformats.org/drawingml/2006/main">
              <a:graphicData uri="http://schemas.openxmlformats.org/drawingml/2006/picture">
                <pic:pic xmlns:pic="http://schemas.openxmlformats.org/drawingml/2006/picture">
                  <pic:nvPicPr>
                    <pic:cNvPr id="1" name="Picture 1" descr="Official crest of the Australian Government, Department of Foreign Affairs and Trade" title="logo"/>
                    <pic:cNvPicPr/>
                  </pic:nvPicPr>
                  <pic:blipFill>
                    <a:blip r:embed="rId8" cstate="print">
                      <a:extLst>
                        <a:ext uri="{28A0092B-C50C-407E-A947-70E740481C1C}">
                          <a14:useLocalDpi xmlns:a14="http://schemas.microsoft.com/office/drawing/2010/main"/>
                        </a:ext>
                      </a:extLst>
                    </a:blip>
                    <a:stretch>
                      <a:fillRect/>
                    </a:stretch>
                  </pic:blipFill>
                  <pic:spPr>
                    <a:xfrm>
                      <a:off x="0" y="0"/>
                      <a:ext cx="3261360" cy="640080"/>
                    </a:xfrm>
                    <a:prstGeom prst="rect">
                      <a:avLst/>
                    </a:prstGeom>
                  </pic:spPr>
                </pic:pic>
              </a:graphicData>
            </a:graphic>
          </wp:inline>
        </w:drawing>
      </w:r>
    </w:p>
    <w:p w:rsidR="008B276E" w:rsidRDefault="008B276E" w:rsidP="008B276E">
      <w:pPr>
        <w:pStyle w:val="NoParagraphStyle"/>
        <w:keepNext/>
        <w:keepLines/>
        <w:suppressAutoHyphens/>
        <w:spacing w:after="567"/>
        <w:rPr>
          <w:b/>
          <w:bCs/>
          <w:color w:val="495965"/>
          <w:sz w:val="60"/>
          <w:szCs w:val="60"/>
          <w:lang w:val="en-GB"/>
        </w:rPr>
      </w:pPr>
    </w:p>
    <w:p w:rsidR="008B276E" w:rsidRDefault="008B276E" w:rsidP="00311C8B">
      <w:pPr>
        <w:pStyle w:val="Heading1"/>
      </w:pPr>
      <w:bookmarkStart w:id="1" w:name="_Toc53572138"/>
      <w:r>
        <w:t xml:space="preserve">Performance of Australian Aid </w:t>
      </w:r>
      <w:r w:rsidR="00B36943">
        <w:br/>
      </w:r>
      <w:r>
        <w:t>201</w:t>
      </w:r>
      <w:r w:rsidR="00815B95">
        <w:t>8</w:t>
      </w:r>
      <w:r>
        <w:t>-1</w:t>
      </w:r>
      <w:r w:rsidR="00815B95">
        <w:t>9</w:t>
      </w:r>
      <w:bookmarkEnd w:id="1"/>
    </w:p>
    <w:p w:rsidR="00A907AC" w:rsidRPr="002F4FA6" w:rsidRDefault="006E5686" w:rsidP="00A907AC">
      <w:pPr>
        <w:spacing w:after="1800"/>
        <w:rPr>
          <w:rFonts w:cs="Calibri"/>
          <w:b/>
          <w:bCs/>
          <w:color w:val="495965"/>
          <w:sz w:val="40"/>
          <w:szCs w:val="40"/>
          <w:lang w:val="en-GB"/>
        </w:rPr>
      </w:pPr>
      <w:r>
        <w:rPr>
          <w:rFonts w:cs="Calibri"/>
          <w:b/>
          <w:bCs/>
          <w:color w:val="495965"/>
          <w:sz w:val="40"/>
          <w:szCs w:val="40"/>
          <w:lang w:val="en-GB"/>
        </w:rPr>
        <w:t>October</w:t>
      </w:r>
      <w:r w:rsidR="008B276E" w:rsidRPr="002F4FA6">
        <w:rPr>
          <w:rFonts w:cs="Calibri"/>
          <w:b/>
          <w:bCs/>
          <w:color w:val="495965"/>
          <w:sz w:val="40"/>
          <w:szCs w:val="40"/>
          <w:lang w:val="en-GB"/>
        </w:rPr>
        <w:t xml:space="preserve"> 20</w:t>
      </w:r>
      <w:r w:rsidR="00815B95" w:rsidRPr="002F4FA6">
        <w:rPr>
          <w:rFonts w:cs="Calibri"/>
          <w:b/>
          <w:bCs/>
          <w:color w:val="495965"/>
          <w:sz w:val="40"/>
          <w:szCs w:val="40"/>
          <w:lang w:val="en-GB"/>
        </w:rPr>
        <w:t>20</w:t>
      </w:r>
    </w:p>
    <w:p w:rsidR="00283153" w:rsidRPr="002F4FA6" w:rsidRDefault="00283153" w:rsidP="00283153">
      <w:pPr>
        <w:keepNext/>
        <w:keepLines/>
        <w:suppressAutoHyphens/>
        <w:autoSpaceDE w:val="0"/>
        <w:autoSpaceDN w:val="0"/>
        <w:adjustRightInd w:val="0"/>
        <w:spacing w:line="240" w:lineRule="atLeast"/>
        <w:textAlignment w:val="baseline"/>
        <w:rPr>
          <w:rFonts w:cs="Calibri"/>
          <w:color w:val="000000"/>
          <w:sz w:val="16"/>
          <w:szCs w:val="16"/>
          <w:lang w:val="en-GB"/>
        </w:rPr>
      </w:pPr>
      <w:r w:rsidRPr="002F4FA6">
        <w:rPr>
          <w:rFonts w:cs="Calibri"/>
          <w:color w:val="000000"/>
          <w:sz w:val="16"/>
          <w:szCs w:val="16"/>
          <w:lang w:val="en-GB"/>
        </w:rPr>
        <w:t>ISSN 2204-9649 (Online)</w:t>
      </w:r>
    </w:p>
    <w:p w:rsidR="00283153" w:rsidRPr="002F4FA6" w:rsidRDefault="00283153" w:rsidP="00283153">
      <w:pPr>
        <w:keepNext/>
        <w:keepLines/>
        <w:suppressAutoHyphens/>
        <w:autoSpaceDE w:val="0"/>
        <w:autoSpaceDN w:val="0"/>
        <w:adjustRightInd w:val="0"/>
        <w:spacing w:line="240" w:lineRule="atLeast"/>
        <w:textAlignment w:val="baseline"/>
        <w:rPr>
          <w:rFonts w:cs="Calibri"/>
          <w:color w:val="000000"/>
          <w:sz w:val="16"/>
          <w:szCs w:val="16"/>
          <w:lang w:val="en-GB"/>
        </w:rPr>
      </w:pPr>
      <w:r w:rsidRPr="002F4FA6">
        <w:rPr>
          <w:rFonts w:cs="Calibri"/>
          <w:color w:val="000000"/>
          <w:sz w:val="16"/>
          <w:szCs w:val="16"/>
          <w:lang w:val="en-GB"/>
        </w:rPr>
        <w:t>ISBN 978-1-74322-4</w:t>
      </w:r>
      <w:r w:rsidR="00614737">
        <w:rPr>
          <w:rFonts w:cs="Calibri"/>
          <w:color w:val="000000"/>
          <w:sz w:val="16"/>
          <w:szCs w:val="16"/>
          <w:lang w:val="en-GB"/>
        </w:rPr>
        <w:t>90</w:t>
      </w:r>
      <w:r w:rsidRPr="002F4FA6">
        <w:rPr>
          <w:rFonts w:cs="Calibri"/>
          <w:color w:val="000000"/>
          <w:sz w:val="16"/>
          <w:szCs w:val="16"/>
          <w:lang w:val="en-GB"/>
        </w:rPr>
        <w:t xml:space="preserve">-8 (PDF format) </w:t>
      </w:r>
    </w:p>
    <w:p w:rsidR="00283153" w:rsidRPr="002F4FA6" w:rsidRDefault="00283153" w:rsidP="00283153">
      <w:pPr>
        <w:keepNext/>
        <w:keepLines/>
        <w:suppressAutoHyphens/>
        <w:autoSpaceDE w:val="0"/>
        <w:autoSpaceDN w:val="0"/>
        <w:adjustRightInd w:val="0"/>
        <w:spacing w:line="240" w:lineRule="atLeast"/>
        <w:textAlignment w:val="baseline"/>
        <w:rPr>
          <w:rFonts w:cs="Calibri"/>
          <w:color w:val="000000"/>
          <w:sz w:val="16"/>
          <w:szCs w:val="16"/>
          <w:lang w:val="en-GB"/>
        </w:rPr>
      </w:pPr>
      <w:r w:rsidRPr="002F4FA6">
        <w:rPr>
          <w:rFonts w:cs="Calibri"/>
          <w:color w:val="000000"/>
          <w:sz w:val="16"/>
          <w:szCs w:val="16"/>
          <w:lang w:val="en-GB"/>
        </w:rPr>
        <w:t>ISBN 978-1-74322-4</w:t>
      </w:r>
      <w:r w:rsidR="00614737">
        <w:rPr>
          <w:rFonts w:cs="Calibri"/>
          <w:color w:val="000000"/>
          <w:sz w:val="16"/>
          <w:szCs w:val="16"/>
          <w:lang w:val="en-GB"/>
        </w:rPr>
        <w:t>91</w:t>
      </w:r>
      <w:r w:rsidRPr="002F4FA6">
        <w:rPr>
          <w:rFonts w:cs="Calibri"/>
          <w:color w:val="000000"/>
          <w:sz w:val="16"/>
          <w:szCs w:val="16"/>
          <w:lang w:val="en-GB"/>
        </w:rPr>
        <w:t>-5 (Word format)</w:t>
      </w:r>
    </w:p>
    <w:p w:rsidR="00283153" w:rsidRPr="002F4FA6" w:rsidRDefault="00283153" w:rsidP="00283153">
      <w:pPr>
        <w:keepNext/>
        <w:keepLines/>
        <w:suppressAutoHyphens/>
        <w:autoSpaceDE w:val="0"/>
        <w:autoSpaceDN w:val="0"/>
        <w:adjustRightInd w:val="0"/>
        <w:spacing w:after="113" w:line="240" w:lineRule="atLeast"/>
        <w:textAlignment w:val="baseline"/>
        <w:rPr>
          <w:rFonts w:cs="Calibri"/>
          <w:b/>
          <w:bCs/>
          <w:color w:val="000000"/>
          <w:sz w:val="16"/>
          <w:szCs w:val="16"/>
          <w:lang w:val="en-GB"/>
        </w:rPr>
      </w:pPr>
    </w:p>
    <w:p w:rsidR="00283153" w:rsidRPr="002F4FA6" w:rsidRDefault="00283153" w:rsidP="00283153">
      <w:pPr>
        <w:keepNext/>
        <w:keepLines/>
        <w:suppressAutoHyphens/>
        <w:autoSpaceDE w:val="0"/>
        <w:autoSpaceDN w:val="0"/>
        <w:adjustRightInd w:val="0"/>
        <w:spacing w:after="113" w:line="240" w:lineRule="atLeast"/>
        <w:textAlignment w:val="baseline"/>
        <w:rPr>
          <w:rFonts w:cs="Calibri"/>
          <w:b/>
          <w:bCs/>
          <w:color w:val="000000"/>
          <w:sz w:val="19"/>
          <w:szCs w:val="19"/>
          <w:lang w:val="en-GB"/>
        </w:rPr>
      </w:pPr>
      <w:r w:rsidRPr="002F4FA6">
        <w:rPr>
          <w:rFonts w:cs="Calibri"/>
          <w:b/>
          <w:bCs/>
          <w:color w:val="000000"/>
          <w:sz w:val="19"/>
          <w:szCs w:val="19"/>
          <w:lang w:val="en-GB"/>
        </w:rPr>
        <w:t>Creative Commons</w:t>
      </w:r>
    </w:p>
    <w:p w:rsidR="00283153" w:rsidRPr="002F4FA6" w:rsidRDefault="00283153" w:rsidP="00283153">
      <w:pPr>
        <w:keepNext/>
        <w:keepLines/>
        <w:suppressAutoHyphens/>
        <w:autoSpaceDE w:val="0"/>
        <w:autoSpaceDN w:val="0"/>
        <w:adjustRightInd w:val="0"/>
        <w:spacing w:before="113" w:after="113" w:line="240" w:lineRule="atLeast"/>
        <w:textAlignment w:val="baseline"/>
        <w:rPr>
          <w:rFonts w:cs="Calibri"/>
          <w:color w:val="000000"/>
          <w:sz w:val="16"/>
          <w:szCs w:val="16"/>
          <w:lang w:val="en-GB"/>
        </w:rPr>
      </w:pPr>
      <w:r w:rsidRPr="002F4FA6">
        <w:rPr>
          <w:rFonts w:cs="Calibri"/>
          <w:color w:val="000000"/>
          <w:sz w:val="16"/>
          <w:szCs w:val="16"/>
          <w:lang w:val="en-GB"/>
        </w:rPr>
        <w:t>With the exception of the Commonwealth Coat of Arms and where otherwise noted all material presented in this document is provided under a Creative Commons Attribution 3.0 Australia (creativecommons.org/licenses/by/3.0/au/) licence. The details of the relevant licence conditions are available on the Creative Commons website (accessible using the links provided) as is the full legal code for the CC BY 3.0 AU licence (</w:t>
      </w:r>
      <w:hyperlink r:id="rId9" w:history="1">
        <w:r w:rsidRPr="00A22E2E">
          <w:rPr>
            <w:rStyle w:val="Hyperlink"/>
            <w:sz w:val="16"/>
            <w:szCs w:val="16"/>
            <w:lang w:val="en-GB"/>
          </w:rPr>
          <w:t>http://creativecommons.org/licenses/by/3.0/au/legalcode</w:t>
        </w:r>
      </w:hyperlink>
      <w:r w:rsidRPr="002F4FA6">
        <w:rPr>
          <w:rFonts w:cs="Calibri"/>
          <w:color w:val="000000"/>
          <w:sz w:val="16"/>
          <w:szCs w:val="16"/>
          <w:lang w:val="en-GB"/>
        </w:rPr>
        <w:t>).</w:t>
      </w:r>
    </w:p>
    <w:p w:rsidR="00283153" w:rsidRPr="002F4FA6" w:rsidRDefault="00283153" w:rsidP="00283153">
      <w:pPr>
        <w:keepNext/>
        <w:keepLines/>
        <w:suppressAutoHyphens/>
        <w:autoSpaceDE w:val="0"/>
        <w:autoSpaceDN w:val="0"/>
        <w:adjustRightInd w:val="0"/>
        <w:spacing w:before="113" w:after="113" w:line="240" w:lineRule="atLeast"/>
        <w:textAlignment w:val="baseline"/>
        <w:rPr>
          <w:rFonts w:cs="Calibri"/>
          <w:i/>
          <w:iCs/>
          <w:color w:val="000000"/>
          <w:sz w:val="16"/>
          <w:szCs w:val="16"/>
          <w:lang w:val="en-US"/>
        </w:rPr>
      </w:pPr>
      <w:r w:rsidRPr="002F4FA6">
        <w:rPr>
          <w:rFonts w:cs="Calibri"/>
          <w:color w:val="000000"/>
          <w:sz w:val="16"/>
          <w:szCs w:val="16"/>
          <w:lang w:val="en-GB"/>
        </w:rPr>
        <w:t>The document should be attributed as: Commonwealth of Australia, DFAT,</w:t>
      </w:r>
      <w:r w:rsidRPr="002F4FA6">
        <w:rPr>
          <w:rFonts w:cs="Calibri"/>
          <w:i/>
          <w:iCs/>
          <w:color w:val="000000"/>
          <w:sz w:val="16"/>
          <w:szCs w:val="16"/>
          <w:lang w:val="en-US"/>
        </w:rPr>
        <w:t xml:space="preserve"> Performance of Australian Aid 201</w:t>
      </w:r>
      <w:r w:rsidR="00815B95" w:rsidRPr="002F4FA6">
        <w:rPr>
          <w:rFonts w:cs="Calibri"/>
          <w:i/>
          <w:iCs/>
          <w:color w:val="000000"/>
          <w:sz w:val="16"/>
          <w:szCs w:val="16"/>
          <w:lang w:val="en-US"/>
        </w:rPr>
        <w:t>8</w:t>
      </w:r>
      <w:r w:rsidRPr="002F4FA6">
        <w:rPr>
          <w:rFonts w:cs="Calibri"/>
          <w:i/>
          <w:iCs/>
          <w:color w:val="000000"/>
          <w:sz w:val="16"/>
          <w:szCs w:val="16"/>
          <w:lang w:val="en-US"/>
        </w:rPr>
        <w:t>-1</w:t>
      </w:r>
      <w:r w:rsidR="00815B95" w:rsidRPr="002F4FA6">
        <w:rPr>
          <w:rFonts w:cs="Calibri"/>
          <w:i/>
          <w:iCs/>
          <w:color w:val="000000"/>
          <w:sz w:val="16"/>
          <w:szCs w:val="16"/>
          <w:lang w:val="en-US"/>
        </w:rPr>
        <w:t>9</w:t>
      </w:r>
      <w:r w:rsidRPr="002F4FA6">
        <w:rPr>
          <w:rFonts w:cs="Calibri"/>
          <w:i/>
          <w:iCs/>
          <w:color w:val="000000"/>
          <w:sz w:val="16"/>
          <w:szCs w:val="16"/>
          <w:lang w:val="en-US"/>
        </w:rPr>
        <w:t>.</w:t>
      </w:r>
    </w:p>
    <w:p w:rsidR="00283153" w:rsidRPr="002F4FA6" w:rsidRDefault="00283153" w:rsidP="00283153">
      <w:pPr>
        <w:keepNext/>
        <w:keepLines/>
        <w:suppressAutoHyphens/>
        <w:autoSpaceDE w:val="0"/>
        <w:autoSpaceDN w:val="0"/>
        <w:adjustRightInd w:val="0"/>
        <w:spacing w:before="113" w:line="240" w:lineRule="atLeast"/>
        <w:textAlignment w:val="baseline"/>
        <w:rPr>
          <w:rFonts w:cs="Calibri"/>
          <w:color w:val="000000"/>
          <w:sz w:val="19"/>
          <w:szCs w:val="19"/>
          <w:lang w:val="en-GB"/>
        </w:rPr>
      </w:pPr>
      <w:r w:rsidRPr="002F4FA6">
        <w:rPr>
          <w:rFonts w:cs="Calibri"/>
          <w:b/>
          <w:bCs/>
          <w:color w:val="000000"/>
          <w:sz w:val="19"/>
          <w:szCs w:val="19"/>
          <w:lang w:val="en-GB"/>
        </w:rPr>
        <w:t>Contact</w:t>
      </w:r>
    </w:p>
    <w:p w:rsidR="00283153" w:rsidRPr="002F4FA6" w:rsidRDefault="00283153" w:rsidP="00283153">
      <w:pPr>
        <w:keepNext/>
        <w:keepLines/>
        <w:suppressAutoHyphens/>
        <w:autoSpaceDE w:val="0"/>
        <w:autoSpaceDN w:val="0"/>
        <w:adjustRightInd w:val="0"/>
        <w:spacing w:after="113" w:line="240" w:lineRule="atLeast"/>
        <w:textAlignment w:val="baseline"/>
        <w:rPr>
          <w:rFonts w:cs="Calibri"/>
          <w:color w:val="000000"/>
          <w:sz w:val="16"/>
          <w:szCs w:val="16"/>
          <w:lang w:val="en-GB"/>
        </w:rPr>
      </w:pPr>
      <w:r w:rsidRPr="002F4FA6">
        <w:rPr>
          <w:rFonts w:cs="Calibri"/>
          <w:color w:val="000000"/>
          <w:sz w:val="16"/>
          <w:szCs w:val="16"/>
          <w:lang w:val="en-GB"/>
        </w:rPr>
        <w:t>Inquiries about this document should be directed to: Department of Foreign Affairs and Trade Public Diplomacy Branch</w:t>
      </w:r>
    </w:p>
    <w:p w:rsidR="00283153" w:rsidRPr="002F4FA6" w:rsidRDefault="00283153" w:rsidP="00283153">
      <w:pPr>
        <w:keepNext/>
        <w:keepLines/>
        <w:suppressAutoHyphens/>
        <w:autoSpaceDE w:val="0"/>
        <w:autoSpaceDN w:val="0"/>
        <w:adjustRightInd w:val="0"/>
        <w:spacing w:after="113" w:line="240" w:lineRule="atLeast"/>
        <w:textAlignment w:val="baseline"/>
        <w:rPr>
          <w:rFonts w:cs="Calibri"/>
          <w:color w:val="000000"/>
          <w:sz w:val="16"/>
          <w:szCs w:val="16"/>
          <w:lang w:val="en-GB"/>
        </w:rPr>
      </w:pPr>
      <w:r w:rsidRPr="002F4FA6">
        <w:rPr>
          <w:rFonts w:cs="Calibri"/>
          <w:color w:val="000000"/>
          <w:sz w:val="16"/>
          <w:szCs w:val="16"/>
          <w:lang w:val="en-GB"/>
        </w:rPr>
        <w:t>RG Casey Building John McEwen Crescent Barton ACT 0221 Australia</w:t>
      </w:r>
    </w:p>
    <w:p w:rsidR="00283153" w:rsidRPr="002F4FA6" w:rsidRDefault="00283153" w:rsidP="00283153">
      <w:pPr>
        <w:keepNext/>
        <w:keepLines/>
        <w:suppressAutoHyphens/>
        <w:autoSpaceDE w:val="0"/>
        <w:autoSpaceDN w:val="0"/>
        <w:adjustRightInd w:val="0"/>
        <w:spacing w:after="113" w:line="240" w:lineRule="atLeast"/>
        <w:textAlignment w:val="baseline"/>
        <w:rPr>
          <w:rFonts w:cs="Calibri"/>
          <w:color w:val="000000"/>
          <w:sz w:val="16"/>
          <w:szCs w:val="16"/>
          <w:lang w:val="en-GB"/>
        </w:rPr>
      </w:pPr>
      <w:r w:rsidRPr="002F4FA6">
        <w:rPr>
          <w:rFonts w:cs="Calibri"/>
          <w:color w:val="000000"/>
          <w:sz w:val="16"/>
          <w:szCs w:val="16"/>
          <w:lang w:val="en-GB"/>
        </w:rPr>
        <w:t>+61 2 6261 1111 (Phone) +61 2 6261 3111 (Fax)</w:t>
      </w:r>
    </w:p>
    <w:p w:rsidR="00F14D7B" w:rsidRDefault="00283153" w:rsidP="00283153">
      <w:pPr>
        <w:rPr>
          <w:sz w:val="16"/>
          <w:szCs w:val="16"/>
        </w:rPr>
      </w:pPr>
      <w:r w:rsidRPr="002F4FA6">
        <w:rPr>
          <w:rFonts w:cs="Calibri"/>
          <w:color w:val="000000"/>
          <w:sz w:val="16"/>
          <w:szCs w:val="16"/>
          <w:lang w:val="en-GB"/>
        </w:rPr>
        <w:t>Published by the Department of Foreign Affairs and Trade, 20</w:t>
      </w:r>
      <w:r w:rsidR="00815B95" w:rsidRPr="002F4FA6">
        <w:rPr>
          <w:rFonts w:cs="Calibri"/>
          <w:color w:val="000000"/>
          <w:sz w:val="16"/>
          <w:szCs w:val="16"/>
          <w:lang w:val="en-GB"/>
        </w:rPr>
        <w:t>20</w:t>
      </w:r>
      <w:r w:rsidR="00F14D7B">
        <w:rPr>
          <w:sz w:val="16"/>
          <w:szCs w:val="16"/>
        </w:rPr>
        <w:br w:type="page"/>
      </w:r>
    </w:p>
    <w:p w:rsidR="00D25446" w:rsidRDefault="007A3B76" w:rsidP="00961D0E">
      <w:pPr>
        <w:pStyle w:val="Heading2"/>
        <w:rPr>
          <w:noProof/>
        </w:rPr>
      </w:pPr>
      <w:bookmarkStart w:id="2" w:name="_Toc4497422"/>
      <w:bookmarkStart w:id="3" w:name="_Toc53572139"/>
      <w:r w:rsidRPr="0007009B">
        <w:lastRenderedPageBreak/>
        <w:t>Table of Contents</w:t>
      </w:r>
      <w:bookmarkEnd w:id="2"/>
      <w:bookmarkEnd w:id="3"/>
      <w:r w:rsidR="0007009B" w:rsidRPr="002F4FA6">
        <w:rPr>
          <w:i/>
          <w:iCs/>
          <w:sz w:val="60"/>
        </w:rPr>
        <w:fldChar w:fldCharType="begin"/>
      </w:r>
      <w:r w:rsidR="0007009B" w:rsidRPr="002F4FA6">
        <w:rPr>
          <w:i/>
          <w:iCs/>
        </w:rPr>
        <w:instrText xml:space="preserve"> TOC \o "1-3" \h \z \u </w:instrText>
      </w:r>
      <w:r w:rsidR="0007009B" w:rsidRPr="002F4FA6">
        <w:rPr>
          <w:i/>
          <w:iCs/>
          <w:sz w:val="60"/>
        </w:rPr>
        <w:fldChar w:fldCharType="separate"/>
      </w:r>
    </w:p>
    <w:p w:rsidR="00D25446" w:rsidRDefault="00B75BC7">
      <w:pPr>
        <w:pStyle w:val="TOC1"/>
        <w:tabs>
          <w:tab w:val="right" w:leader="dot" w:pos="9465"/>
        </w:tabs>
        <w:rPr>
          <w:rFonts w:asciiTheme="minorHAnsi" w:eastAsiaTheme="minorEastAsia" w:hAnsiTheme="minorHAnsi" w:cstheme="minorBidi"/>
          <w:b w:val="0"/>
          <w:bCs w:val="0"/>
          <w:i w:val="0"/>
          <w:iCs w:val="0"/>
          <w:noProof/>
          <w:sz w:val="22"/>
          <w:szCs w:val="22"/>
          <w:lang w:eastAsia="en-AU"/>
        </w:rPr>
      </w:pPr>
      <w:hyperlink w:anchor="_Toc53572138" w:history="1">
        <w:r w:rsidR="00D25446" w:rsidRPr="003B3923">
          <w:rPr>
            <w:rStyle w:val="Hyperlink"/>
            <w:noProof/>
          </w:rPr>
          <w:t>Performance of Australian Aid  2018-19</w:t>
        </w:r>
        <w:r w:rsidR="00D25446">
          <w:rPr>
            <w:noProof/>
            <w:webHidden/>
          </w:rPr>
          <w:tab/>
        </w:r>
        <w:r w:rsidR="00D25446">
          <w:rPr>
            <w:noProof/>
            <w:webHidden/>
          </w:rPr>
          <w:fldChar w:fldCharType="begin"/>
        </w:r>
        <w:r w:rsidR="00D25446">
          <w:rPr>
            <w:noProof/>
            <w:webHidden/>
          </w:rPr>
          <w:instrText xml:space="preserve"> PAGEREF _Toc53572138 \h </w:instrText>
        </w:r>
        <w:r w:rsidR="00D25446">
          <w:rPr>
            <w:noProof/>
            <w:webHidden/>
          </w:rPr>
        </w:r>
        <w:r w:rsidR="00D25446">
          <w:rPr>
            <w:noProof/>
            <w:webHidden/>
          </w:rPr>
          <w:fldChar w:fldCharType="separate"/>
        </w:r>
        <w:r w:rsidR="00EF1490">
          <w:rPr>
            <w:noProof/>
            <w:webHidden/>
          </w:rPr>
          <w:t>1</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39" w:history="1">
        <w:r w:rsidR="00D25446" w:rsidRPr="003B3923">
          <w:rPr>
            <w:rStyle w:val="Hyperlink"/>
            <w:noProof/>
          </w:rPr>
          <w:t>Table of Contents</w:t>
        </w:r>
        <w:r w:rsidR="00D25446">
          <w:rPr>
            <w:noProof/>
            <w:webHidden/>
          </w:rPr>
          <w:tab/>
        </w:r>
        <w:r w:rsidR="00D25446">
          <w:rPr>
            <w:noProof/>
            <w:webHidden/>
          </w:rPr>
          <w:fldChar w:fldCharType="begin"/>
        </w:r>
        <w:r w:rsidR="00D25446">
          <w:rPr>
            <w:noProof/>
            <w:webHidden/>
          </w:rPr>
          <w:instrText xml:space="preserve"> PAGEREF _Toc53572139 \h </w:instrText>
        </w:r>
        <w:r w:rsidR="00D25446">
          <w:rPr>
            <w:noProof/>
            <w:webHidden/>
          </w:rPr>
        </w:r>
        <w:r w:rsidR="00D25446">
          <w:rPr>
            <w:noProof/>
            <w:webHidden/>
          </w:rPr>
          <w:fldChar w:fldCharType="separate"/>
        </w:r>
        <w:r w:rsidR="00EF1490">
          <w:rPr>
            <w:noProof/>
            <w:webHidden/>
          </w:rPr>
          <w:t>2</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40" w:history="1">
        <w:r w:rsidR="00D25446" w:rsidRPr="003B3923">
          <w:rPr>
            <w:rStyle w:val="Hyperlink"/>
            <w:noProof/>
          </w:rPr>
          <w:t>Introduction</w:t>
        </w:r>
        <w:r w:rsidR="00D25446">
          <w:rPr>
            <w:noProof/>
            <w:webHidden/>
          </w:rPr>
          <w:tab/>
        </w:r>
        <w:r w:rsidR="00D25446">
          <w:rPr>
            <w:noProof/>
            <w:webHidden/>
          </w:rPr>
          <w:fldChar w:fldCharType="begin"/>
        </w:r>
        <w:r w:rsidR="00D25446">
          <w:rPr>
            <w:noProof/>
            <w:webHidden/>
          </w:rPr>
          <w:instrText xml:space="preserve"> PAGEREF _Toc53572140 \h </w:instrText>
        </w:r>
        <w:r w:rsidR="00D25446">
          <w:rPr>
            <w:noProof/>
            <w:webHidden/>
          </w:rPr>
        </w:r>
        <w:r w:rsidR="00D25446">
          <w:rPr>
            <w:noProof/>
            <w:webHidden/>
          </w:rPr>
          <w:fldChar w:fldCharType="separate"/>
        </w:r>
        <w:r w:rsidR="00EF1490">
          <w:rPr>
            <w:noProof/>
            <w:webHidden/>
          </w:rPr>
          <w:t>3</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41" w:history="1">
        <w:r w:rsidR="00D25446" w:rsidRPr="003B3923">
          <w:rPr>
            <w:rStyle w:val="Hyperlink"/>
            <w:noProof/>
          </w:rPr>
          <w:t>Chapter 1 Performance against strategic targets</w:t>
        </w:r>
        <w:r w:rsidR="00D25446">
          <w:rPr>
            <w:noProof/>
            <w:webHidden/>
          </w:rPr>
          <w:tab/>
        </w:r>
        <w:r w:rsidR="00D25446">
          <w:rPr>
            <w:noProof/>
            <w:webHidden/>
          </w:rPr>
          <w:fldChar w:fldCharType="begin"/>
        </w:r>
        <w:r w:rsidR="00D25446">
          <w:rPr>
            <w:noProof/>
            <w:webHidden/>
          </w:rPr>
          <w:instrText xml:space="preserve"> PAGEREF _Toc53572141 \h </w:instrText>
        </w:r>
        <w:r w:rsidR="00D25446">
          <w:rPr>
            <w:noProof/>
            <w:webHidden/>
          </w:rPr>
        </w:r>
        <w:r w:rsidR="00D25446">
          <w:rPr>
            <w:noProof/>
            <w:webHidden/>
          </w:rPr>
          <w:fldChar w:fldCharType="separate"/>
        </w:r>
        <w:r w:rsidR="00EF1490">
          <w:rPr>
            <w:noProof/>
            <w:webHidden/>
          </w:rPr>
          <w:t>4</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2" w:history="1">
        <w:r w:rsidR="00D25446" w:rsidRPr="003B3923">
          <w:rPr>
            <w:rStyle w:val="Hyperlink"/>
            <w:noProof/>
          </w:rPr>
          <w:t>Target 4: Empowering women and girls</w:t>
        </w:r>
        <w:r w:rsidR="00D25446">
          <w:rPr>
            <w:noProof/>
            <w:webHidden/>
          </w:rPr>
          <w:tab/>
        </w:r>
        <w:r w:rsidR="00D25446">
          <w:rPr>
            <w:noProof/>
            <w:webHidden/>
          </w:rPr>
          <w:fldChar w:fldCharType="begin"/>
        </w:r>
        <w:r w:rsidR="00D25446">
          <w:rPr>
            <w:noProof/>
            <w:webHidden/>
          </w:rPr>
          <w:instrText xml:space="preserve"> PAGEREF _Toc53572142 \h </w:instrText>
        </w:r>
        <w:r w:rsidR="00D25446">
          <w:rPr>
            <w:noProof/>
            <w:webHidden/>
          </w:rPr>
        </w:r>
        <w:r w:rsidR="00D25446">
          <w:rPr>
            <w:noProof/>
            <w:webHidden/>
          </w:rPr>
          <w:fldChar w:fldCharType="separate"/>
        </w:r>
        <w:r w:rsidR="00EF1490">
          <w:rPr>
            <w:noProof/>
            <w:webHidden/>
          </w:rPr>
          <w:t>5</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3" w:history="1">
        <w:r w:rsidR="00D25446" w:rsidRPr="003B3923">
          <w:rPr>
            <w:rStyle w:val="Hyperlink"/>
            <w:noProof/>
          </w:rPr>
          <w:t>Target 7: Working with the most effective partners</w:t>
        </w:r>
        <w:r w:rsidR="00D25446">
          <w:rPr>
            <w:noProof/>
            <w:webHidden/>
          </w:rPr>
          <w:tab/>
        </w:r>
        <w:r w:rsidR="00D25446">
          <w:rPr>
            <w:noProof/>
            <w:webHidden/>
          </w:rPr>
          <w:fldChar w:fldCharType="begin"/>
        </w:r>
        <w:r w:rsidR="00D25446">
          <w:rPr>
            <w:noProof/>
            <w:webHidden/>
          </w:rPr>
          <w:instrText xml:space="preserve"> PAGEREF _Toc53572143 \h </w:instrText>
        </w:r>
        <w:r w:rsidR="00D25446">
          <w:rPr>
            <w:noProof/>
            <w:webHidden/>
          </w:rPr>
        </w:r>
        <w:r w:rsidR="00D25446">
          <w:rPr>
            <w:noProof/>
            <w:webHidden/>
          </w:rPr>
          <w:fldChar w:fldCharType="separate"/>
        </w:r>
        <w:r w:rsidR="00EF1490">
          <w:rPr>
            <w:noProof/>
            <w:webHidden/>
          </w:rPr>
          <w:t>8</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4" w:history="1">
        <w:r w:rsidR="00D25446" w:rsidRPr="003B3923">
          <w:rPr>
            <w:rStyle w:val="Hyperlink"/>
            <w:noProof/>
          </w:rPr>
          <w:t>Target 8: Ensuring value for money</w:t>
        </w:r>
        <w:r w:rsidR="00D25446">
          <w:rPr>
            <w:noProof/>
            <w:webHidden/>
          </w:rPr>
          <w:tab/>
        </w:r>
        <w:r w:rsidR="00D25446">
          <w:rPr>
            <w:noProof/>
            <w:webHidden/>
          </w:rPr>
          <w:fldChar w:fldCharType="begin"/>
        </w:r>
        <w:r w:rsidR="00D25446">
          <w:rPr>
            <w:noProof/>
            <w:webHidden/>
          </w:rPr>
          <w:instrText xml:space="preserve"> PAGEREF _Toc53572144 \h </w:instrText>
        </w:r>
        <w:r w:rsidR="00D25446">
          <w:rPr>
            <w:noProof/>
            <w:webHidden/>
          </w:rPr>
        </w:r>
        <w:r w:rsidR="00D25446">
          <w:rPr>
            <w:noProof/>
            <w:webHidden/>
          </w:rPr>
          <w:fldChar w:fldCharType="separate"/>
        </w:r>
        <w:r w:rsidR="00EF1490">
          <w:rPr>
            <w:noProof/>
            <w:webHidden/>
          </w:rPr>
          <w:t>8</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45" w:history="1">
        <w:r w:rsidR="00D25446" w:rsidRPr="003B3923">
          <w:rPr>
            <w:rStyle w:val="Hyperlink"/>
            <w:noProof/>
          </w:rPr>
          <w:t>Chapter 2 Country and regional program performance</w:t>
        </w:r>
        <w:r w:rsidR="00D25446">
          <w:rPr>
            <w:noProof/>
            <w:webHidden/>
          </w:rPr>
          <w:tab/>
        </w:r>
        <w:r w:rsidR="00D25446">
          <w:rPr>
            <w:noProof/>
            <w:webHidden/>
          </w:rPr>
          <w:fldChar w:fldCharType="begin"/>
        </w:r>
        <w:r w:rsidR="00D25446">
          <w:rPr>
            <w:noProof/>
            <w:webHidden/>
          </w:rPr>
          <w:instrText xml:space="preserve"> PAGEREF _Toc53572145 \h </w:instrText>
        </w:r>
        <w:r w:rsidR="00D25446">
          <w:rPr>
            <w:noProof/>
            <w:webHidden/>
          </w:rPr>
        </w:r>
        <w:r w:rsidR="00D25446">
          <w:rPr>
            <w:noProof/>
            <w:webHidden/>
          </w:rPr>
          <w:fldChar w:fldCharType="separate"/>
        </w:r>
        <w:r w:rsidR="00EF1490">
          <w:rPr>
            <w:noProof/>
            <w:webHidden/>
          </w:rPr>
          <w:t>9</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6" w:history="1">
        <w:r w:rsidR="00D25446" w:rsidRPr="003B3923">
          <w:rPr>
            <w:rStyle w:val="Hyperlink"/>
            <w:noProof/>
          </w:rPr>
          <w:t>Pacific</w:t>
        </w:r>
        <w:r w:rsidR="00D25446">
          <w:rPr>
            <w:noProof/>
            <w:webHidden/>
          </w:rPr>
          <w:tab/>
        </w:r>
        <w:r w:rsidR="00D25446">
          <w:rPr>
            <w:noProof/>
            <w:webHidden/>
          </w:rPr>
          <w:fldChar w:fldCharType="begin"/>
        </w:r>
        <w:r w:rsidR="00D25446">
          <w:rPr>
            <w:noProof/>
            <w:webHidden/>
          </w:rPr>
          <w:instrText xml:space="preserve"> PAGEREF _Toc53572146 \h </w:instrText>
        </w:r>
        <w:r w:rsidR="00D25446">
          <w:rPr>
            <w:noProof/>
            <w:webHidden/>
          </w:rPr>
        </w:r>
        <w:r w:rsidR="00D25446">
          <w:rPr>
            <w:noProof/>
            <w:webHidden/>
          </w:rPr>
          <w:fldChar w:fldCharType="separate"/>
        </w:r>
        <w:r w:rsidR="00EF1490">
          <w:rPr>
            <w:noProof/>
            <w:webHidden/>
          </w:rPr>
          <w:t>10</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7" w:history="1">
        <w:r w:rsidR="00D25446" w:rsidRPr="003B3923">
          <w:rPr>
            <w:rStyle w:val="Hyperlink"/>
            <w:noProof/>
          </w:rPr>
          <w:t>Southeast and East Asia</w:t>
        </w:r>
        <w:r w:rsidR="00D25446">
          <w:rPr>
            <w:noProof/>
            <w:webHidden/>
          </w:rPr>
          <w:tab/>
        </w:r>
        <w:r w:rsidR="00D25446">
          <w:rPr>
            <w:noProof/>
            <w:webHidden/>
          </w:rPr>
          <w:fldChar w:fldCharType="begin"/>
        </w:r>
        <w:r w:rsidR="00D25446">
          <w:rPr>
            <w:noProof/>
            <w:webHidden/>
          </w:rPr>
          <w:instrText xml:space="preserve"> PAGEREF _Toc53572147 \h </w:instrText>
        </w:r>
        <w:r w:rsidR="00D25446">
          <w:rPr>
            <w:noProof/>
            <w:webHidden/>
          </w:rPr>
        </w:r>
        <w:r w:rsidR="00D25446">
          <w:rPr>
            <w:noProof/>
            <w:webHidden/>
          </w:rPr>
          <w:fldChar w:fldCharType="separate"/>
        </w:r>
        <w:r w:rsidR="00EF1490">
          <w:rPr>
            <w:noProof/>
            <w:webHidden/>
          </w:rPr>
          <w:t>11</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48" w:history="1">
        <w:r w:rsidR="00D25446" w:rsidRPr="003B3923">
          <w:rPr>
            <w:rStyle w:val="Hyperlink"/>
            <w:noProof/>
          </w:rPr>
          <w:t>South and West Asia, Africa, the Middle East and other regions</w:t>
        </w:r>
        <w:r w:rsidR="00D25446">
          <w:rPr>
            <w:noProof/>
            <w:webHidden/>
          </w:rPr>
          <w:tab/>
        </w:r>
        <w:r w:rsidR="00D25446">
          <w:rPr>
            <w:noProof/>
            <w:webHidden/>
          </w:rPr>
          <w:fldChar w:fldCharType="begin"/>
        </w:r>
        <w:r w:rsidR="00D25446">
          <w:rPr>
            <w:noProof/>
            <w:webHidden/>
          </w:rPr>
          <w:instrText xml:space="preserve"> PAGEREF _Toc53572148 \h </w:instrText>
        </w:r>
        <w:r w:rsidR="00D25446">
          <w:rPr>
            <w:noProof/>
            <w:webHidden/>
          </w:rPr>
        </w:r>
        <w:r w:rsidR="00D25446">
          <w:rPr>
            <w:noProof/>
            <w:webHidden/>
          </w:rPr>
          <w:fldChar w:fldCharType="separate"/>
        </w:r>
        <w:r w:rsidR="00EF1490">
          <w:rPr>
            <w:noProof/>
            <w:webHidden/>
          </w:rPr>
          <w:t>12</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49" w:history="1">
        <w:r w:rsidR="00D25446" w:rsidRPr="003B3923">
          <w:rPr>
            <w:rStyle w:val="Hyperlink"/>
            <w:noProof/>
          </w:rPr>
          <w:t>Chapter 3 Multilateral performance</w:t>
        </w:r>
        <w:r w:rsidR="00D25446">
          <w:rPr>
            <w:noProof/>
            <w:webHidden/>
          </w:rPr>
          <w:tab/>
        </w:r>
        <w:r w:rsidR="00D25446">
          <w:rPr>
            <w:noProof/>
            <w:webHidden/>
          </w:rPr>
          <w:fldChar w:fldCharType="begin"/>
        </w:r>
        <w:r w:rsidR="00D25446">
          <w:rPr>
            <w:noProof/>
            <w:webHidden/>
          </w:rPr>
          <w:instrText xml:space="preserve"> PAGEREF _Toc53572149 \h </w:instrText>
        </w:r>
        <w:r w:rsidR="00D25446">
          <w:rPr>
            <w:noProof/>
            <w:webHidden/>
          </w:rPr>
        </w:r>
        <w:r w:rsidR="00D25446">
          <w:rPr>
            <w:noProof/>
            <w:webHidden/>
          </w:rPr>
          <w:fldChar w:fldCharType="separate"/>
        </w:r>
        <w:r w:rsidR="00EF1490">
          <w:rPr>
            <w:noProof/>
            <w:webHidden/>
          </w:rPr>
          <w:t>13</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0" w:history="1">
        <w:r w:rsidR="00D25446" w:rsidRPr="003B3923">
          <w:rPr>
            <w:rStyle w:val="Hyperlink"/>
            <w:noProof/>
          </w:rPr>
          <w:t>United Nations and Commonwealth organisations</w:t>
        </w:r>
        <w:r w:rsidR="00D25446">
          <w:rPr>
            <w:noProof/>
            <w:webHidden/>
          </w:rPr>
          <w:tab/>
        </w:r>
        <w:r w:rsidR="00D25446">
          <w:rPr>
            <w:noProof/>
            <w:webHidden/>
          </w:rPr>
          <w:fldChar w:fldCharType="begin"/>
        </w:r>
        <w:r w:rsidR="00D25446">
          <w:rPr>
            <w:noProof/>
            <w:webHidden/>
          </w:rPr>
          <w:instrText xml:space="preserve"> PAGEREF _Toc53572150 \h </w:instrText>
        </w:r>
        <w:r w:rsidR="00D25446">
          <w:rPr>
            <w:noProof/>
            <w:webHidden/>
          </w:rPr>
        </w:r>
        <w:r w:rsidR="00D25446">
          <w:rPr>
            <w:noProof/>
            <w:webHidden/>
          </w:rPr>
          <w:fldChar w:fldCharType="separate"/>
        </w:r>
        <w:r w:rsidR="00EF1490">
          <w:rPr>
            <w:noProof/>
            <w:webHidden/>
          </w:rPr>
          <w:t>14</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1" w:history="1">
        <w:r w:rsidR="00D25446" w:rsidRPr="003B3923">
          <w:rPr>
            <w:rStyle w:val="Hyperlink"/>
            <w:noProof/>
          </w:rPr>
          <w:t>Global education, health and environment funds</w:t>
        </w:r>
        <w:r w:rsidR="00D25446">
          <w:rPr>
            <w:noProof/>
            <w:webHidden/>
          </w:rPr>
          <w:tab/>
        </w:r>
        <w:r w:rsidR="00D25446">
          <w:rPr>
            <w:noProof/>
            <w:webHidden/>
          </w:rPr>
          <w:fldChar w:fldCharType="begin"/>
        </w:r>
        <w:r w:rsidR="00D25446">
          <w:rPr>
            <w:noProof/>
            <w:webHidden/>
          </w:rPr>
          <w:instrText xml:space="preserve"> PAGEREF _Toc53572151 \h </w:instrText>
        </w:r>
        <w:r w:rsidR="00D25446">
          <w:rPr>
            <w:noProof/>
            <w:webHidden/>
          </w:rPr>
        </w:r>
        <w:r w:rsidR="00D25446">
          <w:rPr>
            <w:noProof/>
            <w:webHidden/>
          </w:rPr>
          <w:fldChar w:fldCharType="separate"/>
        </w:r>
        <w:r w:rsidR="00EF1490">
          <w:rPr>
            <w:noProof/>
            <w:webHidden/>
          </w:rPr>
          <w:t>14</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2" w:history="1">
        <w:r w:rsidR="00D25446" w:rsidRPr="003B3923">
          <w:rPr>
            <w:rStyle w:val="Hyperlink"/>
            <w:noProof/>
            <w:lang w:val="en-GB"/>
          </w:rPr>
          <w:t>Other organisations</w:t>
        </w:r>
        <w:r w:rsidR="00D25446">
          <w:rPr>
            <w:noProof/>
            <w:webHidden/>
          </w:rPr>
          <w:tab/>
        </w:r>
        <w:r w:rsidR="00D25446">
          <w:rPr>
            <w:noProof/>
            <w:webHidden/>
          </w:rPr>
          <w:fldChar w:fldCharType="begin"/>
        </w:r>
        <w:r w:rsidR="00D25446">
          <w:rPr>
            <w:noProof/>
            <w:webHidden/>
          </w:rPr>
          <w:instrText xml:space="preserve"> PAGEREF _Toc53572152 \h </w:instrText>
        </w:r>
        <w:r w:rsidR="00D25446">
          <w:rPr>
            <w:noProof/>
            <w:webHidden/>
          </w:rPr>
        </w:r>
        <w:r w:rsidR="00D25446">
          <w:rPr>
            <w:noProof/>
            <w:webHidden/>
          </w:rPr>
          <w:fldChar w:fldCharType="separate"/>
        </w:r>
        <w:r w:rsidR="00EF1490">
          <w:rPr>
            <w:noProof/>
            <w:webHidden/>
          </w:rPr>
          <w:t>15</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53" w:history="1">
        <w:r w:rsidR="00D25446" w:rsidRPr="003B3923">
          <w:rPr>
            <w:rStyle w:val="Hyperlink"/>
            <w:noProof/>
          </w:rPr>
          <w:t>Chapter 4 Sector and thematic performance</w:t>
        </w:r>
        <w:r w:rsidR="00D25446">
          <w:rPr>
            <w:noProof/>
            <w:webHidden/>
          </w:rPr>
          <w:tab/>
        </w:r>
        <w:r w:rsidR="00D25446">
          <w:rPr>
            <w:noProof/>
            <w:webHidden/>
          </w:rPr>
          <w:fldChar w:fldCharType="begin"/>
        </w:r>
        <w:r w:rsidR="00D25446">
          <w:rPr>
            <w:noProof/>
            <w:webHidden/>
          </w:rPr>
          <w:instrText xml:space="preserve"> PAGEREF _Toc53572153 \h </w:instrText>
        </w:r>
        <w:r w:rsidR="00D25446">
          <w:rPr>
            <w:noProof/>
            <w:webHidden/>
          </w:rPr>
        </w:r>
        <w:r w:rsidR="00D25446">
          <w:rPr>
            <w:noProof/>
            <w:webHidden/>
          </w:rPr>
          <w:fldChar w:fldCharType="separate"/>
        </w:r>
        <w:r w:rsidR="00EF1490">
          <w:rPr>
            <w:noProof/>
            <w:webHidden/>
          </w:rPr>
          <w:t>15</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4" w:history="1">
        <w:r w:rsidR="00D25446" w:rsidRPr="003B3923">
          <w:rPr>
            <w:rStyle w:val="Hyperlink"/>
            <w:noProof/>
          </w:rPr>
          <w:t>Infrastructure, trade facilitation and international competitiveness</w:t>
        </w:r>
        <w:r w:rsidR="00D25446">
          <w:rPr>
            <w:noProof/>
            <w:webHidden/>
          </w:rPr>
          <w:tab/>
        </w:r>
        <w:r w:rsidR="00D25446">
          <w:rPr>
            <w:noProof/>
            <w:webHidden/>
          </w:rPr>
          <w:fldChar w:fldCharType="begin"/>
        </w:r>
        <w:r w:rsidR="00D25446">
          <w:rPr>
            <w:noProof/>
            <w:webHidden/>
          </w:rPr>
          <w:instrText xml:space="preserve"> PAGEREF _Toc53572154 \h </w:instrText>
        </w:r>
        <w:r w:rsidR="00D25446">
          <w:rPr>
            <w:noProof/>
            <w:webHidden/>
          </w:rPr>
        </w:r>
        <w:r w:rsidR="00D25446">
          <w:rPr>
            <w:noProof/>
            <w:webHidden/>
          </w:rPr>
          <w:fldChar w:fldCharType="separate"/>
        </w:r>
        <w:r w:rsidR="00EF1490">
          <w:rPr>
            <w:noProof/>
            <w:webHidden/>
          </w:rPr>
          <w:t>15</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5" w:history="1">
        <w:r w:rsidR="00D25446" w:rsidRPr="003B3923">
          <w:rPr>
            <w:rStyle w:val="Hyperlink"/>
            <w:noProof/>
          </w:rPr>
          <w:t>Agriculture, fisheries and water</w:t>
        </w:r>
        <w:r w:rsidR="00D25446">
          <w:rPr>
            <w:noProof/>
            <w:webHidden/>
          </w:rPr>
          <w:tab/>
        </w:r>
        <w:r w:rsidR="00D25446">
          <w:rPr>
            <w:noProof/>
            <w:webHidden/>
          </w:rPr>
          <w:fldChar w:fldCharType="begin"/>
        </w:r>
        <w:r w:rsidR="00D25446">
          <w:rPr>
            <w:noProof/>
            <w:webHidden/>
          </w:rPr>
          <w:instrText xml:space="preserve"> PAGEREF _Toc53572155 \h </w:instrText>
        </w:r>
        <w:r w:rsidR="00D25446">
          <w:rPr>
            <w:noProof/>
            <w:webHidden/>
          </w:rPr>
        </w:r>
        <w:r w:rsidR="00D25446">
          <w:rPr>
            <w:noProof/>
            <w:webHidden/>
          </w:rPr>
          <w:fldChar w:fldCharType="separate"/>
        </w:r>
        <w:r w:rsidR="00EF1490">
          <w:rPr>
            <w:noProof/>
            <w:webHidden/>
          </w:rPr>
          <w:t>16</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6" w:history="1">
        <w:r w:rsidR="00D25446" w:rsidRPr="003B3923">
          <w:rPr>
            <w:rStyle w:val="Hyperlink"/>
            <w:noProof/>
          </w:rPr>
          <w:t>Effective governance: policies, institutions and functioning economies</w:t>
        </w:r>
        <w:r w:rsidR="00D25446">
          <w:rPr>
            <w:noProof/>
            <w:webHidden/>
          </w:rPr>
          <w:tab/>
        </w:r>
        <w:r w:rsidR="00D25446">
          <w:rPr>
            <w:noProof/>
            <w:webHidden/>
          </w:rPr>
          <w:fldChar w:fldCharType="begin"/>
        </w:r>
        <w:r w:rsidR="00D25446">
          <w:rPr>
            <w:noProof/>
            <w:webHidden/>
          </w:rPr>
          <w:instrText xml:space="preserve"> PAGEREF _Toc53572156 \h </w:instrText>
        </w:r>
        <w:r w:rsidR="00D25446">
          <w:rPr>
            <w:noProof/>
            <w:webHidden/>
          </w:rPr>
        </w:r>
        <w:r w:rsidR="00D25446">
          <w:rPr>
            <w:noProof/>
            <w:webHidden/>
          </w:rPr>
          <w:fldChar w:fldCharType="separate"/>
        </w:r>
        <w:r w:rsidR="00EF1490">
          <w:rPr>
            <w:noProof/>
            <w:webHidden/>
          </w:rPr>
          <w:t>16</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7" w:history="1">
        <w:r w:rsidR="00D25446" w:rsidRPr="003B3923">
          <w:rPr>
            <w:rStyle w:val="Hyperlink"/>
            <w:noProof/>
          </w:rPr>
          <w:t>Education and Health</w:t>
        </w:r>
        <w:r w:rsidR="00D25446">
          <w:rPr>
            <w:noProof/>
            <w:webHidden/>
          </w:rPr>
          <w:tab/>
        </w:r>
        <w:r w:rsidR="00D25446">
          <w:rPr>
            <w:noProof/>
            <w:webHidden/>
          </w:rPr>
          <w:fldChar w:fldCharType="begin"/>
        </w:r>
        <w:r w:rsidR="00D25446">
          <w:rPr>
            <w:noProof/>
            <w:webHidden/>
          </w:rPr>
          <w:instrText xml:space="preserve"> PAGEREF _Toc53572157 \h </w:instrText>
        </w:r>
        <w:r w:rsidR="00D25446">
          <w:rPr>
            <w:noProof/>
            <w:webHidden/>
          </w:rPr>
        </w:r>
        <w:r w:rsidR="00D25446">
          <w:rPr>
            <w:noProof/>
            <w:webHidden/>
          </w:rPr>
          <w:fldChar w:fldCharType="separate"/>
        </w:r>
        <w:r w:rsidR="00EF1490">
          <w:rPr>
            <w:noProof/>
            <w:webHidden/>
          </w:rPr>
          <w:t>17</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8" w:history="1">
        <w:r w:rsidR="00D25446" w:rsidRPr="003B3923">
          <w:rPr>
            <w:rStyle w:val="Hyperlink"/>
            <w:noProof/>
          </w:rPr>
          <w:t>Building resilience: humanitarian assistance, disaster risk reduction and social protection</w:t>
        </w:r>
        <w:r w:rsidR="00D25446">
          <w:rPr>
            <w:noProof/>
            <w:webHidden/>
          </w:rPr>
          <w:tab/>
        </w:r>
        <w:r w:rsidR="00D25446">
          <w:rPr>
            <w:noProof/>
            <w:webHidden/>
          </w:rPr>
          <w:fldChar w:fldCharType="begin"/>
        </w:r>
        <w:r w:rsidR="00D25446">
          <w:rPr>
            <w:noProof/>
            <w:webHidden/>
          </w:rPr>
          <w:instrText xml:space="preserve"> PAGEREF _Toc53572158 \h </w:instrText>
        </w:r>
        <w:r w:rsidR="00D25446">
          <w:rPr>
            <w:noProof/>
            <w:webHidden/>
          </w:rPr>
        </w:r>
        <w:r w:rsidR="00D25446">
          <w:rPr>
            <w:noProof/>
            <w:webHidden/>
          </w:rPr>
          <w:fldChar w:fldCharType="separate"/>
        </w:r>
        <w:r w:rsidR="00EF1490">
          <w:rPr>
            <w:noProof/>
            <w:webHidden/>
          </w:rPr>
          <w:t>18</w:t>
        </w:r>
        <w:r w:rsidR="00D25446">
          <w:rPr>
            <w:noProof/>
            <w:webHidden/>
          </w:rPr>
          <w:fldChar w:fldCharType="end"/>
        </w:r>
      </w:hyperlink>
    </w:p>
    <w:p w:rsidR="00D25446" w:rsidRDefault="00B75BC7">
      <w:pPr>
        <w:pStyle w:val="TOC3"/>
        <w:tabs>
          <w:tab w:val="right" w:leader="dot" w:pos="9465"/>
        </w:tabs>
        <w:rPr>
          <w:rFonts w:asciiTheme="minorHAnsi" w:eastAsiaTheme="minorEastAsia" w:hAnsiTheme="minorHAnsi" w:cstheme="minorBidi"/>
          <w:noProof/>
          <w:sz w:val="22"/>
          <w:szCs w:val="22"/>
          <w:lang w:eastAsia="en-AU"/>
        </w:rPr>
      </w:pPr>
      <w:hyperlink w:anchor="_Toc53572159" w:history="1">
        <w:r w:rsidR="00D25446" w:rsidRPr="003B3923">
          <w:rPr>
            <w:rStyle w:val="Hyperlink"/>
            <w:noProof/>
          </w:rPr>
          <w:t>Disability-inclusive development</w:t>
        </w:r>
        <w:r w:rsidR="00D25446">
          <w:rPr>
            <w:noProof/>
            <w:webHidden/>
          </w:rPr>
          <w:tab/>
        </w:r>
        <w:r w:rsidR="00D25446">
          <w:rPr>
            <w:noProof/>
            <w:webHidden/>
          </w:rPr>
          <w:fldChar w:fldCharType="begin"/>
        </w:r>
        <w:r w:rsidR="00D25446">
          <w:rPr>
            <w:noProof/>
            <w:webHidden/>
          </w:rPr>
          <w:instrText xml:space="preserve"> PAGEREF _Toc53572159 \h </w:instrText>
        </w:r>
        <w:r w:rsidR="00D25446">
          <w:rPr>
            <w:noProof/>
            <w:webHidden/>
          </w:rPr>
        </w:r>
        <w:r w:rsidR="00D25446">
          <w:rPr>
            <w:noProof/>
            <w:webHidden/>
          </w:rPr>
          <w:fldChar w:fldCharType="separate"/>
        </w:r>
        <w:r w:rsidR="00EF1490">
          <w:rPr>
            <w:noProof/>
            <w:webHidden/>
          </w:rPr>
          <w:t>19</w:t>
        </w:r>
        <w:r w:rsidR="00D25446">
          <w:rPr>
            <w:noProof/>
            <w:webHidden/>
          </w:rPr>
          <w:fldChar w:fldCharType="end"/>
        </w:r>
      </w:hyperlink>
    </w:p>
    <w:p w:rsidR="00D25446" w:rsidRDefault="00B75BC7">
      <w:pPr>
        <w:pStyle w:val="TOC2"/>
        <w:tabs>
          <w:tab w:val="right" w:leader="dot" w:pos="9465"/>
        </w:tabs>
        <w:rPr>
          <w:rFonts w:asciiTheme="minorHAnsi" w:eastAsiaTheme="minorEastAsia" w:hAnsiTheme="minorHAnsi" w:cstheme="minorBidi"/>
          <w:b w:val="0"/>
          <w:bCs w:val="0"/>
          <w:noProof/>
          <w:lang w:eastAsia="en-AU"/>
        </w:rPr>
      </w:pPr>
      <w:hyperlink w:anchor="_Toc53572160" w:history="1">
        <w:r w:rsidR="00D25446" w:rsidRPr="003B3923">
          <w:rPr>
            <w:rStyle w:val="Hyperlink"/>
            <w:noProof/>
          </w:rPr>
          <w:t>List of acronyms and abbreviations</w:t>
        </w:r>
        <w:r w:rsidR="00D25446">
          <w:rPr>
            <w:noProof/>
            <w:webHidden/>
          </w:rPr>
          <w:tab/>
        </w:r>
        <w:r w:rsidR="00D25446">
          <w:rPr>
            <w:noProof/>
            <w:webHidden/>
          </w:rPr>
          <w:fldChar w:fldCharType="begin"/>
        </w:r>
        <w:r w:rsidR="00D25446">
          <w:rPr>
            <w:noProof/>
            <w:webHidden/>
          </w:rPr>
          <w:instrText xml:space="preserve"> PAGEREF _Toc53572160 \h </w:instrText>
        </w:r>
        <w:r w:rsidR="00D25446">
          <w:rPr>
            <w:noProof/>
            <w:webHidden/>
          </w:rPr>
        </w:r>
        <w:r w:rsidR="00D25446">
          <w:rPr>
            <w:noProof/>
            <w:webHidden/>
          </w:rPr>
          <w:fldChar w:fldCharType="separate"/>
        </w:r>
        <w:r w:rsidR="00EF1490">
          <w:rPr>
            <w:noProof/>
            <w:webHidden/>
          </w:rPr>
          <w:t>20</w:t>
        </w:r>
        <w:r w:rsidR="00D25446">
          <w:rPr>
            <w:noProof/>
            <w:webHidden/>
          </w:rPr>
          <w:fldChar w:fldCharType="end"/>
        </w:r>
      </w:hyperlink>
    </w:p>
    <w:p w:rsidR="007A3B76" w:rsidRDefault="0007009B" w:rsidP="007A3B76">
      <w:pPr>
        <w:spacing w:before="8" w:afterLines="40" w:after="96"/>
      </w:pPr>
      <w:r w:rsidRPr="002F4FA6">
        <w:rPr>
          <w:rFonts w:cs="Calibri"/>
          <w:b/>
          <w:bCs/>
          <w:i/>
          <w:iCs/>
        </w:rPr>
        <w:fldChar w:fldCharType="end"/>
      </w:r>
    </w:p>
    <w:p w:rsidR="00F74FAD" w:rsidRDefault="00F74FAD">
      <w:pPr>
        <w:rPr>
          <w:rFonts w:cs="Calibri"/>
          <w:b/>
          <w:bCs/>
          <w:color w:val="495965"/>
          <w:sz w:val="60"/>
          <w:szCs w:val="60"/>
          <w:lang w:val="en-GB"/>
        </w:rPr>
      </w:pPr>
      <w:r>
        <w:br w:type="page"/>
      </w:r>
    </w:p>
    <w:p w:rsidR="00283153" w:rsidRPr="008D7786" w:rsidRDefault="00283153" w:rsidP="00311C8B">
      <w:pPr>
        <w:pStyle w:val="Heading2"/>
      </w:pPr>
      <w:bookmarkStart w:id="4" w:name="_Toc53572140"/>
      <w:r w:rsidRPr="008D7786">
        <w:lastRenderedPageBreak/>
        <w:t>Introduction</w:t>
      </w:r>
      <w:bookmarkEnd w:id="4"/>
    </w:p>
    <w:p w:rsidR="00CE7A8C" w:rsidRPr="002B0234" w:rsidRDefault="00CE7A8C" w:rsidP="002B0234">
      <w:r w:rsidRPr="002B0234">
        <w:t xml:space="preserve">As part of the 2014 performance framework for the Australian </w:t>
      </w:r>
      <w:r w:rsidR="006C13F8">
        <w:t>development</w:t>
      </w:r>
      <w:r w:rsidRPr="002B0234">
        <w:t xml:space="preserve"> program, </w:t>
      </w:r>
      <w:r w:rsidRPr="002B0234">
        <w:rPr>
          <w:rStyle w:val="ITALICS"/>
        </w:rPr>
        <w:t>Making Performance Count</w:t>
      </w:r>
      <w:r w:rsidRPr="002B0234">
        <w:rPr>
          <w:vertAlign w:val="superscript"/>
        </w:rPr>
        <w:footnoteReference w:id="1"/>
      </w:r>
      <w:r w:rsidRPr="002B0234">
        <w:t xml:space="preserve">, the Government committed to publish an annual </w:t>
      </w:r>
      <w:r w:rsidRPr="002B0234">
        <w:rPr>
          <w:i/>
        </w:rPr>
        <w:t>Performance of Australian Aid</w:t>
      </w:r>
      <w:r w:rsidRPr="002B0234">
        <w:t xml:space="preserve"> report. This is the sixth </w:t>
      </w:r>
      <w:r w:rsidR="00E4458E">
        <w:t xml:space="preserve">and final </w:t>
      </w:r>
      <w:r w:rsidRPr="002B0234">
        <w:t xml:space="preserve">report </w:t>
      </w:r>
      <w:r w:rsidR="00E4458E">
        <w:t xml:space="preserve">under the 2014 framework </w:t>
      </w:r>
      <w:r w:rsidRPr="002B0234">
        <w:t xml:space="preserve">and it summarises the performance of the Australian </w:t>
      </w:r>
      <w:r w:rsidR="006C13F8">
        <w:t>development</w:t>
      </w:r>
      <w:r w:rsidRPr="002B0234">
        <w:t xml:space="preserve"> program in 2018</w:t>
      </w:r>
      <w:r w:rsidR="00A849C8">
        <w:noBreakHyphen/>
      </w:r>
      <w:r w:rsidRPr="002B0234">
        <w:t>19.</w:t>
      </w:r>
      <w:r w:rsidR="00E4458E">
        <w:t xml:space="preserve"> A detailed description of the approach to assessing performance</w:t>
      </w:r>
      <w:r w:rsidR="002C7942">
        <w:t xml:space="preserve"> is provided in earlier reports.</w:t>
      </w:r>
      <w:r w:rsidR="002C7942" w:rsidRPr="00F93677">
        <w:rPr>
          <w:vertAlign w:val="superscript"/>
        </w:rPr>
        <w:footnoteReference w:id="2"/>
      </w:r>
      <w:r w:rsidR="00044BAB" w:rsidRPr="00F81AA3">
        <w:t xml:space="preserve">Statistical information on the </w:t>
      </w:r>
      <w:r w:rsidR="006C13F8">
        <w:t>development</w:t>
      </w:r>
      <w:r w:rsidR="00044BAB" w:rsidRPr="00F81AA3">
        <w:t xml:space="preserve"> program, including expenditure, is available in</w:t>
      </w:r>
      <w:r w:rsidR="00044BAB" w:rsidRPr="00044BAB">
        <w:rPr>
          <w:i/>
        </w:rPr>
        <w:t xml:space="preserve"> Australia’s</w:t>
      </w:r>
      <w:r w:rsidR="00044BAB">
        <w:rPr>
          <w:i/>
        </w:rPr>
        <w:t xml:space="preserve"> </w:t>
      </w:r>
      <w:r w:rsidR="00044BAB" w:rsidRPr="00044BAB">
        <w:rPr>
          <w:i/>
        </w:rPr>
        <w:t>Official</w:t>
      </w:r>
      <w:r w:rsidR="00044BAB">
        <w:rPr>
          <w:i/>
        </w:rPr>
        <w:t xml:space="preserve"> Development Assistance: St</w:t>
      </w:r>
      <w:r w:rsidR="00044BAB" w:rsidRPr="00044BAB">
        <w:rPr>
          <w:i/>
        </w:rPr>
        <w:t>atistical Summary</w:t>
      </w:r>
      <w:r w:rsidR="00044BAB">
        <w:rPr>
          <w:i/>
        </w:rPr>
        <w:t xml:space="preserve"> 2018-19.</w:t>
      </w:r>
      <w:r w:rsidR="00044BAB">
        <w:rPr>
          <w:rStyle w:val="FootnoteReference"/>
          <w:i/>
        </w:rPr>
        <w:footnoteReference w:id="3"/>
      </w:r>
    </w:p>
    <w:p w:rsidR="00CE7A8C" w:rsidRPr="002B0234" w:rsidRDefault="00EE2CCA" w:rsidP="002B0234">
      <w:r>
        <w:t>T</w:t>
      </w:r>
      <w:r w:rsidR="00CE7A8C" w:rsidRPr="002B0234">
        <w:t>he Government</w:t>
      </w:r>
      <w:r>
        <w:t>’s</w:t>
      </w:r>
      <w:r w:rsidR="00CD1B27">
        <w:t xml:space="preserve"> </w:t>
      </w:r>
      <w:r w:rsidR="00CE7A8C" w:rsidRPr="002B0234">
        <w:rPr>
          <w:i/>
        </w:rPr>
        <w:t>Partnerships for Recovery: Australia’s COVID-19 Development Response</w:t>
      </w:r>
      <w:r>
        <w:rPr>
          <w:i/>
        </w:rPr>
        <w:t xml:space="preserve"> </w:t>
      </w:r>
      <w:r w:rsidRPr="00EE2CCA">
        <w:t>policy</w:t>
      </w:r>
      <w:r>
        <w:t xml:space="preserve"> was published in May 2020</w:t>
      </w:r>
      <w:r w:rsidR="00CE7A8C" w:rsidRPr="002B0234">
        <w:t xml:space="preserve">. A new performance </w:t>
      </w:r>
      <w:r w:rsidR="00E4458E">
        <w:t>system</w:t>
      </w:r>
      <w:r w:rsidR="00CE7A8C" w:rsidRPr="002B0234">
        <w:t xml:space="preserve"> accompanied the policy</w:t>
      </w:r>
      <w:r w:rsidR="00044BAB">
        <w:rPr>
          <w:rStyle w:val="FootnoteReference"/>
        </w:rPr>
        <w:footnoteReference w:id="4"/>
      </w:r>
      <w:r w:rsidR="00CE7A8C" w:rsidRPr="002B0234">
        <w:t xml:space="preserve">. </w:t>
      </w:r>
    </w:p>
    <w:p w:rsidR="00CE7A8C" w:rsidRPr="002B0234" w:rsidRDefault="00CE7A8C" w:rsidP="002B0234">
      <w:r w:rsidRPr="002B0234">
        <w:t>This report is divided into four chapters and two annexes.</w:t>
      </w:r>
    </w:p>
    <w:p w:rsidR="00CE7A8C" w:rsidRPr="002B0234" w:rsidRDefault="00CE7A8C" w:rsidP="002B0234">
      <w:r w:rsidRPr="002B0234">
        <w:t xml:space="preserve">Chapter 1 reports on the </w:t>
      </w:r>
      <w:r w:rsidR="00F93677" w:rsidRPr="002B0234">
        <w:t xml:space="preserve">10 </w:t>
      </w:r>
      <w:r w:rsidRPr="002B0234">
        <w:t xml:space="preserve">strategic targets under </w:t>
      </w:r>
      <w:r w:rsidRPr="002B0234">
        <w:rPr>
          <w:rStyle w:val="ITALICS"/>
        </w:rPr>
        <w:t>Making Performance Count</w:t>
      </w:r>
      <w:r w:rsidRPr="002B0234">
        <w:t xml:space="preserve">, which provide the basis for assessing the performance of the </w:t>
      </w:r>
      <w:r w:rsidR="006C13F8">
        <w:t>development</w:t>
      </w:r>
      <w:r w:rsidRPr="002B0234">
        <w:t xml:space="preserve"> program as a whole in 2018-19.</w:t>
      </w:r>
    </w:p>
    <w:p w:rsidR="00CE7A8C" w:rsidRPr="002B0234" w:rsidRDefault="00CE7A8C" w:rsidP="002B0234">
      <w:r w:rsidRPr="002B0234">
        <w:t xml:space="preserve">Chapter 2 </w:t>
      </w:r>
      <w:r w:rsidR="00E4458E">
        <w:t xml:space="preserve">presents </w:t>
      </w:r>
      <w:r w:rsidRPr="002B0234">
        <w:t xml:space="preserve">performance data </w:t>
      </w:r>
      <w:r w:rsidR="00E4458E">
        <w:t>for</w:t>
      </w:r>
      <w:r w:rsidRPr="002B0234">
        <w:t xml:space="preserve"> four regional groups: Pacific; Southeast and East Asia; South and West Asia; and Africa, the Middle East and other regions. </w:t>
      </w:r>
    </w:p>
    <w:p w:rsidR="00CE7A8C" w:rsidRPr="002B0234" w:rsidRDefault="00CE7A8C" w:rsidP="002B0234">
      <w:r w:rsidRPr="002B0234">
        <w:t xml:space="preserve">Chapter 3 </w:t>
      </w:r>
      <w:r w:rsidR="00E4458E">
        <w:t xml:space="preserve">summarises </w:t>
      </w:r>
      <w:r w:rsidRPr="002B0234">
        <w:t xml:space="preserve">performance of multilateral </w:t>
      </w:r>
      <w:r w:rsidR="007519FC">
        <w:t xml:space="preserve">development </w:t>
      </w:r>
      <w:r w:rsidRPr="002B0234">
        <w:t>organisations.</w:t>
      </w:r>
    </w:p>
    <w:p w:rsidR="00CE7A8C" w:rsidRPr="002B0234" w:rsidRDefault="00CE7A8C" w:rsidP="00E4458E">
      <w:r w:rsidRPr="002B0234">
        <w:t xml:space="preserve">Chapter 4 summarises performance data for the six investment priority areas under the 2014 </w:t>
      </w:r>
      <w:r w:rsidR="006C13F8">
        <w:t>development</w:t>
      </w:r>
      <w:r w:rsidRPr="002B0234">
        <w:t xml:space="preserve"> policy as well as disability inclusion</w:t>
      </w:r>
      <w:r w:rsidR="00E4458E">
        <w:t>.</w:t>
      </w:r>
    </w:p>
    <w:p w:rsidR="005350B5" w:rsidRPr="00B6783C" w:rsidRDefault="00CE7A8C" w:rsidP="005350B5">
      <w:pPr>
        <w:pStyle w:val="04BODYTEXT"/>
        <w:rPr>
          <w:rFonts w:cs="Times New Roman"/>
          <w:color w:val="auto"/>
          <w:sz w:val="20"/>
          <w:szCs w:val="24"/>
          <w:lang w:val="en-AU"/>
        </w:rPr>
      </w:pPr>
      <w:r w:rsidRPr="00B6783C">
        <w:rPr>
          <w:rFonts w:cs="Times New Roman"/>
          <w:color w:val="auto"/>
          <w:sz w:val="20"/>
          <w:szCs w:val="24"/>
          <w:lang w:val="en-AU"/>
        </w:rPr>
        <w:t xml:space="preserve">The performance information in </w:t>
      </w:r>
      <w:r w:rsidR="005350B5" w:rsidRPr="00B6783C">
        <w:rPr>
          <w:rFonts w:cs="Times New Roman"/>
          <w:color w:val="auto"/>
          <w:sz w:val="20"/>
          <w:szCs w:val="24"/>
          <w:lang w:val="en-AU"/>
        </w:rPr>
        <w:t xml:space="preserve">past reports was </w:t>
      </w:r>
      <w:r w:rsidRPr="00B6783C">
        <w:rPr>
          <w:rFonts w:cs="Times New Roman"/>
          <w:color w:val="auto"/>
          <w:sz w:val="20"/>
          <w:szCs w:val="24"/>
          <w:lang w:val="en-AU"/>
        </w:rPr>
        <w:t xml:space="preserve">subject to a process of quality assurance </w:t>
      </w:r>
      <w:r w:rsidR="00676D7F" w:rsidRPr="00B6783C">
        <w:rPr>
          <w:rFonts w:cs="Times New Roman"/>
          <w:color w:val="auto"/>
          <w:sz w:val="20"/>
          <w:szCs w:val="24"/>
          <w:lang w:val="en-AU"/>
        </w:rPr>
        <w:t>by the Office of Development Effectiveness</w:t>
      </w:r>
      <w:r w:rsidR="005350B5" w:rsidRPr="00B6783C">
        <w:rPr>
          <w:rFonts w:cs="Times New Roman"/>
          <w:color w:val="auto"/>
          <w:sz w:val="20"/>
          <w:szCs w:val="24"/>
          <w:lang w:val="en-AU"/>
        </w:rPr>
        <w:t>, under the supervision of DFAT’s Independent Evaluation Committee. With the shift of ODE functions to the Office of the Chief Economist</w:t>
      </w:r>
      <w:r w:rsidR="00D16736">
        <w:rPr>
          <w:rFonts w:cs="Times New Roman"/>
          <w:color w:val="auto"/>
          <w:sz w:val="20"/>
          <w:szCs w:val="24"/>
          <w:lang w:val="en-AU"/>
        </w:rPr>
        <w:t xml:space="preserve"> in 2020</w:t>
      </w:r>
      <w:r w:rsidR="005350B5" w:rsidRPr="00B6783C">
        <w:rPr>
          <w:rFonts w:cs="Times New Roman"/>
          <w:color w:val="auto"/>
          <w:sz w:val="20"/>
          <w:szCs w:val="24"/>
          <w:lang w:val="en-AU"/>
        </w:rPr>
        <w:t xml:space="preserve">, a different quality assurance process has been followed for the </w:t>
      </w:r>
      <w:r w:rsidR="005350B5" w:rsidRPr="006C13F8">
        <w:rPr>
          <w:rFonts w:cs="Times New Roman"/>
          <w:i/>
          <w:color w:val="auto"/>
          <w:sz w:val="20"/>
          <w:szCs w:val="24"/>
          <w:lang w:val="en-AU"/>
        </w:rPr>
        <w:t xml:space="preserve">Performance of Australian Aid 2018-19 </w:t>
      </w:r>
      <w:r w:rsidR="005350B5" w:rsidRPr="00B6783C">
        <w:rPr>
          <w:rFonts w:cs="Times New Roman"/>
          <w:color w:val="auto"/>
          <w:sz w:val="20"/>
          <w:szCs w:val="24"/>
          <w:lang w:val="en-AU"/>
        </w:rPr>
        <w:t>report. The process remains risk based and include</w:t>
      </w:r>
      <w:r w:rsidR="005043B8" w:rsidRPr="00B6783C">
        <w:rPr>
          <w:rFonts w:cs="Times New Roman"/>
          <w:color w:val="auto"/>
          <w:sz w:val="20"/>
          <w:szCs w:val="24"/>
          <w:lang w:val="en-AU"/>
        </w:rPr>
        <w:t>d</w:t>
      </w:r>
      <w:r w:rsidR="005350B5" w:rsidRPr="00B6783C">
        <w:rPr>
          <w:rFonts w:cs="Times New Roman"/>
          <w:color w:val="auto"/>
          <w:sz w:val="20"/>
          <w:szCs w:val="24"/>
          <w:lang w:val="en-AU"/>
        </w:rPr>
        <w:t xml:space="preserve">, but </w:t>
      </w:r>
      <w:r w:rsidR="005043B8" w:rsidRPr="00B6783C">
        <w:rPr>
          <w:rFonts w:cs="Times New Roman"/>
          <w:color w:val="auto"/>
          <w:sz w:val="20"/>
          <w:szCs w:val="24"/>
          <w:lang w:val="en-AU"/>
        </w:rPr>
        <w:t>was not limited to</w:t>
      </w:r>
      <w:r w:rsidR="005350B5" w:rsidRPr="00B6783C">
        <w:rPr>
          <w:rFonts w:cs="Times New Roman"/>
          <w:color w:val="auto"/>
          <w:sz w:val="20"/>
          <w:szCs w:val="24"/>
          <w:lang w:val="en-AU"/>
        </w:rPr>
        <w:t>:</w:t>
      </w:r>
    </w:p>
    <w:p w:rsidR="005350B5" w:rsidRPr="00B6783C" w:rsidRDefault="009141FE" w:rsidP="00A96B20">
      <w:pPr>
        <w:pStyle w:val="05DOTPOINTS"/>
        <w:numPr>
          <w:ilvl w:val="3"/>
          <w:numId w:val="15"/>
        </w:numPr>
        <w:ind w:left="426" w:hanging="426"/>
        <w:rPr>
          <w:rFonts w:cs="Times New Roman"/>
          <w:color w:val="auto"/>
          <w:sz w:val="20"/>
          <w:szCs w:val="24"/>
          <w:lang w:val="en-AU"/>
        </w:rPr>
      </w:pPr>
      <w:r w:rsidRPr="00B6783C">
        <w:rPr>
          <w:rFonts w:cs="Times New Roman"/>
          <w:color w:val="auto"/>
          <w:sz w:val="20"/>
          <w:szCs w:val="24"/>
          <w:lang w:val="en-AU"/>
        </w:rPr>
        <w:t>Independent v</w:t>
      </w:r>
      <w:r w:rsidR="005350B5" w:rsidRPr="00B6783C">
        <w:rPr>
          <w:rFonts w:cs="Times New Roman"/>
          <w:color w:val="auto"/>
          <w:sz w:val="20"/>
          <w:szCs w:val="24"/>
          <w:lang w:val="en-AU"/>
        </w:rPr>
        <w:t>alidation of ratings in Final Aid Quality Check reports (48 Final Aid Quality Checks were submitted in 2018-19)</w:t>
      </w:r>
    </w:p>
    <w:p w:rsidR="005350B5" w:rsidRPr="00B6783C" w:rsidRDefault="0096601C" w:rsidP="00A96B20">
      <w:pPr>
        <w:pStyle w:val="05DOTPOINTS"/>
        <w:numPr>
          <w:ilvl w:val="3"/>
          <w:numId w:val="15"/>
        </w:numPr>
        <w:ind w:left="426" w:hanging="426"/>
        <w:rPr>
          <w:rFonts w:cs="Times New Roman"/>
          <w:color w:val="auto"/>
          <w:sz w:val="20"/>
          <w:szCs w:val="24"/>
          <w:lang w:val="en-AU"/>
        </w:rPr>
      </w:pPr>
      <w:r w:rsidRPr="00B6783C">
        <w:rPr>
          <w:rFonts w:cs="Times New Roman"/>
          <w:color w:val="auto"/>
          <w:sz w:val="20"/>
          <w:szCs w:val="24"/>
          <w:lang w:val="en-AU"/>
        </w:rPr>
        <w:t xml:space="preserve">Completion of </w:t>
      </w:r>
      <w:r w:rsidR="00FF323D" w:rsidRPr="00B6783C">
        <w:rPr>
          <w:rFonts w:cs="Times New Roman"/>
          <w:color w:val="auto"/>
          <w:sz w:val="20"/>
          <w:szCs w:val="24"/>
          <w:lang w:val="en-AU"/>
        </w:rPr>
        <w:t xml:space="preserve">independent </w:t>
      </w:r>
      <w:r w:rsidRPr="00B6783C">
        <w:rPr>
          <w:rFonts w:cs="Times New Roman"/>
          <w:color w:val="auto"/>
          <w:sz w:val="20"/>
          <w:szCs w:val="24"/>
          <w:lang w:val="en-AU"/>
        </w:rPr>
        <w:t xml:space="preserve">evaluations of Australian </w:t>
      </w:r>
      <w:r w:rsidR="006C13F8">
        <w:rPr>
          <w:rFonts w:cs="Times New Roman"/>
          <w:color w:val="auto"/>
          <w:sz w:val="20"/>
          <w:szCs w:val="24"/>
          <w:lang w:val="en-AU"/>
        </w:rPr>
        <w:t>development</w:t>
      </w:r>
      <w:r w:rsidRPr="00B6783C">
        <w:rPr>
          <w:rFonts w:cs="Times New Roman"/>
          <w:color w:val="auto"/>
          <w:sz w:val="20"/>
          <w:szCs w:val="24"/>
          <w:lang w:val="en-AU"/>
        </w:rPr>
        <w:t xml:space="preserve"> program </w:t>
      </w:r>
      <w:r w:rsidR="00FF323D" w:rsidRPr="00B6783C">
        <w:rPr>
          <w:rFonts w:cs="Times New Roman"/>
          <w:color w:val="auto"/>
          <w:sz w:val="20"/>
          <w:szCs w:val="24"/>
          <w:lang w:val="en-AU"/>
        </w:rPr>
        <w:t>investment</w:t>
      </w:r>
      <w:r w:rsidR="00F81AA3" w:rsidRPr="00B6783C">
        <w:rPr>
          <w:rFonts w:cs="Times New Roman"/>
          <w:color w:val="auto"/>
          <w:sz w:val="20"/>
          <w:szCs w:val="24"/>
          <w:lang w:val="en-AU"/>
        </w:rPr>
        <w:t>s</w:t>
      </w:r>
      <w:r w:rsidR="00FF323D" w:rsidRPr="00B6783C">
        <w:rPr>
          <w:rFonts w:cs="Times New Roman"/>
          <w:color w:val="auto"/>
          <w:sz w:val="20"/>
          <w:szCs w:val="24"/>
          <w:lang w:val="en-AU"/>
        </w:rPr>
        <w:t xml:space="preserve"> </w:t>
      </w:r>
      <w:r w:rsidRPr="00B6783C">
        <w:rPr>
          <w:rFonts w:cs="Times New Roman"/>
          <w:color w:val="auto"/>
          <w:sz w:val="20"/>
          <w:szCs w:val="24"/>
          <w:lang w:val="en-AU"/>
        </w:rPr>
        <w:t>(</w:t>
      </w:r>
      <w:r w:rsidR="00FF323D" w:rsidRPr="00B6783C">
        <w:rPr>
          <w:rFonts w:cs="Times New Roman"/>
          <w:color w:val="auto"/>
          <w:sz w:val="20"/>
          <w:szCs w:val="24"/>
          <w:lang w:val="en-AU"/>
        </w:rPr>
        <w:t>50</w:t>
      </w:r>
      <w:r w:rsidRPr="00B6783C">
        <w:rPr>
          <w:rFonts w:cs="Times New Roman"/>
          <w:color w:val="auto"/>
          <w:sz w:val="20"/>
          <w:szCs w:val="24"/>
          <w:lang w:val="en-AU"/>
        </w:rPr>
        <w:t xml:space="preserve"> in 201</w:t>
      </w:r>
      <w:r w:rsidR="009141FE" w:rsidRPr="00B6783C">
        <w:rPr>
          <w:rFonts w:cs="Times New Roman"/>
          <w:color w:val="auto"/>
          <w:sz w:val="20"/>
          <w:szCs w:val="24"/>
          <w:lang w:val="en-AU"/>
        </w:rPr>
        <w:t>9</w:t>
      </w:r>
      <w:r w:rsidRPr="00B6783C">
        <w:rPr>
          <w:rFonts w:cs="Times New Roman"/>
          <w:color w:val="auto"/>
          <w:sz w:val="20"/>
          <w:szCs w:val="24"/>
          <w:lang w:val="en-AU"/>
        </w:rPr>
        <w:t>)</w:t>
      </w:r>
    </w:p>
    <w:p w:rsidR="0096601C" w:rsidRPr="00B6783C" w:rsidRDefault="005350B5" w:rsidP="00A96B20">
      <w:pPr>
        <w:pStyle w:val="05DOTPOINTS"/>
        <w:numPr>
          <w:ilvl w:val="3"/>
          <w:numId w:val="15"/>
        </w:numPr>
        <w:ind w:left="426" w:hanging="426"/>
        <w:rPr>
          <w:rFonts w:cs="Times New Roman"/>
          <w:color w:val="auto"/>
          <w:sz w:val="20"/>
          <w:szCs w:val="24"/>
          <w:lang w:val="en-AU"/>
        </w:rPr>
      </w:pPr>
      <w:r w:rsidRPr="00B6783C">
        <w:rPr>
          <w:rFonts w:cs="Times New Roman"/>
          <w:color w:val="auto"/>
          <w:sz w:val="20"/>
          <w:szCs w:val="24"/>
          <w:lang w:val="en-AU"/>
        </w:rPr>
        <w:t>Review of the draft report by DFAT’s Aid Governance Board.</w:t>
      </w:r>
    </w:p>
    <w:p w:rsidR="00CE7A8C" w:rsidRPr="002B0234" w:rsidRDefault="00CE7A8C" w:rsidP="002B0234"/>
    <w:p w:rsidR="00FD6790" w:rsidRDefault="00FD6790" w:rsidP="00FD6790">
      <w:pPr>
        <w:pStyle w:val="Heading1"/>
        <w:spacing w:after="0" w:line="240" w:lineRule="auto"/>
        <w:rPr>
          <w:sz w:val="40"/>
          <w:szCs w:val="40"/>
        </w:rPr>
      </w:pPr>
      <w:r>
        <w:rPr>
          <w:sz w:val="40"/>
          <w:szCs w:val="40"/>
        </w:rPr>
        <w:br w:type="page"/>
      </w:r>
    </w:p>
    <w:p w:rsidR="00283153" w:rsidRPr="00311C8B" w:rsidRDefault="00283153" w:rsidP="00311C8B">
      <w:pPr>
        <w:pStyle w:val="Heading2"/>
      </w:pPr>
      <w:bookmarkStart w:id="5" w:name="_Toc53572141"/>
      <w:r w:rsidRPr="00311C8B">
        <w:lastRenderedPageBreak/>
        <w:t>Chapter 1</w:t>
      </w:r>
      <w:r w:rsidR="001422BD" w:rsidRPr="00311C8B">
        <w:br/>
      </w:r>
      <w:r w:rsidRPr="00311C8B">
        <w:t>Performance against strategic targets</w:t>
      </w:r>
      <w:bookmarkEnd w:id="5"/>
    </w:p>
    <w:p w:rsidR="00D956D2" w:rsidRDefault="00D956D2" w:rsidP="0002616C">
      <w:r>
        <w:rPr>
          <w:rStyle w:val="ITALICS"/>
        </w:rPr>
        <w:t>Making Performance Count</w:t>
      </w:r>
      <w:r>
        <w:t xml:space="preserve"> identified 10 strategic targets to ensure the </w:t>
      </w:r>
      <w:r w:rsidR="006C13F8">
        <w:t>development</w:t>
      </w:r>
      <w:r>
        <w:t xml:space="preserve"> program is well managed, achieving value for money and delivering on the key priorities outlined in the Government’s 2014 </w:t>
      </w:r>
      <w:r w:rsidR="006C13F8">
        <w:t>development</w:t>
      </w:r>
      <w:r>
        <w:t xml:space="preserve"> policy: </w:t>
      </w:r>
      <w:r>
        <w:rPr>
          <w:rStyle w:val="ITALICS"/>
        </w:rPr>
        <w:t>Australian aid: promoting prosperity, reducing poverty, enhancing stability</w:t>
      </w:r>
      <w:r>
        <w:t xml:space="preserve">. At the end of 2018-19, </w:t>
      </w:r>
      <w:r w:rsidR="00456534">
        <w:t>nine</w:t>
      </w:r>
      <w:r>
        <w:t xml:space="preserve"> of the 10 targets had been achieved. The remaining target on gender equality has not been achieved. Progress against the 10 targets is summarised in Table 1 with additional analysis provided for targets</w:t>
      </w:r>
      <w:r w:rsidR="002C7942">
        <w:t xml:space="preserve"> </w:t>
      </w:r>
      <w:r>
        <w:t>4, 7 and 8</w:t>
      </w:r>
      <w:r>
        <w:rPr>
          <w:rStyle w:val="FootnoteReference"/>
        </w:rPr>
        <w:footnoteReference w:id="5"/>
      </w:r>
      <w:r>
        <w:t>.</w:t>
      </w:r>
    </w:p>
    <w:p w:rsidR="00283153" w:rsidRDefault="00283153" w:rsidP="00283153">
      <w:pPr>
        <w:pStyle w:val="07FIGUREHEADING"/>
      </w:pPr>
      <w:r>
        <w:t xml:space="preserve">Table 1: Progress against the 10 strategic targets for the </w:t>
      </w:r>
      <w:r w:rsidR="00D0013A">
        <w:t>development</w:t>
      </w:r>
      <w:r>
        <w:t xml:space="preserve"> program as at 30 June 201</w:t>
      </w:r>
      <w:r w:rsidR="00F93677">
        <w:t>9</w:t>
      </w:r>
    </w:p>
    <w:tbl>
      <w:tblPr>
        <w:tblW w:w="0" w:type="auto"/>
        <w:tblInd w:w="-10" w:type="dxa"/>
        <w:tblLayout w:type="fixed"/>
        <w:tblCellMar>
          <w:left w:w="0" w:type="dxa"/>
          <w:right w:w="0" w:type="dxa"/>
        </w:tblCellMar>
        <w:tblLook w:val="0000" w:firstRow="0" w:lastRow="0" w:firstColumn="0" w:lastColumn="0" w:noHBand="0" w:noVBand="0"/>
        <w:tblDescription w:val="This table summarises the progress made against 10 strategic targets"/>
      </w:tblPr>
      <w:tblGrid>
        <w:gridCol w:w="4242"/>
        <w:gridCol w:w="4242"/>
      </w:tblGrid>
      <w:tr w:rsidR="00EA429D" w:rsidRPr="002F4FA6" w:rsidTr="00AB7A4D">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7F7F7F" w:themeFill="text1" w:themeFillTint="80"/>
            <w:tcMar>
              <w:top w:w="170" w:type="dxa"/>
              <w:left w:w="113" w:type="dxa"/>
              <w:bottom w:w="170" w:type="dxa"/>
              <w:right w:w="113" w:type="dxa"/>
            </w:tcMar>
          </w:tcPr>
          <w:p w:rsidR="00EA429D" w:rsidRPr="00C463BF" w:rsidRDefault="00EA429D" w:rsidP="00EA429D">
            <w:pPr>
              <w:pStyle w:val="08TABLETEXT"/>
              <w:keepNext w:val="0"/>
              <w:keepLines w:val="0"/>
              <w:jc w:val="center"/>
              <w:rPr>
                <w:color w:val="FFFFFF" w:themeColor="background1"/>
                <w:sz w:val="20"/>
              </w:rPr>
            </w:pPr>
            <w:r w:rsidRPr="00C463BF">
              <w:rPr>
                <w:b/>
                <w:color w:val="FFFFFF" w:themeColor="background1"/>
                <w:sz w:val="20"/>
              </w:rPr>
              <w:t>TARGET</w:t>
            </w:r>
          </w:p>
        </w:tc>
        <w:tc>
          <w:tcPr>
            <w:tcW w:w="4242" w:type="dxa"/>
            <w:tcBorders>
              <w:top w:val="single" w:sz="8" w:space="0" w:color="FFFFFF"/>
              <w:left w:val="single" w:sz="4" w:space="0" w:color="FFFFFF"/>
              <w:bottom w:val="single" w:sz="4" w:space="0" w:color="FFFFFF"/>
              <w:right w:val="single" w:sz="4" w:space="0" w:color="FFFFFF"/>
            </w:tcBorders>
            <w:shd w:val="clear" w:color="auto" w:fill="7F7F7F" w:themeFill="text1" w:themeFillTint="80"/>
            <w:tcMar>
              <w:top w:w="170" w:type="dxa"/>
              <w:left w:w="113" w:type="dxa"/>
              <w:bottom w:w="170" w:type="dxa"/>
              <w:right w:w="113" w:type="dxa"/>
            </w:tcMar>
          </w:tcPr>
          <w:p w:rsidR="00EA429D" w:rsidRPr="00C463BF" w:rsidRDefault="00EA429D" w:rsidP="00EA429D">
            <w:pPr>
              <w:pStyle w:val="08TABLETEXT"/>
              <w:keepNext w:val="0"/>
              <w:keepLines w:val="0"/>
              <w:jc w:val="center"/>
              <w:rPr>
                <w:b/>
                <w:color w:val="FFFFFF" w:themeColor="background1"/>
                <w:sz w:val="20"/>
              </w:rPr>
            </w:pPr>
            <w:r w:rsidRPr="00C463BF">
              <w:rPr>
                <w:b/>
                <w:color w:val="FFFFFF" w:themeColor="background1"/>
                <w:sz w:val="20"/>
              </w:rPr>
              <w:t>PROGRESS</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1</w:t>
            </w:r>
            <w:r w:rsidRPr="00D878FA">
              <w:rPr>
                <w:sz w:val="18"/>
              </w:rPr>
              <w:t xml:space="preserve">. </w:t>
            </w:r>
            <w:r w:rsidRPr="00D878FA">
              <w:rPr>
                <w:sz w:val="18"/>
              </w:rPr>
              <w:tab/>
              <w:t>Promoting prosperity: promote economic development by increasing Australia’s aid for trade</w:t>
            </w:r>
            <w:r w:rsidR="005843F9">
              <w:rPr>
                <w:rStyle w:val="FootnoteReference"/>
                <w:sz w:val="18"/>
              </w:rPr>
              <w:footnoteReference w:id="6"/>
            </w:r>
            <w:r w:rsidRPr="00D878FA">
              <w:rPr>
                <w:sz w:val="18"/>
              </w:rPr>
              <w:t xml:space="preserve"> investments to 20 per cent of the </w:t>
            </w:r>
            <w:r w:rsidRPr="00A664C5">
              <w:rPr>
                <w:sz w:val="18"/>
              </w:rPr>
              <w:t>aid</w:t>
            </w:r>
            <w:r w:rsidRPr="00D878FA">
              <w:rPr>
                <w:sz w:val="18"/>
              </w:rPr>
              <w:t xml:space="preserve"> budget by 2020</w:t>
            </w:r>
          </w:p>
        </w:tc>
        <w:tc>
          <w:tcPr>
            <w:tcW w:w="4242" w:type="dxa"/>
            <w:tcBorders>
              <w:top w:val="single" w:sz="8"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6C13F8">
            <w:pPr>
              <w:pStyle w:val="08TABLETEXT"/>
              <w:keepNext w:val="0"/>
              <w:keepLines w:val="0"/>
              <w:rPr>
                <w:sz w:val="18"/>
              </w:rPr>
            </w:pPr>
            <w:r w:rsidRPr="00D878FA">
              <w:rPr>
                <w:b/>
                <w:sz w:val="18"/>
              </w:rPr>
              <w:t xml:space="preserve">ACHIEVED:  </w:t>
            </w:r>
            <w:r w:rsidRPr="00D878FA">
              <w:rPr>
                <w:sz w:val="18"/>
              </w:rPr>
              <w:t xml:space="preserve">The </w:t>
            </w:r>
            <w:r w:rsidR="006C13F8">
              <w:rPr>
                <w:sz w:val="18"/>
              </w:rPr>
              <w:t>development</w:t>
            </w:r>
            <w:r w:rsidRPr="00D878FA">
              <w:rPr>
                <w:sz w:val="18"/>
              </w:rPr>
              <w:t xml:space="preserve"> program achieved this target ahead of schedule in 2016-17. </w:t>
            </w:r>
            <w:r w:rsidR="00456534" w:rsidRPr="00D878FA">
              <w:rPr>
                <w:sz w:val="18"/>
              </w:rPr>
              <w:t>Expenditure on a</w:t>
            </w:r>
            <w:r w:rsidRPr="00D878FA">
              <w:rPr>
                <w:sz w:val="18"/>
              </w:rPr>
              <w:t xml:space="preserve">id for trade </w:t>
            </w:r>
            <w:r w:rsidR="00456534" w:rsidRPr="00D878FA">
              <w:rPr>
                <w:sz w:val="18"/>
              </w:rPr>
              <w:t>was $</w:t>
            </w:r>
            <w:r w:rsidR="00FF323D" w:rsidRPr="00D878FA">
              <w:rPr>
                <w:sz w:val="18"/>
              </w:rPr>
              <w:t>1.05b</w:t>
            </w:r>
            <w:r w:rsidR="00456534" w:rsidRPr="00D878FA">
              <w:rPr>
                <w:sz w:val="18"/>
              </w:rPr>
              <w:t xml:space="preserve"> or </w:t>
            </w:r>
            <w:r w:rsidRPr="00D878FA">
              <w:rPr>
                <w:sz w:val="18"/>
              </w:rPr>
              <w:t>2</w:t>
            </w:r>
            <w:r w:rsidR="00FF323D" w:rsidRPr="00D878FA">
              <w:rPr>
                <w:sz w:val="18"/>
              </w:rPr>
              <w:t>4</w:t>
            </w:r>
            <w:r w:rsidRPr="00D878FA">
              <w:rPr>
                <w:sz w:val="18"/>
              </w:rPr>
              <w:t xml:space="preserve"> per cent </w:t>
            </w:r>
            <w:r w:rsidR="00456534" w:rsidRPr="00D878FA">
              <w:rPr>
                <w:sz w:val="18"/>
              </w:rPr>
              <w:t xml:space="preserve">of the </w:t>
            </w:r>
            <w:r w:rsidR="00456534" w:rsidRPr="00A664C5">
              <w:rPr>
                <w:sz w:val="18"/>
              </w:rPr>
              <w:t>aid</w:t>
            </w:r>
            <w:r w:rsidR="00456534" w:rsidRPr="00D878FA">
              <w:rPr>
                <w:sz w:val="18"/>
              </w:rPr>
              <w:t xml:space="preserve"> budget </w:t>
            </w:r>
            <w:r w:rsidRPr="00D878FA">
              <w:rPr>
                <w:sz w:val="18"/>
              </w:rPr>
              <w:t>in 2018-19.</w:t>
            </w:r>
            <w:r w:rsidR="00456534" w:rsidRPr="00D878FA">
              <w:rPr>
                <w:sz w:val="18"/>
              </w:rPr>
              <w:t xml:space="preserve"> The largest share was to support investments that build productive capacity (51%), followed by economic infrastructure (45%) and trade policy and regulatory reform (4%).</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 xml:space="preserve">2. </w:t>
            </w:r>
            <w:r w:rsidRPr="00D878FA">
              <w:rPr>
                <w:sz w:val="18"/>
              </w:rPr>
              <w:tab/>
              <w:t>Engaging the private sector: all new investments will explore ways to promote private sector growth or engage the private sector in achieving development outcomes</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D956D2">
            <w:pPr>
              <w:pStyle w:val="08TABLETEXT"/>
              <w:keepNext w:val="0"/>
              <w:keepLines w:val="0"/>
              <w:rPr>
                <w:sz w:val="18"/>
              </w:rPr>
            </w:pPr>
            <w:r w:rsidRPr="00D878FA">
              <w:rPr>
                <w:b/>
                <w:sz w:val="18"/>
              </w:rPr>
              <w:t xml:space="preserve">ACHIEVED: </w:t>
            </w:r>
            <w:r w:rsidRPr="00D878FA">
              <w:rPr>
                <w:sz w:val="18"/>
              </w:rPr>
              <w:t>In 2018-19,</w:t>
            </w:r>
            <w:r w:rsidRPr="00D878FA">
              <w:rPr>
                <w:b/>
                <w:sz w:val="18"/>
              </w:rPr>
              <w:t xml:space="preserve"> </w:t>
            </w:r>
            <w:r w:rsidRPr="00D878FA">
              <w:rPr>
                <w:sz w:val="18"/>
              </w:rPr>
              <w:t xml:space="preserve">concept notes for new investments examined options for promotion of private sector growth and private sector engagement. </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3.</w:t>
            </w:r>
            <w:r w:rsidRPr="00D878FA">
              <w:rPr>
                <w:sz w:val="18"/>
              </w:rPr>
              <w:t xml:space="preserve"> </w:t>
            </w:r>
            <w:r w:rsidRPr="00D878FA">
              <w:rPr>
                <w:sz w:val="18"/>
              </w:rPr>
              <w:tab/>
              <w:t xml:space="preserve">Reducing poverty: by September 2015, all country and regional programs have Aid Investment Plans that describe how Australia’s </w:t>
            </w:r>
            <w:r w:rsidRPr="00A664C5">
              <w:rPr>
                <w:sz w:val="18"/>
              </w:rPr>
              <w:t>aid</w:t>
            </w:r>
            <w:r w:rsidRPr="00D878FA">
              <w:rPr>
                <w:sz w:val="18"/>
              </w:rPr>
              <w:t xml:space="preserve"> will promote economic growth in ways that provide pathways out of poverty</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D956D2">
            <w:pPr>
              <w:pStyle w:val="08TABLETEXT"/>
              <w:keepNext w:val="0"/>
              <w:keepLines w:val="0"/>
              <w:rPr>
                <w:sz w:val="18"/>
              </w:rPr>
            </w:pPr>
            <w:r w:rsidRPr="00D878FA">
              <w:rPr>
                <w:b/>
                <w:sz w:val="18"/>
              </w:rPr>
              <w:t xml:space="preserve">ACHIEVED: </w:t>
            </w:r>
            <w:r w:rsidRPr="00D878FA">
              <w:rPr>
                <w:sz w:val="18"/>
              </w:rPr>
              <w:t>Aid Investment Plans have been developed for all major programs and were publicly released on DFAT’s website on 30 September 2015. Updates to A</w:t>
            </w:r>
            <w:r w:rsidR="006C13F8">
              <w:rPr>
                <w:sz w:val="18"/>
              </w:rPr>
              <w:t xml:space="preserve">id Investment </w:t>
            </w:r>
            <w:r w:rsidRPr="00D878FA">
              <w:rPr>
                <w:sz w:val="18"/>
              </w:rPr>
              <w:t>P</w:t>
            </w:r>
            <w:r w:rsidR="006C13F8">
              <w:rPr>
                <w:sz w:val="18"/>
              </w:rPr>
              <w:t>lan</w:t>
            </w:r>
            <w:r w:rsidRPr="00D878FA">
              <w:rPr>
                <w:sz w:val="18"/>
              </w:rPr>
              <w:t xml:space="preserve"> objectives and performance benchmarks were included in 2018-19 annual Aid Program Performance Reports. </w:t>
            </w:r>
          </w:p>
        </w:tc>
      </w:tr>
      <w:tr w:rsidR="00D956D2" w:rsidRPr="002F4FA6" w:rsidTr="00AB7A4D">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4.</w:t>
            </w:r>
            <w:r w:rsidRPr="00D878FA">
              <w:rPr>
                <w:sz w:val="18"/>
              </w:rPr>
              <w:t xml:space="preserve"> </w:t>
            </w:r>
            <w:r w:rsidRPr="00D878FA">
              <w:rPr>
                <w:sz w:val="18"/>
              </w:rPr>
              <w:tab/>
              <w:t>Empowering women and girls: more than 80 per cent of investments, regardless of their objectives, will effectively address gender issues in their implementation</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B6783C">
            <w:pPr>
              <w:pStyle w:val="08TABLETEXT"/>
              <w:keepNext w:val="0"/>
              <w:keepLines w:val="0"/>
              <w:rPr>
                <w:sz w:val="18"/>
              </w:rPr>
            </w:pPr>
            <w:r w:rsidRPr="00D878FA">
              <w:rPr>
                <w:b/>
                <w:sz w:val="18"/>
              </w:rPr>
              <w:t xml:space="preserve">NOT ACHIEVED: </w:t>
            </w:r>
            <w:r w:rsidRPr="00D878FA">
              <w:rPr>
                <w:sz w:val="18"/>
              </w:rPr>
              <w:t xml:space="preserve">In 2018-19, 77 per cent of investments effectively addressed gender. </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5C0872">
            <w:pPr>
              <w:pStyle w:val="08TABLETEXT"/>
              <w:keepNext w:val="0"/>
              <w:keepLines w:val="0"/>
              <w:ind w:left="283" w:hanging="283"/>
              <w:rPr>
                <w:sz w:val="18"/>
              </w:rPr>
            </w:pPr>
            <w:r w:rsidRPr="00D878FA">
              <w:rPr>
                <w:b/>
                <w:sz w:val="18"/>
              </w:rPr>
              <w:t>5.</w:t>
            </w:r>
            <w:r w:rsidRPr="00D878FA">
              <w:rPr>
                <w:sz w:val="18"/>
              </w:rPr>
              <w:t xml:space="preserve"> </w:t>
            </w:r>
            <w:r w:rsidRPr="00D878FA">
              <w:rPr>
                <w:sz w:val="18"/>
              </w:rPr>
              <w:tab/>
              <w:t xml:space="preserve">Focusing on the Indo-Pacific region: increase the proportion of country program </w:t>
            </w:r>
            <w:r w:rsidRPr="00A664C5">
              <w:rPr>
                <w:sz w:val="18"/>
              </w:rPr>
              <w:t>aid</w:t>
            </w:r>
            <w:r w:rsidRPr="00D878FA">
              <w:rPr>
                <w:sz w:val="18"/>
              </w:rPr>
              <w:t xml:space="preserve"> that is spent in the Indo-Pacific region to at least 90 per cent from 2014</w:t>
            </w:r>
            <w:r w:rsidRPr="00D878FA">
              <w:rPr>
                <w:sz w:val="18"/>
              </w:rPr>
              <w:noBreakHyphen/>
              <w:t>15</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444125">
            <w:pPr>
              <w:pStyle w:val="08TABLETEXT"/>
              <w:keepNext w:val="0"/>
              <w:keepLines w:val="0"/>
              <w:rPr>
                <w:sz w:val="18"/>
              </w:rPr>
            </w:pPr>
            <w:r w:rsidRPr="00D878FA">
              <w:rPr>
                <w:b/>
                <w:sz w:val="18"/>
              </w:rPr>
              <w:t xml:space="preserve">ACHIEVED: </w:t>
            </w:r>
            <w:r w:rsidRPr="00D878FA">
              <w:rPr>
                <w:sz w:val="18"/>
              </w:rPr>
              <w:t>This target has been achieved each year since 2014</w:t>
            </w:r>
            <w:r w:rsidRPr="00D878FA">
              <w:rPr>
                <w:sz w:val="18"/>
              </w:rPr>
              <w:noBreakHyphen/>
              <w:t>15. In 2018-19,</w:t>
            </w:r>
            <w:r w:rsidRPr="00D878FA">
              <w:rPr>
                <w:b/>
                <w:sz w:val="18"/>
              </w:rPr>
              <w:t xml:space="preserve"> </w:t>
            </w:r>
            <w:r w:rsidR="00E4192F" w:rsidRPr="00D878FA">
              <w:rPr>
                <w:sz w:val="18"/>
              </w:rPr>
              <w:t>9</w:t>
            </w:r>
            <w:r w:rsidR="00444125" w:rsidRPr="00D878FA">
              <w:rPr>
                <w:sz w:val="18"/>
              </w:rPr>
              <w:t>2</w:t>
            </w:r>
            <w:r w:rsidR="00E4192F" w:rsidRPr="00D878FA">
              <w:rPr>
                <w:sz w:val="18"/>
              </w:rPr>
              <w:t xml:space="preserve"> per cent</w:t>
            </w:r>
            <w:r w:rsidRPr="00D878FA">
              <w:rPr>
                <w:b/>
                <w:sz w:val="18"/>
              </w:rPr>
              <w:t xml:space="preserve"> </w:t>
            </w:r>
            <w:r w:rsidRPr="00D878FA">
              <w:rPr>
                <w:sz w:val="18"/>
              </w:rPr>
              <w:t xml:space="preserve">of country programmable </w:t>
            </w:r>
            <w:r w:rsidRPr="00A664C5">
              <w:rPr>
                <w:sz w:val="18"/>
              </w:rPr>
              <w:t>aid</w:t>
            </w:r>
            <w:r w:rsidRPr="00D878FA">
              <w:rPr>
                <w:sz w:val="18"/>
              </w:rPr>
              <w:t xml:space="preserve"> was spent in the Indo-Pacific.</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6.</w:t>
            </w:r>
            <w:r w:rsidRPr="00D878FA">
              <w:rPr>
                <w:sz w:val="18"/>
              </w:rPr>
              <w:t xml:space="preserve"> </w:t>
            </w:r>
            <w:r w:rsidRPr="00D878FA">
              <w:rPr>
                <w:sz w:val="18"/>
              </w:rPr>
              <w:tab/>
              <w:t xml:space="preserve">Delivering on commitments: from July 2015, progress against mutual obligations agreed between Australia and its key partner </w:t>
            </w:r>
            <w:r w:rsidRPr="00D878FA">
              <w:rPr>
                <w:sz w:val="18"/>
              </w:rPr>
              <w:lastRenderedPageBreak/>
              <w:t>governments and organisations will form part of program performance assessments</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D956D2">
            <w:pPr>
              <w:pStyle w:val="08TABLETEXT"/>
              <w:keepNext w:val="0"/>
              <w:keepLines w:val="0"/>
              <w:rPr>
                <w:sz w:val="18"/>
              </w:rPr>
            </w:pPr>
            <w:r w:rsidRPr="00D878FA">
              <w:rPr>
                <w:b/>
                <w:sz w:val="18"/>
              </w:rPr>
              <w:lastRenderedPageBreak/>
              <w:t xml:space="preserve">ACHIEVED: </w:t>
            </w:r>
            <w:r w:rsidRPr="00D878FA">
              <w:rPr>
                <w:sz w:val="18"/>
              </w:rPr>
              <w:t xml:space="preserve">Since 2015, progress against mutual obligations and performance benchmarks have been reported in Aid Program Performance Reports. Out of </w:t>
            </w:r>
            <w:r w:rsidRPr="00D878FA">
              <w:rPr>
                <w:sz w:val="18"/>
              </w:rPr>
              <w:lastRenderedPageBreak/>
              <w:t>a set of 184 performance benchmarks for 2018-19, 120 (65 per cent) were achieved and 53 (29 per cent) partly achieved. Eleven benchmarks (6 per cent) were either not achieved or could not be assessed due to unavailable data.</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lastRenderedPageBreak/>
              <w:t>7.</w:t>
            </w:r>
            <w:r w:rsidRPr="00D878FA">
              <w:rPr>
                <w:sz w:val="18"/>
              </w:rPr>
              <w:t xml:space="preserve"> </w:t>
            </w:r>
            <w:r w:rsidRPr="00D878FA">
              <w:rPr>
                <w:sz w:val="18"/>
              </w:rPr>
              <w:tab/>
              <w:t xml:space="preserve">Working with the most effective partners: by July 2015, design and apply new systems to assess the performance of the </w:t>
            </w:r>
            <w:r w:rsidRPr="00A664C5">
              <w:rPr>
                <w:sz w:val="18"/>
              </w:rPr>
              <w:t>aid</w:t>
            </w:r>
            <w:r w:rsidRPr="00D878FA">
              <w:rPr>
                <w:sz w:val="18"/>
              </w:rPr>
              <w:t xml:space="preserve"> program’s key delivery partners and ensure stronger links between performance and funding</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D956D2">
            <w:pPr>
              <w:pStyle w:val="08TABLETEXT"/>
              <w:keepNext w:val="0"/>
              <w:keepLines w:val="0"/>
              <w:rPr>
                <w:sz w:val="18"/>
              </w:rPr>
            </w:pPr>
            <w:r w:rsidRPr="00D878FA">
              <w:rPr>
                <w:b/>
                <w:sz w:val="18"/>
              </w:rPr>
              <w:t xml:space="preserve">ACHIEVED: </w:t>
            </w:r>
            <w:r w:rsidRPr="00D878FA">
              <w:rPr>
                <w:sz w:val="18"/>
              </w:rPr>
              <w:t xml:space="preserve">In 2018-19, the three main delivery partner categories of commercial partners, NGOs and multilateral organisations were assessed as performing to an adequate level or better. </w:t>
            </w:r>
          </w:p>
        </w:tc>
      </w:tr>
      <w:tr w:rsidR="00D956D2" w:rsidRPr="002F4FA6" w:rsidTr="00C463BF">
        <w:trPr>
          <w:trHeight w:val="283"/>
        </w:trPr>
        <w:tc>
          <w:tcPr>
            <w:tcW w:w="4242" w:type="dxa"/>
            <w:tcBorders>
              <w:top w:val="single" w:sz="8" w:space="0" w:color="FFFFFF"/>
              <w:left w:val="single" w:sz="8" w:space="0" w:color="FFFFFF"/>
              <w:bottom w:val="single" w:sz="8" w:space="0" w:color="FFFFFF"/>
              <w:right w:val="single" w:sz="4" w:space="0" w:color="FFFFFF"/>
            </w:tcBorders>
            <w:shd w:val="clear" w:color="auto" w:fill="E7E6E6"/>
            <w:tcMar>
              <w:top w:w="170" w:type="dxa"/>
              <w:left w:w="113" w:type="dxa"/>
              <w:bottom w:w="170" w:type="dxa"/>
              <w:right w:w="113" w:type="dxa"/>
            </w:tcMar>
          </w:tcPr>
          <w:p w:rsidR="00D956D2" w:rsidRPr="00D878FA" w:rsidRDefault="00D956D2" w:rsidP="00D956D2">
            <w:pPr>
              <w:pStyle w:val="08TABLETEXT"/>
              <w:keepNext w:val="0"/>
              <w:keepLines w:val="0"/>
              <w:ind w:left="283" w:hanging="283"/>
              <w:rPr>
                <w:sz w:val="18"/>
              </w:rPr>
            </w:pPr>
            <w:r w:rsidRPr="00D878FA">
              <w:rPr>
                <w:b/>
                <w:sz w:val="18"/>
              </w:rPr>
              <w:t>8.</w:t>
            </w:r>
            <w:r w:rsidRPr="00D878FA">
              <w:rPr>
                <w:sz w:val="18"/>
              </w:rPr>
              <w:t xml:space="preserve"> </w:t>
            </w:r>
            <w:r w:rsidRPr="00D878FA">
              <w:rPr>
                <w:sz w:val="18"/>
              </w:rPr>
              <w:tab/>
              <w:t>Ensuring value for money: deliver high standards of value for money in at least 85 per cent of aid investments. Where standards are not met and improvements are not achieved within a year, investments will be cancelled</w:t>
            </w:r>
          </w:p>
        </w:tc>
        <w:tc>
          <w:tcPr>
            <w:tcW w:w="424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70" w:type="dxa"/>
              <w:left w:w="113" w:type="dxa"/>
              <w:bottom w:w="170" w:type="dxa"/>
              <w:right w:w="113" w:type="dxa"/>
            </w:tcMar>
          </w:tcPr>
          <w:p w:rsidR="00D956D2" w:rsidRPr="00D878FA" w:rsidRDefault="00D956D2" w:rsidP="00CE60EA">
            <w:pPr>
              <w:pStyle w:val="08TABLETEXT"/>
              <w:keepNext w:val="0"/>
              <w:keepLines w:val="0"/>
              <w:rPr>
                <w:sz w:val="18"/>
              </w:rPr>
            </w:pPr>
            <w:r w:rsidRPr="00D878FA">
              <w:rPr>
                <w:b/>
                <w:sz w:val="18"/>
              </w:rPr>
              <w:t>ACHIEVED</w:t>
            </w:r>
            <w:r w:rsidRPr="00D878FA">
              <w:rPr>
                <w:sz w:val="18"/>
              </w:rPr>
              <w:t xml:space="preserve">: For 2018-19, 93 per cent of </w:t>
            </w:r>
            <w:r w:rsidR="00CE60EA">
              <w:rPr>
                <w:sz w:val="18"/>
              </w:rPr>
              <w:t xml:space="preserve">aid </w:t>
            </w:r>
            <w:r w:rsidRPr="00D878FA">
              <w:rPr>
                <w:sz w:val="18"/>
              </w:rPr>
              <w:t>investments were assessed as satisfactory for effectiveness and 89 per cent were assessed as satisfactory for efficiency.</w:t>
            </w:r>
          </w:p>
        </w:tc>
      </w:tr>
      <w:tr w:rsidR="00283153" w:rsidRPr="002F4FA6" w:rsidTr="00C463BF">
        <w:trPr>
          <w:trHeight w:val="283"/>
        </w:trPr>
        <w:tc>
          <w:tcPr>
            <w:tcW w:w="4242" w:type="dxa"/>
            <w:tcBorders>
              <w:top w:val="single" w:sz="8" w:space="0" w:color="FFFFFF"/>
              <w:left w:val="single" w:sz="8" w:space="0" w:color="FFFFFF"/>
              <w:bottom w:val="single" w:sz="8" w:space="0" w:color="FFFFFF"/>
              <w:right w:val="single" w:sz="8" w:space="0" w:color="FFFFFF"/>
            </w:tcBorders>
            <w:shd w:val="clear" w:color="auto" w:fill="E7E6E6"/>
            <w:tcMar>
              <w:top w:w="170" w:type="dxa"/>
              <w:left w:w="113" w:type="dxa"/>
              <w:bottom w:w="170" w:type="dxa"/>
              <w:right w:w="113" w:type="dxa"/>
            </w:tcMar>
          </w:tcPr>
          <w:p w:rsidR="00283153" w:rsidRPr="00D878FA" w:rsidRDefault="00283153" w:rsidP="00A02765">
            <w:pPr>
              <w:pStyle w:val="08TABLETEXT"/>
              <w:keepNext w:val="0"/>
              <w:keepLines w:val="0"/>
              <w:ind w:left="283" w:hanging="283"/>
              <w:rPr>
                <w:sz w:val="18"/>
              </w:rPr>
            </w:pPr>
            <w:r w:rsidRPr="00D878FA">
              <w:rPr>
                <w:b/>
                <w:sz w:val="18"/>
              </w:rPr>
              <w:t>9</w:t>
            </w:r>
            <w:r w:rsidRPr="00D878FA">
              <w:rPr>
                <w:sz w:val="18"/>
              </w:rPr>
              <w:t xml:space="preserve">. </w:t>
            </w:r>
            <w:r w:rsidRPr="00D878FA">
              <w:rPr>
                <w:sz w:val="18"/>
              </w:rPr>
              <w:tab/>
              <w:t>Increasing consolidation: reduce the number of individual investments by 20 per cent by 2016-17 to focus efforts and reduce transaction costs</w:t>
            </w:r>
          </w:p>
        </w:tc>
        <w:tc>
          <w:tcPr>
            <w:tcW w:w="4242" w:type="dxa"/>
            <w:tcBorders>
              <w:top w:val="single" w:sz="4" w:space="0" w:color="FFFFFF"/>
              <w:left w:val="single" w:sz="8" w:space="0" w:color="FFFFFF"/>
              <w:bottom w:val="single" w:sz="8" w:space="0" w:color="FFFFFF"/>
              <w:right w:val="single" w:sz="8" w:space="0" w:color="FFFFFF"/>
            </w:tcBorders>
            <w:shd w:val="clear" w:color="auto" w:fill="F2F2F2" w:themeFill="background1" w:themeFillShade="F2"/>
            <w:tcMar>
              <w:top w:w="170" w:type="dxa"/>
              <w:left w:w="113" w:type="dxa"/>
              <w:bottom w:w="170" w:type="dxa"/>
              <w:right w:w="113" w:type="dxa"/>
            </w:tcMar>
          </w:tcPr>
          <w:p w:rsidR="00283153" w:rsidRPr="00D878FA" w:rsidRDefault="00283153" w:rsidP="00CE60EA">
            <w:pPr>
              <w:pStyle w:val="08TABLETEXT"/>
              <w:keepNext w:val="0"/>
              <w:keepLines w:val="0"/>
              <w:rPr>
                <w:sz w:val="18"/>
              </w:rPr>
            </w:pPr>
            <w:r w:rsidRPr="00D878FA">
              <w:rPr>
                <w:rStyle w:val="Bold"/>
                <w:sz w:val="18"/>
              </w:rPr>
              <w:t xml:space="preserve">ACHIEVED: </w:t>
            </w:r>
            <w:r w:rsidRPr="00D878FA">
              <w:rPr>
                <w:sz w:val="18"/>
              </w:rPr>
              <w:t>This target was achieved on 1 July 2016 when the number of individual investments had reduced by 23 per cent. As at 1 July 201</w:t>
            </w:r>
            <w:r w:rsidR="00EA429D" w:rsidRPr="00D878FA">
              <w:rPr>
                <w:sz w:val="18"/>
              </w:rPr>
              <w:t>9</w:t>
            </w:r>
            <w:r w:rsidRPr="00D878FA">
              <w:rPr>
                <w:sz w:val="18"/>
              </w:rPr>
              <w:t>, the number of investments had reduced by 3</w:t>
            </w:r>
            <w:r w:rsidR="00EA429D" w:rsidRPr="00D878FA">
              <w:rPr>
                <w:sz w:val="18"/>
              </w:rPr>
              <w:t>6</w:t>
            </w:r>
            <w:r w:rsidRPr="00D878FA">
              <w:rPr>
                <w:sz w:val="18"/>
              </w:rPr>
              <w:t> per cent</w:t>
            </w:r>
            <w:r w:rsidRPr="00D878FA">
              <w:rPr>
                <w:sz w:val="18"/>
                <w:vertAlign w:val="superscript"/>
              </w:rPr>
              <w:footnoteReference w:id="7"/>
            </w:r>
          </w:p>
        </w:tc>
      </w:tr>
      <w:tr w:rsidR="00283153" w:rsidRPr="002F4FA6" w:rsidTr="00C463BF">
        <w:trPr>
          <w:trHeight w:val="283"/>
        </w:trPr>
        <w:tc>
          <w:tcPr>
            <w:tcW w:w="4242" w:type="dxa"/>
            <w:tcBorders>
              <w:top w:val="single" w:sz="8" w:space="0" w:color="FFFFFF"/>
              <w:left w:val="single" w:sz="8" w:space="0" w:color="FFFFFF"/>
              <w:bottom w:val="single" w:sz="8" w:space="0" w:color="FFFFFF"/>
              <w:right w:val="single" w:sz="8" w:space="0" w:color="FFFFFF"/>
            </w:tcBorders>
            <w:shd w:val="clear" w:color="auto" w:fill="E7E6E6"/>
            <w:tcMar>
              <w:top w:w="170" w:type="dxa"/>
              <w:left w:w="113" w:type="dxa"/>
              <w:bottom w:w="170" w:type="dxa"/>
              <w:right w:w="113" w:type="dxa"/>
            </w:tcMar>
          </w:tcPr>
          <w:p w:rsidR="00283153" w:rsidRPr="00D878FA" w:rsidRDefault="00283153" w:rsidP="00A02765">
            <w:pPr>
              <w:pStyle w:val="08TABLETEXT"/>
              <w:keepNext w:val="0"/>
              <w:keepLines w:val="0"/>
              <w:ind w:left="283" w:hanging="283"/>
              <w:rPr>
                <w:sz w:val="18"/>
              </w:rPr>
            </w:pPr>
            <w:r w:rsidRPr="00D878FA">
              <w:rPr>
                <w:b/>
                <w:sz w:val="18"/>
              </w:rPr>
              <w:t>10</w:t>
            </w:r>
            <w:r w:rsidRPr="00D878FA">
              <w:rPr>
                <w:sz w:val="18"/>
              </w:rPr>
              <w:t>.</w:t>
            </w:r>
            <w:r w:rsidRPr="00D878FA">
              <w:rPr>
                <w:sz w:val="18"/>
              </w:rPr>
              <w:tab/>
              <w:t>Combatting corruption: develop and implement new fraud and anti-corruption strategies for all major country and regional programs by July 2015</w:t>
            </w:r>
          </w:p>
        </w:tc>
        <w:tc>
          <w:tcPr>
            <w:tcW w:w="42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70" w:type="dxa"/>
              <w:left w:w="113" w:type="dxa"/>
              <w:bottom w:w="170" w:type="dxa"/>
              <w:right w:w="113" w:type="dxa"/>
            </w:tcMar>
          </w:tcPr>
          <w:p w:rsidR="00283153" w:rsidRPr="00D878FA" w:rsidRDefault="00283153" w:rsidP="00444125">
            <w:pPr>
              <w:pStyle w:val="08TABLETEXT"/>
              <w:keepNext w:val="0"/>
              <w:keepLines w:val="0"/>
              <w:rPr>
                <w:sz w:val="18"/>
              </w:rPr>
            </w:pPr>
            <w:r w:rsidRPr="00D878FA">
              <w:rPr>
                <w:rStyle w:val="Bold"/>
                <w:sz w:val="18"/>
              </w:rPr>
              <w:t>ACHIEVED</w:t>
            </w:r>
            <w:r w:rsidRPr="00D878FA">
              <w:rPr>
                <w:sz w:val="18"/>
              </w:rPr>
              <w:t xml:space="preserve">: </w:t>
            </w:r>
            <w:r w:rsidR="00444125" w:rsidRPr="00D878FA">
              <w:rPr>
                <w:sz w:val="18"/>
              </w:rPr>
              <w:t>Fraud and anti-corruption strategies were put in place in 2015. Since then, the use of mandatory fraud clauses in all funding agreements, the design and delivery of fraud toolkits for DFAT staff and funding recipients, and the delivery of targeted training, have mainstreamed fraud and corruption risk management across all ODA operations.</w:t>
            </w:r>
            <w:r w:rsidRPr="00D878FA">
              <w:rPr>
                <w:sz w:val="18"/>
              </w:rPr>
              <w:t xml:space="preserve"> </w:t>
            </w:r>
          </w:p>
        </w:tc>
      </w:tr>
    </w:tbl>
    <w:p w:rsidR="00283153" w:rsidRDefault="00283153" w:rsidP="00283153">
      <w:pPr>
        <w:pStyle w:val="04BODYTEXT"/>
        <w:spacing w:after="120"/>
      </w:pPr>
    </w:p>
    <w:p w:rsidR="00283153" w:rsidRPr="00F16CDF" w:rsidRDefault="00283153" w:rsidP="00311C8B">
      <w:pPr>
        <w:pStyle w:val="Heading3"/>
      </w:pPr>
      <w:bookmarkStart w:id="6" w:name="_Toc53572142"/>
      <w:r w:rsidRPr="00F16CDF">
        <w:t>Target 4: Empowering women and girls</w:t>
      </w:r>
      <w:bookmarkEnd w:id="6"/>
    </w:p>
    <w:p w:rsidR="00283153" w:rsidRDefault="00283153" w:rsidP="00283153">
      <w:pPr>
        <w:pStyle w:val="03bTARGETDESCRIPTION"/>
      </w:pPr>
      <w:r>
        <w:t>More than 80 per cent of investments, regardless of their objectives, will effectively address gender issues in their implementation</w:t>
      </w:r>
    </w:p>
    <w:p w:rsidR="00283153" w:rsidRDefault="00283153" w:rsidP="00283153">
      <w:pPr>
        <w:pStyle w:val="04BODYTEXT"/>
        <w:rPr>
          <w:rStyle w:val="Bold"/>
          <w:color w:val="B85333"/>
        </w:rPr>
      </w:pPr>
      <w:r>
        <w:rPr>
          <w:rStyle w:val="Bold"/>
        </w:rPr>
        <w:t xml:space="preserve">Status: </w:t>
      </w:r>
      <w:r>
        <w:rPr>
          <w:rStyle w:val="Bold"/>
          <w:color w:val="B85333"/>
        </w:rPr>
        <w:t>Not achieved</w:t>
      </w:r>
    </w:p>
    <w:p w:rsidR="00EA429D" w:rsidRDefault="00EA429D" w:rsidP="0002616C">
      <w:r>
        <w:t xml:space="preserve">This strategic target measures effective mainstreaming of gender equality in Australia’s </w:t>
      </w:r>
      <w:r w:rsidR="00D0013A">
        <w:t>development program</w:t>
      </w:r>
      <w:r>
        <w:t xml:space="preserve"> investments. It tracks the percentage of Australian investments that are effectively addressing gender equality issues during implementation, which is assessed through satisfactory or above ratings in the annual Aid Quality Check process.</w:t>
      </w:r>
    </w:p>
    <w:p w:rsidR="00EA429D" w:rsidRDefault="00EA429D" w:rsidP="0002616C">
      <w:r>
        <w:t xml:space="preserve">Gender inequality undermines global prosperity, stability and security. Addressing gender inequality is essential to effective results from development efforts, humanitarian action, and responses to emergencies. Australia continues its efforts on ending violence against women and girls, advancing women’s economic empowerment and strengthening women’s leadership and their role in peace and security. We also continue to mainstream gender equality across our </w:t>
      </w:r>
      <w:r w:rsidR="006C13F8">
        <w:t>development</w:t>
      </w:r>
      <w:r>
        <w:t xml:space="preserve"> program, to address the gender equality implications of the multi-faceted challenges facing the Indo-Pacific region. Gender mainstreaming approaches also work to ensure that our </w:t>
      </w:r>
      <w:r>
        <w:lastRenderedPageBreak/>
        <w:t xml:space="preserve">investments do not entrench or exacerbate gendered disadvantages and that Do No Harm principles are upheld in respect of women’s safety, voice and agency.  </w:t>
      </w:r>
    </w:p>
    <w:p w:rsidR="00EA429D" w:rsidRDefault="00575F3C" w:rsidP="0002616C">
      <w:r w:rsidRPr="00301372">
        <w:t>While p</w:t>
      </w:r>
      <w:r w:rsidR="00EA429D" w:rsidRPr="00301372">
        <w:t xml:space="preserve">erformance in 2018-19 </w:t>
      </w:r>
      <w:r w:rsidRPr="00301372">
        <w:t xml:space="preserve">against the strategic target </w:t>
      </w:r>
      <w:r w:rsidR="00EA429D" w:rsidRPr="00301372">
        <w:t xml:space="preserve">improved </w:t>
      </w:r>
      <w:r w:rsidRPr="00301372">
        <w:t>to</w:t>
      </w:r>
      <w:r w:rsidR="00EA429D" w:rsidRPr="00301372">
        <w:t xml:space="preserve"> 77 per cent</w:t>
      </w:r>
      <w:r w:rsidR="00924DF1" w:rsidRPr="00301372">
        <w:t>,</w:t>
      </w:r>
      <w:r w:rsidR="00EA429D" w:rsidRPr="00301372">
        <w:t xml:space="preserve"> </w:t>
      </w:r>
      <w:r w:rsidRPr="00301372">
        <w:t xml:space="preserve">it is disappointing the target </w:t>
      </w:r>
      <w:r w:rsidR="00EA429D" w:rsidRPr="00301372">
        <w:t xml:space="preserve">remains unmet.  Analysis of the 86 underperforming investments shows that investments designed and implemented after the introduction of the target </w:t>
      </w:r>
      <w:r w:rsidR="00924DF1" w:rsidRPr="00301372">
        <w:t xml:space="preserve">generally </w:t>
      </w:r>
      <w:r w:rsidR="00EA429D" w:rsidRPr="00301372">
        <w:t xml:space="preserve">performed slightly better than older investments, except in the Pacific.  However, there is no single characteristic that explains the continued shortfall. Rather, there continues to be an interplay of persistent challenges that relate to </w:t>
      </w:r>
      <w:r w:rsidR="00924DF1" w:rsidRPr="00301372">
        <w:t xml:space="preserve">the need to factor </w:t>
      </w:r>
      <w:r w:rsidR="00EA429D" w:rsidRPr="00301372">
        <w:t xml:space="preserve">gender equality </w:t>
      </w:r>
      <w:r w:rsidR="00924DF1" w:rsidRPr="00301372">
        <w:t>into</w:t>
      </w:r>
      <w:r w:rsidR="00EA429D" w:rsidRPr="00301372">
        <w:t xml:space="preserve"> design and implementation, as well as our partnerships and the challenging settings where many of our investments are implemented.  </w:t>
      </w:r>
      <w:r w:rsidR="002021BE" w:rsidRPr="00301372">
        <w:t>We will work urgently to identify solutions</w:t>
      </w:r>
      <w:r w:rsidR="00627C9A" w:rsidRPr="00301372">
        <w:t>, including through redesign of our delivery mechanisms</w:t>
      </w:r>
      <w:r w:rsidR="002021BE" w:rsidRPr="00301372">
        <w:t xml:space="preserve"> </w:t>
      </w:r>
      <w:r w:rsidR="00627C9A" w:rsidRPr="00301372">
        <w:t>and programs.  We are strongly committed</w:t>
      </w:r>
      <w:r w:rsidRPr="00301372">
        <w:t xml:space="preserve"> to achieving better outcomes on gender equality through</w:t>
      </w:r>
      <w:r w:rsidR="00627C9A" w:rsidRPr="00301372">
        <w:t xml:space="preserve"> </w:t>
      </w:r>
      <w:r w:rsidR="002D6DA2" w:rsidRPr="00301372">
        <w:t xml:space="preserve">concrete </w:t>
      </w:r>
      <w:r w:rsidR="00627C9A" w:rsidRPr="00301372">
        <w:t>management</w:t>
      </w:r>
      <w:r w:rsidR="002021BE" w:rsidRPr="00301372">
        <w:t xml:space="preserve"> actions, including </w:t>
      </w:r>
      <w:r w:rsidRPr="00301372">
        <w:t>greater accountability of</w:t>
      </w:r>
      <w:r w:rsidR="00627C9A" w:rsidRPr="00301372">
        <w:t xml:space="preserve"> heads of missions,</w:t>
      </w:r>
      <w:r w:rsidRPr="00301372">
        <w:t xml:space="preserve"> senior managers and implementing partners, ensuring that new investments are designed to deliver progress on gender equality, and making sure that staff are skilled and supported by expert advice. W</w:t>
      </w:r>
      <w:r w:rsidR="00924DF1" w:rsidRPr="00301372">
        <w:t xml:space="preserve">e </w:t>
      </w:r>
      <w:r w:rsidRPr="00301372">
        <w:t xml:space="preserve">also </w:t>
      </w:r>
      <w:r w:rsidR="00EA429D" w:rsidRPr="00301372">
        <w:t>remain committed to the twin track approach of gender mainstreaming alongside gender-focused investments</w:t>
      </w:r>
      <w:r w:rsidR="00EF1490" w:rsidRPr="00301372">
        <w:t>.</w:t>
      </w:r>
      <w:r w:rsidR="00EA429D">
        <w:t xml:space="preserve"> </w:t>
      </w:r>
    </w:p>
    <w:p w:rsidR="00C21B18" w:rsidRDefault="00283153" w:rsidP="00C21B18">
      <w:pPr>
        <w:pStyle w:val="07FIGUREHEADING"/>
        <w:spacing w:before="240" w:after="0" w:line="240" w:lineRule="auto"/>
        <w:ind w:left="284" w:hanging="284"/>
      </w:pPr>
      <w:r>
        <w:t xml:space="preserve">Figure </w:t>
      </w:r>
      <w:r w:rsidR="0020656B">
        <w:t>1</w:t>
      </w:r>
      <w:r>
        <w:t>: G</w:t>
      </w:r>
      <w:r w:rsidRPr="009B3987">
        <w:t>ender p</w:t>
      </w:r>
      <w:r>
        <w:t>erformance by region, 201</w:t>
      </w:r>
      <w:r w:rsidR="00EA429D">
        <w:t>8</w:t>
      </w:r>
      <w:r>
        <w:t>-1</w:t>
      </w:r>
      <w:r w:rsidR="00EA429D">
        <w:t>9</w:t>
      </w:r>
      <w:r w:rsidR="00C21B18">
        <w:rPr>
          <w:noProof/>
          <w:lang w:val="en-AU" w:eastAsia="en-AU"/>
        </w:rPr>
        <w:drawing>
          <wp:inline distT="0" distB="0" distL="0" distR="0" wp14:anchorId="65CB77DA" wp14:editId="2EDDFAAD">
            <wp:extent cx="5761355" cy="2158365"/>
            <wp:effectExtent l="0" t="0" r="0" b="0"/>
            <wp:docPr id="10" name="Picture 10" descr="This chart shows the proportion of Australian aid investments that were rated satisfactory for gender equality by geographic region in 2018-19."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p>
    <w:p w:rsidR="00C47E5E" w:rsidRDefault="00C47E5E" w:rsidP="00C47E5E">
      <w:pPr>
        <w:rPr>
          <w:szCs w:val="22"/>
          <w:lang w:eastAsia="en-AU"/>
        </w:rPr>
      </w:pPr>
      <w:r>
        <w:t xml:space="preserve">Performance across regions continues to be uneven. Southeast and East Asia investments generally continue to perform well against the Strategic Target. Performance on gender equality in the Middle East and Africa and in South and West Asia declined during 2018-19. </w:t>
      </w:r>
      <w:r w:rsidR="00CE60EA">
        <w:t>I</w:t>
      </w:r>
      <w:r>
        <w:t xml:space="preserve">nvestments in the Pacific have continued to improve their performance on gender equality over the past two years, but there are still a number of underperforming investments. Underperformance in the Pacific is a function of challenges embedding gender equality in some regional organisations. Generally, some investments underperformed because of a lack of </w:t>
      </w:r>
      <w:r w:rsidR="00924DF1">
        <w:t xml:space="preserve">early </w:t>
      </w:r>
      <w:r>
        <w:t xml:space="preserve">consideration for gender equality, failure to integrate and support gender equality work into the larger organisation or program, </w:t>
      </w:r>
      <w:r w:rsidR="00924DF1">
        <w:t>or</w:t>
      </w:r>
      <w:r>
        <w:t xml:space="preserve"> weak monitoring and evaluation that could not demonstrate gender performance. A heightened focus on the design process is successfully embedding gender in new investments across the </w:t>
      </w:r>
      <w:r w:rsidR="006C13F8">
        <w:t>development</w:t>
      </w:r>
      <w:r>
        <w:t xml:space="preserve"> program. Ongoing attention to implementation and monitoring and evaluation is critical to further improve gender performance.</w:t>
      </w:r>
    </w:p>
    <w:p w:rsidR="00283153" w:rsidRDefault="00EA429D" w:rsidP="0002616C">
      <w:r>
        <w:t>During 20</w:t>
      </w:r>
      <w:r w:rsidR="008B01E5">
        <w:t>18-</w:t>
      </w:r>
      <w:r>
        <w:t>19, DFAT continued to implement the high-level work plans that were initiated in 20</w:t>
      </w:r>
      <w:r w:rsidR="008B01E5">
        <w:t>17-</w:t>
      </w:r>
      <w:r>
        <w:t xml:space="preserve">18 and endorsed by the Department’s senior executive to improve gender equality performance. As part of these work plans, DFAT launched its refreshed internal gender equality training in </w:t>
      </w:r>
      <w:r w:rsidR="008B01E5">
        <w:t>mid-</w:t>
      </w:r>
      <w:r>
        <w:t>2019, and intensified its high-level engagement with key partners to outline expectations and advocate for priority actions, including resourcing for early and consistent deployment of gender technical expertise and improved monitoring and evaluation of progress on gender equality.</w:t>
      </w:r>
      <w:r w:rsidR="00283153">
        <w:t xml:space="preserve"> </w:t>
      </w: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575F3C" w:rsidRDefault="00575F3C" w:rsidP="00F45145">
      <w:pPr>
        <w:pStyle w:val="04BODYTEXT"/>
        <w:rPr>
          <w:b/>
          <w:bCs/>
          <w:color w:val="00283F"/>
        </w:rPr>
      </w:pPr>
    </w:p>
    <w:p w:rsidR="00EF1490" w:rsidRDefault="00EF1490" w:rsidP="00F45145">
      <w:pPr>
        <w:pStyle w:val="04BODYTEXT"/>
        <w:rPr>
          <w:b/>
          <w:bCs/>
          <w:color w:val="00283F"/>
        </w:rPr>
      </w:pPr>
    </w:p>
    <w:p w:rsidR="00575F3C" w:rsidRDefault="00575F3C" w:rsidP="00F45145">
      <w:pPr>
        <w:pStyle w:val="04BODYTEXT"/>
        <w:rPr>
          <w:b/>
          <w:bCs/>
          <w:color w:val="00283F"/>
        </w:rPr>
      </w:pPr>
    </w:p>
    <w:p w:rsidR="00C21B18" w:rsidRDefault="00283153" w:rsidP="00F45145">
      <w:pPr>
        <w:pStyle w:val="04BODYTEXT"/>
        <w:rPr>
          <w:b/>
          <w:bCs/>
          <w:color w:val="00283F"/>
        </w:rPr>
      </w:pPr>
      <w:r w:rsidRPr="009B3987">
        <w:rPr>
          <w:b/>
          <w:bCs/>
          <w:color w:val="00283F"/>
        </w:rPr>
        <w:t xml:space="preserve">Figure </w:t>
      </w:r>
      <w:r w:rsidR="0020656B" w:rsidRPr="009B3987">
        <w:rPr>
          <w:b/>
          <w:bCs/>
          <w:color w:val="00283F"/>
        </w:rPr>
        <w:t>2</w:t>
      </w:r>
      <w:r w:rsidRPr="009B3987">
        <w:rPr>
          <w:b/>
          <w:bCs/>
          <w:color w:val="00283F"/>
        </w:rPr>
        <w:t>: Gender performance by investment priority area, 201</w:t>
      </w:r>
      <w:r w:rsidR="00EA429D" w:rsidRPr="009B3987">
        <w:rPr>
          <w:b/>
          <w:bCs/>
          <w:color w:val="00283F"/>
        </w:rPr>
        <w:t>8</w:t>
      </w:r>
      <w:r w:rsidRPr="009B3987">
        <w:rPr>
          <w:b/>
          <w:bCs/>
          <w:color w:val="00283F"/>
        </w:rPr>
        <w:t>-1</w:t>
      </w:r>
      <w:r w:rsidR="00EA429D" w:rsidRPr="009B3987">
        <w:rPr>
          <w:b/>
          <w:bCs/>
          <w:color w:val="00283F"/>
        </w:rPr>
        <w:t>9</w:t>
      </w:r>
    </w:p>
    <w:p w:rsidR="00C21B18" w:rsidRDefault="00C21B18" w:rsidP="00F45145">
      <w:pPr>
        <w:pStyle w:val="04BODYTEXT"/>
        <w:rPr>
          <w:b/>
          <w:bCs/>
          <w:color w:val="00283F"/>
        </w:rPr>
      </w:pPr>
      <w:r>
        <w:rPr>
          <w:b/>
          <w:bCs/>
          <w:noProof/>
          <w:color w:val="00283F"/>
          <w:lang w:val="en-AU" w:eastAsia="en-AU"/>
        </w:rPr>
        <w:drawing>
          <wp:inline distT="0" distB="0" distL="0" distR="0" wp14:anchorId="7AF70E4A" wp14:editId="40469E41">
            <wp:extent cx="5761355" cy="2292350"/>
            <wp:effectExtent l="0" t="0" r="0" b="0"/>
            <wp:docPr id="15" name="Picture 15" descr="This chart shows the proportion of Australian aid investments that were rated satisfactory for gender equality by investment priority area in 2018-19."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292350"/>
                    </a:xfrm>
                    <a:prstGeom prst="rect">
                      <a:avLst/>
                    </a:prstGeom>
                    <a:noFill/>
                  </pic:spPr>
                </pic:pic>
              </a:graphicData>
            </a:graphic>
          </wp:inline>
        </w:drawing>
      </w:r>
    </w:p>
    <w:p w:rsidR="00283153" w:rsidRPr="0002616C" w:rsidRDefault="00A242D9" w:rsidP="0002616C">
      <w:pPr>
        <w:rPr>
          <w:szCs w:val="20"/>
        </w:rPr>
      </w:pPr>
      <w:r w:rsidRPr="0002616C">
        <w:t xml:space="preserve">Investments in the education sector continued to perform very well on gender equality. The investment priority areas of effective governance and building resilience improved their performance but continue to face challenges with their implementing partners and when working on complex policy reform issues. These issues also account for the deterioration in performance of investments in the agriculture, fisheries and water sector. </w:t>
      </w:r>
      <w:r w:rsidRPr="0002616C">
        <w:rPr>
          <w:szCs w:val="20"/>
        </w:rPr>
        <w:t xml:space="preserve"> As the </w:t>
      </w:r>
      <w:r w:rsidR="00CE60EA">
        <w:rPr>
          <w:szCs w:val="20"/>
        </w:rPr>
        <w:t xml:space="preserve">development </w:t>
      </w:r>
      <w:r w:rsidRPr="0002616C">
        <w:rPr>
          <w:szCs w:val="20"/>
        </w:rPr>
        <w:t>program pivots further to focusing on settings where governance structures are weak and gender inequalities stark, these challenges are likely to be further accentuated.</w:t>
      </w:r>
      <w:r w:rsidR="00283153" w:rsidRPr="0002616C">
        <w:rPr>
          <w:szCs w:val="20"/>
        </w:rPr>
        <w:t xml:space="preserve"> </w:t>
      </w:r>
    </w:p>
    <w:p w:rsidR="00283153" w:rsidRDefault="00283153" w:rsidP="00283153">
      <w:pPr>
        <w:pStyle w:val="07FIGUREHEADING"/>
      </w:pPr>
      <w:r>
        <w:t xml:space="preserve">Figure </w:t>
      </w:r>
      <w:r w:rsidR="0020656B">
        <w:t>3</w:t>
      </w:r>
      <w:r>
        <w:t>: DFAT ODA expenditure on gender equality, 201</w:t>
      </w:r>
      <w:r w:rsidR="00A242D9">
        <w:t>8</w:t>
      </w:r>
      <w:r>
        <w:t>-1</w:t>
      </w:r>
      <w:r w:rsidR="00A242D9">
        <w:t>9</w:t>
      </w:r>
    </w:p>
    <w:p w:rsidR="00C21B18" w:rsidRDefault="00C21B18" w:rsidP="00BF7047">
      <w:pPr>
        <w:pStyle w:val="07FIGUREHEADING"/>
        <w:ind w:left="0" w:firstLine="0"/>
        <w:jc w:val="center"/>
      </w:pPr>
      <w:r>
        <w:rPr>
          <w:noProof/>
          <w:lang w:val="en-AU" w:eastAsia="en-AU"/>
        </w:rPr>
        <w:drawing>
          <wp:inline distT="0" distB="0" distL="0" distR="0" wp14:anchorId="36101B12" wp14:editId="73EEC384">
            <wp:extent cx="3994892" cy="2610000"/>
            <wp:effectExtent l="0" t="0" r="5715" b="0"/>
            <wp:docPr id="16" name="Picture 16" descr="This chart shows the proportion of 2018-19 ODA budget where gender equality was an objective  for Australian aid investment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4892" cy="2610000"/>
                    </a:xfrm>
                    <a:prstGeom prst="rect">
                      <a:avLst/>
                    </a:prstGeom>
                    <a:noFill/>
                  </pic:spPr>
                </pic:pic>
              </a:graphicData>
            </a:graphic>
          </wp:inline>
        </w:drawing>
      </w:r>
    </w:p>
    <w:p w:rsidR="00A242D9" w:rsidRDefault="00A242D9" w:rsidP="0002616C">
      <w:r>
        <w:t>In 2018-19, Australia’s expenditure on investments that targeted gender equality as a principal or significant objective was $1.3 billion.</w:t>
      </w:r>
      <w:r>
        <w:rPr>
          <w:vertAlign w:val="superscript"/>
        </w:rPr>
        <w:footnoteReference w:id="8"/>
      </w:r>
      <w:r>
        <w:t xml:space="preserve"> This amounts to 46 per cent of DFAT’s country, regional and global </w:t>
      </w:r>
      <w:r w:rsidRPr="00DE6DE6">
        <w:t>aid</w:t>
      </w:r>
      <w:r>
        <w:t xml:space="preserve"> investments by value across a range of sectors (Figure </w:t>
      </w:r>
      <w:r w:rsidR="0020656B">
        <w:t>3</w:t>
      </w:r>
      <w:r>
        <w:t xml:space="preserve">). Investments where gender equality is integrated as a secondary (significant) objective continue </w:t>
      </w:r>
      <w:r w:rsidRPr="009A4021">
        <w:t>to account for most of our</w:t>
      </w:r>
      <w:r>
        <w:t xml:space="preserve"> expenditure towards gender equality.</w:t>
      </w:r>
    </w:p>
    <w:p w:rsidR="00A242D9" w:rsidRDefault="00A242D9" w:rsidP="0002616C">
      <w:r>
        <w:lastRenderedPageBreak/>
        <w:t xml:space="preserve">In 2017-18, DFAT applied for the first time the OECD/DAC Minimum Recommended Criteria for gender-focused </w:t>
      </w:r>
      <w:r w:rsidR="00D0013A">
        <w:t>ODA</w:t>
      </w:r>
      <w:r>
        <w:t xml:space="preserve"> expenditure reporting. This means that all </w:t>
      </w:r>
      <w:r w:rsidR="00D0013A">
        <w:t>ODA</w:t>
      </w:r>
      <w:r>
        <w:t xml:space="preserve"> classified as contributing to gender equality has been carefully screened to confirm that is informed by gender analysis, aimed at narrowing gender equality gaps, tracks results for gender equality, and is managed on the basis of reducing unintended negative consequences for women and girls. As a result of this change in methodology, gender expenditure data for the past two years is not comparable with data for previous years.</w:t>
      </w:r>
    </w:p>
    <w:p w:rsidR="00283153" w:rsidRPr="00F16CDF" w:rsidRDefault="00283153" w:rsidP="00311C8B">
      <w:pPr>
        <w:pStyle w:val="Heading3"/>
      </w:pPr>
      <w:bookmarkStart w:id="7" w:name="_Toc53572143"/>
      <w:r w:rsidRPr="00F16CDF">
        <w:t>Target 7: Working with the most effective partners</w:t>
      </w:r>
      <w:bookmarkEnd w:id="7"/>
    </w:p>
    <w:p w:rsidR="00283153" w:rsidRDefault="00283153" w:rsidP="00283153">
      <w:pPr>
        <w:pStyle w:val="03bTARGETDESCRIPTION"/>
      </w:pPr>
      <w:r>
        <w:t xml:space="preserve">By July 2015, design and apply new systems to assess the performance of the </w:t>
      </w:r>
      <w:r w:rsidR="006C13F8">
        <w:t>development</w:t>
      </w:r>
      <w:r>
        <w:t xml:space="preserve"> program’s key delivery partners and ensure stronger links between performance and funding</w:t>
      </w:r>
    </w:p>
    <w:p w:rsidR="00283153" w:rsidRDefault="00283153" w:rsidP="00283153">
      <w:pPr>
        <w:pStyle w:val="04BODYTEXT"/>
        <w:rPr>
          <w:rStyle w:val="Bold"/>
          <w:color w:val="4B9462"/>
        </w:rPr>
      </w:pPr>
      <w:r>
        <w:rPr>
          <w:rStyle w:val="Bold"/>
        </w:rPr>
        <w:t xml:space="preserve">Status: </w:t>
      </w:r>
      <w:r>
        <w:rPr>
          <w:rStyle w:val="Bold"/>
          <w:color w:val="4B9462"/>
        </w:rPr>
        <w:t>Achieved</w:t>
      </w:r>
    </w:p>
    <w:p w:rsidR="0074070F" w:rsidRDefault="0074070F" w:rsidP="0002616C">
      <w:r>
        <w:t xml:space="preserve">Partner Performance Assessments (PPAs) review how well key implementing partners (commercial partners, multilateral organisations and NGOs) are delivering the services specified in funding agreements. </w:t>
      </w:r>
      <w:r w:rsidR="00892569">
        <w:t xml:space="preserve"> </w:t>
      </w:r>
    </w:p>
    <w:p w:rsidR="00CA1955" w:rsidRDefault="00283153" w:rsidP="00CA1955">
      <w:pPr>
        <w:pStyle w:val="07FIGUREHEADING"/>
        <w:spacing w:before="0" w:after="120" w:line="240" w:lineRule="auto"/>
        <w:ind w:left="0" w:firstLine="0"/>
      </w:pPr>
      <w:r>
        <w:t>Table 2: PPA completed by delivery partner type, 201</w:t>
      </w:r>
      <w:r w:rsidR="000E4D98">
        <w:t>8</w:t>
      </w:r>
      <w:r>
        <w:t>-1</w:t>
      </w:r>
      <w:r w:rsidR="000E4D98">
        <w:t>9</w:t>
      </w:r>
    </w:p>
    <w:p w:rsidR="00BF7047" w:rsidRDefault="00BF7047" w:rsidP="00CA1955">
      <w:pPr>
        <w:pStyle w:val="07FIGUREHEADING"/>
        <w:spacing w:before="0" w:after="120" w:line="240" w:lineRule="auto"/>
        <w:ind w:left="0" w:firstLine="0"/>
      </w:pPr>
      <w:r w:rsidRPr="00BF7047">
        <w:rPr>
          <w:noProof/>
          <w:lang w:val="en-AU" w:eastAsia="en-AU"/>
        </w:rPr>
        <w:drawing>
          <wp:inline distT="0" distB="0" distL="0" distR="0" wp14:anchorId="42C08C4B" wp14:editId="16B16651">
            <wp:extent cx="5727700" cy="18542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0" cy="1854200"/>
                    </a:xfrm>
                    <a:prstGeom prst="rect">
                      <a:avLst/>
                    </a:prstGeom>
                    <a:noFill/>
                    <a:ln>
                      <a:noFill/>
                    </a:ln>
                  </pic:spPr>
                </pic:pic>
              </a:graphicData>
            </a:graphic>
          </wp:inline>
        </w:drawing>
      </w:r>
    </w:p>
    <w:p w:rsidR="00892569" w:rsidRDefault="00892569" w:rsidP="0002616C">
      <w:pPr>
        <w:rPr>
          <w:lang w:val="en-US"/>
        </w:rPr>
      </w:pPr>
      <w:r>
        <w:rPr>
          <w:lang w:val="en-US"/>
        </w:rPr>
        <w:t>The results of PPA assessments (Table 3) indicate that the three main delivery partner categories are all performing to an adequate level or better. Over 95</w:t>
      </w:r>
      <w:r>
        <w:rPr>
          <w:rtl/>
          <w:lang w:bidi="ar-YE"/>
        </w:rPr>
        <w:t> </w:t>
      </w:r>
      <w:r>
        <w:rPr>
          <w:lang w:val="en-US"/>
        </w:rPr>
        <w:t>per cent of assessments completed had ratings of adequate (4) or higher on a scale of 1 to 6</w:t>
      </w:r>
    </w:p>
    <w:p w:rsidR="00BF7047" w:rsidRDefault="00283153" w:rsidP="00BF7047">
      <w:pPr>
        <w:pStyle w:val="07FIGUREHEADING"/>
        <w:spacing w:before="240" w:after="120" w:line="240" w:lineRule="auto"/>
        <w:ind w:left="0" w:firstLine="0"/>
      </w:pPr>
      <w:r>
        <w:t>Table 3: Average PPA rating score by delivery partner type, 201</w:t>
      </w:r>
      <w:r w:rsidR="000E4D98">
        <w:t>8</w:t>
      </w:r>
      <w:r>
        <w:t>-1</w:t>
      </w:r>
      <w:r w:rsidR="000E4D98">
        <w:t>9</w:t>
      </w:r>
      <w:r w:rsidR="00BF7047" w:rsidRPr="00BF7047">
        <w:rPr>
          <w:noProof/>
          <w:lang w:val="en-AU" w:eastAsia="en-AU"/>
        </w:rPr>
        <w:drawing>
          <wp:inline distT="0" distB="0" distL="0" distR="0" wp14:anchorId="756273FE" wp14:editId="0EA57B5B">
            <wp:extent cx="5734050" cy="1244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44600"/>
                    </a:xfrm>
                    <a:prstGeom prst="rect">
                      <a:avLst/>
                    </a:prstGeom>
                    <a:noFill/>
                    <a:ln>
                      <a:noFill/>
                    </a:ln>
                  </pic:spPr>
                </pic:pic>
              </a:graphicData>
            </a:graphic>
          </wp:inline>
        </w:drawing>
      </w:r>
    </w:p>
    <w:p w:rsidR="00283153" w:rsidRPr="00F16CDF" w:rsidRDefault="00283153" w:rsidP="00311C8B">
      <w:pPr>
        <w:pStyle w:val="Heading3"/>
      </w:pPr>
      <w:bookmarkStart w:id="8" w:name="_Toc53572144"/>
      <w:r w:rsidRPr="00F16CDF">
        <w:t>Target 8: Ensuring value for money</w:t>
      </w:r>
      <w:bookmarkEnd w:id="8"/>
    </w:p>
    <w:p w:rsidR="00283153" w:rsidRDefault="00283153" w:rsidP="00283153">
      <w:pPr>
        <w:pStyle w:val="03bTARGETDESCRIPTION"/>
      </w:pPr>
      <w:r>
        <w:t xml:space="preserve">Deliver high standards of value for money in at least 85 per cent of </w:t>
      </w:r>
      <w:r w:rsidRPr="00A664C5">
        <w:t>aid</w:t>
      </w:r>
      <w:r>
        <w:t xml:space="preserve"> investments. Where standards are not met and improvements are not achieved within a year, investments will be cancelled</w:t>
      </w:r>
    </w:p>
    <w:p w:rsidR="00283153" w:rsidRDefault="00283153" w:rsidP="00283153">
      <w:pPr>
        <w:pStyle w:val="04BODYTEXT"/>
        <w:rPr>
          <w:rStyle w:val="Bold"/>
          <w:color w:val="4B9462"/>
        </w:rPr>
      </w:pPr>
      <w:r>
        <w:rPr>
          <w:rStyle w:val="Bold"/>
        </w:rPr>
        <w:t xml:space="preserve">Status: </w:t>
      </w:r>
      <w:r>
        <w:rPr>
          <w:rStyle w:val="Bold"/>
          <w:color w:val="4B9462"/>
        </w:rPr>
        <w:t>Achieved</w:t>
      </w:r>
    </w:p>
    <w:p w:rsidR="00283153" w:rsidRPr="0002616C" w:rsidRDefault="00283153" w:rsidP="00283153">
      <w:pPr>
        <w:pStyle w:val="04BODYTEXT"/>
        <w:rPr>
          <w:rStyle w:val="Bold"/>
          <w:sz w:val="20"/>
        </w:rPr>
      </w:pPr>
      <w:r w:rsidRPr="0002616C">
        <w:rPr>
          <w:rStyle w:val="Bold"/>
          <w:sz w:val="20"/>
        </w:rPr>
        <w:t>This target was achieved in 201</w:t>
      </w:r>
      <w:r w:rsidR="000E4D98" w:rsidRPr="0002616C">
        <w:rPr>
          <w:rStyle w:val="Bold"/>
          <w:sz w:val="20"/>
        </w:rPr>
        <w:t>8</w:t>
      </w:r>
      <w:r w:rsidRPr="0002616C">
        <w:rPr>
          <w:rStyle w:val="Bold"/>
          <w:sz w:val="20"/>
        </w:rPr>
        <w:t>-1</w:t>
      </w:r>
      <w:r w:rsidR="000E4D98" w:rsidRPr="0002616C">
        <w:rPr>
          <w:rStyle w:val="Bold"/>
          <w:sz w:val="20"/>
        </w:rPr>
        <w:t>9</w:t>
      </w:r>
      <w:r w:rsidRPr="0002616C">
        <w:rPr>
          <w:rStyle w:val="Bold"/>
          <w:sz w:val="20"/>
        </w:rPr>
        <w:t xml:space="preserve"> with 9</w:t>
      </w:r>
      <w:r w:rsidR="000E4D98" w:rsidRPr="0002616C">
        <w:rPr>
          <w:rStyle w:val="Bold"/>
          <w:sz w:val="20"/>
        </w:rPr>
        <w:t>3</w:t>
      </w:r>
      <w:r w:rsidRPr="0002616C">
        <w:rPr>
          <w:rStyle w:val="Bold"/>
          <w:sz w:val="20"/>
        </w:rPr>
        <w:t> per cent of investments rated as satisfactory for effectiveness and 8</w:t>
      </w:r>
      <w:r w:rsidR="000E4D98" w:rsidRPr="0002616C">
        <w:rPr>
          <w:rStyle w:val="Bold"/>
          <w:sz w:val="20"/>
        </w:rPr>
        <w:t>9</w:t>
      </w:r>
      <w:r w:rsidRPr="0002616C">
        <w:rPr>
          <w:rStyle w:val="Bold"/>
          <w:sz w:val="20"/>
        </w:rPr>
        <w:t> per cent of investments rated as satisfactory for efficiency.</w:t>
      </w:r>
    </w:p>
    <w:p w:rsidR="000E4D98" w:rsidRDefault="000E4D98" w:rsidP="0002616C">
      <w:r>
        <w:t xml:space="preserve">DFAT </w:t>
      </w:r>
      <w:r w:rsidR="004B1615">
        <w:t>applies</w:t>
      </w:r>
      <w:r>
        <w:t xml:space="preserve"> value for money considerations across all </w:t>
      </w:r>
      <w:r w:rsidR="00D0013A">
        <w:t>development program</w:t>
      </w:r>
      <w:r>
        <w:t xml:space="preserve"> management policies, practices and investments. Data to track progress towards this target is drawn from annual Aid Quality Checks. Investments rated as satisfactory against the efficiency and effectiveness criteria are considered to be delivering high standards of value for money.</w:t>
      </w:r>
    </w:p>
    <w:p w:rsidR="00283153" w:rsidRDefault="000E4D98" w:rsidP="0002616C">
      <w:r>
        <w:lastRenderedPageBreak/>
        <w:t>Annual effectiveness outcomes have ranged between 8</w:t>
      </w:r>
      <w:r w:rsidR="00E3276F">
        <w:t>7</w:t>
      </w:r>
      <w:r>
        <w:t> per cent and 93 per cent since</w:t>
      </w:r>
      <w:r w:rsidR="00E3276F">
        <w:t xml:space="preserve"> 2014-15 (Figure </w:t>
      </w:r>
      <w:r w:rsidR="0020656B">
        <w:t>4</w:t>
      </w:r>
      <w:r w:rsidR="00E3276F">
        <w:t>).</w:t>
      </w:r>
      <w:r>
        <w:t xml:space="preserve"> Efficiency outcomes</w:t>
      </w:r>
      <w:r w:rsidR="00E3276F">
        <w:t xml:space="preserve"> have ranged between</w:t>
      </w:r>
      <w:r>
        <w:t xml:space="preserve"> </w:t>
      </w:r>
      <w:r w:rsidR="00E3276F">
        <w:t>85 per cent and 89 per cent for the same period</w:t>
      </w:r>
      <w:r>
        <w:t xml:space="preserve">. </w:t>
      </w:r>
      <w:r w:rsidR="00283153">
        <w:t xml:space="preserve"> </w:t>
      </w:r>
    </w:p>
    <w:p w:rsidR="00283153" w:rsidRDefault="00283153" w:rsidP="00723CC9">
      <w:pPr>
        <w:pStyle w:val="07FIGUREHEADING"/>
        <w:tabs>
          <w:tab w:val="left" w:pos="1020"/>
        </w:tabs>
        <w:spacing w:before="240" w:after="0" w:line="240" w:lineRule="auto"/>
      </w:pPr>
      <w:r>
        <w:t xml:space="preserve">Figure </w:t>
      </w:r>
      <w:r w:rsidR="0020656B">
        <w:t>4</w:t>
      </w:r>
      <w:r>
        <w:t xml:space="preserve">: </w:t>
      </w:r>
      <w:r>
        <w:tab/>
        <w:t xml:space="preserve">Percentage of investments with satisfactory ratings for efficiency and effectiveness, </w:t>
      </w:r>
      <w:r w:rsidR="002A4215">
        <w:br/>
      </w:r>
      <w:r>
        <w:t>201</w:t>
      </w:r>
      <w:r w:rsidR="00B51F51">
        <w:t>4</w:t>
      </w:r>
      <w:r>
        <w:t>-1</w:t>
      </w:r>
      <w:r w:rsidR="00B51F51">
        <w:t>5</w:t>
      </w:r>
      <w:r>
        <w:t xml:space="preserve"> to 201</w:t>
      </w:r>
      <w:r w:rsidR="00E3387D">
        <w:t>8</w:t>
      </w:r>
      <w:r>
        <w:t>-1</w:t>
      </w:r>
      <w:r w:rsidR="00E3387D">
        <w:t>9</w:t>
      </w:r>
    </w:p>
    <w:p w:rsidR="00BF7047" w:rsidRDefault="00BF7047" w:rsidP="00723CC9">
      <w:pPr>
        <w:pStyle w:val="07FIGUREHEADING"/>
        <w:tabs>
          <w:tab w:val="left" w:pos="1020"/>
        </w:tabs>
        <w:spacing w:before="240" w:after="0" w:line="240" w:lineRule="auto"/>
      </w:pPr>
      <w:r>
        <w:rPr>
          <w:noProof/>
          <w:lang w:val="en-AU" w:eastAsia="en-AU"/>
        </w:rPr>
        <w:drawing>
          <wp:inline distT="0" distB="0" distL="0" distR="0" wp14:anchorId="7F6DCF7D" wp14:editId="26A2E3DE">
            <wp:extent cx="5761355" cy="2152015"/>
            <wp:effectExtent l="0" t="0" r="0" b="635"/>
            <wp:docPr id="34" name="Picture 34" descr="This chart shows the proportion of Australian aid investments that were rated satisfactory for both Effectiveness and Efficiency between 2014-15 and 2018-19."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2152015"/>
                    </a:xfrm>
                    <a:prstGeom prst="rect">
                      <a:avLst/>
                    </a:prstGeom>
                    <a:noFill/>
                  </pic:spPr>
                </pic:pic>
              </a:graphicData>
            </a:graphic>
          </wp:inline>
        </w:drawing>
      </w:r>
    </w:p>
    <w:p w:rsidR="00283153" w:rsidRDefault="00283153" w:rsidP="00283153">
      <w:pPr>
        <w:pStyle w:val="04BODYTEXT"/>
        <w:rPr>
          <w:b/>
          <w:bCs/>
        </w:rPr>
      </w:pPr>
    </w:p>
    <w:p w:rsidR="00E3387D" w:rsidRPr="0068449A" w:rsidRDefault="00E3387D" w:rsidP="00A90D4A">
      <w:pPr>
        <w:rPr>
          <w:lang w:val="en-GB"/>
        </w:rPr>
      </w:pPr>
      <w:r w:rsidRPr="0068449A">
        <w:rPr>
          <w:lang w:val="en-GB"/>
        </w:rPr>
        <w:t xml:space="preserve">In 2018-19, the Office of Development Effectiveness validated the ratings of the 48 investments that completed Final AQCs. The outcome of this process resulted in the effectiveness ratings of 2 investments being changed from satisfactory to unsatisfactory and the efficiency ratings of six investments being changed from satisfactory to unsatisfactory. Figure </w:t>
      </w:r>
      <w:r w:rsidR="00B6783C">
        <w:rPr>
          <w:lang w:val="en-GB"/>
        </w:rPr>
        <w:t>4</w:t>
      </w:r>
      <w:r w:rsidRPr="0068449A">
        <w:rPr>
          <w:lang w:val="en-GB"/>
        </w:rPr>
        <w:t xml:space="preserve"> reflects these changed ratings.</w:t>
      </w:r>
    </w:p>
    <w:p w:rsidR="005C0064" w:rsidRDefault="00E3387D" w:rsidP="00A90D4A">
      <w:r>
        <w:t>This strategic target also requires the identification of underperforming investments based on unsatisfactory ratings for both effectiveness and efficiency criteria. In 2018-19</w:t>
      </w:r>
      <w:r w:rsidRPr="00153F59">
        <w:t xml:space="preserve">, </w:t>
      </w:r>
      <w:r>
        <w:t>10</w:t>
      </w:r>
      <w:r w:rsidRPr="00153F59">
        <w:t xml:space="preserve"> investments</w:t>
      </w:r>
      <w:r>
        <w:t xml:space="preserve"> were identified as Investments Requiring Improvement. If performance does not improve for each investment within 12 months, they are subject to cancellation. In 2017-18, 17 investments were identified as Investments Requiring Improvement. Of these 17 investments, one investment w</w:t>
      </w:r>
      <w:r w:rsidR="00C764AA">
        <w:t>as a</w:t>
      </w:r>
      <w:r>
        <w:t>gain assessed in 2018-19 as unsatisfactory and has ended. </w:t>
      </w:r>
      <w:r w:rsidR="00283153">
        <w:t xml:space="preserve"> </w:t>
      </w:r>
    </w:p>
    <w:p w:rsidR="004E13B0" w:rsidRPr="004E13B0" w:rsidRDefault="004E13B0" w:rsidP="004E13B0">
      <w:pPr>
        <w:rPr>
          <w:lang w:val="en-GB"/>
        </w:rPr>
      </w:pPr>
    </w:p>
    <w:p w:rsidR="008D7786" w:rsidRPr="00311C8B" w:rsidRDefault="00283153" w:rsidP="00311C8B">
      <w:pPr>
        <w:pStyle w:val="Heading2"/>
      </w:pPr>
      <w:bookmarkStart w:id="9" w:name="_Toc53572145"/>
      <w:r w:rsidRPr="00311C8B">
        <w:t>Chapter 2</w:t>
      </w:r>
      <w:r w:rsidR="001422BD" w:rsidRPr="00311C8B">
        <w:br/>
      </w:r>
      <w:r w:rsidRPr="00311C8B">
        <w:t>Country and regional program performanc</w:t>
      </w:r>
      <w:r w:rsidR="008D7786" w:rsidRPr="00311C8B">
        <w:t>e</w:t>
      </w:r>
      <w:bookmarkEnd w:id="9"/>
    </w:p>
    <w:p w:rsidR="007E59B0" w:rsidRDefault="00283153" w:rsidP="007E59B0">
      <w:r>
        <w:t>This chapter summarises the performance of Australia’s country and regional</w:t>
      </w:r>
      <w:r w:rsidR="007E59B0">
        <w:t xml:space="preserve"> </w:t>
      </w:r>
      <w:r w:rsidR="006C13F8">
        <w:t>development</w:t>
      </w:r>
      <w:r w:rsidR="007E59B0">
        <w:t xml:space="preserve"> programs. It highlights</w:t>
      </w:r>
      <w:r>
        <w:t xml:space="preserve"> pe</w:t>
      </w:r>
      <w:r w:rsidR="007E59B0">
        <w:t>rformance trends for</w:t>
      </w:r>
      <w:r>
        <w:t xml:space="preserve"> four regional groups: Pacific; Southeast and East Asia; South and West Asia; and Africa, the Middle East and other regions. </w:t>
      </w:r>
      <w:r w:rsidR="007E59B0">
        <w:t xml:space="preserve">For country and regional programs, performance is assessed each year and </w:t>
      </w:r>
      <w:r w:rsidR="004B1615">
        <w:t xml:space="preserve">has been </w:t>
      </w:r>
      <w:r w:rsidR="007E59B0">
        <w:t>published in Aid Program Performance Reports (APPRs).</w:t>
      </w:r>
      <w:r w:rsidR="007E59B0">
        <w:rPr>
          <w:vertAlign w:val="superscript"/>
          <w:lang w:val="en-US"/>
        </w:rPr>
        <w:footnoteReference w:id="9"/>
      </w:r>
      <w:r w:rsidR="007E59B0">
        <w:t xml:space="preserve"> Assessments of performance made against program objectives contained in Aid Investment Plans for each country or regional program</w:t>
      </w:r>
      <w:r w:rsidR="004B1615">
        <w:t xml:space="preserve"> have been</w:t>
      </w:r>
      <w:r w:rsidR="007E59B0">
        <w:t xml:space="preserve"> expressed as one of three ratings: progress towards objectives is on track; progress is less than expected; or progress is not on track.</w:t>
      </w:r>
    </w:p>
    <w:p w:rsidR="00283153" w:rsidRDefault="00283153" w:rsidP="00A90D4A">
      <w:pPr>
        <w:rPr>
          <w:vertAlign w:val="superscript"/>
          <w:lang w:val="en-US"/>
        </w:rPr>
      </w:pPr>
      <w:r>
        <w:t>Individual country and regional programs achieved significant results in 201</w:t>
      </w:r>
      <w:r w:rsidR="00E3387D">
        <w:t>8</w:t>
      </w:r>
      <w:r>
        <w:t>-1</w:t>
      </w:r>
      <w:r w:rsidR="00E3387D">
        <w:t>9</w:t>
      </w:r>
      <w:r>
        <w:t xml:space="preserve">. These results </w:t>
      </w:r>
      <w:r w:rsidR="004B1615">
        <w:t>have been</w:t>
      </w:r>
      <w:r>
        <w:t xml:space="preserve"> </w:t>
      </w:r>
      <w:r w:rsidR="007E59B0">
        <w:t>published in APPRs</w:t>
      </w:r>
      <w:r>
        <w:t xml:space="preserve"> and are not repeated in this report.</w:t>
      </w:r>
    </w:p>
    <w:p w:rsidR="00C36565" w:rsidRDefault="00283153" w:rsidP="004A593F">
      <w:pPr>
        <w:pStyle w:val="07FIGUREHEADING"/>
        <w:spacing w:before="240" w:after="0" w:line="240" w:lineRule="auto"/>
        <w:ind w:left="0" w:firstLine="0"/>
      </w:pPr>
      <w:r>
        <w:lastRenderedPageBreak/>
        <w:t xml:space="preserve">Figure </w:t>
      </w:r>
      <w:r w:rsidR="0020656B">
        <w:t>5</w:t>
      </w:r>
      <w:r>
        <w:t>: Progress against program objectives by region, 201</w:t>
      </w:r>
      <w:r w:rsidR="00E3387D">
        <w:t>8</w:t>
      </w:r>
      <w:r>
        <w:t>-1</w:t>
      </w:r>
      <w:r w:rsidR="00E3387D">
        <w:t>9</w:t>
      </w:r>
      <w:r>
        <w:t xml:space="preserve"> </w:t>
      </w:r>
    </w:p>
    <w:p w:rsidR="00874074" w:rsidRDefault="004A593F" w:rsidP="004A593F">
      <w:pPr>
        <w:pStyle w:val="07FIGUREHEADING"/>
        <w:spacing w:before="0" w:after="120" w:line="240" w:lineRule="auto"/>
        <w:ind w:left="0" w:firstLine="0"/>
      </w:pPr>
      <w:r>
        <w:rPr>
          <w:noProof/>
          <w:lang w:val="en-AU" w:eastAsia="en-AU"/>
        </w:rPr>
        <w:drawing>
          <wp:inline distT="0" distB="0" distL="0" distR="0" wp14:anchorId="6266BD7C" wp14:editId="78921230">
            <wp:extent cx="6017260" cy="1798320"/>
            <wp:effectExtent l="0" t="0" r="2540" b="0"/>
            <wp:docPr id="36" name="Picture 36" descr="This chart shows the progress made against program objectives as a percentage for geographic regions in 2018-19 "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283153" w:rsidRPr="00723CC9" w:rsidRDefault="00283153" w:rsidP="00FF368B">
      <w:pPr>
        <w:spacing w:before="240"/>
        <w:rPr>
          <w:rStyle w:val="FootnoteReference"/>
          <w:rFonts w:ascii="Calibri Light" w:hAnsi="Calibri Light" w:cs="Calibri Light"/>
        </w:rPr>
      </w:pPr>
      <w:r w:rsidRPr="00A90D4A">
        <w:t xml:space="preserve">Performance benchmarks, together with other monitoring and evaluation indicators, </w:t>
      </w:r>
      <w:r w:rsidR="004B1615">
        <w:t>have been</w:t>
      </w:r>
      <w:r w:rsidRPr="00A90D4A">
        <w:t xml:space="preserve"> used to assess progress against Aid Investment Plan objectives. Progress against each benchmark </w:t>
      </w:r>
      <w:r w:rsidR="004B1615">
        <w:t>has been</w:t>
      </w:r>
      <w:r w:rsidRPr="00A90D4A">
        <w:t xml:space="preserve"> reported in A</w:t>
      </w:r>
      <w:r w:rsidR="006C13F8">
        <w:t>PPRs</w:t>
      </w:r>
      <w:r w:rsidRPr="00A90D4A">
        <w:t>.</w:t>
      </w:r>
      <w:r w:rsidRPr="00723CC9">
        <w:t xml:space="preserve"> P</w:t>
      </w:r>
      <w:r w:rsidR="00A55295">
        <w:t>rogress</w:t>
      </w:r>
      <w:r w:rsidRPr="00723CC9">
        <w:t xml:space="preserve"> against </w:t>
      </w:r>
      <w:r w:rsidR="007A2C04">
        <w:t xml:space="preserve">program </w:t>
      </w:r>
      <w:r w:rsidRPr="00723CC9">
        <w:t>objectives and benchmarks for individual country and regional programs</w:t>
      </w:r>
      <w:r w:rsidR="00A55295">
        <w:t xml:space="preserve"> </w:t>
      </w:r>
      <w:r w:rsidRPr="00723CC9">
        <w:t>is summarised by region below.</w:t>
      </w:r>
      <w:r w:rsidRPr="00723CC9">
        <w:rPr>
          <w:vertAlign w:val="superscript"/>
        </w:rPr>
        <w:footnoteReference w:id="10"/>
      </w:r>
      <w:r w:rsidR="00F61ADC">
        <w:t xml:space="preserve"> </w:t>
      </w:r>
      <w:r w:rsidR="00A55295">
        <w:t>Performance against investment quality criteria is also summarised by region.</w:t>
      </w:r>
      <w:r w:rsidR="00A55295">
        <w:rPr>
          <w:rStyle w:val="FootnoteReference"/>
        </w:rPr>
        <w:footnoteReference w:id="11"/>
      </w:r>
    </w:p>
    <w:p w:rsidR="00283153" w:rsidRPr="00F16CDF" w:rsidRDefault="00283153" w:rsidP="00311C8B">
      <w:pPr>
        <w:pStyle w:val="Heading3"/>
      </w:pPr>
      <w:bookmarkStart w:id="10" w:name="_Toc53572146"/>
      <w:r w:rsidRPr="00F16CDF">
        <w:t>Pacific</w:t>
      </w:r>
      <w:bookmarkEnd w:id="10"/>
    </w:p>
    <w:p w:rsidR="00B461A3" w:rsidRDefault="002F2AC6" w:rsidP="00A90D4A">
      <w:r>
        <w:t xml:space="preserve">In 2018-19, 69 per cent of Pacific country and regional program objectives were assessed as on track (Figure </w:t>
      </w:r>
      <w:r w:rsidR="007A2C04">
        <w:t>5</w:t>
      </w:r>
      <w:r>
        <w:t xml:space="preserve">), reflecting the challenging operating environment in the Pacific. </w:t>
      </w:r>
      <w:r w:rsidR="004B1615">
        <w:t>T</w:t>
      </w:r>
      <w:r>
        <w:t>his outcome was higher than the five year average of</w:t>
      </w:r>
      <w:r w:rsidR="006E5686">
        <w:t xml:space="preserve"> 62 per cent.  </w:t>
      </w:r>
      <w:r>
        <w:t xml:space="preserve">Pacific programs have identified management actions to improve program performance. These actions </w:t>
      </w:r>
      <w:r w:rsidR="004B1615">
        <w:t>have been</w:t>
      </w:r>
      <w:r>
        <w:t xml:space="preserve"> set out in country and regional A</w:t>
      </w:r>
      <w:r w:rsidR="007E59B0">
        <w:t>PPRs</w:t>
      </w:r>
      <w:r>
        <w:t>.</w:t>
      </w:r>
    </w:p>
    <w:p w:rsidR="00582AF0" w:rsidRDefault="00582AF0" w:rsidP="004600DE">
      <w:pPr>
        <w:spacing w:before="240"/>
      </w:pPr>
      <w:r>
        <w:t xml:space="preserve">Progress against performance benchmarks by Pacific programs was mixed, with 55 per cent of benchmarks achieved and 32 per cent partly achieved (Figure </w:t>
      </w:r>
      <w:r w:rsidR="006E5686">
        <w:t>6</w:t>
      </w:r>
      <w:r>
        <w:t>)</w:t>
      </w:r>
      <w:r w:rsidR="00D729C9">
        <w:t xml:space="preserve">. Seven benchmarks (nine per cent) </w:t>
      </w:r>
      <w:r>
        <w:t>were not achieved.</w:t>
      </w:r>
      <w:r w:rsidR="006E5686">
        <w:t xml:space="preserve">  </w:t>
      </w:r>
    </w:p>
    <w:p w:rsidR="00582AF0" w:rsidRDefault="00582AF0" w:rsidP="00CE1FF3">
      <w:pPr>
        <w:pStyle w:val="07FIGUREHEADING"/>
        <w:spacing w:before="240" w:after="120" w:line="240" w:lineRule="auto"/>
      </w:pPr>
      <w:r>
        <w:lastRenderedPageBreak/>
        <w:t xml:space="preserve">Figure </w:t>
      </w:r>
      <w:r w:rsidR="006E5686">
        <w:t>6</w:t>
      </w:r>
      <w:r>
        <w:t>: Progress against performance benchmarks: Pacific, 2018-19</w:t>
      </w:r>
    </w:p>
    <w:p w:rsidR="0089063E" w:rsidRDefault="0089063E" w:rsidP="00CE1FF3">
      <w:pPr>
        <w:pStyle w:val="07FIGUREHEADING"/>
        <w:spacing w:before="240" w:after="120" w:line="240" w:lineRule="auto"/>
      </w:pPr>
      <w:r>
        <w:rPr>
          <w:noProof/>
          <w:lang w:val="en-AU" w:eastAsia="en-AU"/>
        </w:rPr>
        <w:drawing>
          <wp:inline distT="0" distB="0" distL="0" distR="0" wp14:anchorId="266C5BD7" wp14:editId="5C4AA335">
            <wp:extent cx="5759762" cy="2457907"/>
            <wp:effectExtent l="0" t="0" r="0" b="0"/>
            <wp:docPr id="38" name="Picture 38" descr="This chart shows the progress made against performance benchmarks in 2018-19 for country /regional development programs in the Pacific region."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7208" cy="2469619"/>
                    </a:xfrm>
                    <a:prstGeom prst="rect">
                      <a:avLst/>
                    </a:prstGeom>
                    <a:noFill/>
                  </pic:spPr>
                </pic:pic>
              </a:graphicData>
            </a:graphic>
          </wp:inline>
        </w:drawing>
      </w:r>
    </w:p>
    <w:p w:rsidR="006E5686" w:rsidRDefault="006E5686" w:rsidP="00BE5EE9"/>
    <w:p w:rsidR="00BE5EE9" w:rsidRPr="00513F88" w:rsidRDefault="00BE5EE9" w:rsidP="00BE5EE9">
      <w:r w:rsidRPr="00513F88">
        <w:t xml:space="preserve">The ratings for Australia’s investment performance in the Pacific in 2018-19 exceeded the whole of </w:t>
      </w:r>
      <w:r w:rsidR="006C13F8">
        <w:t>development</w:t>
      </w:r>
      <w:r w:rsidRPr="00513F88">
        <w:t xml:space="preserve"> program </w:t>
      </w:r>
      <w:r w:rsidR="007E59B0">
        <w:t xml:space="preserve">outcome </w:t>
      </w:r>
      <w:r w:rsidRPr="00513F88">
        <w:t>for efficiency and were marginally below the whole of program ratings for effectiveness</w:t>
      </w:r>
      <w:r>
        <w:t xml:space="preserve"> (Figure</w:t>
      </w:r>
      <w:r w:rsidR="00D03E2F">
        <w:t> 7</w:t>
      </w:r>
      <w:r>
        <w:t>)</w:t>
      </w:r>
      <w:r w:rsidRPr="00513F88">
        <w:t xml:space="preserve">. Effectiveness and efficiency ratings exceeded the five year averages of 89 per cent and 83 per cent respectively. Ratings for gender equality exceeded the five year average of 75 per cent. </w:t>
      </w:r>
    </w:p>
    <w:p w:rsidR="00BE5EE9" w:rsidRPr="00FF323D" w:rsidRDefault="00BE5EE9" w:rsidP="00BE5EE9">
      <w:r w:rsidRPr="006341AC">
        <w:t>Of the se</w:t>
      </w:r>
      <w:r w:rsidR="007E59B0" w:rsidRPr="006341AC">
        <w:t>v</w:t>
      </w:r>
      <w:r w:rsidRPr="006341AC">
        <w:t xml:space="preserve">en investments identified as requiring improvement in 2017-18, </w:t>
      </w:r>
      <w:r w:rsidR="006341AC" w:rsidRPr="006341AC">
        <w:t>six</w:t>
      </w:r>
      <w:r w:rsidRPr="006341AC">
        <w:t xml:space="preserve"> improved performance or were completed</w:t>
      </w:r>
      <w:r w:rsidR="006341AC" w:rsidRPr="006341AC">
        <w:t xml:space="preserve"> in 2018-19</w:t>
      </w:r>
      <w:r w:rsidRPr="006341AC">
        <w:t xml:space="preserve">. </w:t>
      </w:r>
      <w:r w:rsidR="006341AC" w:rsidRPr="006341AC">
        <w:t>One</w:t>
      </w:r>
      <w:r w:rsidRPr="006341AC">
        <w:t xml:space="preserve"> investment</w:t>
      </w:r>
      <w:r w:rsidR="006341AC" w:rsidRPr="006341AC">
        <w:t xml:space="preserve"> was </w:t>
      </w:r>
      <w:r w:rsidRPr="006341AC">
        <w:t>again assessed as unsatisfactory and ha</w:t>
      </w:r>
      <w:r w:rsidR="006341AC" w:rsidRPr="006341AC">
        <w:t>s been closed</w:t>
      </w:r>
      <w:r w:rsidRPr="006341AC">
        <w:t xml:space="preserve">. </w:t>
      </w:r>
      <w:r w:rsidR="006341AC" w:rsidRPr="00FF323D">
        <w:t>Three</w:t>
      </w:r>
      <w:r w:rsidRPr="00FF323D">
        <w:t xml:space="preserve"> investments were identified as requiring improvement based on 201</w:t>
      </w:r>
      <w:r w:rsidR="006341AC" w:rsidRPr="00FF323D">
        <w:t>8</w:t>
      </w:r>
      <w:r w:rsidRPr="00FF323D">
        <w:t>-1</w:t>
      </w:r>
      <w:r w:rsidR="006341AC" w:rsidRPr="00FF323D">
        <w:t>9</w:t>
      </w:r>
      <w:r w:rsidRPr="00FF323D">
        <w:t xml:space="preserve"> Aid Quality Check results and management action plans have been put in place</w:t>
      </w:r>
      <w:r w:rsidR="00AE2757">
        <w:t xml:space="preserve"> for ongoing investments</w:t>
      </w:r>
      <w:r w:rsidRPr="00FF323D">
        <w:t>.</w:t>
      </w:r>
    </w:p>
    <w:p w:rsidR="00283153" w:rsidRDefault="00283153" w:rsidP="00723CC9">
      <w:pPr>
        <w:pStyle w:val="07FIGUREHEADING"/>
        <w:spacing w:before="240" w:after="0" w:line="240" w:lineRule="auto"/>
        <w:ind w:left="0" w:firstLine="0"/>
      </w:pPr>
      <w:r>
        <w:t xml:space="preserve">Figure </w:t>
      </w:r>
      <w:r w:rsidR="00D03E2F">
        <w:t>7</w:t>
      </w:r>
      <w:r>
        <w:t xml:space="preserve">: </w:t>
      </w:r>
      <w:r w:rsidR="00D878FA">
        <w:t xml:space="preserve"> </w:t>
      </w:r>
      <w:r w:rsidR="00CE60EA">
        <w:t>I</w:t>
      </w:r>
      <w:r>
        <w:t>nvestment performance: Pacific, 201</w:t>
      </w:r>
      <w:r w:rsidR="00531301">
        <w:t>8</w:t>
      </w:r>
      <w:r>
        <w:t>-1</w:t>
      </w:r>
      <w:r w:rsidR="00531301">
        <w:t>9</w:t>
      </w:r>
    </w:p>
    <w:p w:rsidR="00491DD0" w:rsidRDefault="00491DD0" w:rsidP="00723CC9">
      <w:pPr>
        <w:pStyle w:val="07FIGUREHEADING"/>
        <w:spacing w:before="240" w:after="0" w:line="240" w:lineRule="auto"/>
        <w:ind w:left="0" w:firstLine="0"/>
      </w:pPr>
      <w:r>
        <w:rPr>
          <w:noProof/>
          <w:lang w:val="en-AU" w:eastAsia="en-AU"/>
        </w:rPr>
        <w:drawing>
          <wp:inline distT="0" distB="0" distL="0" distR="0" wp14:anchorId="47AD1340" wp14:editId="30314BA6">
            <wp:extent cx="6017260" cy="1908175"/>
            <wp:effectExtent l="0" t="0" r="2540" b="0"/>
            <wp:docPr id="40" name="Picture 40" descr="This chart shows the performance of aid investments in the Pacific region compared with the whole of development program."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7260" cy="1908175"/>
                    </a:xfrm>
                    <a:prstGeom prst="rect">
                      <a:avLst/>
                    </a:prstGeom>
                    <a:noFill/>
                  </pic:spPr>
                </pic:pic>
              </a:graphicData>
            </a:graphic>
          </wp:inline>
        </w:drawing>
      </w:r>
    </w:p>
    <w:p w:rsidR="001341AC" w:rsidRDefault="001341AC" w:rsidP="00723CC9">
      <w:pPr>
        <w:pStyle w:val="07FIGUREHEADING"/>
        <w:spacing w:before="240" w:after="0" w:line="240" w:lineRule="auto"/>
        <w:ind w:left="0" w:firstLine="0"/>
      </w:pPr>
    </w:p>
    <w:p w:rsidR="00283153" w:rsidRPr="00F16CDF" w:rsidRDefault="00283153" w:rsidP="00311C8B">
      <w:pPr>
        <w:pStyle w:val="Heading3"/>
      </w:pPr>
      <w:bookmarkStart w:id="11" w:name="_Toc53572147"/>
      <w:r w:rsidRPr="00F16CDF">
        <w:t>Southeast and East Asia</w:t>
      </w:r>
      <w:bookmarkEnd w:id="11"/>
    </w:p>
    <w:p w:rsidR="0094199D" w:rsidRDefault="00283153" w:rsidP="0094199D">
      <w:r>
        <w:t xml:space="preserve">Southeast and East Asia country and regional programs made good progress against </w:t>
      </w:r>
      <w:r w:rsidR="006341AC">
        <w:t xml:space="preserve">program </w:t>
      </w:r>
      <w:r>
        <w:t xml:space="preserve">objectives with </w:t>
      </w:r>
      <w:r w:rsidRPr="006341AC">
        <w:t>7</w:t>
      </w:r>
      <w:r w:rsidR="006341AC" w:rsidRPr="006341AC">
        <w:t>8</w:t>
      </w:r>
      <w:r w:rsidRPr="006341AC">
        <w:t> per cent</w:t>
      </w:r>
      <w:r>
        <w:t xml:space="preserve"> on track (Figure </w:t>
      </w:r>
      <w:r w:rsidR="0020656B">
        <w:t>5</w:t>
      </w:r>
      <w:r>
        <w:t>)</w:t>
      </w:r>
      <w:r w:rsidR="006341AC">
        <w:t>, higher than the five year average of 76 per cent</w:t>
      </w:r>
      <w:r>
        <w:t xml:space="preserve">. Southeast </w:t>
      </w:r>
      <w:r w:rsidR="006341AC">
        <w:t xml:space="preserve">and East </w:t>
      </w:r>
      <w:r>
        <w:t>Asia programs have identified management actions to improve program performance. These actions are set out in country and regional A</w:t>
      </w:r>
      <w:r w:rsidR="004B1615">
        <w:t>PPRs</w:t>
      </w:r>
      <w:r>
        <w:t>.</w:t>
      </w:r>
    </w:p>
    <w:p w:rsidR="00C77DC8" w:rsidRPr="00667BE7" w:rsidRDefault="00C77DC8" w:rsidP="00C77DC8">
      <w:pPr>
        <w:rPr>
          <w:rFonts w:cs="Calibri"/>
        </w:rPr>
      </w:pPr>
      <w:r w:rsidRPr="00667BE7">
        <w:rPr>
          <w:rFonts w:cs="Calibri"/>
        </w:rPr>
        <w:t xml:space="preserve">For Southeast and East Asia, 70 per cent of performance benchmarks were achieved and 27 per cent were partly achieved (Figure </w:t>
      </w:r>
      <w:r w:rsidR="00D03E2F">
        <w:rPr>
          <w:rFonts w:cs="Calibri"/>
        </w:rPr>
        <w:t>8</w:t>
      </w:r>
      <w:r w:rsidRPr="00667BE7">
        <w:rPr>
          <w:rFonts w:cs="Calibri"/>
        </w:rPr>
        <w:t>). Two benchmarks (3 per cent) were not achieved.</w:t>
      </w:r>
    </w:p>
    <w:p w:rsidR="00C77DC8" w:rsidRDefault="00C77DC8" w:rsidP="00723CC9">
      <w:pPr>
        <w:pStyle w:val="07FIGUREHEADING"/>
        <w:spacing w:before="240" w:after="0" w:line="240" w:lineRule="auto"/>
      </w:pPr>
      <w:r w:rsidRPr="00667BE7">
        <w:lastRenderedPageBreak/>
        <w:t xml:space="preserve">Figure </w:t>
      </w:r>
      <w:r w:rsidR="00D03E2F">
        <w:t>8</w:t>
      </w:r>
      <w:r w:rsidRPr="00667BE7">
        <w:t>:</w:t>
      </w:r>
      <w:r w:rsidR="00D878FA">
        <w:t xml:space="preserve"> </w:t>
      </w:r>
      <w:r w:rsidRPr="00667BE7">
        <w:t xml:space="preserve"> Progress against performance benchmarks: Southeast and East Asia, 2018-19</w:t>
      </w:r>
    </w:p>
    <w:p w:rsidR="000974F5" w:rsidRPr="00667BE7" w:rsidRDefault="000974F5" w:rsidP="00723CC9">
      <w:pPr>
        <w:pStyle w:val="07FIGUREHEADING"/>
        <w:spacing w:before="240" w:after="0" w:line="240" w:lineRule="auto"/>
      </w:pPr>
      <w:r>
        <w:rPr>
          <w:noProof/>
          <w:lang w:val="en-AU" w:eastAsia="en-AU"/>
        </w:rPr>
        <w:drawing>
          <wp:inline distT="0" distB="0" distL="0" distR="0" wp14:anchorId="0577FA58" wp14:editId="01EAB022">
            <wp:extent cx="5761355" cy="2158365"/>
            <wp:effectExtent l="0" t="0" r="0" b="0"/>
            <wp:docPr id="42" name="Picture 42" descr="This chart shows the progress made against performance benchmarks in 2018-19 for country /regional development programs in the Southeast and East Asia region." title="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p>
    <w:p w:rsidR="00C77DC8" w:rsidRPr="00667BE7" w:rsidRDefault="00C77DC8" w:rsidP="00C77DC8">
      <w:pPr>
        <w:rPr>
          <w:rFonts w:cs="Calibri"/>
        </w:rPr>
      </w:pPr>
      <w:r w:rsidRPr="00667BE7">
        <w:rPr>
          <w:rFonts w:cs="Calibri"/>
        </w:rPr>
        <w:t xml:space="preserve">The ratings for Australia’s </w:t>
      </w:r>
      <w:r w:rsidR="00D0013A">
        <w:rPr>
          <w:rFonts w:cs="Calibri"/>
        </w:rPr>
        <w:t>i</w:t>
      </w:r>
      <w:r w:rsidRPr="00667BE7">
        <w:rPr>
          <w:rFonts w:cs="Calibri"/>
        </w:rPr>
        <w:t xml:space="preserve">nvestment performance in Southeast and East Asia in 2018-19 exceeded the whole of </w:t>
      </w:r>
      <w:r w:rsidR="008122EA">
        <w:rPr>
          <w:rFonts w:cs="Calibri"/>
        </w:rPr>
        <w:t>development</w:t>
      </w:r>
      <w:r w:rsidRPr="00667BE7">
        <w:rPr>
          <w:rFonts w:cs="Calibri"/>
        </w:rPr>
        <w:t xml:space="preserve"> program outcome for gender equality but were lower than whole of program ratings for effectiveness  and efficiency (Figure </w:t>
      </w:r>
      <w:r w:rsidR="00D03E2F">
        <w:rPr>
          <w:rFonts w:cs="Calibri"/>
        </w:rPr>
        <w:t>9</w:t>
      </w:r>
      <w:r w:rsidRPr="00667BE7">
        <w:rPr>
          <w:rFonts w:cs="Calibri"/>
        </w:rPr>
        <w:t>). Effectiveness ratings exceeded the five year average of 90 per cent with efficiency below the five year average of 88 per cent. Gender equality ratings equalled the five year average of 82 per cent. Of the four investments identified as requiring improvement in 2017-18, all improved performance or were completed in 2018-19. Three investments were identified as requiring improvement based on 2018-19 Aid Quality Check results and management action plans have been put in place</w:t>
      </w:r>
      <w:r w:rsidR="00AE2757">
        <w:rPr>
          <w:rFonts w:cs="Calibri"/>
        </w:rPr>
        <w:t xml:space="preserve"> for ongoing investments</w:t>
      </w:r>
      <w:r w:rsidRPr="00667BE7">
        <w:rPr>
          <w:rFonts w:cs="Calibri"/>
        </w:rPr>
        <w:t>.</w:t>
      </w:r>
    </w:p>
    <w:p w:rsidR="00C77DC8" w:rsidRDefault="00C77DC8" w:rsidP="00723CC9">
      <w:pPr>
        <w:pStyle w:val="04BODYTEXT"/>
        <w:spacing w:before="240" w:after="0" w:line="240" w:lineRule="auto"/>
        <w:rPr>
          <w:b/>
          <w:bCs/>
          <w:color w:val="00283F"/>
          <w:sz w:val="19"/>
          <w:szCs w:val="19"/>
          <w:lang w:val="en-US"/>
        </w:rPr>
      </w:pPr>
      <w:r w:rsidRPr="00667BE7">
        <w:rPr>
          <w:b/>
          <w:bCs/>
          <w:color w:val="00283F"/>
          <w:sz w:val="19"/>
          <w:szCs w:val="19"/>
          <w:lang w:val="en-US"/>
        </w:rPr>
        <w:t xml:space="preserve">Figure </w:t>
      </w:r>
      <w:r w:rsidR="00D03E2F">
        <w:rPr>
          <w:b/>
          <w:bCs/>
          <w:color w:val="00283F"/>
          <w:sz w:val="19"/>
          <w:szCs w:val="19"/>
          <w:lang w:val="en-US"/>
        </w:rPr>
        <w:t>9</w:t>
      </w:r>
      <w:r w:rsidRPr="00667BE7">
        <w:rPr>
          <w:b/>
          <w:bCs/>
          <w:color w:val="00283F"/>
          <w:sz w:val="19"/>
          <w:szCs w:val="19"/>
          <w:lang w:val="en-US"/>
        </w:rPr>
        <w:t xml:space="preserve">: </w:t>
      </w:r>
      <w:r w:rsidR="00D878FA">
        <w:rPr>
          <w:b/>
          <w:bCs/>
          <w:color w:val="00283F"/>
          <w:sz w:val="19"/>
          <w:szCs w:val="19"/>
          <w:lang w:val="en-US"/>
        </w:rPr>
        <w:t xml:space="preserve"> </w:t>
      </w:r>
      <w:r w:rsidR="00CE60EA">
        <w:rPr>
          <w:b/>
          <w:bCs/>
          <w:color w:val="00283F"/>
          <w:sz w:val="19"/>
          <w:szCs w:val="19"/>
          <w:lang w:val="en-US"/>
        </w:rPr>
        <w:t>I</w:t>
      </w:r>
      <w:r w:rsidRPr="00667BE7">
        <w:rPr>
          <w:b/>
          <w:bCs/>
          <w:color w:val="00283F"/>
          <w:sz w:val="19"/>
          <w:szCs w:val="19"/>
          <w:lang w:val="en-US"/>
        </w:rPr>
        <w:t>nvestment performance: Southeast and East Asia, 2018-19</w:t>
      </w:r>
    </w:p>
    <w:p w:rsidR="000974F5" w:rsidRDefault="000974F5" w:rsidP="00723CC9">
      <w:pPr>
        <w:pStyle w:val="04BODYTEXT"/>
        <w:spacing w:before="240" w:after="0" w:line="240" w:lineRule="auto"/>
        <w:rPr>
          <w:b/>
          <w:bCs/>
          <w:color w:val="00283F"/>
          <w:sz w:val="19"/>
          <w:szCs w:val="19"/>
          <w:lang w:val="en-US"/>
        </w:rPr>
      </w:pPr>
      <w:r>
        <w:rPr>
          <w:b/>
          <w:bCs/>
          <w:noProof/>
          <w:color w:val="00283F"/>
          <w:sz w:val="19"/>
          <w:szCs w:val="19"/>
          <w:lang w:val="en-AU" w:eastAsia="en-AU"/>
        </w:rPr>
        <w:drawing>
          <wp:inline distT="0" distB="0" distL="0" distR="0" wp14:anchorId="5D48684C" wp14:editId="621DF311">
            <wp:extent cx="6017260" cy="1798320"/>
            <wp:effectExtent l="0" t="0" r="2540" b="0"/>
            <wp:docPr id="43" name="Picture 43" descr="This chart shows the performance of aid investments in the Southeast and East Asia region compared with the whole of development program."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1341AC" w:rsidRDefault="001341AC" w:rsidP="00723CC9">
      <w:pPr>
        <w:pStyle w:val="04BODYTEXT"/>
        <w:spacing w:before="240" w:after="0" w:line="240" w:lineRule="auto"/>
        <w:rPr>
          <w:b/>
          <w:bCs/>
          <w:color w:val="00283F"/>
          <w:sz w:val="19"/>
          <w:szCs w:val="19"/>
          <w:lang w:val="en-US"/>
        </w:rPr>
      </w:pPr>
    </w:p>
    <w:p w:rsidR="00C77DC8" w:rsidRPr="00667BE7" w:rsidRDefault="00C77DC8" w:rsidP="00311C8B">
      <w:pPr>
        <w:pStyle w:val="Heading3"/>
      </w:pPr>
      <w:bookmarkStart w:id="12" w:name="_Toc48161342"/>
      <w:bookmarkStart w:id="13" w:name="_Toc53572148"/>
      <w:r w:rsidRPr="00667BE7">
        <w:t xml:space="preserve">South and West Asia, Africa, the Middle East and </w:t>
      </w:r>
      <w:r w:rsidR="00DB65DE">
        <w:t>o</w:t>
      </w:r>
      <w:r w:rsidRPr="00667BE7">
        <w:t xml:space="preserve">ther </w:t>
      </w:r>
      <w:r w:rsidR="00DB65DE">
        <w:t>r</w:t>
      </w:r>
      <w:r w:rsidRPr="00667BE7">
        <w:t>egions</w:t>
      </w:r>
      <w:bookmarkEnd w:id="12"/>
      <w:bookmarkEnd w:id="13"/>
    </w:p>
    <w:p w:rsidR="00C77DC8" w:rsidRPr="00667BE7" w:rsidRDefault="00C77DC8" w:rsidP="00C77DC8">
      <w:pPr>
        <w:rPr>
          <w:rFonts w:cs="Calibri"/>
        </w:rPr>
      </w:pPr>
      <w:r w:rsidRPr="00667BE7">
        <w:rPr>
          <w:rFonts w:cs="Calibri"/>
        </w:rPr>
        <w:t>Sixty-three per cent of South and West Asia program objectives were assessed as on track in 2018-19</w:t>
      </w:r>
      <w:r w:rsidR="00614737">
        <w:rPr>
          <w:rFonts w:cs="Calibri"/>
        </w:rPr>
        <w:t xml:space="preserve"> (Figure 5)</w:t>
      </w:r>
      <w:r w:rsidRPr="00667BE7">
        <w:rPr>
          <w:rFonts w:cs="Calibri"/>
        </w:rPr>
        <w:t>, below the five year average of 72 per cent. Sixty-seven per cent of performance benchmarks were achieved and 33 per cent partially achieved. Two investments were identified as requiring improving based on 2018-19 Aid Quality Check results and management action plans have been put in place</w:t>
      </w:r>
      <w:r w:rsidR="00AE2757">
        <w:rPr>
          <w:rFonts w:cs="Calibri"/>
        </w:rPr>
        <w:t xml:space="preserve"> for ongoing investments</w:t>
      </w:r>
      <w:r w:rsidRPr="00667BE7">
        <w:rPr>
          <w:rFonts w:cs="Calibri"/>
        </w:rPr>
        <w:t xml:space="preserve">. </w:t>
      </w:r>
    </w:p>
    <w:p w:rsidR="00C77DC8" w:rsidRDefault="00C77DC8" w:rsidP="00F10BF3">
      <w:pPr>
        <w:pStyle w:val="07FIGUREHEADING"/>
        <w:spacing w:before="120" w:after="0" w:line="240" w:lineRule="auto"/>
        <w:ind w:left="964" w:hanging="964"/>
      </w:pPr>
      <w:r w:rsidRPr="00667BE7">
        <w:lastRenderedPageBreak/>
        <w:t>Figure 1</w:t>
      </w:r>
      <w:r w:rsidR="00D03E2F">
        <w:t>0</w:t>
      </w:r>
      <w:r w:rsidRPr="00667BE7">
        <w:t>:</w:t>
      </w:r>
      <w:r w:rsidR="00D878FA">
        <w:t xml:space="preserve">  </w:t>
      </w:r>
      <w:r w:rsidRPr="00667BE7">
        <w:t>Progress against performance benchmarks: South and West Asia, Africa and the Middle East, 2018-19</w:t>
      </w:r>
    </w:p>
    <w:p w:rsidR="000974F5" w:rsidRPr="00667BE7" w:rsidRDefault="000974F5" w:rsidP="00F10BF3">
      <w:pPr>
        <w:pStyle w:val="07FIGUREHEADING"/>
        <w:spacing w:before="120" w:after="0" w:line="240" w:lineRule="auto"/>
        <w:ind w:left="964" w:hanging="964"/>
      </w:pPr>
      <w:r>
        <w:rPr>
          <w:noProof/>
          <w:lang w:val="en-AU" w:eastAsia="en-AU"/>
        </w:rPr>
        <w:drawing>
          <wp:inline distT="0" distB="0" distL="0" distR="0" wp14:anchorId="5D14BAEE" wp14:editId="43A812C6">
            <wp:extent cx="5761355" cy="2158365"/>
            <wp:effectExtent l="0" t="0" r="0" b="0"/>
            <wp:docPr id="45" name="Picture 45" descr="This chart shows the progress made against performance benchmarks in 2018-19 for country /regional development programs in South and West Asia, Africa and the Middle East."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p>
    <w:p w:rsidR="00C77DC8" w:rsidRPr="00667BE7" w:rsidRDefault="00C77DC8" w:rsidP="00723CC9">
      <w:pPr>
        <w:pStyle w:val="07FIGUREHEADING"/>
        <w:spacing w:before="0" w:after="0" w:line="240" w:lineRule="auto"/>
        <w:ind w:left="964" w:hanging="964"/>
      </w:pPr>
    </w:p>
    <w:p w:rsidR="00C77DC8" w:rsidRPr="00667BE7" w:rsidRDefault="00C77DC8" w:rsidP="00C77DC8">
      <w:pPr>
        <w:pStyle w:val="04BODYTEXT"/>
        <w:spacing w:before="200"/>
        <w:rPr>
          <w:sz w:val="20"/>
        </w:rPr>
      </w:pPr>
      <w:r w:rsidRPr="00667BE7">
        <w:rPr>
          <w:sz w:val="20"/>
        </w:rPr>
        <w:t xml:space="preserve">The ratings for Australia’s investment performance in South and West Asia were lower than whole of </w:t>
      </w:r>
      <w:r w:rsidR="008122EA">
        <w:rPr>
          <w:sz w:val="20"/>
        </w:rPr>
        <w:t>development</w:t>
      </w:r>
      <w:r w:rsidRPr="00667BE7">
        <w:rPr>
          <w:sz w:val="20"/>
        </w:rPr>
        <w:t xml:space="preserve"> program ratings for effectiveness, efficiency and gender equality (Figure 1</w:t>
      </w:r>
      <w:r w:rsidR="00B90C57">
        <w:rPr>
          <w:sz w:val="20"/>
        </w:rPr>
        <w:t>1</w:t>
      </w:r>
      <w:r w:rsidRPr="00667BE7">
        <w:rPr>
          <w:sz w:val="20"/>
        </w:rPr>
        <w:t xml:space="preserve">). Effectiveness ratings equalled the five year average of 88 per cent with efficiency and gender equality ratings below five year averages of 87 and 78 per cent respectively. </w:t>
      </w:r>
    </w:p>
    <w:p w:rsidR="002D6316" w:rsidRDefault="00C77DC8" w:rsidP="002D6316">
      <w:pPr>
        <w:rPr>
          <w:rFonts w:cs="Calibri"/>
        </w:rPr>
      </w:pPr>
      <w:r w:rsidRPr="00667BE7">
        <w:rPr>
          <w:rFonts w:cs="Calibri"/>
        </w:rPr>
        <w:t xml:space="preserve">The ratings for Australia’s </w:t>
      </w:r>
      <w:r w:rsidR="00D0013A">
        <w:rPr>
          <w:rFonts w:cs="Calibri"/>
        </w:rPr>
        <w:t>i</w:t>
      </w:r>
      <w:r w:rsidRPr="00667BE7">
        <w:rPr>
          <w:rFonts w:cs="Calibri"/>
        </w:rPr>
        <w:t xml:space="preserve">nvestment performance in Africa and the Middle East were higher than whole of </w:t>
      </w:r>
      <w:r w:rsidR="008122EA">
        <w:rPr>
          <w:rFonts w:cs="Calibri"/>
        </w:rPr>
        <w:t>development</w:t>
      </w:r>
      <w:r w:rsidRPr="00667BE7">
        <w:rPr>
          <w:rFonts w:cs="Calibri"/>
        </w:rPr>
        <w:t xml:space="preserve"> program ratings for effectiveness and efficiency but lower for gender equality (Figure </w:t>
      </w:r>
      <w:r w:rsidR="007A2C04">
        <w:rPr>
          <w:rFonts w:cs="Calibri"/>
        </w:rPr>
        <w:t>1</w:t>
      </w:r>
      <w:r w:rsidR="00D03E2F">
        <w:rPr>
          <w:rFonts w:cs="Calibri"/>
        </w:rPr>
        <w:t>1</w:t>
      </w:r>
      <w:r w:rsidRPr="00667BE7">
        <w:rPr>
          <w:rFonts w:cs="Calibri"/>
        </w:rPr>
        <w:t>). Effectiveness and efficiency ratings were higher than the five year averages of 96 and 92 per cent respectively. Gender equality ratings were lower than the five year average of 77 per cent.</w:t>
      </w:r>
    </w:p>
    <w:p w:rsidR="000974F5" w:rsidRDefault="002D6316" w:rsidP="00120EB0">
      <w:pPr>
        <w:keepNext/>
        <w:spacing w:after="0"/>
        <w:rPr>
          <w:rFonts w:cs="Calibri"/>
          <w:b/>
          <w:bCs/>
          <w:color w:val="00283F"/>
          <w:sz w:val="19"/>
          <w:szCs w:val="19"/>
          <w:lang w:val="en-GB"/>
        </w:rPr>
      </w:pPr>
      <w:r w:rsidRPr="002D6316">
        <w:rPr>
          <w:rFonts w:cs="Calibri"/>
          <w:b/>
          <w:bCs/>
          <w:color w:val="00283F"/>
          <w:sz w:val="19"/>
          <w:szCs w:val="19"/>
          <w:lang w:val="en-GB"/>
        </w:rPr>
        <w:t>F</w:t>
      </w:r>
      <w:r w:rsidR="00C77DC8" w:rsidRPr="002D6316">
        <w:rPr>
          <w:rFonts w:cs="Calibri"/>
          <w:b/>
          <w:bCs/>
          <w:color w:val="00283F"/>
          <w:sz w:val="19"/>
          <w:szCs w:val="19"/>
          <w:lang w:val="en-GB"/>
        </w:rPr>
        <w:t>igure 1</w:t>
      </w:r>
      <w:r w:rsidR="00D03E2F">
        <w:rPr>
          <w:rFonts w:cs="Calibri"/>
          <w:b/>
          <w:bCs/>
          <w:color w:val="00283F"/>
          <w:sz w:val="19"/>
          <w:szCs w:val="19"/>
          <w:lang w:val="en-GB"/>
        </w:rPr>
        <w:t>1</w:t>
      </w:r>
      <w:r w:rsidR="00C77DC8" w:rsidRPr="002D6316">
        <w:rPr>
          <w:rFonts w:cs="Calibri"/>
          <w:b/>
          <w:bCs/>
          <w:color w:val="00283F"/>
          <w:sz w:val="19"/>
          <w:szCs w:val="19"/>
          <w:lang w:val="en-GB"/>
        </w:rPr>
        <w:t xml:space="preserve">:   </w:t>
      </w:r>
      <w:r w:rsidR="00CE60EA">
        <w:rPr>
          <w:rFonts w:cs="Calibri"/>
          <w:b/>
          <w:bCs/>
          <w:color w:val="00283F"/>
          <w:sz w:val="19"/>
          <w:szCs w:val="19"/>
          <w:lang w:val="en-GB"/>
        </w:rPr>
        <w:t>I</w:t>
      </w:r>
      <w:r w:rsidR="00C77DC8" w:rsidRPr="002D6316">
        <w:rPr>
          <w:rFonts w:cs="Calibri"/>
          <w:b/>
          <w:bCs/>
          <w:color w:val="00283F"/>
          <w:sz w:val="19"/>
          <w:szCs w:val="19"/>
          <w:lang w:val="en-GB"/>
        </w:rPr>
        <w:t>nvestment performance: South and West Asia, Africa and the Middle East, 2018-19</w:t>
      </w:r>
      <w:r w:rsidR="00390EEB">
        <w:rPr>
          <w:rFonts w:cs="Calibri"/>
          <w:b/>
          <w:bCs/>
          <w:color w:val="00283F"/>
          <w:sz w:val="19"/>
          <w:szCs w:val="19"/>
          <w:lang w:val="en-GB"/>
        </w:rPr>
        <w:t xml:space="preserve"> </w:t>
      </w:r>
    </w:p>
    <w:p w:rsidR="00390EEB" w:rsidRDefault="000974F5" w:rsidP="00120EB0">
      <w:pPr>
        <w:keepNext/>
        <w:spacing w:after="0"/>
        <w:rPr>
          <w:rFonts w:cs="Calibri"/>
          <w:b/>
          <w:bCs/>
          <w:color w:val="00283F"/>
          <w:sz w:val="19"/>
          <w:szCs w:val="19"/>
          <w:lang w:val="en-GB"/>
        </w:rPr>
      </w:pPr>
      <w:r>
        <w:rPr>
          <w:rFonts w:cs="Calibri"/>
          <w:b/>
          <w:bCs/>
          <w:noProof/>
          <w:color w:val="00283F"/>
          <w:sz w:val="19"/>
          <w:szCs w:val="19"/>
          <w:lang w:eastAsia="en-AU"/>
        </w:rPr>
        <w:drawing>
          <wp:inline distT="0" distB="0" distL="0" distR="0" wp14:anchorId="698E2E7E" wp14:editId="2888BFA3">
            <wp:extent cx="6017260" cy="1981200"/>
            <wp:effectExtent l="0" t="0" r="2540" b="0"/>
            <wp:docPr id="46" name="Picture 46" descr="This chart shows the performance of aid investments in South and West Asia, Africa and the Middle East compared with the whole of development program." title="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7260" cy="1981200"/>
                    </a:xfrm>
                    <a:prstGeom prst="rect">
                      <a:avLst/>
                    </a:prstGeom>
                    <a:noFill/>
                  </pic:spPr>
                </pic:pic>
              </a:graphicData>
            </a:graphic>
          </wp:inline>
        </w:drawing>
      </w:r>
    </w:p>
    <w:p w:rsidR="00120EB0" w:rsidRDefault="00120EB0" w:rsidP="008D7786">
      <w:pPr>
        <w:pStyle w:val="Heading1"/>
        <w:spacing w:after="360" w:line="240" w:lineRule="auto"/>
        <w:rPr>
          <w:sz w:val="40"/>
          <w:szCs w:val="40"/>
        </w:rPr>
      </w:pPr>
      <w:bookmarkStart w:id="14" w:name="_Toc48161343"/>
    </w:p>
    <w:p w:rsidR="00C77DC8" w:rsidRPr="00311C8B" w:rsidRDefault="00C77DC8" w:rsidP="00311C8B">
      <w:pPr>
        <w:pStyle w:val="Heading2"/>
      </w:pPr>
      <w:bookmarkStart w:id="15" w:name="_Toc53572149"/>
      <w:r w:rsidRPr="00311C8B">
        <w:t>Chapter 3</w:t>
      </w:r>
      <w:r w:rsidRPr="00311C8B">
        <w:br/>
        <w:t xml:space="preserve">Multilateral </w:t>
      </w:r>
      <w:r w:rsidR="00961D0E">
        <w:t>p</w:t>
      </w:r>
      <w:r w:rsidRPr="00311C8B">
        <w:t>erformance</w:t>
      </w:r>
      <w:bookmarkEnd w:id="14"/>
      <w:bookmarkEnd w:id="15"/>
      <w:r w:rsidRPr="00311C8B">
        <w:t xml:space="preserve"> </w:t>
      </w:r>
    </w:p>
    <w:p w:rsidR="00C77DC8" w:rsidRPr="00667BE7" w:rsidRDefault="00C77DC8" w:rsidP="00C77DC8">
      <w:pPr>
        <w:rPr>
          <w:rFonts w:cs="Calibri"/>
          <w:lang w:val="en-GB"/>
        </w:rPr>
      </w:pPr>
      <w:r w:rsidRPr="00667BE7">
        <w:rPr>
          <w:rFonts w:cs="Calibri"/>
          <w:lang w:val="en-GB"/>
        </w:rPr>
        <w:t xml:space="preserve">Multilateral development organisations bring convening power, technical expertise, financial resources and an expansive footprint that extends the reach of our </w:t>
      </w:r>
      <w:r w:rsidR="00D0013A">
        <w:rPr>
          <w:rFonts w:cs="Calibri"/>
          <w:lang w:val="en-GB"/>
        </w:rPr>
        <w:t>development program</w:t>
      </w:r>
      <w:r w:rsidRPr="00667BE7">
        <w:rPr>
          <w:rFonts w:cs="Calibri"/>
          <w:lang w:val="en-GB"/>
        </w:rPr>
        <w:t xml:space="preserve"> investments.  Multilateral development organisations are central to the rules-based order, developing common norms and standards and supporting their implementation, providing a platform for debate, agreement and collective effort.  </w:t>
      </w:r>
    </w:p>
    <w:p w:rsidR="00C77DC8" w:rsidRPr="00667BE7" w:rsidRDefault="00C77DC8" w:rsidP="00C77DC8">
      <w:pPr>
        <w:rPr>
          <w:rFonts w:cs="Calibri"/>
          <w:lang w:val="en-GB"/>
        </w:rPr>
      </w:pPr>
      <w:r w:rsidRPr="00667BE7">
        <w:rPr>
          <w:rFonts w:cs="Calibri"/>
          <w:lang w:val="en-GB"/>
        </w:rPr>
        <w:t xml:space="preserve">Australia is selective in its engagement with multilateral development organisations – we fund approximately 50 out of over 200 organisations.  Australia’s engagement focuses on ensuring they are performing well and that their work aligns with the interests of the Indo-Pacific region and Australia.  This includes focusing on ensuring the multilateral development system is relevant and is reforming to address the complex challenges we face.  Australia’s priorities are delivering better performance from multilateral development organisations and achieving greater coherence </w:t>
      </w:r>
      <w:r w:rsidRPr="00667BE7">
        <w:rPr>
          <w:rFonts w:cs="Calibri"/>
          <w:lang w:val="en-GB"/>
        </w:rPr>
        <w:lastRenderedPageBreak/>
        <w:t xml:space="preserve">across the system.  We promote ongoing reform to ensure organisations are more efficient, results-oriented and responsive.  We focus on how the organisations are delivering in our region, particularly in the Pacific. </w:t>
      </w:r>
    </w:p>
    <w:p w:rsidR="00C77DC8" w:rsidRPr="00667BE7" w:rsidRDefault="00C77DC8" w:rsidP="00C77DC8">
      <w:pPr>
        <w:rPr>
          <w:rFonts w:cs="Calibri"/>
          <w:lang w:val="en-GB"/>
        </w:rPr>
      </w:pPr>
      <w:r w:rsidRPr="00667BE7">
        <w:rPr>
          <w:rFonts w:cs="Calibri"/>
          <w:lang w:val="en-GB"/>
        </w:rPr>
        <w:t xml:space="preserve">In 2018-19, the Australian </w:t>
      </w:r>
      <w:r w:rsidR="008122EA">
        <w:rPr>
          <w:rFonts w:cs="Calibri"/>
          <w:lang w:val="en-GB"/>
        </w:rPr>
        <w:t xml:space="preserve">development </w:t>
      </w:r>
      <w:r w:rsidRPr="00667BE7">
        <w:rPr>
          <w:rFonts w:cs="Calibri"/>
          <w:lang w:val="en-GB"/>
        </w:rPr>
        <w:t>program introduced a new assessment tool – the Multilateral Performance Report (MPR).  Th</w:t>
      </w:r>
      <w:r w:rsidR="005976CB">
        <w:rPr>
          <w:rFonts w:cs="Calibri"/>
          <w:lang w:val="en-GB"/>
        </w:rPr>
        <w:t>ese periodic reports</w:t>
      </w:r>
      <w:r w:rsidRPr="00667BE7">
        <w:rPr>
          <w:rFonts w:cs="Calibri"/>
          <w:lang w:val="en-GB"/>
        </w:rPr>
        <w:t xml:space="preserve"> replaced the previous 3-yearly Multilateral Performance Assessment</w:t>
      </w:r>
      <w:r w:rsidR="005976CB">
        <w:rPr>
          <w:rFonts w:cs="Calibri"/>
          <w:lang w:val="en-GB"/>
        </w:rPr>
        <w:t>s</w:t>
      </w:r>
      <w:r w:rsidR="00B00C8B">
        <w:rPr>
          <w:rFonts w:cs="Calibri"/>
          <w:lang w:val="en-GB"/>
        </w:rPr>
        <w:t>.</w:t>
      </w:r>
      <w:r w:rsidRPr="00667BE7">
        <w:rPr>
          <w:rFonts w:cs="Calibri"/>
          <w:lang w:val="en-GB"/>
        </w:rPr>
        <w:t xml:space="preserve"> </w:t>
      </w:r>
      <w:r w:rsidR="00925393">
        <w:rPr>
          <w:rFonts w:cs="Calibri"/>
          <w:lang w:val="en-GB"/>
        </w:rPr>
        <w:t>Performance data</w:t>
      </w:r>
      <w:r w:rsidRPr="00667BE7">
        <w:rPr>
          <w:rFonts w:cs="Calibri"/>
          <w:lang w:val="en-GB"/>
        </w:rPr>
        <w:t xml:space="preserve"> from this year’s MPRs are summarised below.  In addition to the MPRs, DFAT will continue to draw on the assessments conducted on a rolling schedule by the Multilateral Organisation Performance Assessment Network (MOPAN).  </w:t>
      </w:r>
    </w:p>
    <w:p w:rsidR="00C77DC8" w:rsidRPr="00667BE7" w:rsidRDefault="00C77DC8" w:rsidP="00C77DC8">
      <w:pPr>
        <w:pStyle w:val="03HEADING3"/>
      </w:pPr>
      <w:r w:rsidRPr="00667BE7">
        <w:t>Multilateral and regional development banks</w:t>
      </w:r>
    </w:p>
    <w:p w:rsidR="00C77DC8" w:rsidRPr="00667BE7" w:rsidRDefault="00C77DC8" w:rsidP="00C77DC8">
      <w:pPr>
        <w:rPr>
          <w:rFonts w:cs="Calibri"/>
          <w:lang w:val="en-GB"/>
        </w:rPr>
      </w:pPr>
      <w:r w:rsidRPr="00667BE7">
        <w:rPr>
          <w:rFonts w:cs="Calibri"/>
          <w:lang w:val="en-GB"/>
        </w:rPr>
        <w:t xml:space="preserve">The World Bank Group and Asian Development Bank are two of Australia’s largest development partners.  They are trusted organisations who provide large-scale funding for quality-assured programs, backed by technical advice, social and environmental safeguards and assurances of debt sustainability.  Their concessional and non-concessional loans enable countries in our region to make major investments that deliver long-term economic and social benefits, including in </w:t>
      </w:r>
      <w:r w:rsidR="004B1615">
        <w:rPr>
          <w:rFonts w:cs="Calibri"/>
          <w:lang w:val="en-GB"/>
        </w:rPr>
        <w:t xml:space="preserve">sustainable </w:t>
      </w:r>
      <w:r w:rsidRPr="00667BE7">
        <w:rPr>
          <w:rFonts w:cs="Calibri"/>
          <w:lang w:val="en-GB"/>
        </w:rPr>
        <w:t>infrastructure, health and education.</w:t>
      </w:r>
    </w:p>
    <w:p w:rsidR="00C77DC8" w:rsidRDefault="00C77DC8" w:rsidP="00C77DC8">
      <w:pPr>
        <w:pStyle w:val="07FIGUREHEADING"/>
        <w:spacing w:before="240" w:after="0" w:line="240" w:lineRule="auto"/>
        <w:ind w:left="0" w:firstLine="0"/>
      </w:pPr>
      <w:r w:rsidRPr="00667BE7">
        <w:t>Figure 1</w:t>
      </w:r>
      <w:r w:rsidR="00D03E2F">
        <w:t>2</w:t>
      </w:r>
      <w:r w:rsidRPr="00667BE7">
        <w:t xml:space="preserve">: </w:t>
      </w:r>
      <w:r w:rsidR="00D878FA">
        <w:t xml:space="preserve"> </w:t>
      </w:r>
      <w:r w:rsidRPr="00667BE7">
        <w:t>Performance of Multilateral and Regional Banks, 2018-19</w:t>
      </w:r>
    </w:p>
    <w:p w:rsidR="000974F5" w:rsidRPr="00667BE7" w:rsidRDefault="000974F5" w:rsidP="00C77DC8">
      <w:pPr>
        <w:pStyle w:val="07FIGUREHEADING"/>
        <w:spacing w:before="240" w:after="0" w:line="240" w:lineRule="auto"/>
        <w:ind w:left="0" w:firstLine="0"/>
        <w:rPr>
          <w:color w:val="000000"/>
          <w:sz w:val="18"/>
          <w:szCs w:val="18"/>
        </w:rPr>
      </w:pPr>
      <w:r>
        <w:rPr>
          <w:noProof/>
          <w:color w:val="000000"/>
          <w:sz w:val="18"/>
          <w:szCs w:val="18"/>
          <w:lang w:val="en-AU" w:eastAsia="en-AU"/>
        </w:rPr>
        <w:drawing>
          <wp:inline distT="0" distB="0" distL="0" distR="0" wp14:anchorId="686AD581" wp14:editId="6900BEBB">
            <wp:extent cx="5761355" cy="2084705"/>
            <wp:effectExtent l="0" t="0" r="0" b="0"/>
            <wp:docPr id="47" name="Picture 47" descr="This chart shows the performance of multilateral and regional banks as development partners in 2018-19." title="Fig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084705"/>
                    </a:xfrm>
                    <a:prstGeom prst="rect">
                      <a:avLst/>
                    </a:prstGeom>
                    <a:noFill/>
                  </pic:spPr>
                </pic:pic>
              </a:graphicData>
            </a:graphic>
          </wp:inline>
        </w:drawing>
      </w:r>
    </w:p>
    <w:p w:rsidR="00C77DC8" w:rsidRPr="00667BE7" w:rsidRDefault="00C77DC8" w:rsidP="00C77DC8">
      <w:pPr>
        <w:pStyle w:val="03HEADING3"/>
        <w:spacing w:before="0" w:after="0" w:line="240" w:lineRule="auto"/>
      </w:pPr>
    </w:p>
    <w:p w:rsidR="00C77DC8" w:rsidRPr="00667BE7" w:rsidRDefault="00C77DC8" w:rsidP="00311C8B">
      <w:pPr>
        <w:pStyle w:val="Heading3"/>
      </w:pPr>
      <w:bookmarkStart w:id="16" w:name="_Toc53572150"/>
      <w:r w:rsidRPr="00667BE7">
        <w:t>United Nations and Commonwealth organisations</w:t>
      </w:r>
      <w:bookmarkEnd w:id="16"/>
    </w:p>
    <w:p w:rsidR="00C36565" w:rsidRDefault="00C77DC8" w:rsidP="00C36565">
      <w:pPr>
        <w:rPr>
          <w:rFonts w:cs="Calibri"/>
          <w:lang w:val="en-GB"/>
        </w:rPr>
      </w:pPr>
      <w:r w:rsidRPr="00667BE7">
        <w:rPr>
          <w:rFonts w:cs="Calibri"/>
          <w:lang w:val="en-GB"/>
        </w:rPr>
        <w:t>The United Nations development organisations have a range of critical mandates – from the development of norms and standards, to the delivery of essential services and humanitarian response, often in places where others cannot or will not operate.  Australia concentrates our funding on those UN development organisations that have the most critical mandates.  Through the Boards and Councils of UN development organisations, Australia prosecutes ongoing reform to improve their efficiency, effectiveness and ability to address our most pressing challenges.</w:t>
      </w:r>
    </w:p>
    <w:p w:rsidR="00C77DC8" w:rsidRDefault="00C77DC8" w:rsidP="00C36565">
      <w:pPr>
        <w:pStyle w:val="07FIGUREHEADING"/>
        <w:spacing w:before="240" w:after="0" w:line="240" w:lineRule="auto"/>
        <w:ind w:left="0" w:firstLine="0"/>
      </w:pPr>
      <w:r w:rsidRPr="00667BE7">
        <w:t>Figure 1</w:t>
      </w:r>
      <w:r w:rsidR="00D03E2F">
        <w:t>3</w:t>
      </w:r>
      <w:r w:rsidRPr="00667BE7">
        <w:t>:</w:t>
      </w:r>
      <w:r w:rsidR="00D878FA">
        <w:t xml:space="preserve">  </w:t>
      </w:r>
      <w:r w:rsidRPr="00667BE7">
        <w:t>Performance of UN and Commonwealth Organisations, 2018-19</w:t>
      </w:r>
    </w:p>
    <w:p w:rsidR="000974F5" w:rsidRDefault="000974F5" w:rsidP="00C36565">
      <w:pPr>
        <w:pStyle w:val="07FIGUREHEADING"/>
        <w:spacing w:before="240" w:after="0" w:line="240" w:lineRule="auto"/>
        <w:ind w:left="0" w:firstLine="0"/>
      </w:pPr>
      <w:r>
        <w:rPr>
          <w:noProof/>
          <w:lang w:val="en-AU" w:eastAsia="en-AU"/>
        </w:rPr>
        <w:drawing>
          <wp:inline distT="0" distB="0" distL="0" distR="0" wp14:anchorId="6D4414E6" wp14:editId="16B9C45B">
            <wp:extent cx="5761355" cy="2158365"/>
            <wp:effectExtent l="0" t="0" r="0" b="0"/>
            <wp:docPr id="48" name="Picture 48" descr="This chart shows the performance of UN and Commonwealth organisations as development partners in 2018-19." title="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p>
    <w:p w:rsidR="00C77DC8" w:rsidRPr="00667BE7" w:rsidRDefault="00C77DC8" w:rsidP="00C36565">
      <w:pPr>
        <w:pStyle w:val="07FIGUREHEADING"/>
        <w:keepNext w:val="0"/>
        <w:widowControl w:val="0"/>
        <w:suppressAutoHyphens w:val="0"/>
        <w:spacing w:before="0" w:after="0" w:line="240" w:lineRule="auto"/>
        <w:ind w:left="964" w:hanging="964"/>
        <w:rPr>
          <w:color w:val="000000"/>
          <w:sz w:val="18"/>
          <w:szCs w:val="18"/>
        </w:rPr>
      </w:pPr>
    </w:p>
    <w:p w:rsidR="00C77DC8" w:rsidRPr="00667BE7" w:rsidRDefault="00C77DC8" w:rsidP="00311C8B">
      <w:pPr>
        <w:pStyle w:val="Heading3"/>
      </w:pPr>
      <w:bookmarkStart w:id="17" w:name="_Toc53572151"/>
      <w:r w:rsidRPr="00667BE7">
        <w:lastRenderedPageBreak/>
        <w:t>Global education, health and environment funds</w:t>
      </w:r>
      <w:bookmarkEnd w:id="17"/>
    </w:p>
    <w:p w:rsidR="00C77DC8" w:rsidRPr="00667BE7" w:rsidRDefault="00C77DC8" w:rsidP="00C77DC8">
      <w:pPr>
        <w:rPr>
          <w:rFonts w:cs="Calibri"/>
          <w:lang w:val="en-GB"/>
        </w:rPr>
      </w:pPr>
      <w:r w:rsidRPr="00667BE7">
        <w:rPr>
          <w:rFonts w:cs="Calibri"/>
          <w:lang w:val="en-GB"/>
        </w:rPr>
        <w:t>Australia supports a range of multilateral funds that target health, education and the environment.  The Global Fund to Fight AIDS, Tuberculosis and Malaria and Gavi, the Vaccine Alliance are consistently rated by Australia and others as among the highest performing multilateral organisations.  They achieve strong results against clear mandates and provide value for money for Australia.</w:t>
      </w:r>
    </w:p>
    <w:p w:rsidR="00DE447E" w:rsidRDefault="00C77DC8" w:rsidP="00C77DC8">
      <w:pPr>
        <w:rPr>
          <w:rFonts w:cs="Calibri"/>
          <w:lang w:val="en-GB"/>
        </w:rPr>
      </w:pPr>
      <w:r w:rsidRPr="00667BE7">
        <w:rPr>
          <w:rFonts w:cs="Calibri"/>
          <w:lang w:val="en-GB"/>
        </w:rPr>
        <w:t xml:space="preserve">Global Fund grants are continuing to help countries expand HIV treatment coverage, make progress towards malaria control or elimination, and achieve high treatment success rates for tuberculosis.  These results are underpinned by strong operational and fiduciary management.  </w:t>
      </w:r>
    </w:p>
    <w:p w:rsidR="00C77DC8" w:rsidRPr="00667BE7" w:rsidRDefault="00C77DC8" w:rsidP="00C77DC8">
      <w:pPr>
        <w:rPr>
          <w:rFonts w:cs="Calibri"/>
          <w:lang w:val="en-GB"/>
        </w:rPr>
      </w:pPr>
      <w:r w:rsidRPr="00667BE7">
        <w:rPr>
          <w:rFonts w:cs="Calibri"/>
          <w:lang w:val="en-GB"/>
        </w:rPr>
        <w:t xml:space="preserve">Gavi purchases life-saving vaccines on behalf of lower-income countries and uses its purchasing power to shape the global market.  </w:t>
      </w:r>
      <w:r w:rsidR="00A02372">
        <w:rPr>
          <w:rFonts w:cs="Calibri"/>
          <w:lang w:val="en-GB"/>
        </w:rPr>
        <w:t>For example, between 2009 and 2020</w:t>
      </w:r>
      <w:r w:rsidR="00B00C8B">
        <w:rPr>
          <w:rFonts w:cs="Calibri"/>
          <w:lang w:val="en-GB"/>
        </w:rPr>
        <w:t>,</w:t>
      </w:r>
      <w:r w:rsidR="00A02372">
        <w:rPr>
          <w:rFonts w:cs="Calibri"/>
          <w:lang w:val="en-GB"/>
        </w:rPr>
        <w:t xml:space="preserve"> Gavi achieved a 43 per cent price reduction for the pneumococcal  conjugate vaccine by pooling demand, incentivising research and development, and manufacturing.</w:t>
      </w:r>
      <w:r w:rsidRPr="00667BE7">
        <w:rPr>
          <w:rFonts w:cs="Calibri"/>
          <w:lang w:val="en-GB"/>
        </w:rPr>
        <w:t xml:space="preserve">  This unique function can only be performed by a funder with the scale of Gavi.</w:t>
      </w:r>
    </w:p>
    <w:p w:rsidR="00C77DC8" w:rsidRDefault="00C77DC8" w:rsidP="00C77DC8">
      <w:pPr>
        <w:pStyle w:val="07FIGUREHEADING"/>
        <w:spacing w:before="240" w:after="0" w:line="240" w:lineRule="auto"/>
        <w:ind w:left="964" w:hanging="964"/>
      </w:pPr>
      <w:r w:rsidRPr="00667BE7">
        <w:t>Figure 1</w:t>
      </w:r>
      <w:r w:rsidR="00D03E2F">
        <w:t>4</w:t>
      </w:r>
      <w:r w:rsidRPr="00667BE7">
        <w:t>:</w:t>
      </w:r>
      <w:r w:rsidR="00D878FA">
        <w:t xml:space="preserve">  </w:t>
      </w:r>
      <w:r w:rsidRPr="00667BE7">
        <w:t>Performance of Sectoral Funds, 2018-19</w:t>
      </w:r>
    </w:p>
    <w:p w:rsidR="000974F5" w:rsidRPr="00667BE7" w:rsidRDefault="000974F5" w:rsidP="00C77DC8">
      <w:pPr>
        <w:pStyle w:val="07FIGUREHEADING"/>
        <w:spacing w:before="240" w:after="0" w:line="240" w:lineRule="auto"/>
        <w:ind w:left="964" w:hanging="964"/>
        <w:rPr>
          <w:color w:val="000000"/>
          <w:sz w:val="18"/>
          <w:szCs w:val="18"/>
        </w:rPr>
      </w:pPr>
      <w:r>
        <w:rPr>
          <w:noProof/>
          <w:color w:val="000000"/>
          <w:sz w:val="18"/>
          <w:szCs w:val="18"/>
          <w:lang w:val="en-AU" w:eastAsia="en-AU"/>
        </w:rPr>
        <w:drawing>
          <wp:inline distT="0" distB="0" distL="0" distR="0" wp14:anchorId="325C0A46" wp14:editId="3E4F5560">
            <wp:extent cx="5761355" cy="2158365"/>
            <wp:effectExtent l="0" t="0" r="0" b="0"/>
            <wp:docPr id="49" name="Picture 49" descr="This chart shows the performance of various global education, health and environment sectoral funds   as development partners in 2018-19." title="Fig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p>
    <w:p w:rsidR="00C77DC8" w:rsidRPr="00667BE7" w:rsidRDefault="00C77DC8" w:rsidP="00C77DC8">
      <w:pPr>
        <w:spacing w:before="0" w:after="0"/>
        <w:rPr>
          <w:rFonts w:cs="Calibri"/>
          <w:color w:val="000000"/>
          <w:sz w:val="18"/>
          <w:szCs w:val="18"/>
          <w:lang w:val="en-GB"/>
        </w:rPr>
      </w:pPr>
    </w:p>
    <w:p w:rsidR="00C77DC8" w:rsidRPr="00667BE7" w:rsidRDefault="00C77DC8" w:rsidP="00C77DC8">
      <w:pPr>
        <w:spacing w:before="240"/>
        <w:rPr>
          <w:rFonts w:cs="Calibri"/>
          <w:lang w:val="en-GB"/>
        </w:rPr>
      </w:pPr>
      <w:r w:rsidRPr="00667BE7">
        <w:rPr>
          <w:rFonts w:cs="Calibri"/>
          <w:lang w:val="en-GB"/>
        </w:rPr>
        <w:t>Australia is influential on the governing Boards and Committees of both the Global Fund and Gavi.  We consistently advocate for the needs of our region and have successfully encouraged a more nuanced approach to eligibility for funding and ‘graduation’ thresholds.  At USD1</w:t>
      </w:r>
      <w:r w:rsidR="00CA1960">
        <w:rPr>
          <w:rFonts w:cs="Calibri"/>
          <w:lang w:val="en-GB"/>
        </w:rPr>
        <w:t>,</w:t>
      </w:r>
      <w:r w:rsidRPr="00667BE7">
        <w:rPr>
          <w:rFonts w:cs="Calibri"/>
          <w:lang w:val="en-GB"/>
        </w:rPr>
        <w:t xml:space="preserve">580 per capita, Gavi has one of the lowest thresholds among multilateral development organisations for withdrawing financial support.  In 2018-19, with Australian backing, Gavi approved a USD60 million package of exceptional support and a delayed transition period for PNG, and a USD8.5 million post-transition package for Timor-Leste. </w:t>
      </w:r>
    </w:p>
    <w:p w:rsidR="00C77DC8" w:rsidRPr="00667BE7" w:rsidRDefault="00C77DC8" w:rsidP="00311C8B">
      <w:pPr>
        <w:pStyle w:val="Heading3"/>
        <w:rPr>
          <w:lang w:val="en-GB"/>
        </w:rPr>
      </w:pPr>
      <w:bookmarkStart w:id="18" w:name="_Toc53572152"/>
      <w:r w:rsidRPr="00667BE7">
        <w:rPr>
          <w:lang w:val="en-GB"/>
        </w:rPr>
        <w:t>Other organisations</w:t>
      </w:r>
      <w:bookmarkEnd w:id="18"/>
    </w:p>
    <w:p w:rsidR="00C77DC8" w:rsidRDefault="00C77DC8" w:rsidP="00C77DC8">
      <w:pPr>
        <w:rPr>
          <w:rFonts w:cs="Calibri"/>
          <w:lang w:val="en-GB"/>
        </w:rPr>
      </w:pPr>
      <w:r w:rsidRPr="00667BE7">
        <w:rPr>
          <w:rFonts w:cs="Calibri"/>
          <w:lang w:val="en-GB"/>
        </w:rPr>
        <w:t>The International Committee of the Red Cross (ICRC) was highly rated across all criteria.  It holds a unique role as the guardian of international humanitarian law and provides essential protection to civilians in armed conflict.  ICRC seeks to prevent and respond to sexual violence in armed conflict.  It also provides physical rehabilitation services for people with disabilities arising from conflict.</w:t>
      </w:r>
    </w:p>
    <w:p w:rsidR="00C77DC8" w:rsidRPr="00311C8B" w:rsidRDefault="00C77DC8" w:rsidP="00311C8B">
      <w:pPr>
        <w:pStyle w:val="Heading2"/>
      </w:pPr>
      <w:bookmarkStart w:id="19" w:name="_Toc48161344"/>
      <w:bookmarkStart w:id="20" w:name="_Toc53572153"/>
      <w:r w:rsidRPr="00311C8B">
        <w:t>Chapter 4</w:t>
      </w:r>
      <w:r w:rsidRPr="00311C8B">
        <w:br/>
        <w:t>Sector and thematic performance</w:t>
      </w:r>
      <w:bookmarkEnd w:id="19"/>
      <w:bookmarkEnd w:id="20"/>
    </w:p>
    <w:p w:rsidR="00C77DC8" w:rsidRPr="00667BE7" w:rsidRDefault="00C77DC8" w:rsidP="00C77DC8">
      <w:pPr>
        <w:rPr>
          <w:rFonts w:cs="Calibri"/>
        </w:rPr>
      </w:pPr>
      <w:r w:rsidRPr="00667BE7">
        <w:rPr>
          <w:rFonts w:cs="Calibri"/>
        </w:rPr>
        <w:t xml:space="preserve">This chapter brings together performance data for the six priority areas of investment under the Australian Government’s </w:t>
      </w:r>
      <w:r w:rsidR="008122EA">
        <w:rPr>
          <w:rFonts w:cs="Calibri"/>
        </w:rPr>
        <w:t>2014 develop</w:t>
      </w:r>
      <w:r w:rsidR="003B5C33">
        <w:rPr>
          <w:rFonts w:cs="Calibri"/>
        </w:rPr>
        <w:t>ment</w:t>
      </w:r>
      <w:r w:rsidRPr="00667BE7">
        <w:rPr>
          <w:rFonts w:cs="Calibri"/>
        </w:rPr>
        <w:t xml:space="preserve"> policy as well as disability-inclusive development.</w:t>
      </w:r>
      <w:r w:rsidRPr="00667BE7">
        <w:rPr>
          <w:rFonts w:cs="Calibri"/>
          <w:vertAlign w:val="superscript"/>
          <w:lang w:val="en-US"/>
        </w:rPr>
        <w:footnoteReference w:id="12"/>
      </w:r>
      <w:r w:rsidRPr="00667BE7">
        <w:rPr>
          <w:rFonts w:cs="Calibri"/>
        </w:rPr>
        <w:t xml:space="preserve"> </w:t>
      </w:r>
    </w:p>
    <w:p w:rsidR="00C77DC8" w:rsidRPr="00667BE7" w:rsidRDefault="00C77DC8" w:rsidP="00311C8B">
      <w:pPr>
        <w:pStyle w:val="Heading3"/>
      </w:pPr>
      <w:bookmarkStart w:id="21" w:name="_Toc48161345"/>
      <w:bookmarkStart w:id="22" w:name="_Toc53572154"/>
      <w:r w:rsidRPr="00667BE7">
        <w:lastRenderedPageBreak/>
        <w:t>Infrastructure, trade facilitation and international competitiveness</w:t>
      </w:r>
      <w:bookmarkEnd w:id="21"/>
      <w:bookmarkEnd w:id="22"/>
    </w:p>
    <w:p w:rsidR="00C77DC8" w:rsidRPr="00667BE7" w:rsidRDefault="00C77DC8" w:rsidP="00C77DC8">
      <w:pPr>
        <w:pStyle w:val="04BODYTEXT"/>
        <w:rPr>
          <w:color w:val="auto"/>
          <w:sz w:val="20"/>
          <w:szCs w:val="24"/>
        </w:rPr>
      </w:pPr>
      <w:r w:rsidRPr="00667BE7">
        <w:rPr>
          <w:color w:val="auto"/>
          <w:sz w:val="20"/>
          <w:szCs w:val="24"/>
        </w:rPr>
        <w:t xml:space="preserve">Investments in this sector were guided by the </w:t>
      </w:r>
      <w:r w:rsidRPr="00667BE7">
        <w:rPr>
          <w:i/>
          <w:iCs/>
          <w:color w:val="auto"/>
          <w:sz w:val="20"/>
          <w:szCs w:val="24"/>
        </w:rPr>
        <w:t>Strategy for Investments in Economic Infrastructure</w:t>
      </w:r>
      <w:r w:rsidRPr="00667BE7">
        <w:rPr>
          <w:color w:val="auto"/>
          <w:sz w:val="20"/>
          <w:szCs w:val="24"/>
        </w:rPr>
        <w:t>.</w:t>
      </w:r>
      <w:r w:rsidR="0018454D">
        <w:rPr>
          <w:rStyle w:val="FootnoteReference"/>
          <w:color w:val="auto"/>
          <w:sz w:val="20"/>
          <w:szCs w:val="24"/>
        </w:rPr>
        <w:footnoteReference w:id="13"/>
      </w:r>
      <w:r w:rsidRPr="00667BE7">
        <w:rPr>
          <w:color w:val="auto"/>
          <w:sz w:val="20"/>
          <w:szCs w:val="24"/>
        </w:rPr>
        <w:t xml:space="preserve"> Australia’s work is aligned with the SDGs including Zero Hunger (SDG2), Affordable and Clean Energy (SDG7), Decent Work and Economic Growth (SDG8), Industry, Innovation and Infrastructure (SDG9), Sustainable Cities and Communities (SDG11), and Partnerships for the Goals (SDG17).</w:t>
      </w:r>
    </w:p>
    <w:p w:rsidR="00120EB0" w:rsidRDefault="00C77DC8" w:rsidP="00120EB0">
      <w:pPr>
        <w:pStyle w:val="07FIGUREHEADING"/>
        <w:suppressAutoHyphens w:val="0"/>
        <w:spacing w:before="240" w:after="0" w:line="240" w:lineRule="auto"/>
        <w:ind w:left="0" w:firstLine="0"/>
      </w:pPr>
      <w:r w:rsidRPr="00667BE7">
        <w:t>Figure 1</w:t>
      </w:r>
      <w:r w:rsidR="00D03E2F">
        <w:t>5</w:t>
      </w:r>
      <w:r w:rsidRPr="00667BE7">
        <w:t xml:space="preserve">: </w:t>
      </w:r>
      <w:r w:rsidR="00D878FA">
        <w:t xml:space="preserve"> </w:t>
      </w:r>
      <w:r w:rsidRPr="00667BE7">
        <w:t>Infrastructure, trade facilitation and international competitiveness investment performance, 2018-19</w:t>
      </w:r>
    </w:p>
    <w:p w:rsidR="000974F5" w:rsidRDefault="000974F5" w:rsidP="00120EB0">
      <w:pPr>
        <w:pStyle w:val="07FIGUREHEADING"/>
        <w:suppressAutoHyphens w:val="0"/>
        <w:spacing w:before="240" w:after="0" w:line="240" w:lineRule="auto"/>
        <w:ind w:left="0" w:firstLine="0"/>
      </w:pPr>
      <w:r>
        <w:rPr>
          <w:noProof/>
          <w:lang w:val="en-AU" w:eastAsia="en-AU"/>
        </w:rPr>
        <w:drawing>
          <wp:inline distT="0" distB="0" distL="0" distR="0" wp14:anchorId="1144E246" wp14:editId="68BDA2AD">
            <wp:extent cx="6017260" cy="1798320"/>
            <wp:effectExtent l="0" t="0" r="2540" b="0"/>
            <wp:docPr id="50" name="Picture 50" descr="This chart shows the performance of aid investments in Infrastructure, trade facilitation and international competitiveness compared with the whole of development program." title="Fig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C77DC8" w:rsidRPr="00667BE7" w:rsidRDefault="00C77DC8" w:rsidP="00120EB0">
      <w:pPr>
        <w:pStyle w:val="07FIGUREHEADING"/>
        <w:keepNext w:val="0"/>
        <w:suppressAutoHyphens w:val="0"/>
        <w:spacing w:before="240" w:after="0" w:line="240" w:lineRule="auto"/>
        <w:ind w:left="0" w:firstLine="0"/>
      </w:pPr>
    </w:p>
    <w:p w:rsidR="00C77DC8" w:rsidRPr="00667BE7" w:rsidRDefault="00C77DC8" w:rsidP="00C77DC8">
      <w:pPr>
        <w:rPr>
          <w:rFonts w:cs="Calibri"/>
          <w:color w:val="808080"/>
          <w:highlight w:val="yellow"/>
        </w:rPr>
      </w:pPr>
      <w:r w:rsidRPr="00667BE7">
        <w:rPr>
          <w:rFonts w:cs="Calibri"/>
        </w:rPr>
        <w:t xml:space="preserve">The ratings for Australia’s infrastructure and trade facilitation investment performance in 2018-19 were below whole of </w:t>
      </w:r>
      <w:r w:rsidR="008122EA">
        <w:rPr>
          <w:rFonts w:cs="Calibri"/>
        </w:rPr>
        <w:t>development</w:t>
      </w:r>
      <w:r w:rsidRPr="00667BE7">
        <w:rPr>
          <w:rFonts w:cs="Calibri"/>
        </w:rPr>
        <w:t xml:space="preserve"> program outcomes for effectiveness, efficiency and gender equality (Figure 1</w:t>
      </w:r>
      <w:r w:rsidR="00D25446">
        <w:rPr>
          <w:rFonts w:cs="Calibri"/>
        </w:rPr>
        <w:t>5</w:t>
      </w:r>
      <w:r w:rsidRPr="00667BE7">
        <w:rPr>
          <w:rFonts w:cs="Calibri"/>
        </w:rPr>
        <w:t xml:space="preserve">). However, ratings were on par with five year </w:t>
      </w:r>
      <w:r w:rsidR="008122EA">
        <w:rPr>
          <w:rFonts w:cs="Calibri"/>
        </w:rPr>
        <w:t xml:space="preserve">sector </w:t>
      </w:r>
      <w:r w:rsidRPr="00667BE7">
        <w:rPr>
          <w:rFonts w:cs="Calibri"/>
        </w:rPr>
        <w:t xml:space="preserve">averages for efficiency and gender equality and marginally higher than the five year </w:t>
      </w:r>
      <w:r w:rsidR="008122EA">
        <w:rPr>
          <w:rFonts w:cs="Calibri"/>
        </w:rPr>
        <w:t xml:space="preserve">sector </w:t>
      </w:r>
      <w:r w:rsidRPr="00667BE7">
        <w:rPr>
          <w:rFonts w:cs="Calibri"/>
        </w:rPr>
        <w:t>average for effectiveness of 91 per cent.</w:t>
      </w:r>
    </w:p>
    <w:p w:rsidR="00C77DC8" w:rsidRPr="00667BE7" w:rsidRDefault="00C77DC8" w:rsidP="00311C8B">
      <w:pPr>
        <w:pStyle w:val="Heading3"/>
      </w:pPr>
      <w:bookmarkStart w:id="23" w:name="_Toc48161346"/>
      <w:bookmarkStart w:id="24" w:name="_Toc53572155"/>
      <w:r w:rsidRPr="00667BE7">
        <w:t>Agriculture, fisheries and water</w:t>
      </w:r>
      <w:bookmarkEnd w:id="23"/>
      <w:bookmarkEnd w:id="24"/>
    </w:p>
    <w:p w:rsidR="00C77DC8" w:rsidRPr="00667BE7" w:rsidRDefault="00C77DC8" w:rsidP="00C77DC8">
      <w:pPr>
        <w:rPr>
          <w:rFonts w:cs="Calibri"/>
        </w:rPr>
      </w:pPr>
      <w:r w:rsidRPr="00667BE7">
        <w:rPr>
          <w:rFonts w:cs="Calibri"/>
        </w:rPr>
        <w:t xml:space="preserve">Australia’s development cooperation investments in agriculture, fisheries and water prioritise three key areas of engagement: strengthening markets; innovating for productivity and sustainable resource use; and policy, governance and reform. Australia’s investments are directly supporting several of the SDGs including No Poverty (SDG1), Zero Hunger (SDG2), Clean Water and Sanitation (SDG6), Responsible Consumption and Production (SDG12), Climate Action (SDG13), Life Below Water (SDG14), and Life on Land (SDG15). </w:t>
      </w:r>
    </w:p>
    <w:p w:rsidR="002969F2" w:rsidRDefault="00283153" w:rsidP="002969F2">
      <w:pPr>
        <w:pStyle w:val="07FIGUREHEADING"/>
        <w:spacing w:before="240" w:after="0" w:line="240" w:lineRule="auto"/>
        <w:ind w:left="284" w:hanging="284"/>
      </w:pPr>
      <w:r>
        <w:t xml:space="preserve">Figure </w:t>
      </w:r>
      <w:r w:rsidR="0020656B">
        <w:t>1</w:t>
      </w:r>
      <w:r w:rsidR="00D03E2F">
        <w:t>6</w:t>
      </w:r>
      <w:r>
        <w:t xml:space="preserve">: </w:t>
      </w:r>
      <w:r w:rsidR="00D878FA">
        <w:t xml:space="preserve"> </w:t>
      </w:r>
      <w:r>
        <w:t>Agriculture, fisheries and water investment performance, 201</w:t>
      </w:r>
      <w:r w:rsidR="005D52C2">
        <w:t>8</w:t>
      </w:r>
      <w:r>
        <w:t>-1</w:t>
      </w:r>
      <w:r w:rsidR="005D52C2">
        <w:t>9</w:t>
      </w:r>
      <w:r w:rsidR="002969F2">
        <w:rPr>
          <w:noProof/>
          <w:lang w:val="en-AU" w:eastAsia="en-AU"/>
        </w:rPr>
        <w:drawing>
          <wp:inline distT="0" distB="0" distL="0" distR="0" wp14:anchorId="7751153C" wp14:editId="13642854">
            <wp:extent cx="6017260" cy="1798320"/>
            <wp:effectExtent l="0" t="0" r="2540" b="0"/>
            <wp:docPr id="51" name="Picture 51" descr="This chart shows the performance of aid investments in agriculture, fisheries and water compared with the whole of development program." title="Fig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5D52C2" w:rsidRDefault="005D52C2" w:rsidP="00283153">
      <w:pPr>
        <w:pStyle w:val="04BODYTEXT"/>
      </w:pPr>
    </w:p>
    <w:p w:rsidR="00BF20F5" w:rsidRPr="005D52C2" w:rsidRDefault="00397121" w:rsidP="00BF20F5">
      <w:r w:rsidRPr="00513F88">
        <w:t xml:space="preserve">The ratings for Australia’s </w:t>
      </w:r>
      <w:r w:rsidRPr="0031592F">
        <w:t xml:space="preserve">agriculture, fisheries and water </w:t>
      </w:r>
      <w:r w:rsidRPr="00513F88">
        <w:t xml:space="preserve">investment performance in 2018-19 </w:t>
      </w:r>
      <w:r>
        <w:t xml:space="preserve">were below </w:t>
      </w:r>
      <w:r w:rsidRPr="00513F88">
        <w:t xml:space="preserve">whole of </w:t>
      </w:r>
      <w:r w:rsidR="008122EA">
        <w:t xml:space="preserve">development </w:t>
      </w:r>
      <w:r w:rsidRPr="00513F88">
        <w:t xml:space="preserve">program </w:t>
      </w:r>
      <w:r>
        <w:t xml:space="preserve">outcomes for effectiveness and gender equality and on par for efficiency (Figure </w:t>
      </w:r>
      <w:r w:rsidR="0020656B">
        <w:t>1</w:t>
      </w:r>
      <w:r w:rsidR="00D25446">
        <w:t>6</w:t>
      </w:r>
      <w:r>
        <w:t>)</w:t>
      </w:r>
      <w:r w:rsidRPr="00513F88">
        <w:t xml:space="preserve">. </w:t>
      </w:r>
      <w:r w:rsidR="0061232F" w:rsidRPr="0031592F">
        <w:t xml:space="preserve">Effectiveness </w:t>
      </w:r>
      <w:r>
        <w:t xml:space="preserve">and efficiency </w:t>
      </w:r>
      <w:r w:rsidR="0061232F" w:rsidRPr="0031592F">
        <w:t>results</w:t>
      </w:r>
      <w:r>
        <w:t xml:space="preserve"> </w:t>
      </w:r>
      <w:r w:rsidR="0061232F" w:rsidRPr="0031592F">
        <w:t>were higher than five year sector average</w:t>
      </w:r>
      <w:r>
        <w:t>s</w:t>
      </w:r>
      <w:r w:rsidR="0061232F" w:rsidRPr="0031592F">
        <w:t xml:space="preserve"> of 83 per cent</w:t>
      </w:r>
      <w:r>
        <w:t xml:space="preserve"> and 86 per cent respectively but gender equality outcomes were below the five year average of </w:t>
      </w:r>
      <w:r w:rsidR="0061232F" w:rsidRPr="0031592F">
        <w:t>7</w:t>
      </w:r>
      <w:r>
        <w:t>2</w:t>
      </w:r>
      <w:r w:rsidR="0061232F" w:rsidRPr="0031592F">
        <w:t xml:space="preserve"> per cent</w:t>
      </w:r>
      <w:r w:rsidR="00727458">
        <w:t>.</w:t>
      </w:r>
      <w:r w:rsidR="00834738">
        <w:t xml:space="preserve"> In response, DFAT sourced additional technical expertise to support partners to improve performance.</w:t>
      </w:r>
    </w:p>
    <w:p w:rsidR="00283153" w:rsidRPr="00F16CDF" w:rsidRDefault="00283153" w:rsidP="00311C8B">
      <w:pPr>
        <w:pStyle w:val="Heading3"/>
      </w:pPr>
      <w:bookmarkStart w:id="25" w:name="_Toc53572156"/>
      <w:r w:rsidRPr="00F16CDF">
        <w:lastRenderedPageBreak/>
        <w:t>Effective governance: policies, institutions and functioning economies</w:t>
      </w:r>
      <w:bookmarkEnd w:id="25"/>
    </w:p>
    <w:p w:rsidR="00397121" w:rsidRPr="007A2C04" w:rsidRDefault="00397121" w:rsidP="00397121">
      <w:pPr>
        <w:pStyle w:val="04BODYTEXT"/>
        <w:rPr>
          <w:rFonts w:cs="Times New Roman"/>
          <w:color w:val="auto"/>
          <w:sz w:val="20"/>
          <w:szCs w:val="24"/>
          <w:lang w:val="en-AU"/>
        </w:rPr>
      </w:pPr>
      <w:r w:rsidRPr="007A2C04">
        <w:rPr>
          <w:rFonts w:cs="Times New Roman"/>
          <w:color w:val="auto"/>
          <w:sz w:val="20"/>
          <w:szCs w:val="24"/>
          <w:lang w:val="en-AU"/>
        </w:rPr>
        <w:t xml:space="preserve">DFAT’s governance work is guided by </w:t>
      </w:r>
      <w:r w:rsidRPr="007A2C04">
        <w:rPr>
          <w:rFonts w:cs="Times New Roman"/>
          <w:i/>
          <w:iCs/>
          <w:color w:val="auto"/>
          <w:sz w:val="20"/>
          <w:szCs w:val="24"/>
          <w:lang w:val="en-AU"/>
        </w:rPr>
        <w:t xml:space="preserve">Effective Governance: Strategy for Australia’s </w:t>
      </w:r>
      <w:r w:rsidRPr="00A664C5">
        <w:rPr>
          <w:rFonts w:cs="Times New Roman"/>
          <w:i/>
          <w:iCs/>
          <w:color w:val="auto"/>
          <w:sz w:val="20"/>
          <w:szCs w:val="24"/>
          <w:lang w:val="en-AU"/>
        </w:rPr>
        <w:t>aid</w:t>
      </w:r>
      <w:r w:rsidRPr="007A2C04">
        <w:rPr>
          <w:rFonts w:cs="Times New Roman"/>
          <w:i/>
          <w:iCs/>
          <w:color w:val="auto"/>
          <w:sz w:val="20"/>
          <w:szCs w:val="24"/>
          <w:lang w:val="en-AU"/>
        </w:rPr>
        <w:t xml:space="preserve"> investments</w:t>
      </w:r>
      <w:r w:rsidRPr="007A2C04">
        <w:rPr>
          <w:rFonts w:cs="Times New Roman"/>
          <w:color w:val="auto"/>
          <w:sz w:val="20"/>
          <w:szCs w:val="24"/>
          <w:lang w:val="en-AU"/>
        </w:rPr>
        <w:t>.</w:t>
      </w:r>
      <w:r w:rsidR="0018454D">
        <w:rPr>
          <w:rStyle w:val="FootnoteReference"/>
          <w:rFonts w:cs="Times New Roman"/>
          <w:color w:val="auto"/>
          <w:sz w:val="20"/>
          <w:szCs w:val="24"/>
          <w:lang w:val="en-AU"/>
        </w:rPr>
        <w:footnoteReference w:id="14"/>
      </w:r>
      <w:r w:rsidRPr="007A2C04">
        <w:rPr>
          <w:rFonts w:cs="Times New Roman"/>
          <w:color w:val="auto"/>
          <w:sz w:val="20"/>
          <w:szCs w:val="24"/>
          <w:lang w:val="en-AU"/>
        </w:rPr>
        <w:t xml:space="preserve"> Australia’s assistance has a direct impact on the SDGs Decent Work and Economic Growth (SDG8), Reduced Inequalities (SDG10), Peace, Justice and Strong Institutions (SDG16), and Partnerships for the Goals (SDG17).</w:t>
      </w:r>
    </w:p>
    <w:p w:rsidR="002969F2" w:rsidRDefault="00283153" w:rsidP="00DE4576">
      <w:pPr>
        <w:pStyle w:val="07FIGUREHEADING"/>
        <w:spacing w:before="120" w:after="0" w:line="240" w:lineRule="auto"/>
        <w:ind w:left="0" w:firstLine="0"/>
      </w:pPr>
      <w:r>
        <w:t xml:space="preserve">Figure </w:t>
      </w:r>
      <w:r w:rsidR="00D03E2F">
        <w:t>17</w:t>
      </w:r>
      <w:r>
        <w:t>:</w:t>
      </w:r>
      <w:r w:rsidR="00D878FA">
        <w:t xml:space="preserve"> </w:t>
      </w:r>
      <w:r>
        <w:t xml:space="preserve"> Effective governance investment performance, 201</w:t>
      </w:r>
      <w:r w:rsidR="0061232F">
        <w:t>8</w:t>
      </w:r>
      <w:r>
        <w:t>-1</w:t>
      </w:r>
      <w:r w:rsidR="0061232F">
        <w:t>9</w:t>
      </w:r>
    </w:p>
    <w:p w:rsidR="007278E5" w:rsidRDefault="002969F2" w:rsidP="00DE4576">
      <w:pPr>
        <w:pStyle w:val="07FIGUREHEADING"/>
        <w:spacing w:before="120" w:after="0" w:line="240" w:lineRule="auto"/>
        <w:ind w:left="0" w:firstLine="0"/>
        <w:rPr>
          <w:noProof/>
          <w:lang w:val="en-AU" w:eastAsia="en-AU"/>
        </w:rPr>
      </w:pPr>
      <w:r>
        <w:rPr>
          <w:noProof/>
          <w:lang w:val="en-AU" w:eastAsia="en-AU"/>
        </w:rPr>
        <w:drawing>
          <wp:inline distT="0" distB="0" distL="0" distR="0" wp14:anchorId="52E9879C" wp14:editId="26C7BD04">
            <wp:extent cx="6017260" cy="1835150"/>
            <wp:effectExtent l="0" t="0" r="2540" b="0"/>
            <wp:docPr id="52" name="Picture 52" descr="This chart shows the performance of aid investments in effective governance compared with the whole of development program." title="Fig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17260" cy="1835150"/>
                    </a:xfrm>
                    <a:prstGeom prst="rect">
                      <a:avLst/>
                    </a:prstGeom>
                    <a:noFill/>
                  </pic:spPr>
                </pic:pic>
              </a:graphicData>
            </a:graphic>
          </wp:inline>
        </w:drawing>
      </w:r>
    </w:p>
    <w:p w:rsidR="00A965B5" w:rsidRDefault="00A965B5" w:rsidP="00DE4576">
      <w:pPr>
        <w:pStyle w:val="07FIGUREHEADING"/>
        <w:spacing w:before="0" w:after="0" w:line="240" w:lineRule="auto"/>
      </w:pPr>
    </w:p>
    <w:p w:rsidR="00397121" w:rsidRPr="0031592F" w:rsidRDefault="00397121" w:rsidP="002F6B03">
      <w:pPr>
        <w:spacing w:before="240"/>
      </w:pPr>
      <w:r w:rsidRPr="00513F88">
        <w:t xml:space="preserve">The ratings for Australia’s </w:t>
      </w:r>
      <w:r>
        <w:t xml:space="preserve">effective governance investments in 2018-19 were higher than </w:t>
      </w:r>
      <w:r w:rsidRPr="00513F88">
        <w:t xml:space="preserve">whole of </w:t>
      </w:r>
      <w:r w:rsidR="008122EA">
        <w:t>development</w:t>
      </w:r>
      <w:r w:rsidRPr="00513F88">
        <w:t xml:space="preserve"> program </w:t>
      </w:r>
      <w:r>
        <w:t xml:space="preserve">outcomes for effectiveness and efficiency but lower for gender equality (Figure </w:t>
      </w:r>
      <w:r w:rsidR="00D25446">
        <w:t>17</w:t>
      </w:r>
      <w:r>
        <w:t>)</w:t>
      </w:r>
      <w:r w:rsidRPr="00513F88">
        <w:t xml:space="preserve">. </w:t>
      </w:r>
      <w:r w:rsidR="00834738">
        <w:t xml:space="preserve">Technical support is being offered for investments where the overall settings are positive for achieving improved performance on gender equality. </w:t>
      </w:r>
      <w:r w:rsidRPr="0031592F">
        <w:t xml:space="preserve">Effectiveness </w:t>
      </w:r>
      <w:r>
        <w:t xml:space="preserve">and efficiency </w:t>
      </w:r>
      <w:r w:rsidRPr="0031592F">
        <w:t>results</w:t>
      </w:r>
      <w:r>
        <w:t xml:space="preserve"> </w:t>
      </w:r>
      <w:r w:rsidRPr="0031592F">
        <w:t>were higher than five year sector average</w:t>
      </w:r>
      <w:r>
        <w:t>s</w:t>
      </w:r>
      <w:r w:rsidRPr="0031592F">
        <w:t xml:space="preserve"> of </w:t>
      </w:r>
      <w:r>
        <w:t>92</w:t>
      </w:r>
      <w:r w:rsidRPr="0031592F">
        <w:t xml:space="preserve"> per cent</w:t>
      </w:r>
      <w:r>
        <w:t xml:space="preserve"> and 89 per cent respectively and equal with the five year gender equality average of 72 </w:t>
      </w:r>
      <w:r w:rsidRPr="0031592F">
        <w:t xml:space="preserve">per cent. </w:t>
      </w:r>
    </w:p>
    <w:p w:rsidR="00283153" w:rsidRPr="00F16CDF" w:rsidRDefault="00283153" w:rsidP="00311C8B">
      <w:pPr>
        <w:pStyle w:val="Heading3"/>
      </w:pPr>
      <w:bookmarkStart w:id="26" w:name="_Toc53572157"/>
      <w:r w:rsidRPr="00F16CDF">
        <w:t xml:space="preserve">Education and </w:t>
      </w:r>
      <w:r w:rsidR="00F07A71">
        <w:t>H</w:t>
      </w:r>
      <w:r w:rsidRPr="00F16CDF">
        <w:t>ealth</w:t>
      </w:r>
      <w:bookmarkEnd w:id="26"/>
    </w:p>
    <w:p w:rsidR="00283153" w:rsidRDefault="00283153" w:rsidP="00283153">
      <w:pPr>
        <w:pStyle w:val="03HEADING3"/>
      </w:pPr>
      <w:r>
        <w:t>Education</w:t>
      </w:r>
    </w:p>
    <w:p w:rsidR="00C567B6" w:rsidRDefault="00C567B6" w:rsidP="0098277E">
      <w:r w:rsidRPr="008618AE">
        <w:t xml:space="preserve">Australia’s </w:t>
      </w:r>
      <w:r w:rsidR="007519FC">
        <w:t>investments in education are</w:t>
      </w:r>
      <w:r w:rsidRPr="008618AE">
        <w:t xml:space="preserve"> guided by the </w:t>
      </w:r>
      <w:r w:rsidRPr="008618AE">
        <w:rPr>
          <w:i/>
          <w:iCs/>
        </w:rPr>
        <w:t>Strategy for Australia’s aid investments in education, 2015–2020.</w:t>
      </w:r>
      <w:r w:rsidR="0018454D">
        <w:rPr>
          <w:rStyle w:val="FootnoteReference"/>
          <w:i/>
          <w:iCs/>
        </w:rPr>
        <w:footnoteReference w:id="15"/>
      </w:r>
      <w:r w:rsidRPr="008618AE">
        <w:rPr>
          <w:i/>
          <w:iCs/>
        </w:rPr>
        <w:t xml:space="preserve"> </w:t>
      </w:r>
      <w:r w:rsidRPr="008618AE">
        <w:t xml:space="preserve">Australian investments in education directly support SDG4 on Quality Education as well as contributing to the achievement of other SDGs, for example, Gender Equality (SDG5). </w:t>
      </w:r>
    </w:p>
    <w:p w:rsidR="002969F2" w:rsidRDefault="00283153" w:rsidP="00C36565">
      <w:pPr>
        <w:pStyle w:val="07FIGUREHEADING"/>
        <w:keepNext w:val="0"/>
        <w:suppressAutoHyphens w:val="0"/>
        <w:spacing w:before="0" w:after="0" w:line="240" w:lineRule="auto"/>
        <w:ind w:left="0" w:firstLine="0"/>
      </w:pPr>
      <w:r>
        <w:t xml:space="preserve">Figure </w:t>
      </w:r>
      <w:r w:rsidR="00D03E2F">
        <w:t>18</w:t>
      </w:r>
      <w:r>
        <w:t xml:space="preserve">: </w:t>
      </w:r>
      <w:r w:rsidR="00D878FA">
        <w:t xml:space="preserve"> </w:t>
      </w:r>
      <w:r>
        <w:t>Education investment performance, 201</w:t>
      </w:r>
      <w:r w:rsidR="00C567B6">
        <w:t>8</w:t>
      </w:r>
      <w:r>
        <w:t>-1</w:t>
      </w:r>
      <w:r w:rsidR="00C567B6">
        <w:t>9</w:t>
      </w:r>
    </w:p>
    <w:p w:rsidR="00283153" w:rsidRDefault="002969F2" w:rsidP="00C36565">
      <w:pPr>
        <w:pStyle w:val="07FIGUREHEADING"/>
        <w:keepNext w:val="0"/>
        <w:suppressAutoHyphens w:val="0"/>
        <w:spacing w:before="0" w:after="0" w:line="240" w:lineRule="auto"/>
        <w:ind w:left="0" w:firstLine="0"/>
      </w:pPr>
      <w:r>
        <w:rPr>
          <w:noProof/>
          <w:lang w:val="en-AU" w:eastAsia="en-AU"/>
        </w:rPr>
        <w:drawing>
          <wp:inline distT="0" distB="0" distL="0" distR="0" wp14:anchorId="2B0E6207" wp14:editId="4404EA8B">
            <wp:extent cx="6017260" cy="1798320"/>
            <wp:effectExtent l="0" t="0" r="2540" b="0"/>
            <wp:docPr id="53" name="Picture 53" descr="This chart shows the performance of aid investments in education compared with the whole of development program."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r w:rsidR="00283153">
        <w:t xml:space="preserve"> </w:t>
      </w:r>
    </w:p>
    <w:p w:rsidR="002F6B03" w:rsidRDefault="002F6B03" w:rsidP="002F6B03">
      <w:pPr>
        <w:pStyle w:val="07FIGUREHEADING"/>
        <w:spacing w:before="0" w:after="0" w:line="240" w:lineRule="auto"/>
      </w:pPr>
    </w:p>
    <w:p w:rsidR="00C567B6" w:rsidRPr="008618AE" w:rsidRDefault="00C567B6" w:rsidP="002F6B03">
      <w:pPr>
        <w:spacing w:before="0" w:after="0"/>
      </w:pPr>
      <w:r w:rsidRPr="008618AE">
        <w:t>Overall, Australia’s education investments performed well in 2018-19. The percentage of investments meeting quality assessment criteria is higher than whole</w:t>
      </w:r>
      <w:r w:rsidR="008122EA">
        <w:t xml:space="preserve"> of development</w:t>
      </w:r>
      <w:r w:rsidRPr="008618AE">
        <w:t xml:space="preserve"> program results for effectiveness, efficiency and </w:t>
      </w:r>
      <w:r>
        <w:t>gender equality (Figure </w:t>
      </w:r>
      <w:r w:rsidR="00D25446">
        <w:t>18</w:t>
      </w:r>
      <w:r w:rsidRPr="008618AE">
        <w:t>). The effectiveness result of 9</w:t>
      </w:r>
      <w:r>
        <w:t xml:space="preserve">7 per cent </w:t>
      </w:r>
      <w:r w:rsidR="00BF20F5">
        <w:t>was</w:t>
      </w:r>
      <w:r w:rsidRPr="008618AE">
        <w:t xml:space="preserve"> above the five year sector average of 92</w:t>
      </w:r>
      <w:r>
        <w:t xml:space="preserve"> per cent </w:t>
      </w:r>
      <w:r w:rsidRPr="008618AE">
        <w:t xml:space="preserve">and the efficiency result </w:t>
      </w:r>
      <w:r w:rsidR="00BF20F5">
        <w:t>was</w:t>
      </w:r>
      <w:r w:rsidRPr="008618AE">
        <w:t xml:space="preserve"> also above the five year </w:t>
      </w:r>
      <w:r w:rsidR="008122EA">
        <w:t xml:space="preserve">sector </w:t>
      </w:r>
      <w:r w:rsidRPr="008618AE">
        <w:t>average of 89</w:t>
      </w:r>
      <w:r>
        <w:t xml:space="preserve"> per cent</w:t>
      </w:r>
      <w:r w:rsidRPr="008618AE">
        <w:t>.</w:t>
      </w:r>
      <w:r w:rsidR="00BF20F5">
        <w:t xml:space="preserve"> The gender result was</w:t>
      </w:r>
      <w:r w:rsidRPr="008618AE">
        <w:t xml:space="preserve"> below the five year sector average of 8</w:t>
      </w:r>
      <w:r w:rsidR="00BF20F5">
        <w:t>8</w:t>
      </w:r>
      <w:r>
        <w:t xml:space="preserve"> per cent</w:t>
      </w:r>
      <w:r w:rsidRPr="008618AE">
        <w:t>.</w:t>
      </w:r>
    </w:p>
    <w:p w:rsidR="00283153" w:rsidRDefault="00283153" w:rsidP="00283153">
      <w:pPr>
        <w:pStyle w:val="03HEADING3"/>
      </w:pPr>
      <w:r>
        <w:lastRenderedPageBreak/>
        <w:t>Health</w:t>
      </w:r>
    </w:p>
    <w:p w:rsidR="00C567B6" w:rsidRPr="008618AE" w:rsidRDefault="00C567B6" w:rsidP="0098277E">
      <w:r w:rsidRPr="008618AE">
        <w:t>Australia’s investment</w:t>
      </w:r>
      <w:r w:rsidR="007519FC">
        <w:t>s</w:t>
      </w:r>
      <w:r w:rsidRPr="008618AE">
        <w:t xml:space="preserve"> in health </w:t>
      </w:r>
      <w:r w:rsidR="007519FC">
        <w:t>are</w:t>
      </w:r>
      <w:r w:rsidRPr="008618AE">
        <w:t xml:space="preserve"> guided by the </w:t>
      </w:r>
      <w:r w:rsidRPr="008618AE">
        <w:rPr>
          <w:i/>
          <w:iCs/>
        </w:rPr>
        <w:t>Health for Development Strategy 2015-2020</w:t>
      </w:r>
      <w:r w:rsidRPr="008618AE">
        <w:t>.</w:t>
      </w:r>
      <w:r w:rsidR="001270FD">
        <w:rPr>
          <w:rStyle w:val="FootnoteReference"/>
        </w:rPr>
        <w:footnoteReference w:id="16"/>
      </w:r>
      <w:r w:rsidRPr="008618AE">
        <w:t xml:space="preserve"> The objectives of this strategy are twofold: to help build country-level systems and services that are responsive to people’s health needs and to strengthen regional preparedness and capacity to respond to emerging health threats. The strategy facilitates progress towards Universal Health Coverage and the corresponding Sustainable Development Goal 3: Health and Wellbeing for All.</w:t>
      </w:r>
    </w:p>
    <w:p w:rsidR="00C567B6" w:rsidRDefault="00C567B6" w:rsidP="0098277E">
      <w:r w:rsidRPr="008618AE">
        <w:t>Australia’s health investments performed well in 2018-19. The percentage of investments meeting quality assessment criteria is on par with or higher than whole</w:t>
      </w:r>
      <w:r w:rsidR="008122EA">
        <w:t xml:space="preserve"> of development</w:t>
      </w:r>
      <w:r w:rsidRPr="008618AE">
        <w:t xml:space="preserve"> program results for effectiveness, efficiency and gender equality (Figure</w:t>
      </w:r>
      <w:r w:rsidR="00BF20F5">
        <w:t xml:space="preserve"> </w:t>
      </w:r>
      <w:r w:rsidR="00D25446">
        <w:t>19</w:t>
      </w:r>
      <w:r w:rsidRPr="008618AE">
        <w:t xml:space="preserve">). </w:t>
      </w:r>
      <w:r w:rsidR="00BF20F5">
        <w:t>Effectiveness and efficiency outcomes were higher than</w:t>
      </w:r>
      <w:r w:rsidRPr="008618AE">
        <w:t xml:space="preserve"> five</w:t>
      </w:r>
      <w:r w:rsidR="00BF20F5">
        <w:t xml:space="preserve"> </w:t>
      </w:r>
      <w:r w:rsidRPr="008618AE">
        <w:t>year averages of 90</w:t>
      </w:r>
      <w:r w:rsidR="00173599">
        <w:t xml:space="preserve"> per cent</w:t>
      </w:r>
      <w:r w:rsidRPr="008618AE">
        <w:t xml:space="preserve"> and 87</w:t>
      </w:r>
      <w:r w:rsidR="00173599">
        <w:t xml:space="preserve"> per cent</w:t>
      </w:r>
      <w:r w:rsidRPr="008618AE">
        <w:t xml:space="preserve"> respectively. </w:t>
      </w:r>
      <w:r w:rsidR="00BF20F5">
        <w:t>The gender equality outcome of 80 per cent equalled the five year average.</w:t>
      </w:r>
    </w:p>
    <w:p w:rsidR="007278E5" w:rsidRDefault="007278E5" w:rsidP="00F45DE7">
      <w:pPr>
        <w:spacing w:before="240"/>
      </w:pPr>
      <w:r w:rsidRPr="00F45DE7">
        <w:rPr>
          <w:rFonts w:cs="Calibri"/>
          <w:b/>
          <w:bCs/>
          <w:color w:val="00283F"/>
          <w:sz w:val="19"/>
          <w:szCs w:val="19"/>
          <w:lang w:val="en-GB"/>
        </w:rPr>
        <w:t xml:space="preserve">Figure </w:t>
      </w:r>
      <w:r w:rsidR="00D03E2F">
        <w:rPr>
          <w:rFonts w:cs="Calibri"/>
          <w:b/>
          <w:bCs/>
          <w:color w:val="00283F"/>
          <w:sz w:val="19"/>
          <w:szCs w:val="19"/>
          <w:lang w:val="en-GB"/>
        </w:rPr>
        <w:t>19</w:t>
      </w:r>
      <w:r w:rsidRPr="00F45DE7">
        <w:rPr>
          <w:rFonts w:cs="Calibri"/>
          <w:b/>
          <w:bCs/>
          <w:color w:val="00283F"/>
          <w:sz w:val="19"/>
          <w:szCs w:val="19"/>
          <w:lang w:val="en-GB"/>
        </w:rPr>
        <w:t>:  Health investment performance, 2018-19</w:t>
      </w:r>
      <w:r w:rsidR="002969F2">
        <w:rPr>
          <w:noProof/>
          <w:lang w:eastAsia="en-AU"/>
        </w:rPr>
        <w:drawing>
          <wp:inline distT="0" distB="0" distL="0" distR="0" wp14:anchorId="5E24C765" wp14:editId="5C9A0CC5">
            <wp:extent cx="6017260" cy="1798320"/>
            <wp:effectExtent l="0" t="0" r="2540" b="0"/>
            <wp:docPr id="54" name="Picture 54" descr="This chart shows the performance of aid investments in health compared with the whole of development program." title="Fig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283153" w:rsidRPr="00F16CDF" w:rsidRDefault="00283153" w:rsidP="00311C8B">
      <w:pPr>
        <w:pStyle w:val="Heading3"/>
      </w:pPr>
      <w:bookmarkStart w:id="27" w:name="_Toc53572158"/>
      <w:r w:rsidRPr="00F16CDF">
        <w:t>Building resilience: humanitarian assistance, disaster risk reduction and social protection</w:t>
      </w:r>
      <w:bookmarkEnd w:id="27"/>
    </w:p>
    <w:p w:rsidR="00173599" w:rsidRDefault="00173599" w:rsidP="0098277E">
      <w:pPr>
        <w:rPr>
          <w:lang w:val="en-US"/>
        </w:rPr>
      </w:pPr>
      <w:r w:rsidRPr="00126073">
        <w:t xml:space="preserve">Australia’s ‘building resilience’ investments deliver outcomes in support of a number of Sustainable Development Goals (SDG), including those relating to No Poverty (SDG1), Zero Hunger (SDG2), Good Health and Well-Being (SDG3), Reduced Inequalities (SDG10), Sustainable Cities and Communities (SDG11), and Climate Action (SDG13). Through these investments, Australia is meeting commitments made under the </w:t>
      </w:r>
      <w:r w:rsidRPr="00126073">
        <w:rPr>
          <w:i/>
        </w:rPr>
        <w:t>Sendai Framework for Disaster Risk Reduction 2015-2030</w:t>
      </w:r>
      <w:r w:rsidRPr="00126073">
        <w:t xml:space="preserve"> to support our bilateral partners to limit economic and development losses and reduce the vulnerability of communities and institutions to natural hazards. Investments in these areas also support Australia’s commitments under the </w:t>
      </w:r>
      <w:r w:rsidRPr="00126073">
        <w:rPr>
          <w:i/>
        </w:rPr>
        <w:t>Agenda for Humanity (2016)</w:t>
      </w:r>
      <w:r w:rsidRPr="00126073">
        <w:t xml:space="preserve"> and the </w:t>
      </w:r>
      <w:r w:rsidRPr="00126073">
        <w:rPr>
          <w:i/>
        </w:rPr>
        <w:t>‘Grand Bargain’ (2016)</w:t>
      </w:r>
      <w:r w:rsidRPr="00126073">
        <w:t xml:space="preserve"> to save lives and protect human dignity through improved effectiveness and efficiency of humanitarian action</w:t>
      </w:r>
      <w:r w:rsidR="004B1615">
        <w:t>.</w:t>
      </w:r>
    </w:p>
    <w:p w:rsidR="002969F2" w:rsidRDefault="00283153" w:rsidP="00C36565">
      <w:pPr>
        <w:pStyle w:val="07FIGUREHEADING"/>
        <w:keepNext w:val="0"/>
        <w:suppressAutoHyphens w:val="0"/>
        <w:spacing w:before="0" w:after="0" w:line="240" w:lineRule="auto"/>
        <w:ind w:left="0" w:firstLine="0"/>
      </w:pPr>
      <w:r>
        <w:t>Figure</w:t>
      </w:r>
      <w:r w:rsidR="002B1440">
        <w:t xml:space="preserve"> </w:t>
      </w:r>
      <w:r w:rsidR="0020656B">
        <w:t>2</w:t>
      </w:r>
      <w:r w:rsidR="00D03E2F">
        <w:t>0</w:t>
      </w:r>
      <w:r>
        <w:t>:</w:t>
      </w:r>
      <w:r w:rsidR="00D878FA">
        <w:t xml:space="preserve"> </w:t>
      </w:r>
      <w:r>
        <w:t xml:space="preserve"> Building resilience investment performance, 201</w:t>
      </w:r>
      <w:r w:rsidR="002B1440">
        <w:t>8</w:t>
      </w:r>
      <w:r>
        <w:t>-1</w:t>
      </w:r>
      <w:r w:rsidR="002B1440">
        <w:t>9</w:t>
      </w:r>
      <w:r w:rsidR="00F45DE7">
        <w:t xml:space="preserve"> </w:t>
      </w:r>
    </w:p>
    <w:p w:rsidR="00F45DE7" w:rsidRDefault="002969F2" w:rsidP="00C36565">
      <w:pPr>
        <w:pStyle w:val="07FIGUREHEADING"/>
        <w:keepNext w:val="0"/>
        <w:suppressAutoHyphens w:val="0"/>
        <w:spacing w:before="0" w:after="0" w:line="240" w:lineRule="auto"/>
        <w:ind w:left="0" w:firstLine="0"/>
      </w:pPr>
      <w:r>
        <w:rPr>
          <w:noProof/>
          <w:lang w:val="en-AU" w:eastAsia="en-AU"/>
        </w:rPr>
        <w:drawing>
          <wp:inline distT="0" distB="0" distL="0" distR="0" wp14:anchorId="1666B85B" wp14:editId="0DA74230">
            <wp:extent cx="6017260" cy="1798320"/>
            <wp:effectExtent l="0" t="0" r="2540" b="0"/>
            <wp:docPr id="55" name="Picture 55" descr="This chart shows the performance of aid investments in building resilience compared with the whole of development program." title="Fig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7260" cy="1798320"/>
                    </a:xfrm>
                    <a:prstGeom prst="rect">
                      <a:avLst/>
                    </a:prstGeom>
                    <a:noFill/>
                  </pic:spPr>
                </pic:pic>
              </a:graphicData>
            </a:graphic>
          </wp:inline>
        </w:drawing>
      </w:r>
    </w:p>
    <w:p w:rsidR="00283153" w:rsidRDefault="00283153" w:rsidP="00283153">
      <w:pPr>
        <w:pStyle w:val="04BODYTEXT"/>
        <w:rPr>
          <w:lang w:val="en-US"/>
        </w:rPr>
      </w:pPr>
    </w:p>
    <w:p w:rsidR="002B1440" w:rsidRPr="002B1440" w:rsidRDefault="00BF20F5" w:rsidP="0098277E">
      <w:r w:rsidRPr="00513F88">
        <w:t xml:space="preserve">The ratings for Australia’s </w:t>
      </w:r>
      <w:r>
        <w:t xml:space="preserve">building resilience investments </w:t>
      </w:r>
      <w:r w:rsidRPr="00513F88">
        <w:t xml:space="preserve">in 2018-19 </w:t>
      </w:r>
      <w:r>
        <w:t xml:space="preserve">were below </w:t>
      </w:r>
      <w:r w:rsidRPr="00513F88">
        <w:t xml:space="preserve">whole of </w:t>
      </w:r>
      <w:r w:rsidR="008122EA">
        <w:t>development</w:t>
      </w:r>
      <w:r w:rsidRPr="00513F88">
        <w:t xml:space="preserve"> program </w:t>
      </w:r>
      <w:r>
        <w:t xml:space="preserve">outcomes for effectiveness and efficiency and on par for gender equality (Figure </w:t>
      </w:r>
      <w:r w:rsidR="0020656B">
        <w:t>2</w:t>
      </w:r>
      <w:r w:rsidR="00D25446">
        <w:t>0</w:t>
      </w:r>
      <w:r>
        <w:t>)</w:t>
      </w:r>
      <w:r w:rsidRPr="00513F88">
        <w:t xml:space="preserve">. </w:t>
      </w:r>
      <w:r>
        <w:t>Sector ratings for ef</w:t>
      </w:r>
      <w:r w:rsidR="00BA6333">
        <w:t xml:space="preserve">fectiveness </w:t>
      </w:r>
      <w:r w:rsidR="00BA6333">
        <w:lastRenderedPageBreak/>
        <w:t xml:space="preserve">and gender equality </w:t>
      </w:r>
      <w:r>
        <w:t>were higher than five year sector average</w:t>
      </w:r>
      <w:r w:rsidR="00BA6333">
        <w:t>s</w:t>
      </w:r>
      <w:r>
        <w:t xml:space="preserve"> of 91 </w:t>
      </w:r>
      <w:r w:rsidR="00BA6333">
        <w:t>per cent and 75 per cent respectively but lower than the five year average for efficiency of 8</w:t>
      </w:r>
      <w:r w:rsidR="001A3C3E">
        <w:t>7</w:t>
      </w:r>
      <w:r w:rsidR="00BA6333">
        <w:t xml:space="preserve"> per cent.</w:t>
      </w:r>
      <w:r w:rsidR="002B1440" w:rsidRPr="002B1440">
        <w:t xml:space="preserve"> </w:t>
      </w:r>
    </w:p>
    <w:p w:rsidR="00924892" w:rsidRDefault="00924892" w:rsidP="00924892">
      <w:r w:rsidRPr="00BF20F5">
        <w:t xml:space="preserve">Building on the 2018 ODE evaluation of climate change in Australia’s </w:t>
      </w:r>
      <w:r w:rsidR="008122EA">
        <w:t>development</w:t>
      </w:r>
      <w:r w:rsidRPr="00BF20F5">
        <w:t xml:space="preserve"> program, Australia continued its efforts to lift support for developing countries in tackling climate change during 2018-19. In line with the management responses to the evaluation, there has been ongoing work to integrate climate change considerations across the breadth of Australia’s </w:t>
      </w:r>
      <w:r w:rsidRPr="00DE6DE6">
        <w:t>aid</w:t>
      </w:r>
      <w:r w:rsidRPr="00BF20F5">
        <w:t xml:space="preserve"> investments. Australia’s climate finance support comprised 8.2 per cent of Australia’s total ODA expenditure for 2018-19, which represents an increase from 6.2 per cent 2016-</w:t>
      </w:r>
      <w:r w:rsidR="006F6F5E">
        <w:t>17 and 6.6 per cent in 2017-18.</w:t>
      </w:r>
    </w:p>
    <w:p w:rsidR="00575F3C" w:rsidRDefault="00575F3C" w:rsidP="00311C8B">
      <w:pPr>
        <w:pStyle w:val="Heading3"/>
      </w:pPr>
      <w:bookmarkStart w:id="28" w:name="_Toc53572159"/>
    </w:p>
    <w:p w:rsidR="001F383C" w:rsidRDefault="001F383C" w:rsidP="00311C8B">
      <w:pPr>
        <w:pStyle w:val="Heading3"/>
      </w:pPr>
      <w:r>
        <w:t xml:space="preserve">Disability-inclusive </w:t>
      </w:r>
      <w:r w:rsidR="00F07A71">
        <w:t>d</w:t>
      </w:r>
      <w:r>
        <w:t>evelopment</w:t>
      </w:r>
      <w:bookmarkEnd w:id="28"/>
    </w:p>
    <w:p w:rsidR="00C62D92" w:rsidRDefault="001F383C" w:rsidP="00C62D92">
      <w:r>
        <w:t xml:space="preserve">The Australian </w:t>
      </w:r>
      <w:r w:rsidR="008122EA">
        <w:t xml:space="preserve">development </w:t>
      </w:r>
      <w:r>
        <w:t>program has had strategies to support disability-inclusive development since 2009. The “Development for All” strategies have aimed to improve the lives of people with disabilities by making Australian development assistance more disability-inclusive and having broader impacts through advocacy work. Advocacy to shape the policies and programs of bilateral, multilateral and other development agencies has the potential to deliver exponential benefits for people living with disability beyond what can be achieved by Australian development assistance.</w:t>
      </w:r>
      <w:r w:rsidR="00B00C8B">
        <w:t xml:space="preserve"> The percentage of investments rated satisfactory in 2018-19 for actively involving disabled peoples’ organisations </w:t>
      </w:r>
      <w:r w:rsidR="000451AC">
        <w:t xml:space="preserve">(40 per cent) </w:t>
      </w:r>
      <w:r w:rsidR="00B00C8B">
        <w:t xml:space="preserve">and identifying and addressing barriers to inclusion </w:t>
      </w:r>
      <w:r w:rsidR="000451AC">
        <w:t xml:space="preserve">(45 per cent) </w:t>
      </w:r>
      <w:r w:rsidR="00B00C8B">
        <w:t>were below whole of development program five year averages of 44 and 51 per cent respectively.</w:t>
      </w:r>
    </w:p>
    <w:p w:rsidR="002969F2" w:rsidRDefault="00924892" w:rsidP="00120EB0">
      <w:pPr>
        <w:pStyle w:val="07FIGUREHEADING"/>
        <w:spacing w:before="240" w:after="0" w:line="240" w:lineRule="auto"/>
        <w:ind w:left="0" w:firstLine="0"/>
      </w:pPr>
      <w:r w:rsidRPr="005018CD">
        <w:t xml:space="preserve"> </w:t>
      </w:r>
      <w:r w:rsidR="005018CD" w:rsidRPr="005018CD">
        <w:t xml:space="preserve">Figure </w:t>
      </w:r>
      <w:r w:rsidR="0020656B">
        <w:t>2</w:t>
      </w:r>
      <w:r w:rsidR="00D03E2F">
        <w:t>1</w:t>
      </w:r>
      <w:r w:rsidR="005018CD" w:rsidRPr="005018CD">
        <w:t xml:space="preserve">: </w:t>
      </w:r>
      <w:r w:rsidR="00D878FA">
        <w:t xml:space="preserve"> </w:t>
      </w:r>
      <w:r w:rsidR="005018CD" w:rsidRPr="005018CD">
        <w:t>Disability</w:t>
      </w:r>
      <w:r w:rsidR="005018CD">
        <w:t>-inclusion</w:t>
      </w:r>
      <w:r w:rsidR="005018CD" w:rsidRPr="005018CD">
        <w:t xml:space="preserve"> investment performance, 2018-19</w:t>
      </w:r>
      <w:r w:rsidR="00F45DE7">
        <w:t xml:space="preserve"> </w:t>
      </w:r>
    </w:p>
    <w:p w:rsidR="00F45DE7" w:rsidRDefault="002969F2" w:rsidP="00120EB0">
      <w:pPr>
        <w:pStyle w:val="07FIGUREHEADING"/>
        <w:spacing w:before="240" w:after="0" w:line="240" w:lineRule="auto"/>
        <w:ind w:left="0" w:firstLine="0"/>
      </w:pPr>
      <w:r>
        <w:rPr>
          <w:noProof/>
          <w:lang w:val="en-AU" w:eastAsia="en-AU"/>
        </w:rPr>
        <w:drawing>
          <wp:inline distT="0" distB="0" distL="0" distR="0" wp14:anchorId="321E4537" wp14:editId="21538660">
            <wp:extent cx="6017260" cy="3926205"/>
            <wp:effectExtent l="0" t="0" r="2540" b="0"/>
            <wp:docPr id="56" name="Picture 56" descr="This chart shows the performance of aid investments in disability inclusion compared with the whole of development program." title="Fig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7260" cy="3926205"/>
                    </a:xfrm>
                    <a:prstGeom prst="rect">
                      <a:avLst/>
                    </a:prstGeom>
                    <a:noFill/>
                  </pic:spPr>
                </pic:pic>
              </a:graphicData>
            </a:graphic>
          </wp:inline>
        </w:drawing>
      </w:r>
    </w:p>
    <w:p w:rsidR="00F45DE7" w:rsidRPr="006171AB" w:rsidRDefault="00F45DE7" w:rsidP="00F45DE7">
      <w:pPr>
        <w:pStyle w:val="07FIGUREHEADING"/>
        <w:spacing w:before="240" w:after="0" w:line="240" w:lineRule="auto"/>
        <w:ind w:left="0" w:firstLine="0"/>
      </w:pPr>
    </w:p>
    <w:p w:rsidR="002B1440" w:rsidRPr="006A628A" w:rsidRDefault="002B1440" w:rsidP="00DE4576">
      <w:pPr>
        <w:spacing w:before="0" w:after="0"/>
        <w:jc w:val="both"/>
        <w:rPr>
          <w:bCs/>
        </w:rPr>
      </w:pPr>
    </w:p>
    <w:p w:rsidR="00115C64" w:rsidRDefault="00115C64" w:rsidP="00115C64">
      <w:pPr>
        <w:pStyle w:val="04BODYTEXT"/>
        <w:spacing w:before="160"/>
        <w:rPr>
          <w:rStyle w:val="Bold"/>
        </w:rPr>
        <w:sectPr w:rsidR="00115C64" w:rsidSect="002A4215">
          <w:headerReference w:type="even" r:id="rId33"/>
          <w:headerReference w:type="default" r:id="rId34"/>
          <w:footerReference w:type="even" r:id="rId35"/>
          <w:footerReference w:type="default" r:id="rId36"/>
          <w:headerReference w:type="first" r:id="rId37"/>
          <w:footerReference w:type="first" r:id="rId38"/>
          <w:pgSz w:w="11900" w:h="16840"/>
          <w:pgMar w:top="1006" w:right="985" w:bottom="1159" w:left="1440" w:header="708" w:footer="218" w:gutter="0"/>
          <w:cols w:space="708"/>
          <w:docGrid w:linePitch="360"/>
        </w:sectPr>
      </w:pPr>
      <w:r>
        <w:rPr>
          <w:rStyle w:val="Bold"/>
        </w:rPr>
        <w:br/>
      </w:r>
    </w:p>
    <w:p w:rsidR="00283153" w:rsidRPr="00311C8B" w:rsidRDefault="00283153" w:rsidP="00311C8B">
      <w:pPr>
        <w:pStyle w:val="Heading2"/>
      </w:pPr>
      <w:bookmarkStart w:id="29" w:name="_Toc53572160"/>
      <w:r w:rsidRPr="00311C8B">
        <w:lastRenderedPageBreak/>
        <w:t>List of acronyms and abbreviations</w:t>
      </w:r>
      <w:bookmarkEnd w:id="29"/>
    </w:p>
    <w:p w:rsidR="00283153" w:rsidRDefault="00283153" w:rsidP="00283153">
      <w:pPr>
        <w:pStyle w:val="04BODYTEXT"/>
        <w:tabs>
          <w:tab w:val="left" w:pos="1000"/>
        </w:tabs>
        <w:spacing w:after="57"/>
        <w:rPr>
          <w:sz w:val="19"/>
          <w:szCs w:val="19"/>
        </w:rPr>
      </w:pPr>
      <w:r>
        <w:t>ADB</w:t>
      </w:r>
      <w:r>
        <w:rPr>
          <w:sz w:val="19"/>
          <w:szCs w:val="19"/>
        </w:rPr>
        <w:tab/>
        <w:t>Asian Development Bank </w:t>
      </w:r>
    </w:p>
    <w:p w:rsidR="00283153" w:rsidRDefault="00283153" w:rsidP="00283153">
      <w:pPr>
        <w:pStyle w:val="04BODYTEXT"/>
        <w:tabs>
          <w:tab w:val="left" w:pos="1000"/>
        </w:tabs>
        <w:spacing w:after="57"/>
      </w:pPr>
      <w:r>
        <w:t>APPR</w:t>
      </w:r>
      <w:r>
        <w:tab/>
        <w:t>Aid Program Performance Report</w:t>
      </w:r>
    </w:p>
    <w:p w:rsidR="00283153" w:rsidRDefault="00283153" w:rsidP="00283153">
      <w:pPr>
        <w:pStyle w:val="04BODYTEXT"/>
        <w:tabs>
          <w:tab w:val="left" w:pos="1000"/>
        </w:tabs>
        <w:spacing w:after="57"/>
      </w:pPr>
      <w:r>
        <w:t>AQC</w:t>
      </w:r>
      <w:r>
        <w:tab/>
        <w:t>Aid Quality Check</w:t>
      </w:r>
    </w:p>
    <w:p w:rsidR="00283153" w:rsidRDefault="00283153" w:rsidP="00283153">
      <w:pPr>
        <w:pStyle w:val="04BODYTEXT"/>
        <w:tabs>
          <w:tab w:val="left" w:pos="1000"/>
        </w:tabs>
        <w:spacing w:after="57"/>
      </w:pPr>
      <w:r>
        <w:t>FAO</w:t>
      </w:r>
      <w:r>
        <w:tab/>
        <w:t>Food and Agriculture Organization</w:t>
      </w:r>
    </w:p>
    <w:p w:rsidR="00283153" w:rsidRDefault="00283153" w:rsidP="00283153">
      <w:pPr>
        <w:pStyle w:val="04BODYTEXT"/>
        <w:tabs>
          <w:tab w:val="left" w:pos="1000"/>
        </w:tabs>
        <w:spacing w:after="57"/>
      </w:pPr>
      <w:r>
        <w:t>GEF</w:t>
      </w:r>
      <w:r>
        <w:tab/>
        <w:t>Gender Equality Fund</w:t>
      </w:r>
    </w:p>
    <w:p w:rsidR="00283153" w:rsidRDefault="00283153" w:rsidP="00283153">
      <w:pPr>
        <w:pStyle w:val="04BODYTEXT"/>
        <w:tabs>
          <w:tab w:val="left" w:pos="1000"/>
        </w:tabs>
        <w:spacing w:after="57"/>
      </w:pPr>
      <w:r>
        <w:t>GEF</w:t>
      </w:r>
      <w:r>
        <w:tab/>
        <w:t>Global Environment Facility</w:t>
      </w:r>
    </w:p>
    <w:p w:rsidR="00283153" w:rsidRDefault="00283153" w:rsidP="00283153">
      <w:pPr>
        <w:pStyle w:val="04BODYTEXT"/>
        <w:tabs>
          <w:tab w:val="left" w:pos="1000"/>
        </w:tabs>
        <w:spacing w:after="57"/>
      </w:pPr>
      <w:r>
        <w:t>GPE</w:t>
      </w:r>
      <w:r>
        <w:tab/>
        <w:t>Global Partnership for Education</w:t>
      </w:r>
    </w:p>
    <w:p w:rsidR="00283153" w:rsidRDefault="00283153" w:rsidP="00283153">
      <w:pPr>
        <w:pStyle w:val="04BODYTEXT"/>
        <w:tabs>
          <w:tab w:val="left" w:pos="1000"/>
        </w:tabs>
        <w:spacing w:after="57"/>
      </w:pPr>
      <w:r>
        <w:t xml:space="preserve">IEC </w:t>
      </w:r>
      <w:r>
        <w:tab/>
        <w:t>Independent Evaluation Committee</w:t>
      </w:r>
    </w:p>
    <w:p w:rsidR="00283153" w:rsidRDefault="00283153" w:rsidP="00283153">
      <w:pPr>
        <w:pStyle w:val="04BODYTEXT"/>
        <w:tabs>
          <w:tab w:val="left" w:pos="1000"/>
        </w:tabs>
        <w:spacing w:after="57"/>
      </w:pPr>
      <w:r>
        <w:t>IFC</w:t>
      </w:r>
      <w:r>
        <w:tab/>
        <w:t>International Finance Corporation</w:t>
      </w:r>
    </w:p>
    <w:p w:rsidR="00283153" w:rsidRDefault="00283153" w:rsidP="00283153">
      <w:pPr>
        <w:pStyle w:val="04BODYTEXT"/>
        <w:tabs>
          <w:tab w:val="left" w:pos="1000"/>
        </w:tabs>
        <w:spacing w:after="57"/>
      </w:pPr>
      <w:r>
        <w:t>ILO</w:t>
      </w:r>
      <w:r>
        <w:tab/>
        <w:t>International Labour Organization </w:t>
      </w:r>
    </w:p>
    <w:p w:rsidR="00283153" w:rsidRDefault="00283153" w:rsidP="00283153">
      <w:pPr>
        <w:pStyle w:val="04BODYTEXT"/>
        <w:tabs>
          <w:tab w:val="left" w:pos="1000"/>
        </w:tabs>
        <w:spacing w:after="57"/>
      </w:pPr>
      <w:r>
        <w:t>IRI</w:t>
      </w:r>
      <w:r>
        <w:tab/>
        <w:t>Investments Requiring Improvement</w:t>
      </w:r>
    </w:p>
    <w:p w:rsidR="00283153" w:rsidRDefault="00283153" w:rsidP="00283153">
      <w:pPr>
        <w:pStyle w:val="04BODYTEXT"/>
        <w:tabs>
          <w:tab w:val="left" w:pos="1000"/>
        </w:tabs>
        <w:spacing w:after="57"/>
      </w:pPr>
      <w:r>
        <w:t>MPA</w:t>
      </w:r>
      <w:r>
        <w:tab/>
        <w:t>Multilateral Performance Assessment</w:t>
      </w:r>
    </w:p>
    <w:p w:rsidR="00283153" w:rsidRDefault="00283153" w:rsidP="00283153">
      <w:pPr>
        <w:pStyle w:val="04BODYTEXT"/>
        <w:tabs>
          <w:tab w:val="left" w:pos="1000"/>
        </w:tabs>
        <w:spacing w:after="57"/>
      </w:pPr>
      <w:r>
        <w:t>ODA</w:t>
      </w:r>
      <w:r>
        <w:tab/>
        <w:t>Official Development Assistance</w:t>
      </w:r>
    </w:p>
    <w:p w:rsidR="00283153" w:rsidRDefault="00283153" w:rsidP="00283153">
      <w:pPr>
        <w:pStyle w:val="04BODYTEXT"/>
        <w:tabs>
          <w:tab w:val="left" w:pos="1000"/>
        </w:tabs>
        <w:spacing w:after="57"/>
      </w:pPr>
      <w:r>
        <w:t>ODE</w:t>
      </w:r>
      <w:r>
        <w:tab/>
        <w:t>Office of Development Effectiveness</w:t>
      </w:r>
    </w:p>
    <w:p w:rsidR="00283153" w:rsidRDefault="00283153" w:rsidP="00283153">
      <w:pPr>
        <w:pStyle w:val="04BODYTEXT"/>
        <w:tabs>
          <w:tab w:val="left" w:pos="1000"/>
        </w:tabs>
        <w:spacing w:after="57"/>
      </w:pPr>
      <w:r>
        <w:t>PAA</w:t>
      </w:r>
      <w:r>
        <w:tab/>
        <w:t>Performance of Australian Aid report</w:t>
      </w:r>
    </w:p>
    <w:p w:rsidR="00283153" w:rsidRDefault="00283153" w:rsidP="00283153">
      <w:pPr>
        <w:pStyle w:val="04BODYTEXT"/>
        <w:tabs>
          <w:tab w:val="left" w:pos="1000"/>
        </w:tabs>
        <w:spacing w:after="57"/>
      </w:pPr>
      <w:r>
        <w:t>PPA</w:t>
      </w:r>
      <w:r>
        <w:tab/>
        <w:t>Partner Performance Assessment</w:t>
      </w:r>
    </w:p>
    <w:p w:rsidR="00283153" w:rsidRDefault="00283153" w:rsidP="00283153">
      <w:pPr>
        <w:pStyle w:val="04BODYTEXT"/>
        <w:tabs>
          <w:tab w:val="left" w:pos="1000"/>
        </w:tabs>
        <w:spacing w:after="57"/>
      </w:pPr>
      <w:r>
        <w:t>SDG</w:t>
      </w:r>
      <w:r w:rsidR="00BA6333">
        <w:t>s</w:t>
      </w:r>
      <w:r>
        <w:tab/>
        <w:t>Sustainable Development Goal</w:t>
      </w:r>
      <w:r w:rsidR="00BA6333">
        <w:t>s</w:t>
      </w:r>
    </w:p>
    <w:p w:rsidR="00283153" w:rsidRPr="00DD6249" w:rsidRDefault="00283153" w:rsidP="00283153">
      <w:pPr>
        <w:pStyle w:val="04BODYTEXT"/>
        <w:tabs>
          <w:tab w:val="left" w:pos="1000"/>
        </w:tabs>
        <w:spacing w:after="57"/>
      </w:pPr>
      <w:r w:rsidRPr="00DD6249">
        <w:t>UNDP</w:t>
      </w:r>
      <w:r w:rsidRPr="00DD6249">
        <w:tab/>
        <w:t>United Nations Development Programme</w:t>
      </w:r>
    </w:p>
    <w:p w:rsidR="009E4ACD" w:rsidRPr="00DD6249" w:rsidRDefault="009E4ACD" w:rsidP="00283153">
      <w:pPr>
        <w:pStyle w:val="04BODYTEXT"/>
        <w:tabs>
          <w:tab w:val="left" w:pos="1000"/>
        </w:tabs>
        <w:spacing w:after="57"/>
      </w:pPr>
      <w:r w:rsidRPr="00DD6249">
        <w:t>UNHCR</w:t>
      </w:r>
      <w:r w:rsidRPr="00DD6249">
        <w:tab/>
        <w:t>Office of the United Nations High Commissioner for Refugees</w:t>
      </w:r>
    </w:p>
    <w:p w:rsidR="00283153" w:rsidRPr="00DD6249" w:rsidRDefault="00283153" w:rsidP="00283153">
      <w:pPr>
        <w:pStyle w:val="04BODYTEXT"/>
        <w:tabs>
          <w:tab w:val="left" w:pos="1000"/>
        </w:tabs>
        <w:spacing w:after="57"/>
      </w:pPr>
      <w:r w:rsidRPr="00DD6249">
        <w:t>UNICEF</w:t>
      </w:r>
      <w:r w:rsidRPr="00DD6249">
        <w:tab/>
        <w:t>United Nations Children’s Fund</w:t>
      </w:r>
    </w:p>
    <w:p w:rsidR="00283153" w:rsidRPr="00DD6249" w:rsidRDefault="00283153" w:rsidP="00283153">
      <w:pPr>
        <w:pStyle w:val="04BODYTEXT"/>
        <w:tabs>
          <w:tab w:val="left" w:pos="1000"/>
        </w:tabs>
        <w:spacing w:after="57"/>
      </w:pPr>
      <w:r w:rsidRPr="00DD6249">
        <w:t>UNISDR</w:t>
      </w:r>
      <w:r w:rsidRPr="00DD6249">
        <w:tab/>
        <w:t>United Nations Office for Disaster Risk Reduction</w:t>
      </w:r>
    </w:p>
    <w:p w:rsidR="00283153" w:rsidRDefault="00283153" w:rsidP="00283153">
      <w:pPr>
        <w:pStyle w:val="04BODYTEXT"/>
        <w:tabs>
          <w:tab w:val="left" w:pos="1000"/>
        </w:tabs>
        <w:spacing w:after="57"/>
      </w:pPr>
      <w:r w:rsidRPr="00DD6249">
        <w:t>UNFPA</w:t>
      </w:r>
      <w:r>
        <w:tab/>
        <w:t>United Nations Population Fund</w:t>
      </w:r>
    </w:p>
    <w:p w:rsidR="00283153" w:rsidRDefault="00283153" w:rsidP="00283153">
      <w:pPr>
        <w:pStyle w:val="04BODYTEXT"/>
        <w:tabs>
          <w:tab w:val="left" w:pos="1000"/>
        </w:tabs>
        <w:spacing w:after="57"/>
      </w:pPr>
      <w:r>
        <w:t>UNRWA</w:t>
      </w:r>
      <w:r>
        <w:tab/>
        <w:t>United Nations Relief and Works Agency for Palestine Refugees</w:t>
      </w:r>
    </w:p>
    <w:p w:rsidR="00283153" w:rsidRDefault="00283153" w:rsidP="00283153">
      <w:pPr>
        <w:pStyle w:val="04BODYTEXT"/>
        <w:tabs>
          <w:tab w:val="left" w:pos="1000"/>
        </w:tabs>
        <w:spacing w:after="57"/>
      </w:pPr>
      <w:r>
        <w:t>WBG</w:t>
      </w:r>
      <w:r>
        <w:tab/>
        <w:t>World Bank Group</w:t>
      </w:r>
    </w:p>
    <w:p w:rsidR="00283153" w:rsidRDefault="00283153" w:rsidP="00283153">
      <w:pPr>
        <w:pStyle w:val="04BODYTEXT"/>
        <w:tabs>
          <w:tab w:val="left" w:pos="1000"/>
        </w:tabs>
        <w:spacing w:after="57"/>
      </w:pPr>
      <w:r>
        <w:t>WFP</w:t>
      </w:r>
      <w:r>
        <w:tab/>
        <w:t>World Food Program</w:t>
      </w:r>
    </w:p>
    <w:p w:rsidR="00283153" w:rsidRDefault="00283153" w:rsidP="00283153">
      <w:pPr>
        <w:pStyle w:val="04BODYTEXT"/>
        <w:tabs>
          <w:tab w:val="left" w:pos="1000"/>
        </w:tabs>
        <w:spacing w:after="57"/>
      </w:pPr>
      <w:r>
        <w:t>WHO</w:t>
      </w:r>
      <w:r>
        <w:tab/>
        <w:t>World Health Organization</w:t>
      </w:r>
    </w:p>
    <w:p w:rsidR="00283153" w:rsidRDefault="00283153" w:rsidP="0007009B">
      <w:pPr>
        <w:pStyle w:val="04BODYTEXT"/>
        <w:tabs>
          <w:tab w:val="left" w:pos="1000"/>
        </w:tabs>
        <w:spacing w:after="57"/>
      </w:pPr>
      <w:r>
        <w:t>WTO</w:t>
      </w:r>
      <w:r>
        <w:tab/>
        <w:t>World Trade Organization</w:t>
      </w:r>
    </w:p>
    <w:sectPr w:rsidR="00283153" w:rsidSect="00B7247F">
      <w:pgSz w:w="11900" w:h="16840"/>
      <w:pgMar w:top="1440" w:right="1440" w:bottom="1256" w:left="1440"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E1" w:rsidRDefault="001214E1" w:rsidP="008B276E">
      <w:r>
        <w:separator/>
      </w:r>
    </w:p>
  </w:endnote>
  <w:endnote w:type="continuationSeparator" w:id="0">
    <w:p w:rsidR="001214E1" w:rsidRDefault="001214E1" w:rsidP="008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18" w:rsidRDefault="00C21B18" w:rsidP="002E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21B18" w:rsidRDefault="00C21B18" w:rsidP="008B2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18" w:rsidRDefault="00C21B18" w:rsidP="002E6B4F">
    <w:pPr>
      <w:pStyle w:val="Footer"/>
      <w:framePr w:wrap="none" w:vAnchor="text" w:hAnchor="margin" w:xAlign="right" w:y="1"/>
      <w:rPr>
        <w:rStyle w:val="PageNumber"/>
      </w:rPr>
    </w:pPr>
    <w:r w:rsidRPr="008B276E">
      <w:rPr>
        <w:rStyle w:val="PageNumber"/>
        <w:sz w:val="18"/>
        <w:szCs w:val="18"/>
      </w:rPr>
      <w:fldChar w:fldCharType="begin"/>
    </w:r>
    <w:r w:rsidRPr="008B276E">
      <w:rPr>
        <w:rStyle w:val="PageNumber"/>
        <w:sz w:val="18"/>
        <w:szCs w:val="18"/>
      </w:rPr>
      <w:instrText xml:space="preserve"> PAGE </w:instrText>
    </w:r>
    <w:r w:rsidRPr="008B276E">
      <w:rPr>
        <w:rStyle w:val="PageNumber"/>
        <w:sz w:val="18"/>
        <w:szCs w:val="18"/>
      </w:rPr>
      <w:fldChar w:fldCharType="separate"/>
    </w:r>
    <w:r w:rsidR="00B75BC7">
      <w:rPr>
        <w:rStyle w:val="PageNumber"/>
        <w:noProof/>
        <w:sz w:val="18"/>
        <w:szCs w:val="18"/>
      </w:rPr>
      <w:t>4</w:t>
    </w:r>
    <w:r w:rsidRPr="008B276E">
      <w:rPr>
        <w:rStyle w:val="PageNumber"/>
        <w:sz w:val="18"/>
        <w:szCs w:val="18"/>
      </w:rPr>
      <w:fldChar w:fldCharType="end"/>
    </w:r>
  </w:p>
  <w:p w:rsidR="00C21B18" w:rsidRPr="008B276E" w:rsidRDefault="00C21B18" w:rsidP="008B276E">
    <w:pPr>
      <w:suppressAutoHyphens/>
      <w:autoSpaceDE w:val="0"/>
      <w:autoSpaceDN w:val="0"/>
      <w:adjustRightInd w:val="0"/>
      <w:spacing w:before="59" w:line="140" w:lineRule="atLeast"/>
      <w:ind w:right="360"/>
      <w:textAlignment w:val="center"/>
      <w:rPr>
        <w:rFonts w:cs="Calibri"/>
        <w:color w:val="495965"/>
        <w:sz w:val="16"/>
        <w:szCs w:val="16"/>
        <w:lang w:val="en-US"/>
      </w:rPr>
    </w:pPr>
    <w:r w:rsidRPr="008B276E">
      <w:rPr>
        <w:rFonts w:cs="Calibri"/>
        <w:color w:val="495965"/>
        <w:sz w:val="16"/>
        <w:szCs w:val="16"/>
        <w:lang w:val="en-US"/>
      </w:rPr>
      <w:t>Performance of Australian Aid 201</w:t>
    </w:r>
    <w:r>
      <w:rPr>
        <w:rFonts w:cs="Calibri"/>
        <w:color w:val="495965"/>
        <w:sz w:val="16"/>
        <w:szCs w:val="16"/>
        <w:lang w:val="en-US"/>
      </w:rPr>
      <w:t>8</w:t>
    </w:r>
    <w:r w:rsidRPr="008B276E">
      <w:rPr>
        <w:rFonts w:cs="Calibri"/>
        <w:color w:val="495965"/>
        <w:sz w:val="16"/>
        <w:szCs w:val="16"/>
        <w:lang w:val="en-US"/>
      </w:rPr>
      <w:t>–1</w:t>
    </w:r>
    <w:r>
      <w:rPr>
        <w:rFonts w:cs="Calibri"/>
        <w:color w:val="495965"/>
        <w:sz w:val="16"/>
        <w:szCs w:val="16"/>
        <w:lang w:val="en-US"/>
      </w:rPr>
      <w:t>9</w:t>
    </w:r>
  </w:p>
  <w:p w:rsidR="00C21B18" w:rsidRDefault="00C21B18">
    <w:pPr>
      <w:pStyle w:val="Footer"/>
    </w:pPr>
  </w:p>
  <w:p w:rsidR="00C21B18" w:rsidRDefault="00C21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C7" w:rsidRDefault="00B7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E1" w:rsidRDefault="001214E1" w:rsidP="008B276E">
      <w:r>
        <w:separator/>
      </w:r>
    </w:p>
  </w:footnote>
  <w:footnote w:type="continuationSeparator" w:id="0">
    <w:p w:rsidR="001214E1" w:rsidRDefault="001214E1" w:rsidP="008B276E">
      <w:r>
        <w:continuationSeparator/>
      </w:r>
    </w:p>
  </w:footnote>
  <w:footnote w:id="1">
    <w:p w:rsidR="00C21B18" w:rsidRPr="002F4FA6" w:rsidRDefault="00C21B18" w:rsidP="00CE7A8C">
      <w:pPr>
        <w:pStyle w:val="10FOOTNOTE"/>
        <w:spacing w:after="80" w:line="240" w:lineRule="auto"/>
        <w:ind w:left="227" w:hanging="227"/>
        <w:rPr>
          <w:color w:val="auto"/>
          <w:sz w:val="16"/>
          <w:szCs w:val="16"/>
        </w:rPr>
      </w:pPr>
      <w:r w:rsidRPr="002F4FA6">
        <w:rPr>
          <w:color w:val="auto"/>
          <w:sz w:val="16"/>
          <w:szCs w:val="16"/>
          <w:vertAlign w:val="superscript"/>
        </w:rPr>
        <w:footnoteRef/>
      </w:r>
      <w:r w:rsidRPr="002F4FA6">
        <w:rPr>
          <w:color w:val="auto"/>
          <w:sz w:val="16"/>
          <w:szCs w:val="16"/>
        </w:rPr>
        <w:tab/>
        <w:t xml:space="preserve">DFAT, </w:t>
      </w:r>
      <w:r w:rsidRPr="002F4FA6">
        <w:rPr>
          <w:rStyle w:val="ITALICS"/>
          <w:color w:val="auto"/>
          <w:sz w:val="16"/>
          <w:szCs w:val="16"/>
        </w:rPr>
        <w:t>Making Performance Count: enhancing the accountability and effectiveness of Australian aid</w:t>
      </w:r>
      <w:r w:rsidRPr="002F4FA6">
        <w:rPr>
          <w:color w:val="auto"/>
          <w:sz w:val="16"/>
          <w:szCs w:val="16"/>
        </w:rPr>
        <w:t xml:space="preserve"> (18 June 2014), available at</w:t>
      </w:r>
      <w:r w:rsidRPr="002F4FA6">
        <w:rPr>
          <w:rStyle w:val="Hyperlink"/>
          <w:color w:val="auto"/>
          <w:sz w:val="16"/>
          <w:szCs w:val="16"/>
        </w:rPr>
        <w:t xml:space="preserve"> </w:t>
      </w:r>
      <w:hyperlink r:id="rId1" w:history="1">
        <w:r w:rsidR="0031338B" w:rsidRPr="0031338B">
          <w:rPr>
            <w:rStyle w:val="Hyperlink"/>
            <w:sz w:val="16"/>
            <w:szCs w:val="16"/>
          </w:rPr>
          <w:t>https://www.dfat.gov.au/about-us/publications/Pages/making-performance-count-enhancing-the-accountability-and-effectiveness-of-australian-aid</w:t>
        </w:r>
      </w:hyperlink>
    </w:p>
  </w:footnote>
  <w:footnote w:id="2">
    <w:p w:rsidR="00C21B18" w:rsidRPr="002F4FA6" w:rsidRDefault="00C21B18" w:rsidP="002C7942">
      <w:pPr>
        <w:pStyle w:val="10FOOTNOTE"/>
        <w:spacing w:after="80" w:line="240" w:lineRule="auto"/>
        <w:ind w:left="227" w:hanging="227"/>
        <w:rPr>
          <w:color w:val="auto"/>
          <w:sz w:val="16"/>
          <w:szCs w:val="16"/>
        </w:rPr>
      </w:pPr>
      <w:r w:rsidRPr="002F4FA6">
        <w:rPr>
          <w:color w:val="auto"/>
          <w:sz w:val="16"/>
          <w:szCs w:val="16"/>
          <w:vertAlign w:val="superscript"/>
        </w:rPr>
        <w:footnoteRef/>
      </w:r>
      <w:r w:rsidRPr="002F4FA6">
        <w:rPr>
          <w:rStyle w:val="ITALICS"/>
          <w:color w:val="auto"/>
          <w:sz w:val="16"/>
          <w:szCs w:val="16"/>
        </w:rPr>
        <w:tab/>
      </w:r>
      <w:r>
        <w:rPr>
          <w:rStyle w:val="ITALICS"/>
          <w:color w:val="auto"/>
          <w:sz w:val="16"/>
          <w:szCs w:val="16"/>
        </w:rPr>
        <w:t xml:space="preserve">For example, </w:t>
      </w:r>
      <w:hyperlink r:id="rId2" w:history="1">
        <w:r w:rsidRPr="00BC68C4">
          <w:rPr>
            <w:rStyle w:val="Hyperlink"/>
            <w:sz w:val="16"/>
            <w:szCs w:val="16"/>
            <w:lang w:val="en-US"/>
          </w:rPr>
          <w:t>Performance of Australian Aid 2017-18</w:t>
        </w:r>
      </w:hyperlink>
      <w:r>
        <w:rPr>
          <w:rStyle w:val="ITALICS"/>
          <w:color w:val="auto"/>
          <w:sz w:val="16"/>
          <w:szCs w:val="16"/>
        </w:rPr>
        <w:t>, pp 2 - 4</w:t>
      </w:r>
    </w:p>
  </w:footnote>
  <w:footnote w:id="3">
    <w:p w:rsidR="00C21B18" w:rsidRDefault="00C21B18" w:rsidP="00BC68C4">
      <w:pPr>
        <w:pStyle w:val="10FOOTNOTE"/>
        <w:spacing w:after="80" w:line="240" w:lineRule="auto"/>
        <w:ind w:left="227" w:hanging="227"/>
      </w:pPr>
      <w:r w:rsidRPr="00BC68C4">
        <w:rPr>
          <w:rStyle w:val="FootnoteReference"/>
          <w:sz w:val="16"/>
        </w:rPr>
        <w:footnoteRef/>
      </w:r>
      <w:r w:rsidRPr="00BC68C4">
        <w:rPr>
          <w:sz w:val="16"/>
        </w:rPr>
        <w:t xml:space="preserve"> </w:t>
      </w:r>
      <w:r>
        <w:rPr>
          <w:sz w:val="16"/>
        </w:rPr>
        <w:t xml:space="preserve">   </w:t>
      </w:r>
      <w:hyperlink r:id="rId3" w:history="1">
        <w:r w:rsidRPr="00BC68C4">
          <w:rPr>
            <w:rStyle w:val="Hyperlink"/>
            <w:sz w:val="16"/>
          </w:rPr>
          <w:t>Australia’s Official Development Assistance:</w:t>
        </w:r>
        <w:r w:rsidRPr="00BC68C4">
          <w:rPr>
            <w:rStyle w:val="Hyperlink"/>
            <w:i/>
            <w:sz w:val="16"/>
          </w:rPr>
          <w:t xml:space="preserve"> Statistical Summary 2018-19</w:t>
        </w:r>
      </w:hyperlink>
    </w:p>
  </w:footnote>
  <w:footnote w:id="4">
    <w:p w:rsidR="00C21B18" w:rsidRDefault="00C21B18">
      <w:pPr>
        <w:pStyle w:val="FootnoteText"/>
      </w:pPr>
      <w:r w:rsidRPr="00BC68C4">
        <w:rPr>
          <w:rStyle w:val="FootnoteReference"/>
          <w:sz w:val="16"/>
        </w:rPr>
        <w:footnoteRef/>
      </w:r>
      <w:r w:rsidRPr="00BC68C4">
        <w:rPr>
          <w:sz w:val="16"/>
        </w:rPr>
        <w:t xml:space="preserve"> </w:t>
      </w:r>
      <w:r>
        <w:rPr>
          <w:sz w:val="16"/>
        </w:rPr>
        <w:t xml:space="preserve">   </w:t>
      </w:r>
      <w:hyperlink r:id="rId4" w:history="1">
        <w:r w:rsidRPr="00BC68C4">
          <w:rPr>
            <w:rStyle w:val="Hyperlink"/>
            <w:rFonts w:cs="Times New Roman"/>
            <w:sz w:val="16"/>
          </w:rPr>
          <w:t xml:space="preserve">Australia’s development program </w:t>
        </w:r>
        <w:r w:rsidRPr="00BC68C4">
          <w:rPr>
            <w:rStyle w:val="Hyperlink"/>
            <w:sz w:val="16"/>
            <w:szCs w:val="16"/>
            <w:lang w:val="en-GB"/>
          </w:rPr>
          <w:t>performance assessment</w:t>
        </w:r>
      </w:hyperlink>
    </w:p>
  </w:footnote>
  <w:footnote w:id="5">
    <w:p w:rsidR="00C21B18" w:rsidRPr="002F4FA6" w:rsidRDefault="00C21B18" w:rsidP="00D956D2">
      <w:pPr>
        <w:pStyle w:val="FootnoteText"/>
        <w:spacing w:after="80"/>
        <w:ind w:left="227" w:hanging="227"/>
        <w:rPr>
          <w:rFonts w:cs="Calibri"/>
          <w:sz w:val="16"/>
          <w:szCs w:val="16"/>
        </w:rPr>
      </w:pPr>
      <w:r w:rsidRPr="002F4FA6">
        <w:rPr>
          <w:rStyle w:val="FootnoteReference"/>
          <w:rFonts w:cs="Calibri"/>
          <w:sz w:val="16"/>
          <w:szCs w:val="16"/>
        </w:rPr>
        <w:footnoteRef/>
      </w:r>
      <w:r w:rsidRPr="002F4FA6">
        <w:rPr>
          <w:rFonts w:cs="Calibri"/>
          <w:sz w:val="16"/>
          <w:szCs w:val="16"/>
        </w:rPr>
        <w:tab/>
        <w:t xml:space="preserve">Updated information for all targets is included in Table 1. Full analysis of all targets is available in earlier </w:t>
      </w:r>
      <w:hyperlink r:id="rId5" w:history="1">
        <w:r w:rsidRPr="00A849C8">
          <w:rPr>
            <w:rStyle w:val="Hyperlink"/>
            <w:i/>
            <w:sz w:val="16"/>
            <w:szCs w:val="16"/>
          </w:rPr>
          <w:t>Performance of Australian Aid</w:t>
        </w:r>
        <w:r w:rsidRPr="00A849C8">
          <w:rPr>
            <w:rStyle w:val="Hyperlink"/>
            <w:sz w:val="16"/>
            <w:szCs w:val="16"/>
          </w:rPr>
          <w:t xml:space="preserve"> reports</w:t>
        </w:r>
      </w:hyperlink>
      <w:r w:rsidRPr="002F4FA6">
        <w:rPr>
          <w:rFonts w:cs="Calibri"/>
          <w:sz w:val="16"/>
          <w:szCs w:val="16"/>
        </w:rPr>
        <w:t>.</w:t>
      </w:r>
    </w:p>
  </w:footnote>
  <w:footnote w:id="6">
    <w:p w:rsidR="00C21B18" w:rsidRDefault="00C21B18">
      <w:pPr>
        <w:pStyle w:val="FootnoteText"/>
      </w:pPr>
      <w:r w:rsidRPr="005843F9">
        <w:rPr>
          <w:rStyle w:val="FootnoteReference"/>
          <w:rFonts w:cs="Calibri"/>
          <w:sz w:val="16"/>
          <w:szCs w:val="16"/>
        </w:rPr>
        <w:footnoteRef/>
      </w:r>
      <w:r>
        <w:t xml:space="preserve"> </w:t>
      </w:r>
      <w:r w:rsidRPr="005843F9">
        <w:rPr>
          <w:sz w:val="16"/>
        </w:rPr>
        <w:t xml:space="preserve"> </w:t>
      </w:r>
      <w:hyperlink r:id="rId6" w:history="1">
        <w:r w:rsidRPr="005843F9">
          <w:rPr>
            <w:rStyle w:val="Hyperlink"/>
            <w:rFonts w:cs="Times New Roman"/>
            <w:sz w:val="16"/>
          </w:rPr>
          <w:t>Strategy for Australia’s Aid for Trade Investments</w:t>
        </w:r>
      </w:hyperlink>
      <w:r w:rsidRPr="005843F9">
        <w:rPr>
          <w:sz w:val="16"/>
        </w:rPr>
        <w:t>, Supporting developing countries to trade and prosper</w:t>
      </w:r>
      <w:r>
        <w:rPr>
          <w:sz w:val="16"/>
        </w:rPr>
        <w:t>, July 2015</w:t>
      </w:r>
    </w:p>
  </w:footnote>
  <w:footnote w:id="7">
    <w:p w:rsidR="00C21B18" w:rsidRDefault="00C21B18" w:rsidP="00A02765">
      <w:pPr>
        <w:pStyle w:val="10bFOOTNOTESOVER10"/>
      </w:pPr>
      <w:r>
        <w:rPr>
          <w:vertAlign w:val="superscript"/>
        </w:rPr>
        <w:footnoteRef/>
      </w:r>
      <w:r>
        <w:tab/>
        <w:t>Baseline dates from 1 July 2013.</w:t>
      </w:r>
    </w:p>
  </w:footnote>
  <w:footnote w:id="8">
    <w:p w:rsidR="00C21B18" w:rsidRDefault="00C21B18" w:rsidP="00A242D9">
      <w:pPr>
        <w:pStyle w:val="10bFOOTNOTESOVER10"/>
      </w:pPr>
      <w:r>
        <w:rPr>
          <w:vertAlign w:val="superscript"/>
        </w:rPr>
        <w:footnoteRef/>
      </w:r>
      <w:r>
        <w:tab/>
        <w:t xml:space="preserve"> This figure has been adjusted due to introduction of the 2016 OECD-DAC Minimum Requirements for the gender policy marker and is not comparable with figures reported in earlier years. This figure excludes core payments to multilateral organisations, departmental costs of running the development program and Australian ODA delivered by other Australian government agencies.</w:t>
      </w:r>
    </w:p>
  </w:footnote>
  <w:footnote w:id="9">
    <w:p w:rsidR="00C21B18" w:rsidRDefault="00C21B18" w:rsidP="007E59B0">
      <w:pPr>
        <w:pStyle w:val="10bFOOTNOTESOVER10"/>
      </w:pPr>
      <w:r>
        <w:rPr>
          <w:vertAlign w:val="superscript"/>
        </w:rPr>
        <w:footnoteRef/>
      </w:r>
      <w:r>
        <w:tab/>
        <w:t xml:space="preserve">APPRs have been completed for country and regional programs of $15 million or greater. APPRs are available at </w:t>
      </w:r>
      <w:hyperlink r:id="rId7" w:history="1">
        <w:r w:rsidRPr="000536ED">
          <w:rPr>
            <w:rStyle w:val="Hyperlink"/>
          </w:rPr>
          <w:t>http://dfat.gov.au/about-us/publications/Pages/aid-program-performance-reports.aspx</w:t>
        </w:r>
      </w:hyperlink>
      <w:r>
        <w:t>.</w:t>
      </w:r>
    </w:p>
  </w:footnote>
  <w:footnote w:id="10">
    <w:p w:rsidR="00C21B18" w:rsidRDefault="00C21B18" w:rsidP="00283153">
      <w:pPr>
        <w:pStyle w:val="10bFOOTNOTESOVER10"/>
      </w:pPr>
      <w:r>
        <w:rPr>
          <w:vertAlign w:val="superscript"/>
        </w:rPr>
        <w:footnoteRef/>
      </w:r>
      <w:r>
        <w:tab/>
        <w:t xml:space="preserve">For country and regional programs that publish </w:t>
      </w:r>
      <w:r w:rsidRPr="00A664C5">
        <w:t>aid</w:t>
      </w:r>
      <w:r>
        <w:t xml:space="preserve"> program performance reports. There is not a straight line relationship between investment-level effectiveness results, achievement of performance benchmarks and whether program objectives are on track. This is because, for example, investments may be performing effectively and benchmarks met but progress against program objectives is assessed as less than expected because other actions were insufficient such as partner government budget allocations.</w:t>
      </w:r>
    </w:p>
    <w:p w:rsidR="00C21B18" w:rsidRDefault="00C21B18" w:rsidP="00283153">
      <w:pPr>
        <w:pStyle w:val="10bFOOTNOTESOVER10"/>
      </w:pPr>
    </w:p>
  </w:footnote>
  <w:footnote w:id="11">
    <w:p w:rsidR="00C21B18" w:rsidRPr="00A55295" w:rsidRDefault="00C21B18" w:rsidP="00F61ADC">
      <w:pPr>
        <w:pStyle w:val="FootnoteText"/>
        <w:spacing w:before="0" w:after="0" w:line="288" w:lineRule="auto"/>
        <w:ind w:left="227" w:hanging="227"/>
        <w:rPr>
          <w:rFonts w:cs="Calibri"/>
          <w:color w:val="000000"/>
          <w:sz w:val="15"/>
          <w:szCs w:val="15"/>
          <w:lang w:val="en-GB"/>
        </w:rPr>
      </w:pPr>
      <w:r>
        <w:rPr>
          <w:rStyle w:val="FootnoteReference"/>
        </w:rPr>
        <w:footnoteRef/>
      </w:r>
      <w:r>
        <w:t xml:space="preserve">  </w:t>
      </w:r>
      <w:r w:rsidRPr="00A55295">
        <w:rPr>
          <w:rFonts w:cs="Calibri"/>
          <w:color w:val="000000"/>
          <w:sz w:val="15"/>
          <w:szCs w:val="15"/>
          <w:lang w:val="en-GB"/>
        </w:rPr>
        <w:t>Reforms to the A</w:t>
      </w:r>
      <w:r>
        <w:rPr>
          <w:rFonts w:cs="Calibri"/>
          <w:color w:val="000000"/>
          <w:sz w:val="15"/>
          <w:szCs w:val="15"/>
          <w:lang w:val="en-GB"/>
        </w:rPr>
        <w:t xml:space="preserve">id Quality Check (AQC) </w:t>
      </w:r>
      <w:r w:rsidRPr="00A55295">
        <w:rPr>
          <w:rFonts w:cs="Calibri"/>
          <w:color w:val="000000"/>
          <w:sz w:val="15"/>
          <w:szCs w:val="15"/>
          <w:lang w:val="en-GB"/>
        </w:rPr>
        <w:t>system were introduced in 2018-19 to focus annual AQCs on continuous improvement and Final AQCs (prepared in the final year of an investment) on the extent to which outcomes were achieved. As such, annual AQCs focus on three quality criteria: effectiveness, efficiency and gender equality with Final AQCs considering these criteria as well as relevance, monitoring and evaluation and sustainability. The results published in Chapters 2 and 4 of this report cover effectiveness, efficiency and gender equality as the common criteria assessed across all AQC types</w:t>
      </w:r>
      <w:r>
        <w:rPr>
          <w:rFonts w:cs="Calibri"/>
          <w:color w:val="000000"/>
          <w:sz w:val="15"/>
          <w:szCs w:val="15"/>
          <w:lang w:val="en-GB"/>
        </w:rPr>
        <w:t>.</w:t>
      </w:r>
    </w:p>
  </w:footnote>
  <w:footnote w:id="12">
    <w:p w:rsidR="00C21B18" w:rsidRDefault="00C21B18" w:rsidP="00C77DC8">
      <w:pPr>
        <w:pStyle w:val="10bFOOTNOTESOVER10"/>
      </w:pPr>
      <w:r>
        <w:rPr>
          <w:vertAlign w:val="superscript"/>
        </w:rPr>
        <w:footnoteRef/>
      </w:r>
      <w:r>
        <w:tab/>
        <w:t>Investment performance information included in Chapter 4 refers to DFAT-funded investments only. Performance data for the gender equality and empowering women and girls investment priority area is included under Strategic Target 4 in Chapter 1 of this report.</w:t>
      </w:r>
    </w:p>
  </w:footnote>
  <w:footnote w:id="13">
    <w:p w:rsidR="00C21B18" w:rsidRDefault="00C21B18">
      <w:pPr>
        <w:pStyle w:val="FootnoteText"/>
      </w:pPr>
      <w:r w:rsidRPr="0018454D">
        <w:rPr>
          <w:rFonts w:cs="Calibri"/>
          <w:color w:val="000000"/>
          <w:sz w:val="15"/>
          <w:szCs w:val="15"/>
          <w:vertAlign w:val="superscript"/>
          <w:lang w:val="en-GB"/>
        </w:rPr>
        <w:footnoteRef/>
      </w:r>
      <w:r w:rsidRPr="0018454D">
        <w:rPr>
          <w:rFonts w:cs="Calibri"/>
          <w:color w:val="000000"/>
          <w:sz w:val="15"/>
          <w:szCs w:val="15"/>
          <w:lang w:val="en-GB"/>
        </w:rPr>
        <w:t xml:space="preserve"> </w:t>
      </w:r>
      <w:r>
        <w:rPr>
          <w:rFonts w:cs="Calibri"/>
          <w:color w:val="000000"/>
          <w:sz w:val="15"/>
          <w:szCs w:val="15"/>
          <w:lang w:val="en-GB"/>
        </w:rPr>
        <w:t xml:space="preserve"> </w:t>
      </w:r>
      <w:hyperlink r:id="rId8" w:history="1">
        <w:r w:rsidRPr="0018454D">
          <w:rPr>
            <w:rStyle w:val="Hyperlink"/>
            <w:sz w:val="15"/>
            <w:szCs w:val="15"/>
            <w:lang w:val="en-GB"/>
          </w:rPr>
          <w:t>Strategy for Investments in Economic Infrastructure</w:t>
        </w:r>
      </w:hyperlink>
    </w:p>
  </w:footnote>
  <w:footnote w:id="14">
    <w:p w:rsidR="00C21B18" w:rsidRPr="0018454D" w:rsidRDefault="00C21B18">
      <w:pPr>
        <w:pStyle w:val="FootnoteText"/>
        <w:rPr>
          <w:sz w:val="14"/>
        </w:rPr>
      </w:pPr>
      <w:r w:rsidRPr="0018454D">
        <w:rPr>
          <w:rStyle w:val="FootnoteReference"/>
          <w:sz w:val="14"/>
        </w:rPr>
        <w:footnoteRef/>
      </w:r>
      <w:r w:rsidRPr="0018454D">
        <w:rPr>
          <w:sz w:val="14"/>
        </w:rPr>
        <w:t xml:space="preserve"> </w:t>
      </w:r>
      <w:hyperlink r:id="rId9" w:history="1">
        <w:r w:rsidRPr="0018454D">
          <w:rPr>
            <w:rStyle w:val="Hyperlink"/>
            <w:rFonts w:cs="Times New Roman"/>
            <w:sz w:val="14"/>
          </w:rPr>
          <w:t>Effective Governance: Strategy for Australia’s aid investments</w:t>
        </w:r>
      </w:hyperlink>
      <w:r>
        <w:rPr>
          <w:sz w:val="14"/>
        </w:rPr>
        <w:t xml:space="preserve"> </w:t>
      </w:r>
    </w:p>
  </w:footnote>
  <w:footnote w:id="15">
    <w:p w:rsidR="00C21B18" w:rsidRPr="001270FD" w:rsidRDefault="00C21B18">
      <w:pPr>
        <w:pStyle w:val="FootnoteText"/>
        <w:rPr>
          <w:sz w:val="15"/>
          <w:szCs w:val="15"/>
        </w:rPr>
      </w:pPr>
      <w:r w:rsidRPr="001270FD">
        <w:rPr>
          <w:rStyle w:val="FootnoteReference"/>
          <w:sz w:val="15"/>
          <w:szCs w:val="15"/>
        </w:rPr>
        <w:footnoteRef/>
      </w:r>
      <w:r w:rsidRPr="001270FD">
        <w:rPr>
          <w:sz w:val="15"/>
          <w:szCs w:val="15"/>
        </w:rPr>
        <w:t xml:space="preserve"> </w:t>
      </w:r>
      <w:hyperlink r:id="rId10" w:history="1">
        <w:r w:rsidRPr="001270FD">
          <w:rPr>
            <w:rStyle w:val="Hyperlink"/>
            <w:rFonts w:cs="Times New Roman"/>
            <w:sz w:val="15"/>
            <w:szCs w:val="15"/>
          </w:rPr>
          <w:t>Strategy for Australia’s aid investments in education 2015-2020</w:t>
        </w:r>
      </w:hyperlink>
    </w:p>
  </w:footnote>
  <w:footnote w:id="16">
    <w:p w:rsidR="00C21B18" w:rsidRDefault="00C21B18">
      <w:pPr>
        <w:pStyle w:val="FootnoteText"/>
      </w:pPr>
      <w:r w:rsidRPr="001270FD">
        <w:rPr>
          <w:rStyle w:val="FootnoteReference"/>
          <w:sz w:val="15"/>
          <w:szCs w:val="15"/>
        </w:rPr>
        <w:footnoteRef/>
      </w:r>
      <w:r>
        <w:t xml:space="preserve"> </w:t>
      </w:r>
      <w:hyperlink r:id="rId11" w:history="1">
        <w:r w:rsidRPr="001270FD">
          <w:rPr>
            <w:rStyle w:val="Hyperlink"/>
            <w:rFonts w:cs="Times New Roman"/>
            <w:sz w:val="15"/>
            <w:szCs w:val="15"/>
          </w:rPr>
          <w:t>Health for Development Strategy 2015-2020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C7" w:rsidRDefault="00B7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C7" w:rsidRDefault="00B7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C7" w:rsidRDefault="00B7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243"/>
    <w:multiLevelType w:val="hybridMultilevel"/>
    <w:tmpl w:val="8B8039AE"/>
    <w:lvl w:ilvl="0" w:tplc="26747F4C">
      <w:numFmt w:val="bullet"/>
      <w:lvlText w:val="•"/>
      <w:lvlJc w:val="left"/>
      <w:pPr>
        <w:ind w:left="720" w:hanging="360"/>
      </w:pPr>
      <w:rPr>
        <w:rFonts w:ascii="Calibri" w:hAnsi="Calibri" w:hint="default"/>
        <w:color w:val="7F7F7F"/>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11EFE"/>
    <w:multiLevelType w:val="hybridMultilevel"/>
    <w:tmpl w:val="48DA3FD0"/>
    <w:lvl w:ilvl="0" w:tplc="26747F4C">
      <w:numFmt w:val="bullet"/>
      <w:lvlText w:val="•"/>
      <w:lvlJc w:val="left"/>
      <w:pPr>
        <w:ind w:left="720" w:hanging="360"/>
      </w:pPr>
      <w:rPr>
        <w:rFonts w:ascii="Calibri" w:hAnsi="Calibri" w:hint="default"/>
        <w:color w:val="7F7F7F"/>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43A89"/>
    <w:multiLevelType w:val="hybridMultilevel"/>
    <w:tmpl w:val="BAB68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942D4"/>
    <w:multiLevelType w:val="hybridMultilevel"/>
    <w:tmpl w:val="9534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71DE8"/>
    <w:multiLevelType w:val="hybridMultilevel"/>
    <w:tmpl w:val="09BCBC64"/>
    <w:lvl w:ilvl="0" w:tplc="A9C6C5E8">
      <w:start w:val="1"/>
      <w:numFmt w:val="bullet"/>
      <w:lvlText w:val=""/>
      <w:lvlJc w:val="left"/>
      <w:pPr>
        <w:ind w:left="720" w:hanging="360"/>
      </w:pPr>
      <w:rPr>
        <w:rFonts w:ascii="Symbol" w:hAnsi="Symbo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C534C"/>
    <w:multiLevelType w:val="hybridMultilevel"/>
    <w:tmpl w:val="B9AA3724"/>
    <w:lvl w:ilvl="0" w:tplc="26747F4C">
      <w:numFmt w:val="bullet"/>
      <w:lvlText w:val="•"/>
      <w:lvlJc w:val="left"/>
      <w:pPr>
        <w:ind w:left="720" w:hanging="360"/>
      </w:pPr>
      <w:rPr>
        <w:rFonts w:ascii="Calibri" w:hAnsi="Calibri" w:hint="default"/>
        <w:color w:val="7F7F7F"/>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848CF"/>
    <w:multiLevelType w:val="hybridMultilevel"/>
    <w:tmpl w:val="D488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80261"/>
    <w:multiLevelType w:val="hybridMultilevel"/>
    <w:tmpl w:val="F2C4131A"/>
    <w:lvl w:ilvl="0" w:tplc="A9C6C5E8">
      <w:start w:val="1"/>
      <w:numFmt w:val="bullet"/>
      <w:lvlText w:val=""/>
      <w:lvlJc w:val="left"/>
      <w:pPr>
        <w:ind w:left="720" w:hanging="360"/>
      </w:pPr>
      <w:rPr>
        <w:rFonts w:ascii="Symbol" w:hAnsi="Symbo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44B21"/>
    <w:multiLevelType w:val="hybridMultilevel"/>
    <w:tmpl w:val="0DBEAECE"/>
    <w:lvl w:ilvl="0" w:tplc="F5A20D88">
      <w:numFmt w:val="bullet"/>
      <w:lvlText w:val="•"/>
      <w:lvlJc w:val="left"/>
      <w:pPr>
        <w:ind w:left="720" w:hanging="360"/>
      </w:pPr>
      <w:rPr>
        <w:rFonts w:ascii="Calibri" w:eastAsia="Calibri" w:hAnsi="Calibri" w:cs="Calibri"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65667"/>
    <w:multiLevelType w:val="multilevel"/>
    <w:tmpl w:val="D23E3B4A"/>
    <w:lvl w:ilvl="0">
      <w:start w:val="1"/>
      <w:numFmt w:val="bullet"/>
      <w:pStyle w:val="Bullet1"/>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cs="Times New Roman" w:hint="default"/>
      </w:rPr>
    </w:lvl>
    <w:lvl w:ilvl="2">
      <w:start w:val="1"/>
      <w:numFmt w:val="bullet"/>
      <w:lvlText w:val=""/>
      <w:lvlJc w:val="left"/>
      <w:pPr>
        <w:tabs>
          <w:tab w:val="num" w:pos="852"/>
        </w:tabs>
        <w:ind w:left="852" w:firstLine="0"/>
      </w:pPr>
      <w:rPr>
        <w:rFonts w:ascii="Wingdings" w:hAnsi="Wingdings" w:hint="default"/>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10" w15:restartNumberingAfterBreak="0">
    <w:nsid w:val="4DBB3AB1"/>
    <w:multiLevelType w:val="hybridMultilevel"/>
    <w:tmpl w:val="8FA89DB0"/>
    <w:lvl w:ilvl="0" w:tplc="26747F4C">
      <w:numFmt w:val="bullet"/>
      <w:lvlText w:val="•"/>
      <w:lvlJc w:val="left"/>
      <w:pPr>
        <w:ind w:left="720" w:hanging="360"/>
      </w:pPr>
      <w:rPr>
        <w:rFonts w:ascii="Calibri" w:hAnsi="Calibri" w:hint="default"/>
        <w:color w:val="7F7F7F"/>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1498C"/>
    <w:multiLevelType w:val="hybridMultilevel"/>
    <w:tmpl w:val="ADBC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C4B73"/>
    <w:multiLevelType w:val="hybridMultilevel"/>
    <w:tmpl w:val="97729A44"/>
    <w:lvl w:ilvl="0" w:tplc="A9C6C5E8">
      <w:start w:val="1"/>
      <w:numFmt w:val="bullet"/>
      <w:lvlText w:val=""/>
      <w:lvlJc w:val="left"/>
      <w:pPr>
        <w:ind w:left="720" w:hanging="360"/>
      </w:pPr>
      <w:rPr>
        <w:rFonts w:ascii="Symbol" w:hAnsi="Symbo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C53786"/>
    <w:multiLevelType w:val="hybridMultilevel"/>
    <w:tmpl w:val="A0C08582"/>
    <w:lvl w:ilvl="0" w:tplc="A9C6C5E8">
      <w:start w:val="1"/>
      <w:numFmt w:val="bullet"/>
      <w:lvlText w:val=""/>
      <w:lvlJc w:val="left"/>
      <w:pPr>
        <w:ind w:left="720" w:hanging="360"/>
      </w:pPr>
      <w:rPr>
        <w:rFonts w:ascii="Symbol" w:hAnsi="Symbo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BE727D"/>
    <w:multiLevelType w:val="hybridMultilevel"/>
    <w:tmpl w:val="DCB6D23C"/>
    <w:lvl w:ilvl="0" w:tplc="26747F4C">
      <w:numFmt w:val="bullet"/>
      <w:lvlText w:val="•"/>
      <w:lvlJc w:val="left"/>
      <w:pPr>
        <w:ind w:left="720" w:hanging="360"/>
      </w:pPr>
      <w:rPr>
        <w:rFonts w:ascii="Calibri" w:hAnsi="Calibri" w:hint="default"/>
        <w:color w:val="7F7F7F"/>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711647"/>
    <w:multiLevelType w:val="hybridMultilevel"/>
    <w:tmpl w:val="A0186A08"/>
    <w:lvl w:ilvl="0" w:tplc="F5A20D88">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7"/>
  </w:num>
  <w:num w:numId="5">
    <w:abstractNumId w:val="15"/>
  </w:num>
  <w:num w:numId="6">
    <w:abstractNumId w:val="12"/>
  </w:num>
  <w:num w:numId="7">
    <w:abstractNumId w:val="11"/>
  </w:num>
  <w:num w:numId="8">
    <w:abstractNumId w:val="4"/>
  </w:num>
  <w:num w:numId="9">
    <w:abstractNumId w:val="8"/>
  </w:num>
  <w:num w:numId="10">
    <w:abstractNumId w:val="1"/>
  </w:num>
  <w:num w:numId="11">
    <w:abstractNumId w:val="0"/>
  </w:num>
  <w:num w:numId="12">
    <w:abstractNumId w:val="14"/>
  </w:num>
  <w:num w:numId="13">
    <w:abstractNumId w:val="10"/>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E"/>
    <w:rsid w:val="00004B1F"/>
    <w:rsid w:val="00017D08"/>
    <w:rsid w:val="00021713"/>
    <w:rsid w:val="0002616C"/>
    <w:rsid w:val="00027ED9"/>
    <w:rsid w:val="00030214"/>
    <w:rsid w:val="00032E96"/>
    <w:rsid w:val="0003330E"/>
    <w:rsid w:val="00044BAB"/>
    <w:rsid w:val="000451AC"/>
    <w:rsid w:val="00045C27"/>
    <w:rsid w:val="000536ED"/>
    <w:rsid w:val="000604CE"/>
    <w:rsid w:val="00064D42"/>
    <w:rsid w:val="00067758"/>
    <w:rsid w:val="0007009B"/>
    <w:rsid w:val="000706FA"/>
    <w:rsid w:val="0007375C"/>
    <w:rsid w:val="00094370"/>
    <w:rsid w:val="000974F5"/>
    <w:rsid w:val="000A474B"/>
    <w:rsid w:val="000A7149"/>
    <w:rsid w:val="000B0B3A"/>
    <w:rsid w:val="000B1987"/>
    <w:rsid w:val="000B675F"/>
    <w:rsid w:val="000C6849"/>
    <w:rsid w:val="000C6AC6"/>
    <w:rsid w:val="000D2659"/>
    <w:rsid w:val="000D6FE7"/>
    <w:rsid w:val="000E06D0"/>
    <w:rsid w:val="000E1FDE"/>
    <w:rsid w:val="000E4D98"/>
    <w:rsid w:val="000F1A2E"/>
    <w:rsid w:val="00101715"/>
    <w:rsid w:val="00101FD7"/>
    <w:rsid w:val="00104B99"/>
    <w:rsid w:val="00115C64"/>
    <w:rsid w:val="00120EB0"/>
    <w:rsid w:val="001214E1"/>
    <w:rsid w:val="001270FD"/>
    <w:rsid w:val="001341AC"/>
    <w:rsid w:val="0013684D"/>
    <w:rsid w:val="00136AF1"/>
    <w:rsid w:val="001422BD"/>
    <w:rsid w:val="00145BE5"/>
    <w:rsid w:val="0014795A"/>
    <w:rsid w:val="001654F5"/>
    <w:rsid w:val="00173599"/>
    <w:rsid w:val="0017754A"/>
    <w:rsid w:val="00177DC2"/>
    <w:rsid w:val="00181812"/>
    <w:rsid w:val="00183C0E"/>
    <w:rsid w:val="0018454D"/>
    <w:rsid w:val="00185105"/>
    <w:rsid w:val="00190F46"/>
    <w:rsid w:val="00192402"/>
    <w:rsid w:val="001929CE"/>
    <w:rsid w:val="00195A25"/>
    <w:rsid w:val="001A3C3E"/>
    <w:rsid w:val="001A5508"/>
    <w:rsid w:val="001A6177"/>
    <w:rsid w:val="001B125C"/>
    <w:rsid w:val="001D181D"/>
    <w:rsid w:val="001E09A7"/>
    <w:rsid w:val="001E09F4"/>
    <w:rsid w:val="001F383C"/>
    <w:rsid w:val="001F5670"/>
    <w:rsid w:val="001F7928"/>
    <w:rsid w:val="002021BE"/>
    <w:rsid w:val="00205F17"/>
    <w:rsid w:val="0020656B"/>
    <w:rsid w:val="0021582F"/>
    <w:rsid w:val="0022157B"/>
    <w:rsid w:val="00226B7B"/>
    <w:rsid w:val="0022769B"/>
    <w:rsid w:val="00231010"/>
    <w:rsid w:val="00236317"/>
    <w:rsid w:val="002370E8"/>
    <w:rsid w:val="00241390"/>
    <w:rsid w:val="002459F0"/>
    <w:rsid w:val="00246A1E"/>
    <w:rsid w:val="00253456"/>
    <w:rsid w:val="002753FF"/>
    <w:rsid w:val="00277CE5"/>
    <w:rsid w:val="002802BD"/>
    <w:rsid w:val="00283153"/>
    <w:rsid w:val="00290C1C"/>
    <w:rsid w:val="002969F2"/>
    <w:rsid w:val="0029740C"/>
    <w:rsid w:val="002A4215"/>
    <w:rsid w:val="002A6DFD"/>
    <w:rsid w:val="002B0234"/>
    <w:rsid w:val="002B1440"/>
    <w:rsid w:val="002B2DA9"/>
    <w:rsid w:val="002B4FCB"/>
    <w:rsid w:val="002B712B"/>
    <w:rsid w:val="002C47FB"/>
    <w:rsid w:val="002C7942"/>
    <w:rsid w:val="002D6316"/>
    <w:rsid w:val="002D6DA2"/>
    <w:rsid w:val="002E1294"/>
    <w:rsid w:val="002E292E"/>
    <w:rsid w:val="002E5767"/>
    <w:rsid w:val="002E65F5"/>
    <w:rsid w:val="002E6B4F"/>
    <w:rsid w:val="002F042B"/>
    <w:rsid w:val="002F2AC6"/>
    <w:rsid w:val="002F4FA6"/>
    <w:rsid w:val="002F5317"/>
    <w:rsid w:val="002F6B03"/>
    <w:rsid w:val="00301372"/>
    <w:rsid w:val="00306EBD"/>
    <w:rsid w:val="0030762E"/>
    <w:rsid w:val="00311C8B"/>
    <w:rsid w:val="0031338B"/>
    <w:rsid w:val="00317ED3"/>
    <w:rsid w:val="003374DA"/>
    <w:rsid w:val="00352E15"/>
    <w:rsid w:val="00366F00"/>
    <w:rsid w:val="00371F63"/>
    <w:rsid w:val="00373426"/>
    <w:rsid w:val="00375D5E"/>
    <w:rsid w:val="00390EEB"/>
    <w:rsid w:val="003964CE"/>
    <w:rsid w:val="00396FF7"/>
    <w:rsid w:val="00397121"/>
    <w:rsid w:val="003A06DE"/>
    <w:rsid w:val="003B194F"/>
    <w:rsid w:val="003B5C33"/>
    <w:rsid w:val="003C0AA8"/>
    <w:rsid w:val="003C606F"/>
    <w:rsid w:val="003D50EC"/>
    <w:rsid w:val="003E7381"/>
    <w:rsid w:val="00411C4C"/>
    <w:rsid w:val="00426E45"/>
    <w:rsid w:val="004322A7"/>
    <w:rsid w:val="00437C82"/>
    <w:rsid w:val="00444125"/>
    <w:rsid w:val="00456534"/>
    <w:rsid w:val="004600DE"/>
    <w:rsid w:val="00461F7D"/>
    <w:rsid w:val="004710AC"/>
    <w:rsid w:val="004735CB"/>
    <w:rsid w:val="0047499D"/>
    <w:rsid w:val="00475C58"/>
    <w:rsid w:val="00483398"/>
    <w:rsid w:val="00483E6C"/>
    <w:rsid w:val="004854B0"/>
    <w:rsid w:val="004868F4"/>
    <w:rsid w:val="00491DD0"/>
    <w:rsid w:val="00497BC1"/>
    <w:rsid w:val="004A1E06"/>
    <w:rsid w:val="004A593F"/>
    <w:rsid w:val="004A739C"/>
    <w:rsid w:val="004A747C"/>
    <w:rsid w:val="004B0531"/>
    <w:rsid w:val="004B1615"/>
    <w:rsid w:val="004C2E81"/>
    <w:rsid w:val="004E13B0"/>
    <w:rsid w:val="004E4A32"/>
    <w:rsid w:val="004E68C8"/>
    <w:rsid w:val="004E7D5E"/>
    <w:rsid w:val="004F3FAF"/>
    <w:rsid w:val="0050172E"/>
    <w:rsid w:val="005018CD"/>
    <w:rsid w:val="005043B8"/>
    <w:rsid w:val="00504487"/>
    <w:rsid w:val="00504942"/>
    <w:rsid w:val="00504A02"/>
    <w:rsid w:val="0050754F"/>
    <w:rsid w:val="0052491B"/>
    <w:rsid w:val="00525BD9"/>
    <w:rsid w:val="005308E7"/>
    <w:rsid w:val="00530A83"/>
    <w:rsid w:val="00531301"/>
    <w:rsid w:val="00531B2C"/>
    <w:rsid w:val="00534EBE"/>
    <w:rsid w:val="005350B5"/>
    <w:rsid w:val="00540E1A"/>
    <w:rsid w:val="00543F36"/>
    <w:rsid w:val="00553C2A"/>
    <w:rsid w:val="005660DE"/>
    <w:rsid w:val="00567E7B"/>
    <w:rsid w:val="00570E52"/>
    <w:rsid w:val="00575F3C"/>
    <w:rsid w:val="00580428"/>
    <w:rsid w:val="00580D4E"/>
    <w:rsid w:val="00580F4C"/>
    <w:rsid w:val="00582AF0"/>
    <w:rsid w:val="005843F9"/>
    <w:rsid w:val="005920FE"/>
    <w:rsid w:val="005976CB"/>
    <w:rsid w:val="005A521C"/>
    <w:rsid w:val="005A5FFD"/>
    <w:rsid w:val="005B64FF"/>
    <w:rsid w:val="005C0064"/>
    <w:rsid w:val="005C00F6"/>
    <w:rsid w:val="005C0872"/>
    <w:rsid w:val="005C1407"/>
    <w:rsid w:val="005C4FF4"/>
    <w:rsid w:val="005C504D"/>
    <w:rsid w:val="005D184A"/>
    <w:rsid w:val="005D2F4F"/>
    <w:rsid w:val="005D4E3A"/>
    <w:rsid w:val="005D52C2"/>
    <w:rsid w:val="005E4EF2"/>
    <w:rsid w:val="005F64F4"/>
    <w:rsid w:val="00601EA1"/>
    <w:rsid w:val="0061232F"/>
    <w:rsid w:val="00612668"/>
    <w:rsid w:val="00614737"/>
    <w:rsid w:val="006171AB"/>
    <w:rsid w:val="00624C49"/>
    <w:rsid w:val="00627C9A"/>
    <w:rsid w:val="006341AC"/>
    <w:rsid w:val="00651A90"/>
    <w:rsid w:val="00653E1E"/>
    <w:rsid w:val="006548DE"/>
    <w:rsid w:val="00665397"/>
    <w:rsid w:val="00667BE7"/>
    <w:rsid w:val="006749E0"/>
    <w:rsid w:val="00676D7F"/>
    <w:rsid w:val="0067727D"/>
    <w:rsid w:val="00681B9A"/>
    <w:rsid w:val="00682C6D"/>
    <w:rsid w:val="006949CD"/>
    <w:rsid w:val="00697EC8"/>
    <w:rsid w:val="006B300E"/>
    <w:rsid w:val="006B407F"/>
    <w:rsid w:val="006B5DE9"/>
    <w:rsid w:val="006C13F8"/>
    <w:rsid w:val="006C778A"/>
    <w:rsid w:val="006E2F37"/>
    <w:rsid w:val="006E5686"/>
    <w:rsid w:val="006F4AEF"/>
    <w:rsid w:val="006F6F5E"/>
    <w:rsid w:val="00704595"/>
    <w:rsid w:val="00706D77"/>
    <w:rsid w:val="00711A96"/>
    <w:rsid w:val="0071743C"/>
    <w:rsid w:val="00723CC9"/>
    <w:rsid w:val="00727458"/>
    <w:rsid w:val="007278E5"/>
    <w:rsid w:val="0074070F"/>
    <w:rsid w:val="00744988"/>
    <w:rsid w:val="00745528"/>
    <w:rsid w:val="00746A6C"/>
    <w:rsid w:val="00750250"/>
    <w:rsid w:val="007519FC"/>
    <w:rsid w:val="00753CA8"/>
    <w:rsid w:val="00757453"/>
    <w:rsid w:val="00760A52"/>
    <w:rsid w:val="00780224"/>
    <w:rsid w:val="0078367D"/>
    <w:rsid w:val="0079674A"/>
    <w:rsid w:val="007A0F85"/>
    <w:rsid w:val="007A2C04"/>
    <w:rsid w:val="007A36D3"/>
    <w:rsid w:val="007A3B76"/>
    <w:rsid w:val="007A7D63"/>
    <w:rsid w:val="007B2CE7"/>
    <w:rsid w:val="007C5A3E"/>
    <w:rsid w:val="007C724C"/>
    <w:rsid w:val="007E0B13"/>
    <w:rsid w:val="007E59B0"/>
    <w:rsid w:val="007F0750"/>
    <w:rsid w:val="007F2768"/>
    <w:rsid w:val="007F6D40"/>
    <w:rsid w:val="00801E44"/>
    <w:rsid w:val="008122EA"/>
    <w:rsid w:val="008153C6"/>
    <w:rsid w:val="00815B95"/>
    <w:rsid w:val="00817AC6"/>
    <w:rsid w:val="00833C8E"/>
    <w:rsid w:val="00834738"/>
    <w:rsid w:val="00847CD8"/>
    <w:rsid w:val="00874074"/>
    <w:rsid w:val="00875CDB"/>
    <w:rsid w:val="008832B3"/>
    <w:rsid w:val="00883F4E"/>
    <w:rsid w:val="008872F5"/>
    <w:rsid w:val="0089063E"/>
    <w:rsid w:val="00890734"/>
    <w:rsid w:val="00892569"/>
    <w:rsid w:val="008A7669"/>
    <w:rsid w:val="008B01E5"/>
    <w:rsid w:val="008B0EEE"/>
    <w:rsid w:val="008B276E"/>
    <w:rsid w:val="008D364F"/>
    <w:rsid w:val="008D7786"/>
    <w:rsid w:val="008E11B0"/>
    <w:rsid w:val="008E1C71"/>
    <w:rsid w:val="008E224A"/>
    <w:rsid w:val="008E48D7"/>
    <w:rsid w:val="008E7F52"/>
    <w:rsid w:val="008F32C7"/>
    <w:rsid w:val="008F3DF2"/>
    <w:rsid w:val="008F51FA"/>
    <w:rsid w:val="00902730"/>
    <w:rsid w:val="0090505D"/>
    <w:rsid w:val="00906496"/>
    <w:rsid w:val="009125A1"/>
    <w:rsid w:val="00912793"/>
    <w:rsid w:val="009141FE"/>
    <w:rsid w:val="00915B48"/>
    <w:rsid w:val="00916C15"/>
    <w:rsid w:val="00924892"/>
    <w:rsid w:val="00924DF1"/>
    <w:rsid w:val="00925393"/>
    <w:rsid w:val="00932328"/>
    <w:rsid w:val="0094199D"/>
    <w:rsid w:val="00961D0E"/>
    <w:rsid w:val="0096601C"/>
    <w:rsid w:val="0098004C"/>
    <w:rsid w:val="0098277E"/>
    <w:rsid w:val="00986010"/>
    <w:rsid w:val="00987679"/>
    <w:rsid w:val="009A4021"/>
    <w:rsid w:val="009B3987"/>
    <w:rsid w:val="009C0F1C"/>
    <w:rsid w:val="009C4340"/>
    <w:rsid w:val="009C4E58"/>
    <w:rsid w:val="009D240E"/>
    <w:rsid w:val="009D332F"/>
    <w:rsid w:val="009E36B7"/>
    <w:rsid w:val="009E4ACD"/>
    <w:rsid w:val="009E622F"/>
    <w:rsid w:val="009E7649"/>
    <w:rsid w:val="009F0E40"/>
    <w:rsid w:val="009F295F"/>
    <w:rsid w:val="009F5636"/>
    <w:rsid w:val="009F668F"/>
    <w:rsid w:val="00A00722"/>
    <w:rsid w:val="00A02372"/>
    <w:rsid w:val="00A02765"/>
    <w:rsid w:val="00A22E2E"/>
    <w:rsid w:val="00A242D9"/>
    <w:rsid w:val="00A24C48"/>
    <w:rsid w:val="00A257E2"/>
    <w:rsid w:val="00A4391A"/>
    <w:rsid w:val="00A4721E"/>
    <w:rsid w:val="00A51C48"/>
    <w:rsid w:val="00A53A00"/>
    <w:rsid w:val="00A55295"/>
    <w:rsid w:val="00A60AAB"/>
    <w:rsid w:val="00A60ACF"/>
    <w:rsid w:val="00A62305"/>
    <w:rsid w:val="00A62349"/>
    <w:rsid w:val="00A663A8"/>
    <w:rsid w:val="00A664C5"/>
    <w:rsid w:val="00A67250"/>
    <w:rsid w:val="00A755E1"/>
    <w:rsid w:val="00A849C8"/>
    <w:rsid w:val="00A90589"/>
    <w:rsid w:val="00A907AC"/>
    <w:rsid w:val="00A90D4A"/>
    <w:rsid w:val="00A9213F"/>
    <w:rsid w:val="00A96442"/>
    <w:rsid w:val="00A965B5"/>
    <w:rsid w:val="00A96B20"/>
    <w:rsid w:val="00AA1707"/>
    <w:rsid w:val="00AA7A9B"/>
    <w:rsid w:val="00AB0B13"/>
    <w:rsid w:val="00AB438D"/>
    <w:rsid w:val="00AB585F"/>
    <w:rsid w:val="00AB7A4D"/>
    <w:rsid w:val="00AC31BE"/>
    <w:rsid w:val="00AD00E6"/>
    <w:rsid w:val="00AD575A"/>
    <w:rsid w:val="00AD5E1C"/>
    <w:rsid w:val="00AE2757"/>
    <w:rsid w:val="00AE30FB"/>
    <w:rsid w:val="00AE7C74"/>
    <w:rsid w:val="00AF110A"/>
    <w:rsid w:val="00B00C8B"/>
    <w:rsid w:val="00B024E2"/>
    <w:rsid w:val="00B1566A"/>
    <w:rsid w:val="00B20EC0"/>
    <w:rsid w:val="00B235BB"/>
    <w:rsid w:val="00B245E6"/>
    <w:rsid w:val="00B31BE3"/>
    <w:rsid w:val="00B3645D"/>
    <w:rsid w:val="00B36943"/>
    <w:rsid w:val="00B36BA7"/>
    <w:rsid w:val="00B41478"/>
    <w:rsid w:val="00B461A3"/>
    <w:rsid w:val="00B50F2A"/>
    <w:rsid w:val="00B51F51"/>
    <w:rsid w:val="00B556E4"/>
    <w:rsid w:val="00B60BC7"/>
    <w:rsid w:val="00B6150B"/>
    <w:rsid w:val="00B63170"/>
    <w:rsid w:val="00B6783C"/>
    <w:rsid w:val="00B7247F"/>
    <w:rsid w:val="00B72F70"/>
    <w:rsid w:val="00B741D5"/>
    <w:rsid w:val="00B75604"/>
    <w:rsid w:val="00B75BC7"/>
    <w:rsid w:val="00B90C57"/>
    <w:rsid w:val="00B94998"/>
    <w:rsid w:val="00BA4188"/>
    <w:rsid w:val="00BA6333"/>
    <w:rsid w:val="00BB3C3F"/>
    <w:rsid w:val="00BC1E75"/>
    <w:rsid w:val="00BC33FD"/>
    <w:rsid w:val="00BC68C4"/>
    <w:rsid w:val="00BC73A2"/>
    <w:rsid w:val="00BD63D3"/>
    <w:rsid w:val="00BE35B6"/>
    <w:rsid w:val="00BE55ED"/>
    <w:rsid w:val="00BE55FD"/>
    <w:rsid w:val="00BE5EE9"/>
    <w:rsid w:val="00BF20F5"/>
    <w:rsid w:val="00BF5F25"/>
    <w:rsid w:val="00BF7047"/>
    <w:rsid w:val="00C04003"/>
    <w:rsid w:val="00C05988"/>
    <w:rsid w:val="00C153AD"/>
    <w:rsid w:val="00C153BC"/>
    <w:rsid w:val="00C15936"/>
    <w:rsid w:val="00C21B18"/>
    <w:rsid w:val="00C23DCD"/>
    <w:rsid w:val="00C3101F"/>
    <w:rsid w:val="00C31F56"/>
    <w:rsid w:val="00C32A0E"/>
    <w:rsid w:val="00C36459"/>
    <w:rsid w:val="00C36565"/>
    <w:rsid w:val="00C413CA"/>
    <w:rsid w:val="00C463BF"/>
    <w:rsid w:val="00C47E5E"/>
    <w:rsid w:val="00C5283F"/>
    <w:rsid w:val="00C567B6"/>
    <w:rsid w:val="00C62D92"/>
    <w:rsid w:val="00C65A5D"/>
    <w:rsid w:val="00C731F8"/>
    <w:rsid w:val="00C764AA"/>
    <w:rsid w:val="00C77DC8"/>
    <w:rsid w:val="00C91B55"/>
    <w:rsid w:val="00CA0405"/>
    <w:rsid w:val="00CA1955"/>
    <w:rsid w:val="00CA1960"/>
    <w:rsid w:val="00CB227C"/>
    <w:rsid w:val="00CD1B27"/>
    <w:rsid w:val="00CE1FF3"/>
    <w:rsid w:val="00CE60EA"/>
    <w:rsid w:val="00CE7A8C"/>
    <w:rsid w:val="00CE7D17"/>
    <w:rsid w:val="00CF0887"/>
    <w:rsid w:val="00CF2C50"/>
    <w:rsid w:val="00CF3351"/>
    <w:rsid w:val="00D0013A"/>
    <w:rsid w:val="00D02E43"/>
    <w:rsid w:val="00D03E2F"/>
    <w:rsid w:val="00D16736"/>
    <w:rsid w:val="00D25344"/>
    <w:rsid w:val="00D25446"/>
    <w:rsid w:val="00D37981"/>
    <w:rsid w:val="00D437A2"/>
    <w:rsid w:val="00D57A03"/>
    <w:rsid w:val="00D729C9"/>
    <w:rsid w:val="00D829B3"/>
    <w:rsid w:val="00D86AD5"/>
    <w:rsid w:val="00D87183"/>
    <w:rsid w:val="00D878FA"/>
    <w:rsid w:val="00D956D2"/>
    <w:rsid w:val="00DA2A78"/>
    <w:rsid w:val="00DA453B"/>
    <w:rsid w:val="00DA5174"/>
    <w:rsid w:val="00DA7687"/>
    <w:rsid w:val="00DB65DE"/>
    <w:rsid w:val="00DC549A"/>
    <w:rsid w:val="00DC55BB"/>
    <w:rsid w:val="00DD6249"/>
    <w:rsid w:val="00DD6F7B"/>
    <w:rsid w:val="00DE1F1E"/>
    <w:rsid w:val="00DE26C2"/>
    <w:rsid w:val="00DE447E"/>
    <w:rsid w:val="00DE4576"/>
    <w:rsid w:val="00DE45FD"/>
    <w:rsid w:val="00DE6658"/>
    <w:rsid w:val="00DE69B3"/>
    <w:rsid w:val="00DE6DE6"/>
    <w:rsid w:val="00DF12B3"/>
    <w:rsid w:val="00E0053A"/>
    <w:rsid w:val="00E00D01"/>
    <w:rsid w:val="00E03180"/>
    <w:rsid w:val="00E038D6"/>
    <w:rsid w:val="00E04F78"/>
    <w:rsid w:val="00E075B1"/>
    <w:rsid w:val="00E3276F"/>
    <w:rsid w:val="00E3387D"/>
    <w:rsid w:val="00E3424B"/>
    <w:rsid w:val="00E4192F"/>
    <w:rsid w:val="00E42EEA"/>
    <w:rsid w:val="00E4458E"/>
    <w:rsid w:val="00E44BA1"/>
    <w:rsid w:val="00E57171"/>
    <w:rsid w:val="00E60028"/>
    <w:rsid w:val="00E71DBB"/>
    <w:rsid w:val="00E72E62"/>
    <w:rsid w:val="00E87858"/>
    <w:rsid w:val="00E87EE0"/>
    <w:rsid w:val="00E95FB5"/>
    <w:rsid w:val="00EA429D"/>
    <w:rsid w:val="00EA7652"/>
    <w:rsid w:val="00EB086B"/>
    <w:rsid w:val="00EC11D0"/>
    <w:rsid w:val="00EC7386"/>
    <w:rsid w:val="00ED09AC"/>
    <w:rsid w:val="00ED51AC"/>
    <w:rsid w:val="00EE2CCA"/>
    <w:rsid w:val="00EE5368"/>
    <w:rsid w:val="00EF1490"/>
    <w:rsid w:val="00F059E8"/>
    <w:rsid w:val="00F07A71"/>
    <w:rsid w:val="00F106EC"/>
    <w:rsid w:val="00F10BF3"/>
    <w:rsid w:val="00F14D7B"/>
    <w:rsid w:val="00F1628D"/>
    <w:rsid w:val="00F16CDF"/>
    <w:rsid w:val="00F21E38"/>
    <w:rsid w:val="00F22E74"/>
    <w:rsid w:val="00F37192"/>
    <w:rsid w:val="00F40E0D"/>
    <w:rsid w:val="00F43365"/>
    <w:rsid w:val="00F43FAF"/>
    <w:rsid w:val="00F45145"/>
    <w:rsid w:val="00F45DE7"/>
    <w:rsid w:val="00F46587"/>
    <w:rsid w:val="00F55833"/>
    <w:rsid w:val="00F57747"/>
    <w:rsid w:val="00F61ADC"/>
    <w:rsid w:val="00F74FAD"/>
    <w:rsid w:val="00F7540C"/>
    <w:rsid w:val="00F81AA3"/>
    <w:rsid w:val="00F86102"/>
    <w:rsid w:val="00F93677"/>
    <w:rsid w:val="00FA7911"/>
    <w:rsid w:val="00FB12D5"/>
    <w:rsid w:val="00FB58A6"/>
    <w:rsid w:val="00FC2C8F"/>
    <w:rsid w:val="00FC7168"/>
    <w:rsid w:val="00FD24D5"/>
    <w:rsid w:val="00FD424C"/>
    <w:rsid w:val="00FD6790"/>
    <w:rsid w:val="00FF323D"/>
    <w:rsid w:val="00FF368B"/>
    <w:rsid w:val="00FF7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34"/>
    <w:pPr>
      <w:spacing w:before="120" w:after="120"/>
    </w:pPr>
    <w:rPr>
      <w:szCs w:val="24"/>
      <w:lang w:eastAsia="en-US"/>
    </w:rPr>
  </w:style>
  <w:style w:type="paragraph" w:styleId="Heading1">
    <w:name w:val="heading 1"/>
    <w:basedOn w:val="01HEADING1"/>
    <w:next w:val="Normal"/>
    <w:link w:val="Heading1Char"/>
    <w:uiPriority w:val="9"/>
    <w:qFormat/>
    <w:rsid w:val="008D7786"/>
    <w:pPr>
      <w:outlineLvl w:val="0"/>
    </w:pPr>
    <w:rPr>
      <w:sz w:val="44"/>
    </w:rPr>
  </w:style>
  <w:style w:type="paragraph" w:styleId="Heading2">
    <w:name w:val="heading 2"/>
    <w:basedOn w:val="02HEADING2"/>
    <w:next w:val="Normal"/>
    <w:link w:val="Heading2Char"/>
    <w:uiPriority w:val="9"/>
    <w:unhideWhenUsed/>
    <w:qFormat/>
    <w:rsid w:val="008D7786"/>
    <w:pPr>
      <w:outlineLvl w:val="1"/>
    </w:pPr>
    <w:rPr>
      <w:sz w:val="36"/>
    </w:rPr>
  </w:style>
  <w:style w:type="paragraph" w:styleId="Heading3">
    <w:name w:val="heading 3"/>
    <w:basedOn w:val="Normal"/>
    <w:next w:val="Normal"/>
    <w:link w:val="Heading3Char"/>
    <w:uiPriority w:val="9"/>
    <w:unhideWhenUsed/>
    <w:qFormat/>
    <w:rsid w:val="00311C8B"/>
    <w:pPr>
      <w:keepNext/>
      <w:keepLines/>
      <w:spacing w:before="40"/>
      <w:outlineLvl w:val="2"/>
    </w:pPr>
    <w:rPr>
      <w:rFonts w:ascii="Calibri Light" w:eastAsia="Times New Roman" w:hAnsi="Calibri Light"/>
      <w:b/>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76E"/>
    <w:pPr>
      <w:tabs>
        <w:tab w:val="center" w:pos="4513"/>
        <w:tab w:val="right" w:pos="9026"/>
      </w:tabs>
    </w:pPr>
  </w:style>
  <w:style w:type="character" w:customStyle="1" w:styleId="HeaderChar">
    <w:name w:val="Header Char"/>
    <w:basedOn w:val="DefaultParagraphFont"/>
    <w:link w:val="Header"/>
    <w:uiPriority w:val="99"/>
    <w:rsid w:val="008B276E"/>
  </w:style>
  <w:style w:type="paragraph" w:styleId="Footer">
    <w:name w:val="footer"/>
    <w:basedOn w:val="Normal"/>
    <w:link w:val="FooterChar"/>
    <w:uiPriority w:val="99"/>
    <w:unhideWhenUsed/>
    <w:rsid w:val="008B276E"/>
    <w:pPr>
      <w:tabs>
        <w:tab w:val="center" w:pos="4513"/>
        <w:tab w:val="right" w:pos="9026"/>
      </w:tabs>
    </w:pPr>
  </w:style>
  <w:style w:type="character" w:customStyle="1" w:styleId="FooterChar">
    <w:name w:val="Footer Char"/>
    <w:basedOn w:val="DefaultParagraphFont"/>
    <w:link w:val="Footer"/>
    <w:uiPriority w:val="99"/>
    <w:rsid w:val="008B276E"/>
  </w:style>
  <w:style w:type="paragraph" w:customStyle="1" w:styleId="NoParagraphStyle">
    <w:name w:val="[No Paragraph Style]"/>
    <w:rsid w:val="008B276E"/>
    <w:pPr>
      <w:autoSpaceDE w:val="0"/>
      <w:autoSpaceDN w:val="0"/>
      <w:adjustRightInd w:val="0"/>
      <w:spacing w:line="288" w:lineRule="auto"/>
      <w:textAlignment w:val="center"/>
    </w:pPr>
    <w:rPr>
      <w:rFonts w:cs="Calibri"/>
      <w:color w:val="000000"/>
      <w:sz w:val="24"/>
      <w:szCs w:val="24"/>
      <w:lang w:val="en-US" w:eastAsia="en-US"/>
    </w:rPr>
  </w:style>
  <w:style w:type="paragraph" w:customStyle="1" w:styleId="Body">
    <w:name w:val="Body"/>
    <w:basedOn w:val="NoParagraphStyle"/>
    <w:uiPriority w:val="99"/>
    <w:rsid w:val="008B276E"/>
    <w:pPr>
      <w:keepNext/>
      <w:keepLines/>
      <w:suppressAutoHyphens/>
      <w:spacing w:after="113" w:line="240" w:lineRule="atLeast"/>
      <w:textAlignment w:val="baseline"/>
    </w:pPr>
    <w:rPr>
      <w:sz w:val="19"/>
      <w:szCs w:val="19"/>
      <w:lang w:val="en-GB"/>
    </w:rPr>
  </w:style>
  <w:style w:type="character" w:customStyle="1" w:styleId="ITALICS">
    <w:name w:val="ITALICS"/>
    <w:uiPriority w:val="99"/>
    <w:rsid w:val="008B276E"/>
    <w:rPr>
      <w:rFonts w:ascii="Calibri" w:hAnsi="Calibri" w:cs="Calibri"/>
      <w:i/>
      <w:iCs/>
      <w:position w:val="0"/>
      <w:lang w:val="en-US"/>
    </w:rPr>
  </w:style>
  <w:style w:type="character" w:styleId="PageNumber">
    <w:name w:val="page number"/>
    <w:basedOn w:val="DefaultParagraphFont"/>
    <w:uiPriority w:val="99"/>
    <w:semiHidden/>
    <w:unhideWhenUsed/>
    <w:rsid w:val="008B276E"/>
  </w:style>
  <w:style w:type="paragraph" w:customStyle="1" w:styleId="01HEADING1">
    <w:name w:val="01. HEADING 1"/>
    <w:basedOn w:val="NoParagraphStyle"/>
    <w:uiPriority w:val="99"/>
    <w:rsid w:val="00F14D7B"/>
    <w:pPr>
      <w:keepNext/>
      <w:keepLines/>
      <w:suppressAutoHyphens/>
      <w:spacing w:after="567" w:line="600" w:lineRule="atLeast"/>
      <w:textAlignment w:val="baseline"/>
    </w:pPr>
    <w:rPr>
      <w:b/>
      <w:bCs/>
      <w:color w:val="495965"/>
      <w:sz w:val="60"/>
      <w:szCs w:val="60"/>
      <w:lang w:val="en-GB"/>
    </w:rPr>
  </w:style>
  <w:style w:type="paragraph" w:customStyle="1" w:styleId="04BODYTEXT">
    <w:name w:val="04. BODY TEXT"/>
    <w:basedOn w:val="NoParagraphStyle"/>
    <w:uiPriority w:val="99"/>
    <w:rsid w:val="00F14D7B"/>
    <w:pPr>
      <w:suppressAutoHyphens/>
      <w:spacing w:after="170" w:line="240" w:lineRule="atLeast"/>
    </w:pPr>
    <w:rPr>
      <w:sz w:val="18"/>
      <w:szCs w:val="18"/>
      <w:lang w:val="en-GB"/>
    </w:rPr>
  </w:style>
  <w:style w:type="paragraph" w:customStyle="1" w:styleId="05DOTPOINTS">
    <w:name w:val="05. DOT POINTS"/>
    <w:basedOn w:val="04BODYTEXT"/>
    <w:uiPriority w:val="99"/>
    <w:rsid w:val="00F14D7B"/>
    <w:pPr>
      <w:spacing w:after="113"/>
      <w:ind w:left="283" w:hanging="283"/>
    </w:pPr>
  </w:style>
  <w:style w:type="paragraph" w:customStyle="1" w:styleId="02HEADING2">
    <w:name w:val="02. HEADING 2"/>
    <w:basedOn w:val="NoParagraphStyle"/>
    <w:uiPriority w:val="99"/>
    <w:rsid w:val="00F14D7B"/>
    <w:pPr>
      <w:keepNext/>
      <w:keepLines/>
      <w:suppressAutoHyphens/>
      <w:spacing w:before="283" w:after="170" w:line="380" w:lineRule="atLeast"/>
      <w:textAlignment w:val="baseline"/>
    </w:pPr>
    <w:rPr>
      <w:b/>
      <w:bCs/>
      <w:color w:val="495965"/>
      <w:sz w:val="38"/>
      <w:szCs w:val="38"/>
      <w:lang w:val="en-GB"/>
    </w:rPr>
  </w:style>
  <w:style w:type="paragraph" w:customStyle="1" w:styleId="05bDOTPOINTLASTONE">
    <w:name w:val="05b. DOT POINT_LAST ONE"/>
    <w:basedOn w:val="05DOTPOINTS"/>
    <w:uiPriority w:val="99"/>
    <w:rsid w:val="00F14D7B"/>
    <w:pPr>
      <w:spacing w:after="170"/>
    </w:pPr>
  </w:style>
  <w:style w:type="paragraph" w:customStyle="1" w:styleId="07FIGURE">
    <w:name w:val="07. FIGURE"/>
    <w:basedOn w:val="Body"/>
    <w:uiPriority w:val="99"/>
    <w:rsid w:val="00F14D7B"/>
    <w:pPr>
      <w:spacing w:before="170"/>
      <w:ind w:left="850" w:hanging="850"/>
    </w:pPr>
    <w:rPr>
      <w:b/>
      <w:bCs/>
    </w:rPr>
  </w:style>
  <w:style w:type="paragraph" w:customStyle="1" w:styleId="03bTARGETDESCRIPTION">
    <w:name w:val="03b TARGET DESCRIPTION"/>
    <w:basedOn w:val="NoParagraphStyle"/>
    <w:uiPriority w:val="99"/>
    <w:rsid w:val="00F14D7B"/>
    <w:pPr>
      <w:keepNext/>
      <w:keepLines/>
      <w:suppressAutoHyphens/>
      <w:spacing w:after="170" w:line="280" w:lineRule="atLeast"/>
      <w:textAlignment w:val="baseline"/>
    </w:pPr>
    <w:rPr>
      <w:i/>
      <w:iCs/>
      <w:color w:val="495965"/>
      <w:lang w:val="en-GB"/>
    </w:rPr>
  </w:style>
  <w:style w:type="paragraph" w:customStyle="1" w:styleId="04HEADING4">
    <w:name w:val="04. HEADING 4"/>
    <w:basedOn w:val="NoParagraphStyle"/>
    <w:uiPriority w:val="99"/>
    <w:rsid w:val="00F14D7B"/>
    <w:pPr>
      <w:keepNext/>
      <w:keepLines/>
      <w:suppressAutoHyphens/>
      <w:spacing w:before="57" w:after="99" w:line="260" w:lineRule="atLeast"/>
      <w:textAlignment w:val="baseline"/>
    </w:pPr>
    <w:rPr>
      <w:i/>
      <w:iCs/>
      <w:color w:val="495965"/>
      <w:spacing w:val="-6"/>
      <w:lang w:val="en-GB"/>
    </w:rPr>
  </w:style>
  <w:style w:type="paragraph" w:customStyle="1" w:styleId="03HEADING3">
    <w:name w:val="03. HEADING 3"/>
    <w:basedOn w:val="NoParagraphStyle"/>
    <w:uiPriority w:val="99"/>
    <w:rsid w:val="00F14D7B"/>
    <w:pPr>
      <w:keepNext/>
      <w:keepLines/>
      <w:suppressAutoHyphens/>
      <w:spacing w:before="170" w:after="170" w:line="280" w:lineRule="atLeast"/>
      <w:textAlignment w:val="baseline"/>
    </w:pPr>
    <w:rPr>
      <w:color w:val="495965"/>
      <w:lang w:val="en-GB"/>
    </w:rPr>
  </w:style>
  <w:style w:type="paragraph" w:customStyle="1" w:styleId="10FOOTNOTE">
    <w:name w:val="10. FOOTNOTE"/>
    <w:basedOn w:val="04BODYTEXT"/>
    <w:uiPriority w:val="99"/>
    <w:rsid w:val="00283153"/>
    <w:pPr>
      <w:spacing w:after="0" w:line="288" w:lineRule="auto"/>
      <w:ind w:left="170" w:hanging="170"/>
    </w:pPr>
    <w:rPr>
      <w:sz w:val="15"/>
      <w:szCs w:val="15"/>
    </w:rPr>
  </w:style>
  <w:style w:type="paragraph" w:customStyle="1" w:styleId="08bTABLETEXTHEADING">
    <w:name w:val="08b. TABLE TEXT HEADING"/>
    <w:basedOn w:val="Normal"/>
    <w:uiPriority w:val="99"/>
    <w:rsid w:val="00F14D7B"/>
    <w:pPr>
      <w:suppressAutoHyphens/>
      <w:autoSpaceDE w:val="0"/>
      <w:autoSpaceDN w:val="0"/>
      <w:adjustRightInd w:val="0"/>
      <w:spacing w:before="113" w:after="57" w:line="240" w:lineRule="atLeast"/>
      <w:jc w:val="center"/>
      <w:textAlignment w:val="center"/>
    </w:pPr>
    <w:rPr>
      <w:rFonts w:cs="Calibri"/>
      <w:b/>
      <w:bCs/>
      <w:color w:val="FFFFFF"/>
      <w:sz w:val="18"/>
      <w:szCs w:val="18"/>
      <w:lang w:val="en-GB"/>
    </w:rPr>
  </w:style>
  <w:style w:type="paragraph" w:customStyle="1" w:styleId="10bFOOTNOTESOVER10">
    <w:name w:val="10b. FOOTNOTES OVER 10"/>
    <w:basedOn w:val="04BODYTEXT"/>
    <w:uiPriority w:val="99"/>
    <w:rsid w:val="001422BD"/>
    <w:pPr>
      <w:spacing w:after="0" w:line="288" w:lineRule="auto"/>
      <w:ind w:left="227" w:hanging="227"/>
    </w:pPr>
    <w:rPr>
      <w:sz w:val="15"/>
      <w:szCs w:val="15"/>
    </w:rPr>
  </w:style>
  <w:style w:type="character" w:customStyle="1" w:styleId="MediumItalic">
    <w:name w:val="Medium Italic"/>
    <w:uiPriority w:val="99"/>
    <w:rsid w:val="00F14D7B"/>
    <w:rPr>
      <w:rFonts w:ascii="Calibri" w:hAnsi="Calibri" w:cs="Calibri"/>
      <w:b/>
      <w:bCs/>
      <w:i/>
      <w:iCs/>
    </w:rPr>
  </w:style>
  <w:style w:type="character" w:customStyle="1" w:styleId="Bold">
    <w:name w:val="Bold"/>
    <w:uiPriority w:val="99"/>
    <w:rsid w:val="00F14D7B"/>
    <w:rPr>
      <w:b/>
      <w:bCs/>
    </w:rPr>
  </w:style>
  <w:style w:type="character" w:styleId="FootnoteReference">
    <w:name w:val="footnote reference"/>
    <w:aliases w:val="Footnote symbol,Footnote,Voetnootverwijzing,Times 10 Point,Exposant 3 Point,Footnote Ref,16 Point,Superscript 6 Point,4_G,ftref,footnote ref,(NECG) Footnote Reference,Ref,de nota al pie,FnR-ANZDEC,Fußnotenzeichen DISS,fr,SUPERS"/>
    <w:uiPriority w:val="99"/>
    <w:rsid w:val="00F14D7B"/>
    <w:rPr>
      <w:w w:val="100"/>
      <w:vertAlign w:val="superscript"/>
    </w:rPr>
  </w:style>
  <w:style w:type="character" w:styleId="CommentReference">
    <w:name w:val="annotation reference"/>
    <w:uiPriority w:val="99"/>
    <w:rsid w:val="00F14D7B"/>
    <w:rPr>
      <w:w w:val="100"/>
      <w:sz w:val="16"/>
      <w:szCs w:val="16"/>
    </w:rPr>
  </w:style>
  <w:style w:type="character" w:styleId="Hyperlink">
    <w:name w:val="Hyperlink"/>
    <w:uiPriority w:val="99"/>
    <w:rsid w:val="00580D4E"/>
    <w:rPr>
      <w:rFonts w:ascii="Calibri" w:hAnsi="Calibri" w:cs="Calibri"/>
      <w:color w:val="000000"/>
      <w:w w:val="100"/>
      <w:u w:val="single" w:color="000000"/>
    </w:rPr>
  </w:style>
  <w:style w:type="paragraph" w:styleId="FootnoteText">
    <w:name w:val="footnote text"/>
    <w:aliases w:val="Footnote Text Char Char,Footnote Text Char1 Char Char,Footnote Text Char Char Char Char,Footnote Text Char Char1,Texto nota pie Car,Texto nota pie Car Car Car,Texto nota pie Car Car Car Car Car Car,Footnote text,FA Fu,5"/>
    <w:basedOn w:val="Normal"/>
    <w:link w:val="FootnoteTextChar"/>
    <w:uiPriority w:val="99"/>
    <w:unhideWhenUsed/>
    <w:rsid w:val="003E7381"/>
    <w:rPr>
      <w:szCs w:val="20"/>
    </w:rPr>
  </w:style>
  <w:style w:type="character" w:customStyle="1" w:styleId="FootnoteTextChar">
    <w:name w:val="Footnote Text Char"/>
    <w:aliases w:val="Footnote Text Char Char Char,Footnote Text Char1 Char Char Char,Footnote Text Char Char Char Char Char,Footnote Text Char Char1 Char,Texto nota pie Car Char,Texto nota pie Car Car Car Char,Texto nota pie Car Car Car Car Car Car Char"/>
    <w:link w:val="FootnoteText"/>
    <w:uiPriority w:val="99"/>
    <w:rsid w:val="003E7381"/>
    <w:rPr>
      <w:sz w:val="20"/>
      <w:szCs w:val="20"/>
    </w:rPr>
  </w:style>
  <w:style w:type="table" w:styleId="TableGrid">
    <w:name w:val="Table Grid"/>
    <w:basedOn w:val="TableNormal"/>
    <w:uiPriority w:val="39"/>
    <w:rsid w:val="002B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4FCB"/>
    <w:rPr>
      <w:color w:val="808080"/>
      <w:shd w:val="clear" w:color="auto" w:fill="E6E6E6"/>
    </w:rPr>
  </w:style>
  <w:style w:type="character" w:styleId="FollowedHyperlink">
    <w:name w:val="FollowedHyperlink"/>
    <w:uiPriority w:val="99"/>
    <w:semiHidden/>
    <w:unhideWhenUsed/>
    <w:rsid w:val="00FA7911"/>
    <w:rPr>
      <w:color w:val="954F72"/>
      <w:u w:val="single"/>
    </w:rPr>
  </w:style>
  <w:style w:type="character" w:customStyle="1" w:styleId="Heading1Char">
    <w:name w:val="Heading 1 Char"/>
    <w:link w:val="Heading1"/>
    <w:uiPriority w:val="9"/>
    <w:rsid w:val="008D7786"/>
    <w:rPr>
      <w:rFonts w:cs="Calibri"/>
      <w:b/>
      <w:bCs/>
      <w:color w:val="495965"/>
      <w:sz w:val="44"/>
      <w:szCs w:val="60"/>
      <w:lang w:val="en-GB" w:eastAsia="en-US"/>
    </w:rPr>
  </w:style>
  <w:style w:type="paragraph" w:styleId="TOCHeading">
    <w:name w:val="TOC Heading"/>
    <w:basedOn w:val="Heading1"/>
    <w:next w:val="Normal"/>
    <w:uiPriority w:val="39"/>
    <w:unhideWhenUsed/>
    <w:qFormat/>
    <w:rsid w:val="007A3B76"/>
    <w:pPr>
      <w:spacing w:before="480" w:line="276" w:lineRule="auto"/>
      <w:outlineLvl w:val="9"/>
    </w:pPr>
    <w:rPr>
      <w:b w:val="0"/>
      <w:bCs w:val="0"/>
      <w:sz w:val="28"/>
      <w:szCs w:val="28"/>
      <w:lang w:val="en-US"/>
    </w:rPr>
  </w:style>
  <w:style w:type="paragraph" w:styleId="TOC1">
    <w:name w:val="toc 1"/>
    <w:basedOn w:val="Normal"/>
    <w:next w:val="Normal"/>
    <w:autoRedefine/>
    <w:uiPriority w:val="39"/>
    <w:unhideWhenUsed/>
    <w:rsid w:val="007A3B76"/>
    <w:rPr>
      <w:rFonts w:cs="Calibri"/>
      <w:b/>
      <w:bCs/>
      <w:i/>
      <w:iCs/>
    </w:rPr>
  </w:style>
  <w:style w:type="paragraph" w:styleId="TOC2">
    <w:name w:val="toc 2"/>
    <w:basedOn w:val="Normal"/>
    <w:next w:val="Normal"/>
    <w:autoRedefine/>
    <w:uiPriority w:val="39"/>
    <w:unhideWhenUsed/>
    <w:rsid w:val="007A3B76"/>
    <w:pPr>
      <w:ind w:left="240"/>
    </w:pPr>
    <w:rPr>
      <w:rFonts w:cs="Calibri"/>
      <w:b/>
      <w:bCs/>
      <w:sz w:val="22"/>
      <w:szCs w:val="22"/>
    </w:rPr>
  </w:style>
  <w:style w:type="paragraph" w:styleId="TOC3">
    <w:name w:val="toc 3"/>
    <w:basedOn w:val="Normal"/>
    <w:next w:val="Normal"/>
    <w:autoRedefine/>
    <w:uiPriority w:val="39"/>
    <w:unhideWhenUsed/>
    <w:rsid w:val="007A3B76"/>
    <w:pPr>
      <w:ind w:left="480"/>
    </w:pPr>
    <w:rPr>
      <w:rFonts w:cs="Calibri"/>
      <w:szCs w:val="20"/>
    </w:rPr>
  </w:style>
  <w:style w:type="paragraph" w:styleId="TOC4">
    <w:name w:val="toc 4"/>
    <w:basedOn w:val="Normal"/>
    <w:next w:val="Normal"/>
    <w:autoRedefine/>
    <w:uiPriority w:val="39"/>
    <w:semiHidden/>
    <w:unhideWhenUsed/>
    <w:rsid w:val="007A3B76"/>
    <w:pPr>
      <w:ind w:left="720"/>
    </w:pPr>
    <w:rPr>
      <w:rFonts w:cs="Calibri"/>
      <w:szCs w:val="20"/>
    </w:rPr>
  </w:style>
  <w:style w:type="paragraph" w:styleId="TOC5">
    <w:name w:val="toc 5"/>
    <w:basedOn w:val="Normal"/>
    <w:next w:val="Normal"/>
    <w:autoRedefine/>
    <w:uiPriority w:val="39"/>
    <w:semiHidden/>
    <w:unhideWhenUsed/>
    <w:rsid w:val="007A3B76"/>
    <w:pPr>
      <w:ind w:left="960"/>
    </w:pPr>
    <w:rPr>
      <w:rFonts w:cs="Calibri"/>
      <w:szCs w:val="20"/>
    </w:rPr>
  </w:style>
  <w:style w:type="paragraph" w:styleId="TOC6">
    <w:name w:val="toc 6"/>
    <w:basedOn w:val="Normal"/>
    <w:next w:val="Normal"/>
    <w:autoRedefine/>
    <w:uiPriority w:val="39"/>
    <w:semiHidden/>
    <w:unhideWhenUsed/>
    <w:rsid w:val="007A3B76"/>
    <w:pPr>
      <w:ind w:left="1200"/>
    </w:pPr>
    <w:rPr>
      <w:rFonts w:cs="Calibri"/>
      <w:szCs w:val="20"/>
    </w:rPr>
  </w:style>
  <w:style w:type="paragraph" w:styleId="TOC7">
    <w:name w:val="toc 7"/>
    <w:basedOn w:val="Normal"/>
    <w:next w:val="Normal"/>
    <w:autoRedefine/>
    <w:uiPriority w:val="39"/>
    <w:semiHidden/>
    <w:unhideWhenUsed/>
    <w:rsid w:val="007A3B76"/>
    <w:pPr>
      <w:ind w:left="1440"/>
    </w:pPr>
    <w:rPr>
      <w:rFonts w:cs="Calibri"/>
      <w:szCs w:val="20"/>
    </w:rPr>
  </w:style>
  <w:style w:type="paragraph" w:styleId="TOC8">
    <w:name w:val="toc 8"/>
    <w:basedOn w:val="Normal"/>
    <w:next w:val="Normal"/>
    <w:autoRedefine/>
    <w:uiPriority w:val="39"/>
    <w:semiHidden/>
    <w:unhideWhenUsed/>
    <w:rsid w:val="007A3B76"/>
    <w:pPr>
      <w:ind w:left="1680"/>
    </w:pPr>
    <w:rPr>
      <w:rFonts w:cs="Calibri"/>
      <w:szCs w:val="20"/>
    </w:rPr>
  </w:style>
  <w:style w:type="paragraph" w:styleId="TOC9">
    <w:name w:val="toc 9"/>
    <w:basedOn w:val="Normal"/>
    <w:next w:val="Normal"/>
    <w:autoRedefine/>
    <w:uiPriority w:val="39"/>
    <w:semiHidden/>
    <w:unhideWhenUsed/>
    <w:rsid w:val="007A3B76"/>
    <w:pPr>
      <w:ind w:left="1920"/>
    </w:pPr>
    <w:rPr>
      <w:rFonts w:cs="Calibri"/>
      <w:szCs w:val="20"/>
    </w:rPr>
  </w:style>
  <w:style w:type="character" w:customStyle="1" w:styleId="Heading2Char">
    <w:name w:val="Heading 2 Char"/>
    <w:link w:val="Heading2"/>
    <w:uiPriority w:val="9"/>
    <w:rsid w:val="008D7786"/>
    <w:rPr>
      <w:rFonts w:cs="Calibri"/>
      <w:b/>
      <w:bCs/>
      <w:color w:val="495965"/>
      <w:sz w:val="36"/>
      <w:szCs w:val="38"/>
      <w:lang w:val="en-GB" w:eastAsia="en-US"/>
    </w:rPr>
  </w:style>
  <w:style w:type="character" w:customStyle="1" w:styleId="Heading3Char">
    <w:name w:val="Heading 3 Char"/>
    <w:link w:val="Heading3"/>
    <w:uiPriority w:val="9"/>
    <w:rsid w:val="00311C8B"/>
    <w:rPr>
      <w:rFonts w:ascii="Calibri Light" w:eastAsia="Times New Roman" w:hAnsi="Calibri Light"/>
      <w:b/>
      <w:color w:val="1F3763"/>
      <w:sz w:val="28"/>
      <w:szCs w:val="24"/>
      <w:lang w:eastAsia="en-US"/>
    </w:rPr>
  </w:style>
  <w:style w:type="paragraph" w:styleId="BalloonText">
    <w:name w:val="Balloon Text"/>
    <w:basedOn w:val="Normal"/>
    <w:link w:val="BalloonTextChar"/>
    <w:uiPriority w:val="99"/>
    <w:semiHidden/>
    <w:unhideWhenUsed/>
    <w:rsid w:val="00A62305"/>
    <w:rPr>
      <w:rFonts w:ascii="Times New Roman" w:hAnsi="Times New Roman"/>
      <w:sz w:val="18"/>
      <w:szCs w:val="18"/>
    </w:rPr>
  </w:style>
  <w:style w:type="character" w:customStyle="1" w:styleId="BalloonTextChar">
    <w:name w:val="Balloon Text Char"/>
    <w:link w:val="BalloonText"/>
    <w:uiPriority w:val="99"/>
    <w:semiHidden/>
    <w:rsid w:val="00A62305"/>
    <w:rPr>
      <w:rFonts w:ascii="Times New Roman" w:hAnsi="Times New Roman" w:cs="Times New Roman"/>
      <w:sz w:val="18"/>
      <w:szCs w:val="18"/>
    </w:rPr>
  </w:style>
  <w:style w:type="paragraph" w:customStyle="1" w:styleId="07FIGUREHEADING">
    <w:name w:val="07. FIGURE HEADING"/>
    <w:basedOn w:val="Body"/>
    <w:uiPriority w:val="99"/>
    <w:rsid w:val="00A02765"/>
    <w:pPr>
      <w:keepLines w:val="0"/>
      <w:spacing w:before="170"/>
      <w:ind w:left="851" w:hanging="851"/>
    </w:pPr>
    <w:rPr>
      <w:b/>
      <w:bCs/>
      <w:color w:val="00283F"/>
    </w:rPr>
  </w:style>
  <w:style w:type="paragraph" w:customStyle="1" w:styleId="08bTABLETEXTHEADERROW">
    <w:name w:val="08b. TABLE TEXT HEADER ROW"/>
    <w:basedOn w:val="Normal"/>
    <w:uiPriority w:val="99"/>
    <w:rsid w:val="00283153"/>
    <w:pPr>
      <w:suppressAutoHyphens/>
      <w:autoSpaceDE w:val="0"/>
      <w:autoSpaceDN w:val="0"/>
      <w:adjustRightInd w:val="0"/>
      <w:spacing w:before="113" w:after="57" w:line="240" w:lineRule="atLeast"/>
      <w:jc w:val="center"/>
      <w:textAlignment w:val="center"/>
    </w:pPr>
    <w:rPr>
      <w:rFonts w:cs="Calibri"/>
      <w:b/>
      <w:bCs/>
      <w:color w:val="FFFFFF"/>
      <w:sz w:val="18"/>
      <w:szCs w:val="18"/>
      <w:lang w:val="en-GB"/>
    </w:rPr>
  </w:style>
  <w:style w:type="paragraph" w:customStyle="1" w:styleId="08TABLETEXT">
    <w:name w:val="08. TABLE TEXT"/>
    <w:basedOn w:val="Body"/>
    <w:uiPriority w:val="99"/>
    <w:rsid w:val="00283153"/>
    <w:rPr>
      <w:color w:val="00283F"/>
      <w:sz w:val="17"/>
      <w:szCs w:val="17"/>
    </w:rPr>
  </w:style>
  <w:style w:type="paragraph" w:customStyle="1" w:styleId="ANNEX">
    <w:name w:val="ANNEX"/>
    <w:basedOn w:val="04BODYTEXT"/>
    <w:uiPriority w:val="99"/>
    <w:rsid w:val="00283153"/>
    <w:pPr>
      <w:tabs>
        <w:tab w:val="left" w:pos="1000"/>
      </w:tabs>
      <w:spacing w:after="0" w:line="236" w:lineRule="atLeast"/>
    </w:pPr>
    <w:rPr>
      <w:color w:val="00283F"/>
    </w:rPr>
  </w:style>
  <w:style w:type="paragraph" w:customStyle="1" w:styleId="03HEADING3ANNEXA3">
    <w:name w:val="03. HEADING 3—ANNEX A3"/>
    <w:basedOn w:val="03HEADING3"/>
    <w:uiPriority w:val="99"/>
    <w:rsid w:val="00283153"/>
    <w:pPr>
      <w:spacing w:before="0"/>
    </w:pPr>
    <w:rPr>
      <w:color w:val="00283F"/>
    </w:rPr>
  </w:style>
  <w:style w:type="character" w:styleId="Strong">
    <w:name w:val="Strong"/>
    <w:uiPriority w:val="99"/>
    <w:qFormat/>
    <w:rsid w:val="00283153"/>
    <w:rPr>
      <w:b/>
      <w:bCs/>
      <w:w w:val="100"/>
    </w:rPr>
  </w:style>
  <w:style w:type="character" w:customStyle="1" w:styleId="Bullet1Char">
    <w:name w:val="Bullet 1 Char"/>
    <w:aliases w:val="List Bullet Cab Char,CAB - List Bullet Char,3 Char,Bullet Points Char,Colorful List - Accent 11 Char,Indicator Text Char,Issue Action POC Char,List Paragraph Char Char Char Char"/>
    <w:basedOn w:val="DefaultParagraphFont"/>
    <w:link w:val="Bullet1"/>
    <w:uiPriority w:val="99"/>
    <w:locked/>
    <w:rsid w:val="00D956D2"/>
  </w:style>
  <w:style w:type="paragraph" w:customStyle="1" w:styleId="Bullet1">
    <w:name w:val="Bullet 1"/>
    <w:basedOn w:val="Normal"/>
    <w:link w:val="Bullet1Char"/>
    <w:uiPriority w:val="99"/>
    <w:rsid w:val="00D956D2"/>
    <w:pPr>
      <w:numPr>
        <w:numId w:val="1"/>
      </w:numPr>
      <w:spacing w:before="60" w:after="60" w:line="260" w:lineRule="atLeast"/>
    </w:pPr>
  </w:style>
  <w:style w:type="paragraph" w:styleId="CommentText">
    <w:name w:val="annotation text"/>
    <w:basedOn w:val="Normal"/>
    <w:link w:val="CommentTextChar"/>
    <w:uiPriority w:val="99"/>
    <w:unhideWhenUsed/>
    <w:rsid w:val="0090505D"/>
    <w:pPr>
      <w:spacing w:after="160"/>
    </w:pPr>
    <w:rPr>
      <w:rFonts w:eastAsia="Times New Roman"/>
      <w:szCs w:val="20"/>
    </w:rPr>
  </w:style>
  <w:style w:type="character" w:customStyle="1" w:styleId="CommentTextChar">
    <w:name w:val="Comment Text Char"/>
    <w:link w:val="CommentText"/>
    <w:uiPriority w:val="99"/>
    <w:rsid w:val="0090505D"/>
    <w:rPr>
      <w:rFonts w:eastAsia="Times New Roman"/>
      <w:sz w:val="20"/>
      <w:szCs w:val="20"/>
    </w:rPr>
  </w:style>
  <w:style w:type="paragraph" w:styleId="ListParagraph">
    <w:name w:val="List Paragraph"/>
    <w:basedOn w:val="Normal"/>
    <w:link w:val="ListParagraphChar"/>
    <w:uiPriority w:val="34"/>
    <w:qFormat/>
    <w:rsid w:val="00B60BC7"/>
    <w:pPr>
      <w:ind w:left="720"/>
      <w:contextualSpacing/>
    </w:pPr>
    <w:rPr>
      <w:rFonts w:ascii="Times New Roman" w:eastAsia="Times New Roman" w:hAnsi="Times New Roman"/>
    </w:rPr>
  </w:style>
  <w:style w:type="character" w:customStyle="1" w:styleId="ListParagraphChar">
    <w:name w:val="List Paragraph Char"/>
    <w:link w:val="ListParagraph"/>
    <w:uiPriority w:val="34"/>
    <w:rsid w:val="00B60BC7"/>
    <w:rPr>
      <w:rFonts w:ascii="Times New Roman" w:eastAsia="Times New Roman" w:hAnsi="Times New Roman"/>
      <w:sz w:val="24"/>
      <w:szCs w:val="24"/>
      <w:lang w:eastAsia="en-US"/>
    </w:rPr>
  </w:style>
  <w:style w:type="paragraph" w:customStyle="1" w:styleId="Default">
    <w:name w:val="Default"/>
    <w:rsid w:val="0061232F"/>
    <w:pPr>
      <w:autoSpaceDE w:val="0"/>
      <w:autoSpaceDN w:val="0"/>
      <w:adjustRightInd w:val="0"/>
    </w:pPr>
    <w:rPr>
      <w:rFonts w:eastAsia="Times New Roman" w:cs="Calibri"/>
      <w:color w:val="000000"/>
      <w:sz w:val="24"/>
      <w:szCs w:val="24"/>
      <w:lang w:eastAsia="en-US"/>
    </w:rPr>
  </w:style>
  <w:style w:type="paragraph" w:styleId="BodyText">
    <w:name w:val="Body Text"/>
    <w:basedOn w:val="Normal"/>
    <w:link w:val="BodyTextChar"/>
    <w:uiPriority w:val="99"/>
    <w:semiHidden/>
    <w:unhideWhenUsed/>
    <w:rsid w:val="002B1440"/>
    <w:pPr>
      <w:spacing w:after="60" w:line="260" w:lineRule="atLeast"/>
    </w:pPr>
    <w:rPr>
      <w:rFonts w:cs="Calibri"/>
      <w:color w:val="44546A"/>
      <w:sz w:val="22"/>
      <w:szCs w:val="22"/>
    </w:rPr>
  </w:style>
  <w:style w:type="character" w:customStyle="1" w:styleId="BodyTextChar">
    <w:name w:val="Body Text Char"/>
    <w:link w:val="BodyText"/>
    <w:uiPriority w:val="99"/>
    <w:semiHidden/>
    <w:rsid w:val="002B1440"/>
    <w:rPr>
      <w:rFonts w:eastAsia="Calibri" w:cs="Calibri"/>
      <w:color w:val="44546A"/>
      <w:sz w:val="22"/>
      <w:szCs w:val="22"/>
      <w:lang w:eastAsia="en-US"/>
    </w:rPr>
  </w:style>
  <w:style w:type="paragraph" w:styleId="CommentSubject">
    <w:name w:val="annotation subject"/>
    <w:basedOn w:val="CommentText"/>
    <w:next w:val="CommentText"/>
    <w:link w:val="CommentSubjectChar"/>
    <w:uiPriority w:val="99"/>
    <w:semiHidden/>
    <w:unhideWhenUsed/>
    <w:rsid w:val="004B1615"/>
    <w:pPr>
      <w:spacing w:after="120"/>
    </w:pPr>
    <w:rPr>
      <w:rFonts w:eastAsia="Calibri"/>
      <w:b/>
      <w:bCs/>
    </w:rPr>
  </w:style>
  <w:style w:type="character" w:customStyle="1" w:styleId="CommentSubjectChar">
    <w:name w:val="Comment Subject Char"/>
    <w:basedOn w:val="CommentTextChar"/>
    <w:link w:val="CommentSubject"/>
    <w:uiPriority w:val="99"/>
    <w:semiHidden/>
    <w:rsid w:val="004B1615"/>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876">
      <w:bodyDiv w:val="1"/>
      <w:marLeft w:val="0"/>
      <w:marRight w:val="0"/>
      <w:marTop w:val="0"/>
      <w:marBottom w:val="0"/>
      <w:divBdr>
        <w:top w:val="none" w:sz="0" w:space="0" w:color="auto"/>
        <w:left w:val="none" w:sz="0" w:space="0" w:color="auto"/>
        <w:bottom w:val="none" w:sz="0" w:space="0" w:color="auto"/>
        <w:right w:val="none" w:sz="0" w:space="0" w:color="auto"/>
      </w:divBdr>
    </w:div>
    <w:div w:id="19422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about-us/publications/Pages/strategy-for-australias-investments-in-economic-infrastructure" TargetMode="External"/><Relationship Id="rId3" Type="http://schemas.openxmlformats.org/officeDocument/2006/relationships/hyperlink" Target="https://www.dfat.gov.au/about-us/publications/aid/statistical-summary-time-series-data/Pages/australias-official-development-assistance-statistical-summary-2018-19.aspx" TargetMode="External"/><Relationship Id="rId7" Type="http://schemas.openxmlformats.org/officeDocument/2006/relationships/hyperlink" Target="http://dfat.gov.au/about-us/publications/Pages/aid-program-performance-reports.aspx" TargetMode="External"/><Relationship Id="rId2" Type="http://schemas.openxmlformats.org/officeDocument/2006/relationships/hyperlink" Target="https://www.dfat.gov.au/about-us/publications/Pages/performance-of-australian-aid-2017-18" TargetMode="External"/><Relationship Id="rId1" Type="http://schemas.openxmlformats.org/officeDocument/2006/relationships/hyperlink" Target="https://www.dfat.gov.au/about-us/publications/Pages/making-performance-count-enhancing-the-accountability-and-effectiveness-of-australian-aid" TargetMode="External"/><Relationship Id="rId6" Type="http://schemas.openxmlformats.org/officeDocument/2006/relationships/hyperlink" Target="https://www.dfat.gov.au/sites/default/files/strategy-for-australias-aid-for-trade-investments.pdf" TargetMode="External"/><Relationship Id="rId11" Type="http://schemas.openxmlformats.org/officeDocument/2006/relationships/hyperlink" Target="https://www.dfat.gov.au/about-us/publications/Pages/health-for-development-strategy-2015-2020" TargetMode="External"/><Relationship Id="rId5" Type="http://schemas.openxmlformats.org/officeDocument/2006/relationships/hyperlink" Target="https://www.dfat.gov.au/about-us/publications/Pages/performance-of-australian-aid-2017-18" TargetMode="External"/><Relationship Id="rId10" Type="http://schemas.openxmlformats.org/officeDocument/2006/relationships/hyperlink" Target="https://www.dfat.gov.au/about-us/publications/Pages/strategy-for-australias-aid-investments-in-education-2015-2020" TargetMode="External"/><Relationship Id="rId4" Type="http://schemas.openxmlformats.org/officeDocument/2006/relationships/hyperlink" Target="https://www.dfat.gov.au/aid/performance-assessment" TargetMode="External"/><Relationship Id="rId9" Type="http://schemas.openxmlformats.org/officeDocument/2006/relationships/hyperlink" Target="https://www.dfat.gov.au/about-us/publications/Pages/effective-governance-strategy-for-australias-aid-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D06D-A775-4A0A-8B6F-3EEBB3B8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5934</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Australian Aid 2018-19</dc:title>
  <dc:subject/>
  <dc:creator/>
  <cp:keywords/>
  <dc:description/>
  <cp:lastModifiedBy/>
  <cp:revision>1</cp:revision>
  <dcterms:created xsi:type="dcterms:W3CDTF">2020-10-14T23:58:00Z</dcterms:created>
  <dcterms:modified xsi:type="dcterms:W3CDTF">2020-10-14T23:58:00Z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1d7a1b79-371c-49d5-b073-05b0e8f321aa</vt:lpwstr>
  </property>
  <property fmtid="{D5CDD505-2E9C-101B-9397-08002B2CF9AE}" pid="3" name="SEC">
    <vt:lpwstr>OFFICIAL</vt:lpwstr>
  </property>
</Properties>
</file>