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359E" w14:textId="1EB82089" w:rsidR="00133C64" w:rsidRDefault="00133C64" w:rsidP="00133C64">
      <w:pPr>
        <w:pStyle w:val="Heading1"/>
      </w:pPr>
      <w:r w:rsidRPr="00133C64">
        <w:t>Performance of Australian Development Cooperation Report 2023–24</w:t>
      </w:r>
    </w:p>
    <w:p w14:paraId="0344C01D" w14:textId="77777777" w:rsidR="00133C64" w:rsidRPr="00133C64" w:rsidRDefault="00133C64" w:rsidP="00133C64">
      <w:pPr>
        <w:pStyle w:val="Heading2"/>
        <w:rPr>
          <w:lang w:val="en-US"/>
        </w:rPr>
      </w:pPr>
      <w:r w:rsidRPr="00133C64">
        <w:rPr>
          <w:lang w:val="en-US"/>
        </w:rPr>
        <w:t>Snapshot of results</w:t>
      </w:r>
    </w:p>
    <w:p w14:paraId="575A60AC" w14:textId="1161ABFB" w:rsidR="00133C64" w:rsidRDefault="00133C64" w:rsidP="00133C64">
      <w:pPr>
        <w:pStyle w:val="Heading3"/>
      </w:pPr>
      <w:r w:rsidRPr="00133C64">
        <w:t>We are building effective and accountable states</w:t>
      </w:r>
    </w:p>
    <w:p w14:paraId="08807959" w14:textId="30CE0908" w:rsidR="00133C64" w:rsidRDefault="00133C64" w:rsidP="006D120C">
      <w:pPr>
        <w:pStyle w:val="ListBullet"/>
      </w:pPr>
      <w:r>
        <w:t xml:space="preserve">6,066 organisations supported to </w:t>
      </w:r>
      <w:r w:rsidRPr="00934B0D">
        <w:rPr>
          <w:b/>
          <w:bCs/>
        </w:rPr>
        <w:t>strengthen accountability</w:t>
      </w:r>
      <w:r>
        <w:t xml:space="preserve"> and/or inclusion </w:t>
      </w:r>
    </w:p>
    <w:p w14:paraId="2AA99BBB" w14:textId="2E1A50F7" w:rsidR="00133C64" w:rsidRDefault="00133C64" w:rsidP="006D120C">
      <w:pPr>
        <w:pStyle w:val="ListBullet"/>
      </w:pPr>
      <w:r>
        <w:t xml:space="preserve">34 countries supported with policy and technical advice on </w:t>
      </w:r>
      <w:r w:rsidRPr="00934B0D">
        <w:rPr>
          <w:b/>
          <w:bCs/>
        </w:rPr>
        <w:t>economic reform</w:t>
      </w:r>
      <w:r>
        <w:t xml:space="preserve"> and management</w:t>
      </w:r>
    </w:p>
    <w:p w14:paraId="30B023C4" w14:textId="50477C46" w:rsidR="00133C64" w:rsidRDefault="00133C64" w:rsidP="006D120C">
      <w:pPr>
        <w:pStyle w:val="ListBullet"/>
      </w:pPr>
      <w:r>
        <w:t xml:space="preserve">$909 million+ in </w:t>
      </w:r>
      <w:r w:rsidRPr="00934B0D">
        <w:rPr>
          <w:b/>
          <w:bCs/>
        </w:rPr>
        <w:t>direct financing</w:t>
      </w:r>
      <w:r>
        <w:t xml:space="preserve"> to partner governments</w:t>
      </w:r>
    </w:p>
    <w:p w14:paraId="3D0E1565" w14:textId="01B2AC3A" w:rsidR="00133C64" w:rsidRDefault="00133C64" w:rsidP="006D120C">
      <w:pPr>
        <w:pStyle w:val="ListBullet"/>
      </w:pPr>
      <w:r>
        <w:t xml:space="preserve">227 market actors in key economic sectors supported to expand </w:t>
      </w:r>
      <w:r w:rsidRPr="00FA6C19">
        <w:rPr>
          <w:b/>
          <w:bCs/>
        </w:rPr>
        <w:t>market access</w:t>
      </w:r>
      <w:r>
        <w:t xml:space="preserve"> and/or improve </w:t>
      </w:r>
      <w:r w:rsidRPr="00FA6C19">
        <w:rPr>
          <w:b/>
          <w:bCs/>
        </w:rPr>
        <w:t>supply chain resilience</w:t>
      </w:r>
    </w:p>
    <w:p w14:paraId="2FCDBA81" w14:textId="15EBA268" w:rsidR="00133C64" w:rsidRDefault="00133C64" w:rsidP="006D120C">
      <w:pPr>
        <w:pStyle w:val="ListBullet"/>
      </w:pPr>
      <w:r>
        <w:t xml:space="preserve">$73.7 million in </w:t>
      </w:r>
      <w:r w:rsidRPr="00FA6C19">
        <w:rPr>
          <w:b/>
          <w:bCs/>
        </w:rPr>
        <w:t>additional private funds leveraged</w:t>
      </w:r>
      <w:r>
        <w:t xml:space="preserve"> to support sustainable development</w:t>
      </w:r>
    </w:p>
    <w:p w14:paraId="32482738" w14:textId="29C7E27A" w:rsidR="00133C64" w:rsidRDefault="00133C64" w:rsidP="006D120C">
      <w:pPr>
        <w:pStyle w:val="ListBullet"/>
      </w:pPr>
      <w:r>
        <w:t xml:space="preserve">3.6 million </w:t>
      </w:r>
      <w:r w:rsidRPr="00FA6C19">
        <w:rPr>
          <w:b/>
          <w:bCs/>
        </w:rPr>
        <w:t>women entrepreneurs</w:t>
      </w:r>
      <w:r>
        <w:t xml:space="preserve"> provided with financial and/or business development services</w:t>
      </w:r>
    </w:p>
    <w:p w14:paraId="110DD005" w14:textId="7742E7E4" w:rsidR="00133C64" w:rsidRDefault="00133C64" w:rsidP="006D120C">
      <w:pPr>
        <w:pStyle w:val="ListBullet"/>
      </w:pPr>
      <w:r>
        <w:t xml:space="preserve">153.8 million people reached through new or improved </w:t>
      </w:r>
      <w:r w:rsidRPr="00FA6C19">
        <w:rPr>
          <w:b/>
          <w:bCs/>
        </w:rPr>
        <w:t>social protection programs</w:t>
      </w:r>
    </w:p>
    <w:p w14:paraId="5A1E3FD3" w14:textId="10E246E2" w:rsidR="00133C64" w:rsidRDefault="00133C64" w:rsidP="006D120C">
      <w:pPr>
        <w:pStyle w:val="ListBullet"/>
      </w:pPr>
      <w:r>
        <w:t xml:space="preserve">$49.5 million in ODA funding channelled to </w:t>
      </w:r>
      <w:r w:rsidRPr="00FA6C19">
        <w:rPr>
          <w:b/>
          <w:bCs/>
        </w:rPr>
        <w:t>women’s equality organisations and institutions</w:t>
      </w:r>
    </w:p>
    <w:p w14:paraId="702C6871" w14:textId="2AB0820D" w:rsidR="00133C64" w:rsidRDefault="00133C64" w:rsidP="006D120C">
      <w:pPr>
        <w:pStyle w:val="ListBullet"/>
      </w:pPr>
      <w:r>
        <w:t xml:space="preserve">315,563 services provided to victim-survivors of sexual and </w:t>
      </w:r>
      <w:r w:rsidRPr="006A75C6">
        <w:rPr>
          <w:b/>
          <w:bCs/>
        </w:rPr>
        <w:t>gender-based violence</w:t>
      </w:r>
    </w:p>
    <w:p w14:paraId="70E25BF2" w14:textId="4C49C8FB" w:rsidR="00133C64" w:rsidRDefault="00133C64" w:rsidP="006D120C">
      <w:pPr>
        <w:pStyle w:val="ListBullet"/>
      </w:pPr>
      <w:r>
        <w:t xml:space="preserve">1,234 organisations of </w:t>
      </w:r>
      <w:r w:rsidRPr="006A75C6">
        <w:rPr>
          <w:b/>
          <w:bCs/>
        </w:rPr>
        <w:t>persons with disabilities</w:t>
      </w:r>
      <w:r>
        <w:t xml:space="preserve"> receiving capacity building support</w:t>
      </w:r>
    </w:p>
    <w:p w14:paraId="115812B5" w14:textId="13988DDF" w:rsidR="00133C64" w:rsidRDefault="00133C64" w:rsidP="006D120C">
      <w:pPr>
        <w:pStyle w:val="Heading3"/>
      </w:pPr>
      <w:r w:rsidRPr="00133C64">
        <w:t>We are enhancing state and community resilience</w:t>
      </w:r>
    </w:p>
    <w:p w14:paraId="0D13DB78" w14:textId="1BBC1A70" w:rsidR="00133C64" w:rsidRDefault="00133C64" w:rsidP="006D120C">
      <w:pPr>
        <w:pStyle w:val="ListBullet"/>
      </w:pPr>
      <w:r>
        <w:t xml:space="preserve">425 </w:t>
      </w:r>
      <w:r w:rsidRPr="006A75C6">
        <w:rPr>
          <w:b/>
          <w:bCs/>
        </w:rPr>
        <w:t>infrastructure projects</w:t>
      </w:r>
      <w:r>
        <w:t xml:space="preserve"> supported that meet internationally agreed quality standards</w:t>
      </w:r>
    </w:p>
    <w:p w14:paraId="614D1057" w14:textId="6F85C073" w:rsidR="00133C64" w:rsidRDefault="00133C64" w:rsidP="006D120C">
      <w:pPr>
        <w:pStyle w:val="ListBullet"/>
      </w:pPr>
      <w:r>
        <w:t xml:space="preserve">15,028 </w:t>
      </w:r>
      <w:r w:rsidRPr="007B49DA">
        <w:rPr>
          <w:b/>
          <w:bCs/>
        </w:rPr>
        <w:t>local people accessed jobs</w:t>
      </w:r>
      <w:r>
        <w:t xml:space="preserve"> created by new infrastructure projects</w:t>
      </w:r>
    </w:p>
    <w:p w14:paraId="7E85F704" w14:textId="578CDBFC" w:rsidR="00133C64" w:rsidRDefault="00133C64" w:rsidP="006D120C">
      <w:pPr>
        <w:pStyle w:val="ListBullet"/>
      </w:pPr>
      <w:r>
        <w:t xml:space="preserve">15 countries supported to improve minimum proficiency in </w:t>
      </w:r>
      <w:r w:rsidRPr="007B49DA">
        <w:rPr>
          <w:b/>
          <w:bCs/>
        </w:rPr>
        <w:t>reading and mathematics</w:t>
      </w:r>
      <w:r>
        <w:t> for children and young people</w:t>
      </w:r>
    </w:p>
    <w:p w14:paraId="2024E2DD" w14:textId="47926380" w:rsidR="00133C64" w:rsidRPr="007B49DA" w:rsidRDefault="00133C64" w:rsidP="006D120C">
      <w:pPr>
        <w:pStyle w:val="ListBullet"/>
        <w:rPr>
          <w:b/>
          <w:bCs/>
        </w:rPr>
      </w:pPr>
      <w:r>
        <w:t xml:space="preserve">46 countries supported to improve the capacity of their health systems to </w:t>
      </w:r>
      <w:r w:rsidRPr="007B49DA">
        <w:rPr>
          <w:b/>
          <w:bCs/>
        </w:rPr>
        <w:t>provide quality, accessible and affordable health services</w:t>
      </w:r>
    </w:p>
    <w:p w14:paraId="58F37E47" w14:textId="2278CDBF" w:rsidR="00133C64" w:rsidRDefault="00133C64" w:rsidP="006D120C">
      <w:pPr>
        <w:pStyle w:val="ListBullet"/>
      </w:pPr>
      <w:r>
        <w:t xml:space="preserve">3.3 million couple-years of contraceptive protection from unplanned pregnancies made available for </w:t>
      </w:r>
      <w:r w:rsidRPr="007B49DA">
        <w:rPr>
          <w:b/>
          <w:bCs/>
        </w:rPr>
        <w:t>sexual and reproductive health</w:t>
      </w:r>
    </w:p>
    <w:p w14:paraId="50DBF472" w14:textId="02A7DC5E" w:rsidR="00133C64" w:rsidRDefault="00133C64" w:rsidP="006D120C">
      <w:pPr>
        <w:pStyle w:val="ListBullet"/>
      </w:pPr>
      <w:r>
        <w:t xml:space="preserve">30 countries supported to improve the ability to anticipate, prevent, detect and control </w:t>
      </w:r>
      <w:r w:rsidRPr="007B49DA">
        <w:rPr>
          <w:b/>
          <w:bCs/>
        </w:rPr>
        <w:t>communicable disease threats</w:t>
      </w:r>
    </w:p>
    <w:p w14:paraId="13441FF1" w14:textId="162B9B32" w:rsidR="00133C64" w:rsidRDefault="00133C64" w:rsidP="006D120C">
      <w:pPr>
        <w:pStyle w:val="ListBullet"/>
      </w:pPr>
      <w:r>
        <w:t xml:space="preserve">1.5 million people supported to improve </w:t>
      </w:r>
      <w:r w:rsidRPr="007B49DA">
        <w:rPr>
          <w:b/>
          <w:bCs/>
        </w:rPr>
        <w:t>food security</w:t>
      </w:r>
    </w:p>
    <w:p w14:paraId="328C014C" w14:textId="1089A5E8" w:rsidR="00133C64" w:rsidRPr="009E5A51" w:rsidRDefault="00133C64" w:rsidP="006D120C">
      <w:pPr>
        <w:pStyle w:val="ListBullet"/>
        <w:rPr>
          <w:b/>
          <w:bCs/>
        </w:rPr>
      </w:pPr>
      <w:r>
        <w:t xml:space="preserve">1.1 million people supported to improve </w:t>
      </w:r>
      <w:r w:rsidRPr="009E5A51">
        <w:rPr>
          <w:b/>
          <w:bCs/>
        </w:rPr>
        <w:t>adaptation to climate change and resilience to disasters</w:t>
      </w:r>
    </w:p>
    <w:p w14:paraId="3C9110AD" w14:textId="16DE2124" w:rsidR="00133C64" w:rsidRDefault="00133C64" w:rsidP="006D120C">
      <w:pPr>
        <w:pStyle w:val="ListBullet"/>
      </w:pPr>
      <w:r>
        <w:t xml:space="preserve">76 investments (worth $361 million) improving </w:t>
      </w:r>
      <w:r w:rsidRPr="009E5A51">
        <w:rPr>
          <w:b/>
          <w:bCs/>
        </w:rPr>
        <w:t>climate change adaptation and disaster resilience</w:t>
      </w:r>
    </w:p>
    <w:p w14:paraId="3622EB0E" w14:textId="042F8212" w:rsidR="00133C64" w:rsidRDefault="00133C64" w:rsidP="006D120C">
      <w:pPr>
        <w:pStyle w:val="ListBullet"/>
      </w:pPr>
      <w:r>
        <w:lastRenderedPageBreak/>
        <w:t xml:space="preserve">18 investments (worth $75 </w:t>
      </w:r>
      <w:proofErr w:type="gramStart"/>
      <w:r>
        <w:t>million)  promoting</w:t>
      </w:r>
      <w:proofErr w:type="gramEnd"/>
      <w:r>
        <w:t xml:space="preserve">/delivering </w:t>
      </w:r>
      <w:r w:rsidRPr="009E5A51">
        <w:rPr>
          <w:b/>
          <w:bCs/>
        </w:rPr>
        <w:t>nature-positive outcomes</w:t>
      </w:r>
    </w:p>
    <w:p w14:paraId="110282CB" w14:textId="7B3CFC68" w:rsidR="00133C64" w:rsidRDefault="00133C64" w:rsidP="006D120C">
      <w:pPr>
        <w:pStyle w:val="ListBullet"/>
      </w:pPr>
      <w:r>
        <w:t>2 million</w:t>
      </w:r>
      <w:proofErr w:type="gramStart"/>
      <w:r>
        <w:t>+  people</w:t>
      </w:r>
      <w:proofErr w:type="gramEnd"/>
      <w:r>
        <w:t xml:space="preserve"> supported to use basic or </w:t>
      </w:r>
      <w:r w:rsidRPr="009E5A51">
        <w:rPr>
          <w:b/>
          <w:bCs/>
        </w:rPr>
        <w:t>safely managed drinking water services</w:t>
      </w:r>
    </w:p>
    <w:p w14:paraId="7CDD8908" w14:textId="1214AA85" w:rsidR="00133C64" w:rsidRDefault="00133C64" w:rsidP="006D120C">
      <w:pPr>
        <w:pStyle w:val="ListBullet"/>
      </w:pPr>
      <w:r>
        <w:t xml:space="preserve">38 countries supported to improve </w:t>
      </w:r>
      <w:r w:rsidRPr="005671BD">
        <w:rPr>
          <w:b/>
          <w:bCs/>
        </w:rPr>
        <w:t>resilience and ability to manage maritime domains</w:t>
      </w:r>
      <w:r>
        <w:t xml:space="preserve"> and marine resources</w:t>
      </w:r>
    </w:p>
    <w:p w14:paraId="1A4AB607" w14:textId="67E227AE" w:rsidR="00133C64" w:rsidRDefault="00133C64" w:rsidP="006D120C">
      <w:pPr>
        <w:pStyle w:val="Heading3"/>
      </w:pPr>
      <w:r w:rsidRPr="00133C64">
        <w:t>We are connecting partners with Australian and regional architecture</w:t>
      </w:r>
    </w:p>
    <w:p w14:paraId="6012B883" w14:textId="2472FB3B" w:rsidR="00133C64" w:rsidRDefault="00133C64" w:rsidP="006D120C">
      <w:pPr>
        <w:pStyle w:val="ListBullet"/>
      </w:pPr>
      <w:r>
        <w:t xml:space="preserve">1,903 completions of an </w:t>
      </w:r>
      <w:r w:rsidRPr="005671BD">
        <w:rPr>
          <w:b/>
          <w:bCs/>
        </w:rPr>
        <w:t>Australia Awards scholarship</w:t>
      </w:r>
    </w:p>
    <w:p w14:paraId="6F7E9E7D" w14:textId="3B9FCEDC" w:rsidR="00133C64" w:rsidRDefault="00133C64" w:rsidP="006D120C">
      <w:pPr>
        <w:pStyle w:val="ListBullet"/>
      </w:pPr>
      <w:r>
        <w:t xml:space="preserve">538,621 completions of </w:t>
      </w:r>
      <w:r w:rsidRPr="005671BD">
        <w:rPr>
          <w:b/>
          <w:bCs/>
        </w:rPr>
        <w:t>a tertiary or technical/vocational course or work-related training</w:t>
      </w:r>
    </w:p>
    <w:p w14:paraId="44979EB2" w14:textId="05E5CA63" w:rsidR="00133C64" w:rsidRDefault="00133C64" w:rsidP="006D120C">
      <w:pPr>
        <w:pStyle w:val="ListBullet"/>
      </w:pPr>
      <w:r>
        <w:t xml:space="preserve">167 alumni participated in </w:t>
      </w:r>
      <w:r w:rsidRPr="005671BD">
        <w:rPr>
          <w:b/>
          <w:bCs/>
        </w:rPr>
        <w:t>mutual collaborations</w:t>
      </w:r>
      <w:r>
        <w:t xml:space="preserve"> between their country and Australia after completion of an Australia Award long course</w:t>
      </w:r>
    </w:p>
    <w:p w14:paraId="092A3268" w14:textId="16A4743A" w:rsidR="00133C64" w:rsidRDefault="00133C64" w:rsidP="006D120C">
      <w:pPr>
        <w:pStyle w:val="ListBullet"/>
      </w:pPr>
      <w:r>
        <w:t xml:space="preserve">33,193 </w:t>
      </w:r>
      <w:r w:rsidRPr="00AA05DF">
        <w:rPr>
          <w:b/>
          <w:bCs/>
        </w:rPr>
        <w:t>Pacific Australia Labour Mobility (PALM) workers</w:t>
      </w:r>
    </w:p>
    <w:p w14:paraId="5C540B17" w14:textId="3C04B566" w:rsidR="00133C64" w:rsidRDefault="00133C64" w:rsidP="006D120C">
      <w:pPr>
        <w:pStyle w:val="Heading3"/>
      </w:pPr>
      <w:r w:rsidRPr="00133C64">
        <w:t>We are generating collective action on global challenges</w:t>
      </w:r>
    </w:p>
    <w:p w14:paraId="474208CB" w14:textId="21BE6B24" w:rsidR="00133C64" w:rsidRDefault="00133C64" w:rsidP="006D120C">
      <w:pPr>
        <w:pStyle w:val="ListBullet"/>
      </w:pPr>
      <w:r>
        <w:t xml:space="preserve">8.5 million people provided with </w:t>
      </w:r>
      <w:r w:rsidRPr="00AA05DF">
        <w:rPr>
          <w:b/>
          <w:bCs/>
        </w:rPr>
        <w:t>emergency assistance</w:t>
      </w:r>
      <w:r>
        <w:t xml:space="preserve"> in conflict and humanitarian crisis situations</w:t>
      </w:r>
    </w:p>
    <w:p w14:paraId="0AF93AEA" w14:textId="792DB5E6" w:rsidR="00133C64" w:rsidRDefault="00133C64" w:rsidP="006D120C">
      <w:pPr>
        <w:pStyle w:val="ListBullet"/>
      </w:pPr>
      <w:r>
        <w:t xml:space="preserve">45 countries supported to increase their capacity to participate effectively </w:t>
      </w:r>
      <w:r w:rsidRPr="00AA05DF">
        <w:rPr>
          <w:b/>
          <w:bCs/>
        </w:rPr>
        <w:t>in rules-based trade and economic architecture</w:t>
      </w:r>
    </w:p>
    <w:p w14:paraId="73F84ED8" w14:textId="58BC3DDC" w:rsidR="00133C64" w:rsidRDefault="00133C64" w:rsidP="006D120C">
      <w:pPr>
        <w:pStyle w:val="ListBullet"/>
      </w:pPr>
      <w:r>
        <w:t xml:space="preserve">40 countries supported to engage productively with the </w:t>
      </w:r>
      <w:r w:rsidRPr="00AA05DF">
        <w:rPr>
          <w:b/>
          <w:bCs/>
        </w:rPr>
        <w:t>multilateral trading system</w:t>
      </w:r>
    </w:p>
    <w:p w14:paraId="41BEDE73" w14:textId="5A494485" w:rsidR="006D120C" w:rsidRDefault="006D120C" w:rsidP="006D120C">
      <w:pPr>
        <w:pStyle w:val="Heading2"/>
      </w:pPr>
      <w:r w:rsidRPr="006D120C">
        <w:t>Development Program Performance</w:t>
      </w:r>
    </w:p>
    <w:p w14:paraId="58DA13C2" w14:textId="6B61501D" w:rsidR="006D120C" w:rsidRDefault="006D120C" w:rsidP="006D120C">
      <w:pPr>
        <w:pStyle w:val="Heading3"/>
      </w:pPr>
      <w:r w:rsidRPr="006D120C">
        <w:t>Our development cooperation supports local actors</w:t>
      </w:r>
    </w:p>
    <w:p w14:paraId="3438F97A" w14:textId="044C2A90" w:rsidR="006D120C" w:rsidRDefault="006D120C" w:rsidP="006D120C">
      <w:pPr>
        <w:pStyle w:val="ListBullet"/>
      </w:pPr>
      <w:proofErr w:type="gramStart"/>
      <w:r w:rsidRPr="006D120C">
        <w:rPr>
          <w:b/>
          <w:bCs/>
        </w:rPr>
        <w:t>Target  85</w:t>
      </w:r>
      <w:proofErr w:type="gramEnd"/>
      <w:r w:rsidRPr="006D120C">
        <w:rPr>
          <w:b/>
          <w:bCs/>
        </w:rPr>
        <w:t>%</w:t>
      </w:r>
      <w:r>
        <w:t xml:space="preserve"> - 85% </w:t>
      </w:r>
      <w:r w:rsidRPr="006D120C">
        <w:t>of investments were assessed as satisfactory on both the effectiveness and efficiency criteria</w:t>
      </w:r>
    </w:p>
    <w:p w14:paraId="3D5B28AD" w14:textId="757E3203" w:rsidR="006D120C" w:rsidRPr="006D120C" w:rsidRDefault="006D120C" w:rsidP="006D120C">
      <w:pPr>
        <w:pStyle w:val="ListBullet"/>
      </w:pPr>
      <w:proofErr w:type="gramStart"/>
      <w:r w:rsidRPr="006D120C">
        <w:rPr>
          <w:b/>
          <w:bCs/>
        </w:rPr>
        <w:t>Target  80</w:t>
      </w:r>
      <w:proofErr w:type="gramEnd"/>
      <w:r w:rsidRPr="006D120C">
        <w:rPr>
          <w:b/>
          <w:bCs/>
        </w:rPr>
        <w:t>%</w:t>
      </w:r>
      <w:r>
        <w:t xml:space="preserve"> - 79% </w:t>
      </w:r>
      <w:r w:rsidRPr="006D120C">
        <w:t>of investments were assessed as effective in addressing gender equality</w:t>
      </w:r>
    </w:p>
    <w:p w14:paraId="13C62753" w14:textId="66E75933" w:rsidR="006D120C" w:rsidRPr="006D120C" w:rsidRDefault="006D120C" w:rsidP="006D120C">
      <w:pPr>
        <w:pStyle w:val="ListBullet"/>
      </w:pPr>
      <w:r w:rsidRPr="006D120C">
        <w:rPr>
          <w:b/>
          <w:iCs/>
        </w:rPr>
        <w:t xml:space="preserve">2025–26 </w:t>
      </w:r>
      <w:proofErr w:type="gramStart"/>
      <w:r w:rsidRPr="006D120C">
        <w:rPr>
          <w:b/>
          <w:iCs/>
        </w:rPr>
        <w:t>Target  60</w:t>
      </w:r>
      <w:proofErr w:type="gramEnd"/>
      <w:r w:rsidRPr="006D120C">
        <w:rPr>
          <w:b/>
          <w:iCs/>
        </w:rPr>
        <w:t>%</w:t>
      </w:r>
      <w:r>
        <w:t xml:space="preserve"> - 51% </w:t>
      </w:r>
      <w:r w:rsidRPr="006D120C">
        <w:t>of investments were assessed as effective in addressing disability equity</w:t>
      </w:r>
    </w:p>
    <w:p w14:paraId="164B408A" w14:textId="42923B20" w:rsidR="006D120C" w:rsidRDefault="006D120C" w:rsidP="006D120C">
      <w:pPr>
        <w:pStyle w:val="ListBullet"/>
      </w:pPr>
      <w:r>
        <w:t xml:space="preserve">$671m </w:t>
      </w:r>
      <w:r w:rsidRPr="006D120C">
        <w:t xml:space="preserve">total value of local contracts </w:t>
      </w:r>
      <w:proofErr w:type="gramStart"/>
      <w:r w:rsidRPr="006D120C">
        <w:t>entered into</w:t>
      </w:r>
      <w:proofErr w:type="gramEnd"/>
      <w:r w:rsidRPr="006D120C">
        <w:t xml:space="preserve"> by managing contractors</w:t>
      </w:r>
    </w:p>
    <w:p w14:paraId="4DF1F013" w14:textId="3A2F7940" w:rsidR="006D120C" w:rsidRDefault="006D120C" w:rsidP="006D120C">
      <w:pPr>
        <w:pStyle w:val="Heading3"/>
      </w:pPr>
      <w:r w:rsidRPr="006D120C">
        <w:t>Our development cooperation is transparent</w:t>
      </w:r>
    </w:p>
    <w:p w14:paraId="45E97C72" w14:textId="514EC063" w:rsidR="006D120C" w:rsidRDefault="006D120C" w:rsidP="006D120C">
      <w:r w:rsidRPr="006D120C">
        <w:t xml:space="preserve">DFAT’s new transparency portal, </w:t>
      </w:r>
      <w:proofErr w:type="spellStart"/>
      <w:r w:rsidRPr="006D120C">
        <w:t>AusDevPortal</w:t>
      </w:r>
      <w:proofErr w:type="spellEnd"/>
      <w:r w:rsidRPr="006D120C">
        <w:t xml:space="preserve"> (</w:t>
      </w:r>
      <w:hyperlink r:id="rId8" w:history="1">
        <w:r w:rsidRPr="00672732">
          <w:rPr>
            <w:rStyle w:val="Hyperlink"/>
          </w:rPr>
          <w:t>adp.dfat.gov.au</w:t>
        </w:r>
      </w:hyperlink>
      <w:r w:rsidRPr="006D120C">
        <w:t>), was launched in December 2024</w:t>
      </w:r>
    </w:p>
    <w:p w14:paraId="3813F11B" w14:textId="7BFFFDBD" w:rsidR="006D120C" w:rsidRPr="006D120C" w:rsidRDefault="00926A43" w:rsidP="006D120C">
      <w:hyperlink r:id="rId9" w:history="1">
        <w:r w:rsidR="006D120C" w:rsidRPr="00926A43">
          <w:rPr>
            <w:rStyle w:val="Hyperlink"/>
          </w:rPr>
          <w:t>Performance of Australian Development Cooperation Report 2023–24</w:t>
        </w:r>
      </w:hyperlink>
    </w:p>
    <w:sectPr w:rsidR="006D120C" w:rsidRPr="006D120C" w:rsidSect="007616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134" w:left="1134" w:header="851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C4F6" w14:textId="77777777" w:rsidR="002A06F0" w:rsidRDefault="002A06F0" w:rsidP="00EE32FE">
      <w:pPr>
        <w:spacing w:after="0" w:line="240" w:lineRule="auto"/>
      </w:pPr>
      <w:r>
        <w:separator/>
      </w:r>
    </w:p>
  </w:endnote>
  <w:endnote w:type="continuationSeparator" w:id="0">
    <w:p w14:paraId="613E0106" w14:textId="77777777" w:rsidR="002A06F0" w:rsidRDefault="002A06F0" w:rsidP="00EE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B178" w14:textId="6DBD0B44" w:rsidR="001869DB" w:rsidRPr="00975C47" w:rsidRDefault="0072230E" w:rsidP="007F6492">
    <w:pPr>
      <w:pStyle w:val="Footer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8661755" wp14:editId="4F99D372">
              <wp:simplePos x="0" y="0"/>
              <wp:positionH relativeFrom="page">
                <wp:posOffset>0</wp:posOffset>
              </wp:positionH>
              <wp:positionV relativeFrom="paragraph">
                <wp:posOffset>-40249</wp:posOffset>
              </wp:positionV>
              <wp:extent cx="7545607" cy="345600"/>
              <wp:effectExtent l="0" t="0" r="0" b="0"/>
              <wp:wrapNone/>
              <wp:docPr id="5167474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607" cy="34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D25E9" w14:textId="00489894" w:rsidR="0072230E" w:rsidRPr="00672732" w:rsidRDefault="00672732" w:rsidP="00672732">
                          <w:pPr>
                            <w:spacing w:before="0" w:after="0" w:line="240" w:lineRule="auto"/>
                            <w:jc w:val="center"/>
                            <w:rPr>
                              <w:color w:val="FFFFFF" w:themeColor="background1"/>
                              <w:spacing w:val="30"/>
                              <w:sz w:val="18"/>
                              <w:szCs w:val="16"/>
                            </w:rPr>
                          </w:pPr>
                          <w:r w:rsidRPr="00672732">
                            <w:rPr>
                              <w:color w:val="FFFFFF" w:themeColor="background1"/>
                              <w:spacing w:val="30"/>
                              <w:sz w:val="18"/>
                              <w:szCs w:val="16"/>
                            </w:rPr>
                            <w:t>PERFORMANCE OF AUSTRALIAN DEVELOPMENT COOPERATION REPORT 2023–24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617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.15pt;width:594.15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" filled="f" stroked="f">
              <v:textbox>
                <w:txbxContent>
                  <w:p w14:paraId="4E9D25E9" w14:textId="00489894" w:rsidR="0072230E" w:rsidRPr="00672732" w:rsidRDefault="00672732" w:rsidP="00672732">
                    <w:pPr>
                      <w:spacing w:before="0" w:after="0" w:line="240" w:lineRule="auto"/>
                      <w:jc w:val="center"/>
                      <w:rPr>
                        <w:color w:val="FFFFFF" w:themeColor="background1"/>
                        <w:spacing w:val="30"/>
                        <w:sz w:val="18"/>
                        <w:szCs w:val="16"/>
                      </w:rPr>
                    </w:pPr>
                    <w:r w:rsidRPr="00672732">
                      <w:rPr>
                        <w:color w:val="FFFFFF" w:themeColor="background1"/>
                        <w:spacing w:val="30"/>
                        <w:sz w:val="18"/>
                        <w:szCs w:val="16"/>
                      </w:rPr>
                      <w:t>PERFORMANCE OF AUSTRALIAN DEVELOPMENT COOPERATION REPORT 2023–24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75C47" w:rsidRPr="00975C47">
      <w:rPr>
        <w:noProof/>
        <w:color w:val="FFFFFF" w:themeColor="background1"/>
      </w:rPr>
      <w:drawing>
        <wp:anchor distT="0" distB="0" distL="114300" distR="114300" simplePos="0" relativeHeight="251670528" behindDoc="1" locked="1" layoutInCell="1" allowOverlap="1" wp14:anchorId="294201E7" wp14:editId="4839A7A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576000"/>
          <wp:effectExtent l="0" t="0" r="3175" b="0"/>
          <wp:wrapNone/>
          <wp:docPr id="1830265198" name="Picture 1830265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7F6492" w:rsidRPr="006D57D7">
          <w:rPr>
            <w:color w:val="FFFFFF" w:themeColor="background1"/>
            <w:sz w:val="20"/>
            <w:szCs w:val="20"/>
          </w:rPr>
          <w:fldChar w:fldCharType="begin"/>
        </w:r>
        <w:r w:rsidR="007F6492" w:rsidRPr="006D57D7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="007F6492" w:rsidRPr="006D57D7">
          <w:rPr>
            <w:color w:val="FFFFFF" w:themeColor="background1"/>
            <w:sz w:val="20"/>
            <w:szCs w:val="20"/>
          </w:rPr>
          <w:fldChar w:fldCharType="separate"/>
        </w:r>
        <w:r w:rsidR="007F6492" w:rsidRPr="006D57D7">
          <w:rPr>
            <w:noProof/>
            <w:color w:val="FFFFFF" w:themeColor="background1"/>
            <w:sz w:val="20"/>
            <w:szCs w:val="20"/>
          </w:rPr>
          <w:t>2</w:t>
        </w:r>
        <w:r w:rsidR="007F6492" w:rsidRPr="006D57D7">
          <w:rPr>
            <w:noProof/>
            <w:color w:val="FFFFFF" w:themeColor="background1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153F" w14:textId="2795E95F" w:rsidR="00F74B5D" w:rsidRPr="006D57D7" w:rsidRDefault="0072230E">
    <w:pPr>
      <w:pStyle w:val="Footer"/>
      <w:rPr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D26BB47" wp14:editId="7DA4BDEA">
              <wp:simplePos x="0" y="0"/>
              <wp:positionH relativeFrom="page">
                <wp:align>right</wp:align>
              </wp:positionH>
              <wp:positionV relativeFrom="paragraph">
                <wp:posOffset>-40249</wp:posOffset>
              </wp:positionV>
              <wp:extent cx="7545607" cy="345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607" cy="34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2E528" w14:textId="65C10280" w:rsidR="0072230E" w:rsidRPr="00672732" w:rsidRDefault="00672732" w:rsidP="0072230E">
                          <w:pPr>
                            <w:spacing w:before="0" w:after="0" w:line="240" w:lineRule="auto"/>
                            <w:jc w:val="center"/>
                            <w:rPr>
                              <w:color w:val="FFFFFF" w:themeColor="background1"/>
                              <w:spacing w:val="30"/>
                              <w:sz w:val="18"/>
                              <w:szCs w:val="16"/>
                            </w:rPr>
                          </w:pPr>
                          <w:bookmarkStart w:id="1" w:name="_Hlk198219156"/>
                          <w:bookmarkStart w:id="2" w:name="_Hlk198219157"/>
                          <w:bookmarkStart w:id="3" w:name="_Hlk198219159"/>
                          <w:bookmarkStart w:id="4" w:name="_Hlk198219160"/>
                          <w:r w:rsidRPr="00672732">
                            <w:rPr>
                              <w:color w:val="FFFFFF" w:themeColor="background1"/>
                              <w:spacing w:val="30"/>
                              <w:sz w:val="18"/>
                              <w:szCs w:val="16"/>
                            </w:rPr>
                            <w:t>PERFORMANCE OF AUSTRALIAN DEVELOPMENT COOPERATION REPORT 2023–24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6BB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2.95pt;margin-top:-3.15pt;width:594.15pt;height:27.2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" filled="f" stroked="f">
              <v:textbox>
                <w:txbxContent>
                  <w:p w14:paraId="2F72E528" w14:textId="65C10280" w:rsidR="0072230E" w:rsidRPr="00672732" w:rsidRDefault="00672732" w:rsidP="0072230E">
                    <w:pPr>
                      <w:spacing w:before="0" w:after="0" w:line="240" w:lineRule="auto"/>
                      <w:jc w:val="center"/>
                      <w:rPr>
                        <w:color w:val="FFFFFF" w:themeColor="background1"/>
                        <w:spacing w:val="30"/>
                        <w:sz w:val="18"/>
                        <w:szCs w:val="16"/>
                      </w:rPr>
                    </w:pPr>
                    <w:bookmarkStart w:id="5" w:name="_Hlk198219156"/>
                    <w:bookmarkStart w:id="6" w:name="_Hlk198219157"/>
                    <w:bookmarkStart w:id="7" w:name="_Hlk198219159"/>
                    <w:bookmarkStart w:id="8" w:name="_Hlk198219160"/>
                    <w:r w:rsidRPr="00672732">
                      <w:rPr>
                        <w:color w:val="FFFFFF" w:themeColor="background1"/>
                        <w:spacing w:val="30"/>
                        <w:sz w:val="18"/>
                        <w:szCs w:val="16"/>
                      </w:rPr>
                      <w:t>PERFORMANCE OF AUSTRALIAN DEVELOPMENT COOPERATION REPORT 2023–24</w:t>
                    </w:r>
                    <w:bookmarkEnd w:id="5"/>
                    <w:bookmarkEnd w:id="6"/>
                    <w:bookmarkEnd w:id="7"/>
                    <w:bookmarkEnd w:id="8"/>
                  </w:p>
                </w:txbxContent>
              </v:textbox>
              <w10:wrap anchorx="page"/>
            </v:shape>
          </w:pict>
        </mc:Fallback>
      </mc:AlternateContent>
    </w:r>
    <w:sdt>
      <w:sdtPr>
        <w:rPr>
          <w:sz w:val="20"/>
          <w:szCs w:val="20"/>
        </w:rPr>
        <w:id w:val="-1869980232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F74B5D" w:rsidRPr="006D57D7">
          <w:rPr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38" behindDoc="1" locked="1" layoutInCell="1" allowOverlap="1" wp14:anchorId="4207346C" wp14:editId="6D01E91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576000"/>
              <wp:effectExtent l="0" t="0" r="3175" b="0"/>
              <wp:wrapNone/>
              <wp:docPr id="2019047068" name="Picture 20190470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" name="Picture 20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4B5D" w:rsidRPr="006D57D7">
          <w:rPr>
            <w:color w:val="FFFFFF" w:themeColor="background1"/>
            <w:sz w:val="20"/>
            <w:szCs w:val="20"/>
          </w:rPr>
          <w:fldChar w:fldCharType="begin"/>
        </w:r>
        <w:r w:rsidR="00F74B5D" w:rsidRPr="006D57D7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="00F74B5D" w:rsidRPr="006D57D7">
          <w:rPr>
            <w:color w:val="FFFFFF" w:themeColor="background1"/>
            <w:sz w:val="20"/>
            <w:szCs w:val="20"/>
          </w:rPr>
          <w:fldChar w:fldCharType="separate"/>
        </w:r>
        <w:r w:rsidR="00F74B5D" w:rsidRPr="006D57D7">
          <w:rPr>
            <w:noProof/>
            <w:color w:val="FFFFFF" w:themeColor="background1"/>
            <w:sz w:val="20"/>
            <w:szCs w:val="20"/>
          </w:rPr>
          <w:t>2</w:t>
        </w:r>
        <w:r w:rsidR="00F74B5D" w:rsidRPr="006D57D7">
          <w:rPr>
            <w:noProof/>
            <w:color w:val="FFFFFF" w:themeColor="background1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0C7A" w14:textId="77777777" w:rsidR="002A06F0" w:rsidRDefault="002A06F0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004A4BA1" w14:textId="77777777" w:rsidR="002A06F0" w:rsidRDefault="002A06F0" w:rsidP="00EE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9C54" w14:textId="038346BF" w:rsidR="001D29C1" w:rsidRDefault="008668B5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w:drawing>
        <wp:anchor distT="0" distB="0" distL="114300" distR="114300" simplePos="0" relativeHeight="251671552" behindDoc="1" locked="1" layoutInCell="1" allowOverlap="1" wp14:anchorId="460A3FA7" wp14:editId="1DADB813">
          <wp:simplePos x="541606" y="541606"/>
          <wp:positionH relativeFrom="page">
            <wp:align>center</wp:align>
          </wp:positionH>
          <wp:positionV relativeFrom="page">
            <wp:align>top</wp:align>
          </wp:positionV>
          <wp:extent cx="7557770" cy="575945"/>
          <wp:effectExtent l="0" t="0" r="5080" b="0"/>
          <wp:wrapNone/>
          <wp:docPr id="109018850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8534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6A81" w14:textId="559D07BD" w:rsidR="0007092D" w:rsidRDefault="00622790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0410618" wp14:editId="6EB07F4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22000" cy="1101600"/>
          <wp:effectExtent l="0" t="0" r="0" b="3810"/>
          <wp:wrapNone/>
          <wp:docPr id="88683173" name="Picture 886831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020092" name="Picture 64102009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CB825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20F7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B448F82"/>
    <w:lvl w:ilvl="0">
      <w:start w:val="1"/>
      <w:numFmt w:val="bullet"/>
      <w:pStyle w:val="ListBullet3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399CA660"/>
    <w:lvl w:ilvl="0">
      <w:start w:val="1"/>
      <w:numFmt w:val="bullet"/>
      <w:pStyle w:val="ListBullet2"/>
      <w:lvlText w:val="­"/>
      <w:lvlJc w:val="left"/>
      <w:pPr>
        <w:ind w:left="644" w:hanging="360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CA5A81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4743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42A95"/>
    <w:multiLevelType w:val="hybridMultilevel"/>
    <w:tmpl w:val="7DCA3644"/>
    <w:lvl w:ilvl="0" w:tplc="3F1A3E68">
      <w:start w:val="1"/>
      <w:numFmt w:val="bullet"/>
      <w:pStyle w:val="TableBodyCopy-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A6A5766"/>
    <w:multiLevelType w:val="hybridMultilevel"/>
    <w:tmpl w:val="3CBEB156"/>
    <w:lvl w:ilvl="0" w:tplc="27B47D60">
      <w:start w:val="1"/>
      <w:numFmt w:val="lowerLetter"/>
      <w:pStyle w:val="TableBodyCopy-alphabet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1658"/>
    <w:multiLevelType w:val="hybridMultilevel"/>
    <w:tmpl w:val="82266F92"/>
    <w:lvl w:ilvl="0" w:tplc="C77A212A">
      <w:start w:val="1"/>
      <w:numFmt w:val="decimal"/>
      <w:pStyle w:val="TableBodyCopy-numbers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54B0BFF"/>
    <w:multiLevelType w:val="hybridMultilevel"/>
    <w:tmpl w:val="AC6E9F0A"/>
    <w:lvl w:ilvl="0" w:tplc="22AA4C6C">
      <w:start w:val="1"/>
      <w:numFmt w:val="lowerLetter"/>
      <w:pStyle w:val="ListAlphabet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441"/>
    <w:multiLevelType w:val="hybridMultilevel"/>
    <w:tmpl w:val="0A2A46F8"/>
    <w:lvl w:ilvl="0" w:tplc="FF02A014">
      <w:start w:val="1"/>
      <w:numFmt w:val="lowerLetter"/>
      <w:pStyle w:val="ListAlphabet2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16814062">
    <w:abstractNumId w:val="9"/>
  </w:num>
  <w:num w:numId="2" w16cid:durableId="847524598">
    <w:abstractNumId w:val="9"/>
    <w:lvlOverride w:ilvl="0">
      <w:startOverride w:val="1"/>
    </w:lvlOverride>
  </w:num>
  <w:num w:numId="3" w16cid:durableId="159122943">
    <w:abstractNumId w:val="9"/>
    <w:lvlOverride w:ilvl="0">
      <w:startOverride w:val="1"/>
    </w:lvlOverride>
  </w:num>
  <w:num w:numId="4" w16cid:durableId="1817792622">
    <w:abstractNumId w:val="12"/>
  </w:num>
  <w:num w:numId="5" w16cid:durableId="101384801">
    <w:abstractNumId w:val="6"/>
  </w:num>
  <w:num w:numId="6" w16cid:durableId="491798476">
    <w:abstractNumId w:val="9"/>
    <w:lvlOverride w:ilvl="0">
      <w:startOverride w:val="1"/>
    </w:lvlOverride>
  </w:num>
  <w:num w:numId="7" w16cid:durableId="613289980">
    <w:abstractNumId w:val="9"/>
    <w:lvlOverride w:ilvl="0">
      <w:startOverride w:val="1"/>
    </w:lvlOverride>
  </w:num>
  <w:num w:numId="8" w16cid:durableId="684357003">
    <w:abstractNumId w:val="9"/>
    <w:lvlOverride w:ilvl="0">
      <w:startOverride w:val="1"/>
    </w:lvlOverride>
  </w:num>
  <w:num w:numId="9" w16cid:durableId="1994017660">
    <w:abstractNumId w:val="4"/>
  </w:num>
  <w:num w:numId="10" w16cid:durableId="1905682578">
    <w:abstractNumId w:val="3"/>
  </w:num>
  <w:num w:numId="11" w16cid:durableId="662900224">
    <w:abstractNumId w:val="1"/>
  </w:num>
  <w:num w:numId="12" w16cid:durableId="1535582917">
    <w:abstractNumId w:val="5"/>
  </w:num>
  <w:num w:numId="13" w16cid:durableId="485367455">
    <w:abstractNumId w:val="0"/>
  </w:num>
  <w:num w:numId="14" w16cid:durableId="957683014">
    <w:abstractNumId w:val="2"/>
  </w:num>
  <w:num w:numId="15" w16cid:durableId="438182772">
    <w:abstractNumId w:val="11"/>
  </w:num>
  <w:num w:numId="16" w16cid:durableId="1195849099">
    <w:abstractNumId w:val="13"/>
  </w:num>
  <w:num w:numId="17" w16cid:durableId="493497025">
    <w:abstractNumId w:val="4"/>
    <w:lvlOverride w:ilvl="0">
      <w:startOverride w:val="1"/>
    </w:lvlOverride>
  </w:num>
  <w:num w:numId="18" w16cid:durableId="359937534">
    <w:abstractNumId w:val="4"/>
    <w:lvlOverride w:ilvl="0">
      <w:startOverride w:val="1"/>
    </w:lvlOverride>
  </w:num>
  <w:num w:numId="19" w16cid:durableId="1855722265">
    <w:abstractNumId w:val="4"/>
    <w:lvlOverride w:ilvl="0">
      <w:startOverride w:val="1"/>
    </w:lvlOverride>
  </w:num>
  <w:num w:numId="20" w16cid:durableId="726876775">
    <w:abstractNumId w:val="7"/>
  </w:num>
  <w:num w:numId="21" w16cid:durableId="419985727">
    <w:abstractNumId w:val="10"/>
  </w:num>
  <w:num w:numId="22" w16cid:durableId="782919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defaultTableStyle w:val="ListTable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B5"/>
    <w:rsid w:val="00025428"/>
    <w:rsid w:val="00026519"/>
    <w:rsid w:val="00030679"/>
    <w:rsid w:val="000621EA"/>
    <w:rsid w:val="0007092D"/>
    <w:rsid w:val="0009552E"/>
    <w:rsid w:val="000A17C0"/>
    <w:rsid w:val="000B6DA8"/>
    <w:rsid w:val="000F1407"/>
    <w:rsid w:val="000F214F"/>
    <w:rsid w:val="00114EFD"/>
    <w:rsid w:val="00133C64"/>
    <w:rsid w:val="001405B7"/>
    <w:rsid w:val="0017694B"/>
    <w:rsid w:val="001869DB"/>
    <w:rsid w:val="0019463F"/>
    <w:rsid w:val="00194969"/>
    <w:rsid w:val="001B0713"/>
    <w:rsid w:val="001B20DE"/>
    <w:rsid w:val="001C53B6"/>
    <w:rsid w:val="001D29C1"/>
    <w:rsid w:val="0021791D"/>
    <w:rsid w:val="002310AC"/>
    <w:rsid w:val="00232F10"/>
    <w:rsid w:val="00236A7E"/>
    <w:rsid w:val="00246196"/>
    <w:rsid w:val="00265954"/>
    <w:rsid w:val="002903BA"/>
    <w:rsid w:val="002923D5"/>
    <w:rsid w:val="002965B1"/>
    <w:rsid w:val="002A06F0"/>
    <w:rsid w:val="002A3908"/>
    <w:rsid w:val="002C1236"/>
    <w:rsid w:val="00343EFB"/>
    <w:rsid w:val="00343F6F"/>
    <w:rsid w:val="003876B2"/>
    <w:rsid w:val="003E43BE"/>
    <w:rsid w:val="004041C7"/>
    <w:rsid w:val="00475983"/>
    <w:rsid w:val="00483A90"/>
    <w:rsid w:val="004B3251"/>
    <w:rsid w:val="004D1D85"/>
    <w:rsid w:val="004D3377"/>
    <w:rsid w:val="005212F2"/>
    <w:rsid w:val="00565BC7"/>
    <w:rsid w:val="005671BD"/>
    <w:rsid w:val="00592E1A"/>
    <w:rsid w:val="00595180"/>
    <w:rsid w:val="005968CE"/>
    <w:rsid w:val="005A4153"/>
    <w:rsid w:val="005B74CF"/>
    <w:rsid w:val="005C1728"/>
    <w:rsid w:val="005F7B84"/>
    <w:rsid w:val="00607A51"/>
    <w:rsid w:val="0061084C"/>
    <w:rsid w:val="00622790"/>
    <w:rsid w:val="006247DC"/>
    <w:rsid w:val="00625191"/>
    <w:rsid w:val="00630177"/>
    <w:rsid w:val="006544BB"/>
    <w:rsid w:val="00661961"/>
    <w:rsid w:val="006707B2"/>
    <w:rsid w:val="00671161"/>
    <w:rsid w:val="00672732"/>
    <w:rsid w:val="006921FD"/>
    <w:rsid w:val="006A1E8A"/>
    <w:rsid w:val="006A441F"/>
    <w:rsid w:val="006A75C6"/>
    <w:rsid w:val="006B1B6F"/>
    <w:rsid w:val="006C13E7"/>
    <w:rsid w:val="006D120C"/>
    <w:rsid w:val="006D57D7"/>
    <w:rsid w:val="0072230E"/>
    <w:rsid w:val="007332ED"/>
    <w:rsid w:val="00761622"/>
    <w:rsid w:val="00790F87"/>
    <w:rsid w:val="00791418"/>
    <w:rsid w:val="0079728E"/>
    <w:rsid w:val="007B49DA"/>
    <w:rsid w:val="007C5166"/>
    <w:rsid w:val="007E6F37"/>
    <w:rsid w:val="007F6492"/>
    <w:rsid w:val="00803C59"/>
    <w:rsid w:val="00845374"/>
    <w:rsid w:val="008668B5"/>
    <w:rsid w:val="008676F3"/>
    <w:rsid w:val="008712E0"/>
    <w:rsid w:val="008747D5"/>
    <w:rsid w:val="0089275C"/>
    <w:rsid w:val="008A226C"/>
    <w:rsid w:val="008C56DF"/>
    <w:rsid w:val="009058C5"/>
    <w:rsid w:val="00915A3E"/>
    <w:rsid w:val="009256E5"/>
    <w:rsid w:val="00926A43"/>
    <w:rsid w:val="00934B0D"/>
    <w:rsid w:val="009550C6"/>
    <w:rsid w:val="009614C2"/>
    <w:rsid w:val="00975C47"/>
    <w:rsid w:val="009B0D35"/>
    <w:rsid w:val="009D24CA"/>
    <w:rsid w:val="009E457F"/>
    <w:rsid w:val="009E5A51"/>
    <w:rsid w:val="009F1CC0"/>
    <w:rsid w:val="00A01D6E"/>
    <w:rsid w:val="00A4001E"/>
    <w:rsid w:val="00A52C0C"/>
    <w:rsid w:val="00A678E0"/>
    <w:rsid w:val="00AA05DF"/>
    <w:rsid w:val="00AA6ACC"/>
    <w:rsid w:val="00AC1974"/>
    <w:rsid w:val="00AF6CD3"/>
    <w:rsid w:val="00AF7C26"/>
    <w:rsid w:val="00B1186A"/>
    <w:rsid w:val="00B26990"/>
    <w:rsid w:val="00B53C93"/>
    <w:rsid w:val="00BB0335"/>
    <w:rsid w:val="00C00369"/>
    <w:rsid w:val="00C02DDF"/>
    <w:rsid w:val="00C40760"/>
    <w:rsid w:val="00C60EBF"/>
    <w:rsid w:val="00C63C0D"/>
    <w:rsid w:val="00C916B0"/>
    <w:rsid w:val="00CE7871"/>
    <w:rsid w:val="00CF14DB"/>
    <w:rsid w:val="00D47172"/>
    <w:rsid w:val="00D6294D"/>
    <w:rsid w:val="00D700C8"/>
    <w:rsid w:val="00D84E4A"/>
    <w:rsid w:val="00D97265"/>
    <w:rsid w:val="00DA6024"/>
    <w:rsid w:val="00DB7113"/>
    <w:rsid w:val="00DD1855"/>
    <w:rsid w:val="00DF0653"/>
    <w:rsid w:val="00DF79EE"/>
    <w:rsid w:val="00E363E8"/>
    <w:rsid w:val="00E60615"/>
    <w:rsid w:val="00E6260D"/>
    <w:rsid w:val="00E977E7"/>
    <w:rsid w:val="00EA4C41"/>
    <w:rsid w:val="00EA6EB4"/>
    <w:rsid w:val="00EC1229"/>
    <w:rsid w:val="00EC7D5F"/>
    <w:rsid w:val="00EE32FE"/>
    <w:rsid w:val="00F1054C"/>
    <w:rsid w:val="00F119EF"/>
    <w:rsid w:val="00F40E63"/>
    <w:rsid w:val="00F44358"/>
    <w:rsid w:val="00F44C2A"/>
    <w:rsid w:val="00F63247"/>
    <w:rsid w:val="00F74B5D"/>
    <w:rsid w:val="00F74C48"/>
    <w:rsid w:val="00F75DCE"/>
    <w:rsid w:val="00F839C3"/>
    <w:rsid w:val="00F959D5"/>
    <w:rsid w:val="00FA6C19"/>
    <w:rsid w:val="00FB2BF3"/>
    <w:rsid w:val="00FC762E"/>
    <w:rsid w:val="00FD294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0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32"/>
    <w:pPr>
      <w:spacing w:before="120" w:after="120" w:line="259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8C5"/>
    <w:pPr>
      <w:keepNext/>
      <w:keepLines/>
      <w:tabs>
        <w:tab w:val="left" w:pos="2268"/>
      </w:tabs>
      <w:spacing w:before="240" w:after="0" w:line="216" w:lineRule="auto"/>
      <w:outlineLvl w:val="0"/>
    </w:pPr>
    <w:rPr>
      <w:rFonts w:asciiTheme="majorHAnsi" w:eastAsiaTheme="majorEastAsia" w:hAnsiTheme="majorHAnsi" w:cstheme="majorBidi"/>
      <w:sz w:val="66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2F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7C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7C0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/>
      <w:iCs w:val="0"/>
      <w:color w:val="313E48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after="40"/>
    </w:pPr>
    <w:rPr>
      <w:rFonts w:asciiTheme="minorHAnsi" w:hAnsiTheme="minorHAnsi" w:cstheme="minorHAnsi"/>
      <w:b w:val="0"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E60615"/>
    <w:pPr>
      <w:spacing w:before="40" w:after="40"/>
    </w:pPr>
    <w:rPr>
      <w:rFonts w:asciiTheme="minorHAnsi" w:hAnsiTheme="minorHAnsi" w:cstheme="minorHAnsi"/>
      <w:b/>
      <w:bCs/>
      <w:color w:val="FFFFFF" w:themeColor="background1"/>
    </w:rPr>
  </w:style>
  <w:style w:type="paragraph" w:customStyle="1" w:styleId="TableBodyCopy">
    <w:name w:val="Table Body Copy"/>
    <w:basedOn w:val="Normal"/>
    <w:qFormat/>
    <w:rsid w:val="00E60615"/>
    <w:pPr>
      <w:spacing w:after="40"/>
      <w:ind w:left="113" w:right="113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058C5"/>
    <w:rPr>
      <w:rFonts w:asciiTheme="majorHAnsi" w:eastAsiaTheme="majorEastAsia" w:hAnsiTheme="majorHAnsi" w:cstheme="majorBidi"/>
      <w:sz w:val="66"/>
      <w:szCs w:val="6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212F2"/>
    <w:rPr>
      <w:rFonts w:asciiTheme="majorHAnsi" w:eastAsiaTheme="majorEastAsia" w:hAnsiTheme="majorHAnsi" w:cstheme="majorBidi"/>
      <w:sz w:val="4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A17C0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A17C0"/>
    <w:rPr>
      <w:rFonts w:eastAsiaTheme="majorEastAsia" w:cstheme="majorBidi"/>
      <w:b/>
      <w:iCs/>
      <w:sz w:val="24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4B3251"/>
    <w:rPr>
      <w:rFonts w:asciiTheme="minorHAnsi" w:hAnsiTheme="minorHAnsi"/>
      <w:b/>
      <w:bCs/>
      <w:color w:val="auto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paragraph" w:styleId="ListNumber">
    <w:name w:val="List Number"/>
    <w:basedOn w:val="Normal"/>
    <w:uiPriority w:val="99"/>
    <w:unhideWhenUsed/>
    <w:rsid w:val="00265954"/>
    <w:pPr>
      <w:numPr>
        <w:numId w:val="9"/>
      </w:numPr>
      <w:tabs>
        <w:tab w:val="clear" w:pos="360"/>
      </w:tabs>
      <w:spacing w:before="80" w:after="80" w:line="264" w:lineRule="auto"/>
      <w:ind w:left="568" w:hanging="284"/>
      <w:contextualSpacing/>
    </w:pPr>
  </w:style>
  <w:style w:type="paragraph" w:styleId="ListBullet2">
    <w:name w:val="List Bullet 2"/>
    <w:basedOn w:val="Normal"/>
    <w:uiPriority w:val="99"/>
    <w:unhideWhenUsed/>
    <w:rsid w:val="009D24CA"/>
    <w:pPr>
      <w:numPr>
        <w:numId w:val="10"/>
      </w:numPr>
      <w:spacing w:before="40"/>
      <w:contextualSpacing/>
    </w:pPr>
  </w:style>
  <w:style w:type="paragraph" w:styleId="ListNumber2">
    <w:name w:val="List Number 2"/>
    <w:basedOn w:val="Normal"/>
    <w:uiPriority w:val="99"/>
    <w:unhideWhenUsed/>
    <w:rsid w:val="002A3908"/>
    <w:pPr>
      <w:numPr>
        <w:numId w:val="11"/>
      </w:numPr>
      <w:tabs>
        <w:tab w:val="clear" w:pos="643"/>
        <w:tab w:val="num" w:pos="851"/>
      </w:tabs>
      <w:spacing w:before="80" w:after="80"/>
      <w:ind w:left="851" w:hanging="284"/>
      <w:contextualSpacing/>
    </w:pPr>
  </w:style>
  <w:style w:type="paragraph" w:styleId="ListBullet">
    <w:name w:val="List Bullet"/>
    <w:basedOn w:val="Normal"/>
    <w:uiPriority w:val="99"/>
    <w:unhideWhenUsed/>
    <w:rsid w:val="007E6F37"/>
    <w:pPr>
      <w:numPr>
        <w:numId w:val="12"/>
      </w:numPr>
      <w:spacing w:before="40"/>
      <w:ind w:left="568" w:hanging="284"/>
      <w:contextualSpacing/>
    </w:pPr>
  </w:style>
  <w:style w:type="paragraph" w:styleId="ListNumber3">
    <w:name w:val="List Number 3"/>
    <w:basedOn w:val="Normal"/>
    <w:uiPriority w:val="99"/>
    <w:unhideWhenUsed/>
    <w:rsid w:val="007E6F37"/>
    <w:pPr>
      <w:numPr>
        <w:numId w:val="13"/>
      </w:numPr>
      <w:spacing w:before="40" w:after="40"/>
      <w:ind w:left="1135" w:hanging="284"/>
      <w:contextualSpacing/>
    </w:pPr>
  </w:style>
  <w:style w:type="paragraph" w:styleId="ListBullet3">
    <w:name w:val="List Bullet 3"/>
    <w:basedOn w:val="Normal"/>
    <w:uiPriority w:val="99"/>
    <w:unhideWhenUsed/>
    <w:rsid w:val="004B3251"/>
    <w:pPr>
      <w:numPr>
        <w:numId w:val="14"/>
      </w:numPr>
      <w:spacing w:before="40"/>
      <w:contextualSpacing/>
    </w:pPr>
  </w:style>
  <w:style w:type="paragraph" w:customStyle="1" w:styleId="ListAlphabet">
    <w:name w:val="List Alphabet"/>
    <w:basedOn w:val="ListBullet"/>
    <w:qFormat/>
    <w:rsid w:val="00B1186A"/>
    <w:pPr>
      <w:numPr>
        <w:numId w:val="15"/>
      </w:numPr>
      <w:ind w:left="1003" w:hanging="357"/>
    </w:pPr>
  </w:style>
  <w:style w:type="paragraph" w:customStyle="1" w:styleId="ListAlphabet2">
    <w:name w:val="List Alphabet 2"/>
    <w:basedOn w:val="ListBullet2"/>
    <w:qFormat/>
    <w:rsid w:val="00B1186A"/>
    <w:pPr>
      <w:numPr>
        <w:numId w:val="16"/>
      </w:numPr>
      <w:ind w:left="1281" w:hanging="357"/>
    </w:pPr>
  </w:style>
  <w:style w:type="table" w:styleId="ListTable3">
    <w:name w:val="List Table 3"/>
    <w:aliases w:val="Table Body"/>
    <w:basedOn w:val="TableNormal"/>
    <w:uiPriority w:val="48"/>
    <w:rsid w:val="00B1186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313E48" w:themeFill="text1"/>
      </w:tcPr>
    </w:tblStylePr>
    <w:tblStylePr w:type="lastRow">
      <w:rPr>
        <w:b/>
        <w:bCs/>
      </w:rPr>
      <w:tblPr/>
      <w:tcPr>
        <w:tcBorders>
          <w:top w:val="double" w:sz="4" w:space="0" w:color="313E4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E48" w:themeColor="text1"/>
          <w:right w:val="single" w:sz="4" w:space="0" w:color="313E48" w:themeColor="text1"/>
        </w:tcBorders>
      </w:tcPr>
    </w:tblStylePr>
    <w:tblStylePr w:type="band1Horz">
      <w:tblPr/>
      <w:tcPr>
        <w:tcBorders>
          <w:top w:val="single" w:sz="4" w:space="0" w:color="313E48" w:themeColor="text1"/>
          <w:bottom w:val="single" w:sz="4" w:space="0" w:color="313E4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E48" w:themeColor="text1"/>
          <w:left w:val="nil"/>
        </w:tcBorders>
      </w:tcPr>
    </w:tblStylePr>
    <w:tblStylePr w:type="swCell">
      <w:tblPr/>
      <w:tcPr>
        <w:tcBorders>
          <w:top w:val="double" w:sz="4" w:space="0" w:color="313E48" w:themeColor="text1"/>
          <w:right w:val="nil"/>
        </w:tcBorders>
      </w:tcPr>
    </w:tblStylePr>
  </w:style>
  <w:style w:type="paragraph" w:customStyle="1" w:styleId="Tabletitle">
    <w:name w:val="Table title"/>
    <w:basedOn w:val="Normal"/>
    <w:qFormat/>
    <w:rsid w:val="000F214F"/>
    <w:rPr>
      <w:rFonts w:asciiTheme="majorHAnsi" w:hAnsiTheme="majorHAnsi"/>
      <w:b/>
      <w:i/>
    </w:rPr>
  </w:style>
  <w:style w:type="table" w:styleId="ListTable4-Accent6">
    <w:name w:val="List Table 4 Accent 6"/>
    <w:basedOn w:val="TableNormal"/>
    <w:uiPriority w:val="49"/>
    <w:rsid w:val="00AC1974"/>
    <w:tblPr>
      <w:tblStyleRowBandSize w:val="1"/>
      <w:tblStyleColBandSize w:val="1"/>
      <w:tblBorders>
        <w:top w:val="single" w:sz="4" w:space="0" w:color="03F191" w:themeColor="accent6" w:themeTint="99"/>
        <w:left w:val="single" w:sz="4" w:space="0" w:color="03F191" w:themeColor="accent6" w:themeTint="99"/>
        <w:bottom w:val="single" w:sz="4" w:space="0" w:color="03F191" w:themeColor="accent6" w:themeTint="99"/>
        <w:right w:val="single" w:sz="4" w:space="0" w:color="03F191" w:themeColor="accent6" w:themeTint="99"/>
        <w:insideH w:val="single" w:sz="4" w:space="0" w:color="03F1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4429" w:themeColor="accent6"/>
          <w:left w:val="single" w:sz="4" w:space="0" w:color="014429" w:themeColor="accent6"/>
          <w:bottom w:val="single" w:sz="4" w:space="0" w:color="014429" w:themeColor="accent6"/>
          <w:right w:val="single" w:sz="4" w:space="0" w:color="014429" w:themeColor="accent6"/>
          <w:insideH w:val="nil"/>
        </w:tcBorders>
        <w:shd w:val="clear" w:color="auto" w:fill="014429" w:themeFill="accent6"/>
      </w:tcPr>
    </w:tblStylePr>
    <w:tblStylePr w:type="lastRow">
      <w:rPr>
        <w:b/>
        <w:bCs/>
      </w:rPr>
      <w:tblPr/>
      <w:tcPr>
        <w:tcBorders>
          <w:top w:val="double" w:sz="4" w:space="0" w:color="03F1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DB" w:themeFill="accent6" w:themeFillTint="33"/>
      </w:tcPr>
    </w:tblStylePr>
    <w:tblStylePr w:type="band1Horz">
      <w:tblPr/>
      <w:tcPr>
        <w:shd w:val="clear" w:color="auto" w:fill="A7FDDB" w:themeFill="accent6" w:themeFillTint="33"/>
      </w:tcPr>
    </w:tblStylePr>
  </w:style>
  <w:style w:type="paragraph" w:customStyle="1" w:styleId="Highlightbox1">
    <w:name w:val="Highlight box 1"/>
    <w:basedOn w:val="Normal"/>
    <w:qFormat/>
    <w:rsid w:val="00AF6CD3"/>
    <w:pPr>
      <w:pBdr>
        <w:top w:val="single" w:sz="4" w:space="3" w:color="auto"/>
        <w:bottom w:val="single" w:sz="4" w:space="3" w:color="auto"/>
      </w:pBdr>
      <w:shd w:val="clear" w:color="auto" w:fill="FBEED2" w:themeFill="accent4" w:themeFillTint="33"/>
    </w:pPr>
  </w:style>
  <w:style w:type="paragraph" w:customStyle="1" w:styleId="HighlightBox2">
    <w:name w:val="Highlight Box 2"/>
    <w:basedOn w:val="Highlightbox1"/>
    <w:qFormat/>
    <w:rsid w:val="00A678E0"/>
    <w:pPr>
      <w:shd w:val="clear" w:color="auto" w:fill="D2DEE7" w:themeFill="text2" w:themeFillTint="33"/>
    </w:pPr>
    <w:rPr>
      <w:bCs/>
    </w:rPr>
  </w:style>
  <w:style w:type="paragraph" w:customStyle="1" w:styleId="Highlightbox3">
    <w:name w:val="Highlight box 3"/>
    <w:basedOn w:val="Highlightbox1"/>
    <w:qFormat/>
    <w:rsid w:val="00D47172"/>
    <w:pPr>
      <w:shd w:val="clear" w:color="auto" w:fill="D6E8D2" w:themeFill="accent2" w:themeFillTint="33"/>
    </w:pPr>
  </w:style>
  <w:style w:type="paragraph" w:customStyle="1" w:styleId="HighlightBox4">
    <w:name w:val="Highlight Box 4"/>
    <w:basedOn w:val="Highlightbox1"/>
    <w:qFormat/>
    <w:rsid w:val="00F1054C"/>
    <w:pPr>
      <w:shd w:val="clear" w:color="auto" w:fill="D9D9D9" w:themeFill="background1" w:themeFillShade="D9"/>
    </w:pPr>
    <w:rPr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876B2"/>
    <w:pPr>
      <w:pBdr>
        <w:top w:val="single" w:sz="4" w:space="3" w:color="auto"/>
        <w:bottom w:val="single" w:sz="4" w:space="3" w:color="auto"/>
      </w:pBdr>
      <w:spacing w:line="240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76B2"/>
    <w:rPr>
      <w:i/>
      <w:iCs/>
      <w:sz w:val="22"/>
      <w:szCs w:val="22"/>
      <w:lang w:eastAsia="en-US"/>
    </w:rPr>
  </w:style>
  <w:style w:type="paragraph" w:customStyle="1" w:styleId="Captions">
    <w:name w:val="Captions"/>
    <w:basedOn w:val="Normal"/>
    <w:qFormat/>
    <w:rsid w:val="00625191"/>
    <w:pPr>
      <w:spacing w:line="240" w:lineRule="auto"/>
    </w:pPr>
    <w:rPr>
      <w:i/>
      <w:sz w:val="20"/>
    </w:rPr>
  </w:style>
  <w:style w:type="paragraph" w:customStyle="1" w:styleId="TableBodyCopy-bullets">
    <w:name w:val="Table Body Copy - bullets"/>
    <w:basedOn w:val="Normal"/>
    <w:qFormat/>
    <w:rsid w:val="00E60615"/>
    <w:pPr>
      <w:numPr>
        <w:numId w:val="20"/>
      </w:numPr>
      <w:ind w:left="454" w:right="227" w:hanging="227"/>
      <w:contextualSpacing/>
    </w:pPr>
    <w:rPr>
      <w:b/>
      <w:bCs/>
    </w:rPr>
  </w:style>
  <w:style w:type="paragraph" w:customStyle="1" w:styleId="TableBodyCopy-numbers">
    <w:name w:val="Table Body Copy - numbers"/>
    <w:basedOn w:val="TableBodyCopy-bullets"/>
    <w:qFormat/>
    <w:rsid w:val="00E60615"/>
    <w:pPr>
      <w:numPr>
        <w:numId w:val="21"/>
      </w:numPr>
      <w:ind w:left="454" w:hanging="227"/>
    </w:pPr>
    <w:rPr>
      <w:b w:val="0"/>
      <w:bCs w:val="0"/>
    </w:rPr>
  </w:style>
  <w:style w:type="paragraph" w:customStyle="1" w:styleId="TableBodyCopy-alphabet">
    <w:name w:val="Table Body Copy - alphabet"/>
    <w:basedOn w:val="TableBodyCopy-numbers"/>
    <w:qFormat/>
    <w:rsid w:val="00E60615"/>
    <w:pPr>
      <w:numPr>
        <w:numId w:val="22"/>
      </w:numPr>
      <w:ind w:left="454" w:hanging="227"/>
    </w:pPr>
  </w:style>
  <w:style w:type="character" w:styleId="Hyperlink">
    <w:name w:val="Hyperlink"/>
    <w:basedOn w:val="DefaultParagraphFont"/>
    <w:uiPriority w:val="99"/>
    <w:unhideWhenUsed/>
    <w:rsid w:val="006D120C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2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p.dfat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fat.gov.au/publications/development/performance-of-australian-development-cooperation-report-2023-202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3188</Characters>
  <Application>Microsoft Office Word</Application>
  <DocSecurity>4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OF AUSTRALIAN DEVELOPMENT COOPERATION REPORT 2023–24 - Snapshot of Results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of Australian Development Cooperation report 2023-24- Snapshot</dc:title>
  <dc:subject/>
  <dc:creator/>
  <cp:keywords>[SEC=OFFICIAL]</cp:keywords>
  <dc:description/>
  <cp:lastModifiedBy/>
  <cp:revision>1</cp:revision>
  <dcterms:created xsi:type="dcterms:W3CDTF">2025-06-05T22:13:00Z</dcterms:created>
  <dcterms:modified xsi:type="dcterms:W3CDTF">2025-06-05T22:13:00Z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v=2022.1;a=SHA256;h=1B17EC7929675518581DED1E0482B80129C92AA5929725C71AF6678D40503214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A04407B03FB3406E91B16F76B50D491D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2023-02-15T22:20:20Z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5C55C61519D036A7EAC4A4FAA37A434F</vt:lpwstr>
  </property>
  <property fmtid="{D5CDD505-2E9C-101B-9397-08002B2CF9AE}" pid="20" name="PM_Hash_Salt">
    <vt:lpwstr>849413A51E404A6E4D5B1FA324F8B7A0</vt:lpwstr>
  </property>
  <property fmtid="{D5CDD505-2E9C-101B-9397-08002B2CF9AE}" pid="21" name="PM_Hash_SHA1">
    <vt:lpwstr>29DE76DEA884E40730BBFCF0409CC14649FF9ADB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