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43.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54.xml" ContentType="application/vnd.openxmlformats-officedocument.wordprocessingml.header+xml"/>
  <Override PartName="/word/footer4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D4A51" w14:textId="71241778" w:rsidR="0001438C" w:rsidRPr="00213592" w:rsidRDefault="0001438C" w:rsidP="00213592">
      <w:pPr>
        <w:pStyle w:val="TPHeading1"/>
        <w:spacing w:before="960"/>
        <w:ind w:left="1134" w:right="1134"/>
        <w:rPr>
          <w:rFonts w:asciiTheme="majorHAnsi" w:hAnsiTheme="majorHAnsi" w:cstheme="majorHAnsi"/>
          <w:b w:val="0"/>
          <w:bCs/>
          <w:caps/>
          <w:szCs w:val="32"/>
        </w:rPr>
      </w:pPr>
      <w:r w:rsidRPr="00213592">
        <w:rPr>
          <w:rFonts w:asciiTheme="majorHAnsi" w:hAnsiTheme="majorHAnsi" w:cstheme="majorHAnsi"/>
          <w:b w:val="0"/>
          <w:bCs/>
          <w:szCs w:val="32"/>
        </w:rPr>
        <w:t xml:space="preserve">Portfolio Budget Statements </w:t>
      </w:r>
      <w:r w:rsidR="00400A8B" w:rsidRPr="00213592">
        <w:rPr>
          <w:rFonts w:asciiTheme="majorHAnsi" w:hAnsiTheme="majorHAnsi" w:cstheme="majorHAnsi"/>
          <w:b w:val="0"/>
          <w:bCs/>
          <w:szCs w:val="32"/>
        </w:rPr>
        <w:t>2022</w:t>
      </w:r>
      <w:r w:rsidR="004E3B3F" w:rsidRPr="00213592">
        <w:rPr>
          <w:rFonts w:asciiTheme="majorHAnsi" w:hAnsiTheme="majorHAnsi" w:cstheme="majorHAnsi"/>
          <w:b w:val="0"/>
          <w:bCs/>
          <w:szCs w:val="32"/>
        </w:rPr>
        <w:t>–</w:t>
      </w:r>
      <w:r w:rsidR="00400A8B" w:rsidRPr="00213592">
        <w:rPr>
          <w:rFonts w:asciiTheme="majorHAnsi" w:hAnsiTheme="majorHAnsi" w:cstheme="majorHAnsi"/>
          <w:b w:val="0"/>
          <w:bCs/>
          <w:szCs w:val="32"/>
        </w:rPr>
        <w:t>23</w:t>
      </w:r>
    </w:p>
    <w:p w14:paraId="08A8C26C" w14:textId="404712B3" w:rsidR="0001438C" w:rsidRDefault="0001438C" w:rsidP="00213592">
      <w:pPr>
        <w:pStyle w:val="TPHeading1"/>
        <w:ind w:left="1134" w:right="1134"/>
        <w:rPr>
          <w:rFonts w:asciiTheme="majorHAnsi" w:hAnsiTheme="majorHAnsi" w:cstheme="majorHAnsi"/>
          <w:b w:val="0"/>
          <w:bCs/>
          <w:szCs w:val="32"/>
        </w:rPr>
      </w:pPr>
      <w:r w:rsidRPr="00213592">
        <w:rPr>
          <w:rFonts w:asciiTheme="majorHAnsi" w:hAnsiTheme="majorHAnsi" w:cstheme="majorHAnsi"/>
          <w:b w:val="0"/>
          <w:bCs/>
          <w:szCs w:val="32"/>
        </w:rPr>
        <w:t xml:space="preserve">Budget </w:t>
      </w:r>
      <w:r w:rsidR="00A70398" w:rsidRPr="00213592">
        <w:rPr>
          <w:rFonts w:asciiTheme="majorHAnsi" w:hAnsiTheme="majorHAnsi" w:cstheme="majorHAnsi"/>
          <w:b w:val="0"/>
          <w:bCs/>
          <w:szCs w:val="32"/>
        </w:rPr>
        <w:t xml:space="preserve">Related Paper </w:t>
      </w:r>
      <w:r w:rsidRPr="00213592">
        <w:rPr>
          <w:rFonts w:asciiTheme="majorHAnsi" w:hAnsiTheme="majorHAnsi" w:cstheme="majorHAnsi"/>
          <w:b w:val="0"/>
          <w:bCs/>
          <w:szCs w:val="32"/>
        </w:rPr>
        <w:t>No. 1.</w:t>
      </w:r>
      <w:r w:rsidR="00637CC0">
        <w:rPr>
          <w:rFonts w:asciiTheme="majorHAnsi" w:hAnsiTheme="majorHAnsi" w:cstheme="majorHAnsi"/>
          <w:b w:val="0"/>
          <w:bCs/>
          <w:szCs w:val="32"/>
        </w:rPr>
        <w:t>6</w:t>
      </w:r>
    </w:p>
    <w:p w14:paraId="7183CC16" w14:textId="77777777" w:rsidR="00213592" w:rsidRPr="00213592" w:rsidRDefault="00213592" w:rsidP="00213592">
      <w:pPr>
        <w:pStyle w:val="TPHeading1"/>
        <w:spacing w:after="240"/>
        <w:ind w:left="1134" w:right="1134"/>
        <w:rPr>
          <w:rFonts w:asciiTheme="majorHAnsi" w:hAnsiTheme="majorHAnsi" w:cstheme="majorHAnsi"/>
          <w:b w:val="0"/>
          <w:bCs/>
          <w:caps/>
          <w:szCs w:val="32"/>
        </w:rPr>
      </w:pPr>
    </w:p>
    <w:p w14:paraId="4D37572A" w14:textId="1EB9AD27" w:rsidR="004900FE" w:rsidRDefault="00637CC0" w:rsidP="00213592">
      <w:pPr>
        <w:pStyle w:val="TPHeading2"/>
        <w:spacing w:before="0"/>
        <w:ind w:left="1134" w:right="1134"/>
        <w:rPr>
          <w:rFonts w:asciiTheme="majorHAnsi" w:hAnsiTheme="majorHAnsi" w:cstheme="majorHAnsi"/>
          <w:b/>
          <w:bCs/>
          <w:sz w:val="32"/>
          <w:szCs w:val="32"/>
        </w:rPr>
      </w:pPr>
      <w:r>
        <w:rPr>
          <w:rFonts w:asciiTheme="majorHAnsi" w:hAnsiTheme="majorHAnsi" w:cstheme="majorHAnsi"/>
          <w:b/>
          <w:bCs/>
          <w:sz w:val="32"/>
          <w:szCs w:val="32"/>
        </w:rPr>
        <w:t>Foreign Affairs and Trade</w:t>
      </w:r>
      <w:r w:rsidR="0001438C" w:rsidRPr="00213592">
        <w:rPr>
          <w:rFonts w:asciiTheme="majorHAnsi" w:hAnsiTheme="majorHAnsi" w:cstheme="majorHAnsi"/>
          <w:b/>
          <w:bCs/>
          <w:sz w:val="32"/>
          <w:szCs w:val="32"/>
        </w:rPr>
        <w:t xml:space="preserve"> </w:t>
      </w:r>
      <w:r w:rsidR="00B30944" w:rsidRPr="00213592">
        <w:rPr>
          <w:rFonts w:asciiTheme="majorHAnsi" w:hAnsiTheme="majorHAnsi" w:cstheme="majorHAnsi"/>
          <w:b/>
          <w:bCs/>
          <w:sz w:val="32"/>
          <w:szCs w:val="32"/>
        </w:rPr>
        <w:t>Portfolio</w:t>
      </w:r>
    </w:p>
    <w:p w14:paraId="3B57B637" w14:textId="77777777" w:rsidR="00213592" w:rsidRPr="00AC530C" w:rsidRDefault="00213592" w:rsidP="00213592"/>
    <w:p w14:paraId="2EF6215E" w14:textId="77777777" w:rsidR="00213592" w:rsidRDefault="00213592" w:rsidP="00213592"/>
    <w:p w14:paraId="336ACE45" w14:textId="77777777" w:rsidR="00213592" w:rsidRDefault="00213592" w:rsidP="00213592"/>
    <w:p w14:paraId="2377EC9C" w14:textId="77777777" w:rsidR="00213592" w:rsidRPr="00AC530C" w:rsidRDefault="00213592" w:rsidP="00213592"/>
    <w:p w14:paraId="4ABCD159" w14:textId="77777777" w:rsidR="00213592" w:rsidRPr="00AC530C" w:rsidRDefault="00213592" w:rsidP="00213592"/>
    <w:p w14:paraId="48B81168" w14:textId="77777777" w:rsidR="00213592" w:rsidRPr="00AC530C" w:rsidRDefault="00213592" w:rsidP="00213592"/>
    <w:p w14:paraId="5880A6F6" w14:textId="77777777" w:rsidR="00213592" w:rsidRPr="00AC530C" w:rsidRDefault="00213592" w:rsidP="00213592"/>
    <w:p w14:paraId="5A91FF96" w14:textId="77777777" w:rsidR="00213592" w:rsidRPr="00AC530C" w:rsidRDefault="00213592" w:rsidP="00213592"/>
    <w:p w14:paraId="2E06FDA0" w14:textId="77777777" w:rsidR="00213592" w:rsidRPr="00AC530C" w:rsidRDefault="00213592" w:rsidP="00213592"/>
    <w:p w14:paraId="5F17CD5C" w14:textId="61E5E24D" w:rsidR="0001438C" w:rsidRPr="00213592" w:rsidRDefault="00B30944" w:rsidP="00213592">
      <w:pPr>
        <w:pStyle w:val="TPHeading3"/>
        <w:rPr>
          <w:rFonts w:asciiTheme="majorHAnsi" w:hAnsiTheme="majorHAnsi" w:cstheme="majorHAnsi"/>
          <w:szCs w:val="18"/>
        </w:rPr>
      </w:pPr>
      <w:r w:rsidRPr="00213592">
        <w:rPr>
          <w:rFonts w:asciiTheme="majorHAnsi" w:hAnsiTheme="majorHAnsi" w:cstheme="majorHAnsi"/>
          <w:szCs w:val="18"/>
        </w:rPr>
        <w:t xml:space="preserve">Budget </w:t>
      </w:r>
      <w:r w:rsidR="00D70BF5" w:rsidRPr="00213592">
        <w:rPr>
          <w:rFonts w:asciiTheme="majorHAnsi" w:hAnsiTheme="majorHAnsi" w:cstheme="majorHAnsi"/>
          <w:szCs w:val="18"/>
        </w:rPr>
        <w:t xml:space="preserve">Initiatives </w:t>
      </w:r>
      <w:r w:rsidR="00362AA7" w:rsidRPr="00213592">
        <w:rPr>
          <w:rFonts w:asciiTheme="majorHAnsi" w:hAnsiTheme="majorHAnsi" w:cstheme="majorHAnsi"/>
          <w:szCs w:val="18"/>
        </w:rPr>
        <w:t xml:space="preserve">and </w:t>
      </w:r>
      <w:r w:rsidR="00D70BF5" w:rsidRPr="00213592">
        <w:rPr>
          <w:rFonts w:asciiTheme="majorHAnsi" w:hAnsiTheme="majorHAnsi" w:cstheme="majorHAnsi"/>
          <w:szCs w:val="18"/>
        </w:rPr>
        <w:t xml:space="preserve">Explanations </w:t>
      </w:r>
      <w:r w:rsidR="00362AA7" w:rsidRPr="00213592">
        <w:rPr>
          <w:rFonts w:asciiTheme="majorHAnsi" w:hAnsiTheme="majorHAnsi" w:cstheme="majorHAnsi"/>
          <w:szCs w:val="18"/>
        </w:rPr>
        <w:t>of</w:t>
      </w:r>
    </w:p>
    <w:p w14:paraId="2F2E19DD" w14:textId="77777777" w:rsidR="0001438C" w:rsidRPr="00213592" w:rsidRDefault="00D70BF5" w:rsidP="00C24BB1">
      <w:pPr>
        <w:pStyle w:val="TPHeading3"/>
        <w:rPr>
          <w:rFonts w:asciiTheme="majorHAnsi" w:hAnsiTheme="majorHAnsi" w:cstheme="majorHAnsi"/>
          <w:szCs w:val="18"/>
        </w:rPr>
      </w:pPr>
      <w:r w:rsidRPr="00213592">
        <w:rPr>
          <w:rFonts w:asciiTheme="majorHAnsi" w:hAnsiTheme="majorHAnsi" w:cstheme="majorHAnsi"/>
          <w:szCs w:val="18"/>
        </w:rPr>
        <w:t xml:space="preserve">Appropriations Specified </w:t>
      </w:r>
      <w:r w:rsidR="00362AA7" w:rsidRPr="00213592">
        <w:rPr>
          <w:rFonts w:asciiTheme="majorHAnsi" w:hAnsiTheme="majorHAnsi" w:cstheme="majorHAnsi"/>
          <w:szCs w:val="18"/>
        </w:rPr>
        <w:t xml:space="preserve">by </w:t>
      </w:r>
      <w:r w:rsidRPr="00213592">
        <w:rPr>
          <w:rFonts w:asciiTheme="majorHAnsi" w:hAnsiTheme="majorHAnsi" w:cstheme="majorHAnsi"/>
          <w:szCs w:val="18"/>
        </w:rPr>
        <w:t>Outcomes</w:t>
      </w:r>
    </w:p>
    <w:p w14:paraId="16A30C27" w14:textId="77777777" w:rsidR="0001438C" w:rsidRPr="00213592" w:rsidRDefault="00362AA7" w:rsidP="00C24BB1">
      <w:pPr>
        <w:pStyle w:val="TPHeading3"/>
        <w:rPr>
          <w:rFonts w:asciiTheme="majorHAnsi" w:hAnsiTheme="majorHAnsi" w:cstheme="majorHAnsi"/>
        </w:rPr>
      </w:pPr>
      <w:r w:rsidRPr="00213592">
        <w:rPr>
          <w:rFonts w:asciiTheme="majorHAnsi" w:hAnsiTheme="majorHAnsi" w:cstheme="majorHAnsi"/>
          <w:szCs w:val="18"/>
        </w:rPr>
        <w:t xml:space="preserve">and </w:t>
      </w:r>
      <w:r w:rsidR="00290933" w:rsidRPr="00213592">
        <w:rPr>
          <w:rFonts w:asciiTheme="majorHAnsi" w:hAnsiTheme="majorHAnsi" w:cstheme="majorHAnsi"/>
          <w:szCs w:val="18"/>
        </w:rPr>
        <w:t>Programs</w:t>
      </w:r>
      <w:r w:rsidR="00D70BF5" w:rsidRPr="00213592">
        <w:rPr>
          <w:rFonts w:asciiTheme="majorHAnsi" w:hAnsiTheme="majorHAnsi" w:cstheme="majorHAnsi"/>
          <w:szCs w:val="18"/>
        </w:rPr>
        <w:t xml:space="preserve"> </w:t>
      </w:r>
      <w:r w:rsidRPr="00213592">
        <w:rPr>
          <w:rFonts w:asciiTheme="majorHAnsi" w:hAnsiTheme="majorHAnsi" w:cstheme="majorHAnsi"/>
          <w:szCs w:val="18"/>
        </w:rPr>
        <w:t xml:space="preserve">by </w:t>
      </w:r>
      <w:r w:rsidR="00D70BF5" w:rsidRPr="00213592">
        <w:rPr>
          <w:rFonts w:asciiTheme="majorHAnsi" w:hAnsiTheme="majorHAnsi" w:cstheme="majorHAnsi"/>
          <w:szCs w:val="18"/>
        </w:rPr>
        <w:t>Entity</w:t>
      </w:r>
    </w:p>
    <w:p w14:paraId="66915907" w14:textId="77777777" w:rsidR="00D50C9B" w:rsidRDefault="00D50C9B" w:rsidP="00D50C9B">
      <w:pPr>
        <w:sectPr w:rsidR="00D50C9B" w:rsidSect="00213592">
          <w:headerReference w:type="default" r:id="rId9"/>
          <w:footerReference w:type="default" r:id="rId10"/>
          <w:pgSz w:w="11906" w:h="16838" w:code="9"/>
          <w:pgMar w:top="2835" w:right="2098" w:bottom="2466" w:left="2098" w:header="1814" w:footer="1814" w:gutter="0"/>
          <w:cols w:space="708"/>
          <w:vAlign w:val="bottom"/>
          <w:titlePg/>
          <w:docGrid w:linePitch="360"/>
        </w:sectPr>
      </w:pPr>
    </w:p>
    <w:p w14:paraId="71115A40" w14:textId="309B31E5" w:rsidR="00C42D37" w:rsidRPr="00982F10" w:rsidRDefault="0012022D" w:rsidP="00DE03FD">
      <w:pPr>
        <w:spacing w:after="180"/>
      </w:pPr>
      <w:r w:rsidRPr="00982F10">
        <w:lastRenderedPageBreak/>
        <w:t>© Commonwealth of Australia</w:t>
      </w:r>
      <w:r w:rsidR="00340640">
        <w:t xml:space="preserve"> </w:t>
      </w:r>
      <w:r w:rsidR="00400A8B">
        <w:t>2022</w:t>
      </w:r>
    </w:p>
    <w:p w14:paraId="41C03AFE" w14:textId="44C33BFD" w:rsidR="00C42D37" w:rsidRPr="00982F10" w:rsidRDefault="00637CC0" w:rsidP="00DE03FD">
      <w:pPr>
        <w:spacing w:after="180"/>
      </w:pPr>
      <w:r>
        <w:t xml:space="preserve">ISSN 2653-4045 (Print), 2653-4053 (Online) </w:t>
      </w:r>
    </w:p>
    <w:p w14:paraId="06A3F1ED" w14:textId="5468D4A5" w:rsidR="00C42D37" w:rsidRPr="00FA63B6" w:rsidRDefault="0012022D" w:rsidP="00DE03FD">
      <w:pPr>
        <w:tabs>
          <w:tab w:val="left" w:pos="1650"/>
        </w:tabs>
        <w:spacing w:after="180"/>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1" w:history="1">
        <w:r w:rsidRPr="00774A83">
          <w:rPr>
            <w:rStyle w:val="Hyperlink"/>
          </w:rPr>
          <w:t>Creative Commons BY Attribution 3.0 Australia</w:t>
        </w:r>
      </w:hyperlink>
      <w:r w:rsidRPr="00774A83">
        <w:rPr>
          <w:rStyle w:val="A5"/>
          <w:rFonts w:ascii="Calibri" w:hAnsi="Calibri" w:cs="Calibri"/>
          <w:sz w:val="24"/>
          <w:szCs w:val="24"/>
        </w:rPr>
        <w:t xml:space="preserve"> </w:t>
      </w:r>
      <w:r w:rsidRPr="00774A83">
        <w:t xml:space="preserve">licence, </w:t>
      </w:r>
      <w:proofErr w:type="gramStart"/>
      <w:r w:rsidRPr="00774A83">
        <w:t>with the exception of</w:t>
      </w:r>
      <w:proofErr w:type="gramEnd"/>
      <w:r w:rsidRPr="00774A83">
        <w:t xml:space="preserve"> the Commonwealth Coat of Arms, the </w:t>
      </w:r>
      <w:r w:rsidR="00DE03FD">
        <w:t>Department of Foreign Affairs and Trade</w:t>
      </w:r>
      <w:r w:rsidR="00DE03FD">
        <w:rPr>
          <w:color w:val="FF0000"/>
        </w:rPr>
        <w:t xml:space="preserve"> </w:t>
      </w:r>
      <w:r w:rsidRPr="00774A83">
        <w:t>logo, photographs, images, signatures and where otherwise stated. The full licence terms are available from</w:t>
      </w:r>
      <w:r w:rsidRPr="00774A83">
        <w:rPr>
          <w:rStyle w:val="A5"/>
          <w:rFonts w:ascii="Calibri" w:hAnsi="Calibri" w:cs="Calibri"/>
          <w:sz w:val="24"/>
          <w:szCs w:val="24"/>
        </w:rPr>
        <w:t xml:space="preserve"> </w:t>
      </w:r>
      <w:hyperlink r:id="rId12" w:history="1">
        <w:r w:rsidRPr="00774A83">
          <w:rPr>
            <w:rStyle w:val="Hyperlink"/>
          </w:rPr>
          <w:t>http://creativecommons.org/licenses/by/3.0/au/legalcode</w:t>
        </w:r>
      </w:hyperlink>
      <w:r w:rsidRPr="00774A83">
        <w:rPr>
          <w:rStyle w:val="Hyperlink"/>
        </w:rPr>
        <w:t>.</w:t>
      </w:r>
    </w:p>
    <w:p w14:paraId="6E6CD358" w14:textId="77777777" w:rsidR="00FF3E15" w:rsidRDefault="003B3684" w:rsidP="00FF3E15">
      <w:pPr>
        <w:tabs>
          <w:tab w:val="left" w:pos="1650"/>
        </w:tabs>
        <w:spacing w:after="0" w:line="240" w:lineRule="auto"/>
      </w:pPr>
      <w:r>
        <w:rPr>
          <w:rFonts w:cs="Calibri"/>
          <w:noProof/>
        </w:rPr>
        <w:drawing>
          <wp:anchor distT="0" distB="0" distL="114300" distR="114300" simplePos="0" relativeHeight="251694080" behindDoc="0" locked="0" layoutInCell="1" allowOverlap="1" wp14:anchorId="5F3900FD" wp14:editId="7A894F5A">
            <wp:simplePos x="1333500" y="3295650"/>
            <wp:positionH relativeFrom="column">
              <wp:align>left</wp:align>
            </wp:positionH>
            <wp:positionV relativeFrom="paragraph">
              <wp:align>top</wp:align>
            </wp:positionV>
            <wp:extent cx="1061085" cy="362585"/>
            <wp:effectExtent l="0" t="0" r="5715" b="0"/>
            <wp:wrapSquare wrapText="bothSides"/>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anchor>
        </w:drawing>
      </w:r>
      <w:r w:rsidR="00FF3E15">
        <w:rPr>
          <w:rFonts w:cs="Calibri"/>
        </w:rPr>
        <w:br w:type="textWrapping" w:clear="all"/>
      </w:r>
    </w:p>
    <w:p w14:paraId="32F1A784" w14:textId="2A35D659" w:rsidR="00C42D37" w:rsidRPr="00FA63B6" w:rsidRDefault="0012022D" w:rsidP="00FF3E15">
      <w:pPr>
        <w:tabs>
          <w:tab w:val="left" w:pos="1650"/>
        </w:tabs>
        <w:spacing w:after="180" w:line="240" w:lineRule="auto"/>
        <w:rPr>
          <w:sz w:val="22"/>
          <w:szCs w:val="22"/>
        </w:rPr>
      </w:pPr>
      <w:r w:rsidRPr="00774A83">
        <w:t xml:space="preserve">Use of </w:t>
      </w:r>
      <w:r w:rsidR="00DE03FD">
        <w:t>the Department of Foreign Affairs and Trade</w:t>
      </w:r>
      <w:r w:rsidR="00DE03FD">
        <w:rPr>
          <w:color w:val="FF0000"/>
        </w:rPr>
        <w:t xml:space="preserve"> </w:t>
      </w:r>
      <w:r w:rsidRPr="00774A83">
        <w:t>material under a</w:t>
      </w:r>
      <w:r w:rsidRPr="00774A83">
        <w:rPr>
          <w:rFonts w:cs="Calibri"/>
          <w:color w:val="000000"/>
          <w:sz w:val="24"/>
          <w:szCs w:val="24"/>
        </w:rPr>
        <w:t xml:space="preserve"> </w:t>
      </w:r>
      <w:hyperlink r:id="rId14" w:history="1">
        <w:r w:rsidRPr="00774A83">
          <w:rPr>
            <w:rStyle w:val="Hyperlink"/>
          </w:rPr>
          <w:t>Creative Commons BY Attribution 3.0 Australia</w:t>
        </w:r>
      </w:hyperlink>
      <w:r w:rsidRPr="00774A83">
        <w:rPr>
          <w:rStyle w:val="Hyperlink"/>
        </w:rPr>
        <w:t xml:space="preserve"> </w:t>
      </w:r>
      <w:r w:rsidRPr="00774A83">
        <w:t xml:space="preserve">licence requires you to attribute the work (but not in any way that suggests that </w:t>
      </w:r>
      <w:r w:rsidR="00DE03FD">
        <w:t>the Department of Foreign Affairs and Trade</w:t>
      </w:r>
      <w:r w:rsidR="00DE03FD" w:rsidRPr="00774A83">
        <w:t xml:space="preserve"> </w:t>
      </w:r>
      <w:r w:rsidRPr="00774A83">
        <w:t>endorses you or your use of the work).</w:t>
      </w:r>
    </w:p>
    <w:p w14:paraId="7BB43496" w14:textId="59669087" w:rsidR="00C42D37" w:rsidRPr="002D6163" w:rsidRDefault="00DE03FD" w:rsidP="00DE03FD">
      <w:pPr>
        <w:spacing w:after="180"/>
        <w:rPr>
          <w:b/>
          <w:bCs/>
        </w:rPr>
      </w:pPr>
      <w:r w:rsidRPr="00DE03FD">
        <w:rPr>
          <w:b/>
          <w:bCs/>
        </w:rPr>
        <w:t xml:space="preserve">Department of Foreign Affairs and Trade </w:t>
      </w:r>
      <w:r w:rsidR="0012022D" w:rsidRPr="002D6163">
        <w:rPr>
          <w:b/>
          <w:bCs/>
        </w:rPr>
        <w:t>material used 'as supplied'</w:t>
      </w:r>
    </w:p>
    <w:p w14:paraId="4B526331" w14:textId="6FEB4B9F" w:rsidR="00C42D37" w:rsidRPr="00982F10" w:rsidRDefault="0012022D" w:rsidP="00DE03FD">
      <w:pPr>
        <w:spacing w:after="180"/>
      </w:pPr>
      <w:r w:rsidRPr="00982F10">
        <w:t xml:space="preserve">Provided you have not modified or transformed </w:t>
      </w:r>
      <w:r w:rsidR="00DE03FD">
        <w:t>the Department of Foreign Affairs and Trade</w:t>
      </w:r>
      <w:r w:rsidR="00DE03FD" w:rsidRPr="00982F10">
        <w:t xml:space="preserve"> </w:t>
      </w:r>
      <w:r w:rsidRPr="00982F10">
        <w:t xml:space="preserve">material in any way including, for example, by changing </w:t>
      </w:r>
      <w:r w:rsidR="00DE03FD">
        <w:t>the Department of Foreign Affairs and Trade</w:t>
      </w:r>
      <w:r w:rsidR="00DE03FD" w:rsidRPr="00982F10">
        <w:t xml:space="preserve"> </w:t>
      </w:r>
      <w:r w:rsidRPr="00982F10">
        <w:t xml:space="preserve">text; calculating percentage changes; graphing or charting data; or deriving new statistics from published </w:t>
      </w:r>
      <w:r w:rsidR="00DE03FD">
        <w:t>Department of Foreign Affairs and Trade</w:t>
      </w:r>
      <w:r w:rsidR="00DE03FD" w:rsidRPr="00982F10">
        <w:t xml:space="preserve"> </w:t>
      </w:r>
      <w:r w:rsidRPr="00982F10">
        <w:t xml:space="preserve">statistics </w:t>
      </w:r>
      <w:r w:rsidR="007876DA">
        <w:t>–</w:t>
      </w:r>
      <w:r w:rsidRPr="00982F10">
        <w:t xml:space="preserve"> then </w:t>
      </w:r>
      <w:r w:rsidR="00DE03FD">
        <w:t>the Department of Foreign Affairs and Trade</w:t>
      </w:r>
      <w:r w:rsidR="00DE03FD" w:rsidRPr="00982F10">
        <w:t xml:space="preserve"> </w:t>
      </w:r>
      <w:r w:rsidRPr="00982F10">
        <w:t>pre</w:t>
      </w:r>
      <w:r w:rsidR="00831489">
        <w:t>fers the following attribution:</w:t>
      </w:r>
    </w:p>
    <w:p w14:paraId="32B41CA7" w14:textId="46370BFA" w:rsidR="00C42D37" w:rsidRPr="00920EBA" w:rsidRDefault="0012022D" w:rsidP="00DE03FD">
      <w:pPr>
        <w:spacing w:after="180"/>
        <w:ind w:left="567"/>
      </w:pPr>
      <w:r w:rsidRPr="00920EBA">
        <w:rPr>
          <w:i/>
        </w:rPr>
        <w:t xml:space="preserve">Source: The </w:t>
      </w:r>
      <w:r w:rsidRPr="00920EBA">
        <w:rPr>
          <w:i/>
          <w:iCs/>
        </w:rPr>
        <w:t>Australian Government</w:t>
      </w:r>
      <w:r w:rsidR="00DE03FD" w:rsidRPr="00920EBA">
        <w:rPr>
          <w:i/>
          <w:iCs/>
        </w:rPr>
        <w:t xml:space="preserve"> Department of Foreign Affairs and Trade</w:t>
      </w:r>
    </w:p>
    <w:p w14:paraId="42BC01F1" w14:textId="77777777" w:rsidR="00C42D37" w:rsidRPr="00774A83" w:rsidRDefault="0012022D" w:rsidP="00DE03FD">
      <w:pPr>
        <w:spacing w:after="180"/>
        <w:rPr>
          <w:b/>
        </w:rPr>
      </w:pPr>
      <w:r w:rsidRPr="00774A83">
        <w:rPr>
          <w:b/>
        </w:rPr>
        <w:t>Derivative material</w:t>
      </w:r>
    </w:p>
    <w:p w14:paraId="41A35B22" w14:textId="46125798" w:rsidR="00C42D37" w:rsidRPr="00982F10" w:rsidRDefault="0012022D" w:rsidP="00DE03FD">
      <w:pPr>
        <w:spacing w:after="180"/>
      </w:pPr>
      <w:r w:rsidRPr="00982F10">
        <w:t>If you have modified or transformed</w:t>
      </w:r>
      <w:r w:rsidR="00DE03FD">
        <w:t xml:space="preserve"> the Department of Foreign Affairs and Trade</w:t>
      </w:r>
      <w:r w:rsidR="00DE03FD">
        <w:rPr>
          <w:color w:val="FF0000"/>
        </w:rPr>
        <w:t xml:space="preserve"> </w:t>
      </w:r>
      <w:r w:rsidRPr="00982F10">
        <w:t xml:space="preserve">material, or derived new material from those of </w:t>
      </w:r>
      <w:r w:rsidR="00DE03FD">
        <w:t>the Department of Foreign Affairs and Trade</w:t>
      </w:r>
      <w:r w:rsidR="00DE03FD" w:rsidRPr="00982F10">
        <w:t xml:space="preserve"> </w:t>
      </w:r>
      <w:r w:rsidRPr="00982F10">
        <w:t xml:space="preserve">in any way, then </w:t>
      </w:r>
      <w:r w:rsidR="00DE03FD">
        <w:t>the Department of Foreign Affairs and Trade</w:t>
      </w:r>
      <w:r w:rsidR="00DE03FD" w:rsidRPr="00982F10">
        <w:rPr>
          <w:color w:val="FF0000"/>
        </w:rPr>
        <w:t xml:space="preserve"> </w:t>
      </w:r>
      <w:r w:rsidRPr="00982F10">
        <w:t>pre</w:t>
      </w:r>
      <w:r w:rsidR="00831489">
        <w:t>fers the following attribution:</w:t>
      </w:r>
    </w:p>
    <w:p w14:paraId="32EC065D" w14:textId="26E6FE06" w:rsidR="00C42D37" w:rsidRPr="00920EBA" w:rsidRDefault="0012022D" w:rsidP="00DE03FD">
      <w:pPr>
        <w:spacing w:after="180"/>
        <w:ind w:left="567"/>
      </w:pPr>
      <w:r w:rsidRPr="00920EBA">
        <w:rPr>
          <w:i/>
        </w:rPr>
        <w:t xml:space="preserve">Based on The Australian Government </w:t>
      </w:r>
      <w:r w:rsidR="00DE03FD" w:rsidRPr="00920EBA">
        <w:rPr>
          <w:i/>
        </w:rPr>
        <w:t xml:space="preserve">Department of Foreign Affairs and Trade </w:t>
      </w:r>
      <w:r w:rsidRPr="00920EBA">
        <w:rPr>
          <w:i/>
        </w:rPr>
        <w:t>data</w:t>
      </w:r>
    </w:p>
    <w:p w14:paraId="23BCDD8D" w14:textId="77777777" w:rsidR="00C42D37" w:rsidRPr="00982F10" w:rsidRDefault="0012022D" w:rsidP="00DE03FD">
      <w:pPr>
        <w:spacing w:after="180"/>
        <w:rPr>
          <w:b/>
        </w:rPr>
      </w:pPr>
      <w:r w:rsidRPr="00982F10">
        <w:rPr>
          <w:b/>
        </w:rPr>
        <w:t>Use of the Coat of Arms</w:t>
      </w:r>
    </w:p>
    <w:p w14:paraId="1F8C33CE" w14:textId="77777777" w:rsidR="00C42D37" w:rsidRPr="00982F10" w:rsidRDefault="00C00B3B" w:rsidP="00DE03FD">
      <w:pPr>
        <w:spacing w:after="180"/>
      </w:pPr>
      <w:r w:rsidRPr="00C00B3B">
        <w:t>The terms under which the Coat of Arms can be used are set</w:t>
      </w:r>
      <w:r w:rsidR="00CC6371">
        <w:t xml:space="preserve"> </w:t>
      </w:r>
      <w:r w:rsidRPr="00C00B3B">
        <w:t>out</w:t>
      </w:r>
      <w:r w:rsidR="00CC6371">
        <w:t xml:space="preserve"> </w:t>
      </w:r>
      <w:r w:rsidRPr="00C00B3B">
        <w:t>on</w:t>
      </w:r>
      <w:r w:rsidR="00CC6371">
        <w:t xml:space="preserve"> </w:t>
      </w:r>
      <w:r w:rsidRPr="00C00B3B">
        <w:t>the Department</w:t>
      </w:r>
      <w:r w:rsidR="00CC6371">
        <w:t xml:space="preserve"> </w:t>
      </w:r>
      <w:r w:rsidRPr="00C00B3B">
        <w:t>of the Prime Minister and Cabinet website</w:t>
      </w:r>
      <w:r w:rsidR="00724257">
        <w:t xml:space="preserve"> </w:t>
      </w:r>
      <w:r w:rsidRPr="00C00B3B">
        <w:t>(see</w:t>
      </w:r>
      <w:r w:rsidR="00CC2A06">
        <w:t xml:space="preserve"> </w:t>
      </w:r>
      <w:hyperlink r:id="rId15" w:history="1">
        <w:r w:rsidRPr="007B2930">
          <w:rPr>
            <w:rStyle w:val="Hyperlink"/>
          </w:rPr>
          <w:t>www.pmc.gov.au/government/commonwealth-coat-arms</w:t>
        </w:r>
      </w:hyperlink>
      <w:r w:rsidR="0012022D" w:rsidRPr="00982F10">
        <w:t>)</w:t>
      </w:r>
      <w:r w:rsidR="00FE3DE9">
        <w:t>.</w:t>
      </w:r>
    </w:p>
    <w:p w14:paraId="60AC278C" w14:textId="77777777" w:rsidR="00C42D37" w:rsidRPr="00982F10" w:rsidRDefault="008E07C6" w:rsidP="00DE03FD">
      <w:pPr>
        <w:spacing w:after="180"/>
        <w:rPr>
          <w:b/>
        </w:rPr>
      </w:pPr>
      <w:r>
        <w:rPr>
          <w:b/>
        </w:rPr>
        <w:t xml:space="preserve">Other </w:t>
      </w:r>
      <w:r w:rsidR="00D81071">
        <w:rPr>
          <w:b/>
        </w:rPr>
        <w:t>u</w:t>
      </w:r>
      <w:r w:rsidR="00D81071" w:rsidRPr="00982F10">
        <w:rPr>
          <w:b/>
        </w:rPr>
        <w:t>ses</w:t>
      </w:r>
    </w:p>
    <w:p w14:paraId="169713EA" w14:textId="16582AC6" w:rsidR="00247262" w:rsidRDefault="00EE22E3" w:rsidP="00DE03FD">
      <w:pPr>
        <w:spacing w:after="180"/>
      </w:pPr>
      <w:r>
        <w:lastRenderedPageBreak/>
        <w:t>E</w:t>
      </w:r>
      <w:r w:rsidR="0012022D" w:rsidRPr="00982F10">
        <w:t>nquiries regarding this licence and any other use of this document are welcome at:</w:t>
      </w:r>
      <w:r w:rsidR="00DE03FD">
        <w:t xml:space="preserve"> </w:t>
      </w:r>
      <w:r w:rsidR="00DE03FD">
        <w:br/>
        <w:t>Mr Murali Venugopal, Chief Finance Officer, Department of Foreign Affairs and Trade.</w:t>
      </w:r>
    </w:p>
    <w:p w14:paraId="7F8BCC4A" w14:textId="77777777" w:rsidR="00E20628" w:rsidRDefault="00E20628" w:rsidP="00D50C9B">
      <w:pPr>
        <w:sectPr w:rsidR="00E20628" w:rsidSect="00782467">
          <w:footerReference w:type="even" r:id="rId16"/>
          <w:headerReference w:type="first" r:id="rId17"/>
          <w:pgSz w:w="11906" w:h="16838" w:code="9"/>
          <w:pgMar w:top="2835" w:right="2098" w:bottom="2466" w:left="2098" w:header="1814" w:footer="1814" w:gutter="0"/>
          <w:cols w:space="708"/>
          <w:docGrid w:linePitch="360"/>
        </w:sectPr>
      </w:pPr>
    </w:p>
    <w:p w14:paraId="31291E68" w14:textId="77777777" w:rsidR="00E20628" w:rsidRDefault="003B3684" w:rsidP="00021DA6">
      <w:pPr>
        <w:pStyle w:val="Crest"/>
      </w:pPr>
      <w:r>
        <w:rPr>
          <w:noProof/>
        </w:rPr>
        <w:lastRenderedPageBreak/>
        <w:drawing>
          <wp:inline distT="0" distB="0" distL="0" distR="0" wp14:anchorId="61EB04C7" wp14:editId="10232F6C">
            <wp:extent cx="905510" cy="655320"/>
            <wp:effectExtent l="0" t="0" r="8890" b="0"/>
            <wp:docPr id="81"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Coat of Arm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5510" cy="655320"/>
                    </a:xfrm>
                    <a:prstGeom prst="rect">
                      <a:avLst/>
                    </a:prstGeom>
                    <a:noFill/>
                    <a:ln>
                      <a:noFill/>
                    </a:ln>
                  </pic:spPr>
                </pic:pic>
              </a:graphicData>
            </a:graphic>
          </wp:inline>
        </w:drawing>
      </w:r>
    </w:p>
    <w:p w14:paraId="11804870" w14:textId="6E23F034" w:rsidR="00021DA6" w:rsidRDefault="003F339D" w:rsidP="00021DA6">
      <w:pPr>
        <w:pStyle w:val="TransmittalStyle1"/>
        <w:rPr>
          <w:rFonts w:ascii="Times New Roman" w:hAnsi="Times New Roman"/>
          <w:sz w:val="28"/>
          <w:szCs w:val="28"/>
        </w:rPr>
      </w:pPr>
      <w:r>
        <w:rPr>
          <w:rFonts w:ascii="Times New Roman" w:hAnsi="Times New Roman"/>
          <w:sz w:val="28"/>
          <w:szCs w:val="28"/>
        </w:rPr>
        <w:t>Minister for Foreign Affairs and Minister for Women</w:t>
      </w:r>
    </w:p>
    <w:p w14:paraId="73C2E1FD" w14:textId="0043F944" w:rsidR="003F339D" w:rsidRPr="004847B4" w:rsidRDefault="003F339D" w:rsidP="00021DA6">
      <w:pPr>
        <w:pStyle w:val="TransmittalStyle1"/>
        <w:rPr>
          <w:rFonts w:ascii="Times New Roman" w:hAnsi="Times New Roman"/>
          <w:sz w:val="28"/>
          <w:szCs w:val="28"/>
        </w:rPr>
      </w:pPr>
      <w:r>
        <w:rPr>
          <w:rFonts w:ascii="Times New Roman" w:hAnsi="Times New Roman"/>
          <w:sz w:val="28"/>
          <w:szCs w:val="28"/>
        </w:rPr>
        <w:t>Minister for Trade, Tourism and Investment</w:t>
      </w:r>
    </w:p>
    <w:p w14:paraId="01679D33" w14:textId="77777777" w:rsidR="00021DA6" w:rsidRPr="004847B4" w:rsidRDefault="00021DA6" w:rsidP="00021DA6">
      <w:pPr>
        <w:pStyle w:val="TransmittalStyle2"/>
        <w:rPr>
          <w:rFonts w:ascii="Times" w:hAnsi="Times" w:cs="Times"/>
        </w:rPr>
      </w:pPr>
      <w:r w:rsidRPr="004847B4">
        <w:rPr>
          <w:rFonts w:ascii="Times" w:hAnsi="Times" w:cs="Times"/>
        </w:rPr>
        <w:t>parliament House</w:t>
      </w:r>
    </w:p>
    <w:p w14:paraId="7F065CF4" w14:textId="77777777" w:rsidR="00021DA6" w:rsidRPr="004847B4" w:rsidRDefault="00021DA6" w:rsidP="00021DA6">
      <w:pPr>
        <w:pStyle w:val="TransmittalStyle2"/>
        <w:rPr>
          <w:rFonts w:ascii="Times" w:hAnsi="Times" w:cs="Times"/>
        </w:rPr>
      </w:pPr>
      <w:r w:rsidRPr="004847B4">
        <w:rPr>
          <w:rFonts w:ascii="Times" w:hAnsi="Times" w:cs="Times"/>
        </w:rPr>
        <w:t>canberra  2600</w:t>
      </w:r>
    </w:p>
    <w:p w14:paraId="3228FC05" w14:textId="77777777" w:rsidR="00021DA6" w:rsidRDefault="00021DA6" w:rsidP="00021DA6">
      <w:pPr>
        <w:pStyle w:val="TransmittalAddressee"/>
      </w:pPr>
      <w:r>
        <w:t>President of the Senate</w:t>
      </w:r>
    </w:p>
    <w:p w14:paraId="6959291A" w14:textId="77777777" w:rsidR="00021DA6" w:rsidRDefault="00021DA6" w:rsidP="00021DA6">
      <w:pPr>
        <w:pStyle w:val="TransmittalAddressee"/>
      </w:pPr>
      <w:r>
        <w:t>Australian Senate</w:t>
      </w:r>
    </w:p>
    <w:p w14:paraId="1C8AA9C2" w14:textId="77777777" w:rsidR="00021DA6" w:rsidRDefault="00021DA6" w:rsidP="00021DA6">
      <w:pPr>
        <w:pStyle w:val="TransmittalAddressee"/>
      </w:pPr>
      <w:r>
        <w:t>Parliament House</w:t>
      </w:r>
    </w:p>
    <w:p w14:paraId="0E9F2CC1" w14:textId="77777777" w:rsidR="00021DA6" w:rsidRDefault="00021DA6" w:rsidP="00021DA6">
      <w:pPr>
        <w:pStyle w:val="TransmittalAddressee"/>
      </w:pPr>
      <w:proofErr w:type="gramStart"/>
      <w:r>
        <w:t>CANBERRA  ACT</w:t>
      </w:r>
      <w:proofErr w:type="gramEnd"/>
      <w:r w:rsidR="00FD522D">
        <w:t xml:space="preserve">  </w:t>
      </w:r>
      <w:r>
        <w:t>2600</w:t>
      </w:r>
    </w:p>
    <w:p w14:paraId="0B84A136" w14:textId="77777777" w:rsidR="00021DA6" w:rsidRDefault="00021DA6" w:rsidP="00021DA6">
      <w:pPr>
        <w:pStyle w:val="TransmittalAddressee"/>
      </w:pPr>
    </w:p>
    <w:p w14:paraId="7A2957D3" w14:textId="77777777" w:rsidR="00021DA6" w:rsidRDefault="00021DA6" w:rsidP="009C0C48">
      <w:pPr>
        <w:pStyle w:val="TransmittalAddressee"/>
      </w:pPr>
      <w:r>
        <w:t>Speaker</w:t>
      </w:r>
    </w:p>
    <w:p w14:paraId="1F1B373C" w14:textId="77777777" w:rsidR="00021DA6" w:rsidRDefault="00021DA6" w:rsidP="009C0C48">
      <w:pPr>
        <w:pStyle w:val="TransmittalAddressee"/>
      </w:pPr>
      <w:r>
        <w:t>House of Representatives</w:t>
      </w:r>
    </w:p>
    <w:p w14:paraId="7222BCC1" w14:textId="77777777" w:rsidR="00021DA6" w:rsidRDefault="00021DA6" w:rsidP="009C0C48">
      <w:pPr>
        <w:pStyle w:val="TransmittalAddressee"/>
      </w:pPr>
      <w:r>
        <w:t>Parliament House</w:t>
      </w:r>
    </w:p>
    <w:p w14:paraId="39B02EA7" w14:textId="77777777" w:rsidR="00021DA6" w:rsidRDefault="00021DA6" w:rsidP="009C0C48">
      <w:pPr>
        <w:pStyle w:val="TransmittalAddressee"/>
      </w:pPr>
      <w:proofErr w:type="gramStart"/>
      <w:r>
        <w:t>CANBERRA  ACT</w:t>
      </w:r>
      <w:proofErr w:type="gramEnd"/>
      <w:r>
        <w:t xml:space="preserve">  2600</w:t>
      </w:r>
    </w:p>
    <w:p w14:paraId="36FA7DEE" w14:textId="77777777" w:rsidR="009C0C48" w:rsidRDefault="009C0C48" w:rsidP="009C0C48"/>
    <w:p w14:paraId="42BDF551" w14:textId="77777777" w:rsidR="00021DA6" w:rsidRDefault="00021DA6" w:rsidP="009C0C48">
      <w:pPr>
        <w:pStyle w:val="SingleParagraph"/>
      </w:pPr>
      <w:r>
        <w:t>Dear Mr President</w:t>
      </w:r>
    </w:p>
    <w:p w14:paraId="0C7906CF" w14:textId="77777777" w:rsidR="00021DA6" w:rsidRDefault="00021DA6" w:rsidP="009C0C48">
      <w:r>
        <w:t xml:space="preserve">Dear </w:t>
      </w:r>
      <w:r w:rsidR="00FC0A72">
        <w:t>Mr</w:t>
      </w:r>
      <w:r>
        <w:t xml:space="preserve"> Speaker</w:t>
      </w:r>
    </w:p>
    <w:p w14:paraId="1A06F9A2" w14:textId="0DF342A9" w:rsidR="009C0C48" w:rsidRDefault="009C0C48" w:rsidP="009C0C48">
      <w:r>
        <w:t xml:space="preserve">I hereby submit Portfolio Budget Statements in support of the </w:t>
      </w:r>
      <w:r w:rsidR="00400A8B">
        <w:t>2022</w:t>
      </w:r>
      <w:r w:rsidR="007876DA">
        <w:t>–</w:t>
      </w:r>
      <w:r w:rsidR="00400A8B">
        <w:t xml:space="preserve">23 </w:t>
      </w:r>
      <w:r>
        <w:t xml:space="preserve">Budget for the </w:t>
      </w:r>
      <w:r w:rsidR="003F339D" w:rsidRPr="003F339D">
        <w:rPr>
          <w:i/>
          <w:iCs/>
        </w:rPr>
        <w:t>Foreign Affairs and Trade</w:t>
      </w:r>
      <w:r w:rsidR="003F339D">
        <w:t xml:space="preserve"> </w:t>
      </w:r>
      <w:r w:rsidR="00D961F2">
        <w:t>p</w:t>
      </w:r>
      <w:r>
        <w:t>ortfolio.</w:t>
      </w:r>
    </w:p>
    <w:p w14:paraId="18A38BCE" w14:textId="77777777" w:rsidR="009C0C48" w:rsidRDefault="009C0C48" w:rsidP="009C0C48">
      <w:r>
        <w:t>These statements have been developed, and are submitted to the Parliament, as a statement on the outcomes for the portfolio.</w:t>
      </w:r>
    </w:p>
    <w:p w14:paraId="55370A0B" w14:textId="0FE83588" w:rsidR="009C0C48" w:rsidRDefault="003F339D" w:rsidP="009C0C48">
      <w:r>
        <w:t xml:space="preserve">We </w:t>
      </w:r>
      <w:r w:rsidR="009C0C48">
        <w:t>present these statements to provide accountability to the Parliament and, through it, the public.</w:t>
      </w:r>
    </w:p>
    <w:p w14:paraId="0074CC56" w14:textId="40DADE07" w:rsidR="005E22EA" w:rsidRPr="005E22EA" w:rsidRDefault="005E22EA" w:rsidP="005E22EA">
      <w:pPr>
        <w:spacing w:after="480"/>
      </w:pPr>
      <w:r>
        <w:rPr>
          <w:noProof/>
        </w:rPr>
        <w:drawing>
          <wp:anchor distT="0" distB="0" distL="114300" distR="114300" simplePos="0" relativeHeight="251696128" behindDoc="0" locked="0" layoutInCell="1" allowOverlap="1" wp14:anchorId="6D0884DE" wp14:editId="455E0E61">
            <wp:simplePos x="0" y="0"/>
            <wp:positionH relativeFrom="column">
              <wp:posOffset>2534285</wp:posOffset>
            </wp:positionH>
            <wp:positionV relativeFrom="paragraph">
              <wp:posOffset>385445</wp:posOffset>
            </wp:positionV>
            <wp:extent cx="2277110" cy="671830"/>
            <wp:effectExtent l="0" t="0" r="8890" b="0"/>
            <wp:wrapNone/>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9">
                      <a:extLst>
                        <a:ext uri="{28A0092B-C50C-407E-A947-70E740481C1C}">
                          <a14:useLocalDpi xmlns:a14="http://schemas.microsoft.com/office/drawing/2010/main" val="0"/>
                        </a:ext>
                      </a:extLst>
                    </a:blip>
                    <a:stretch>
                      <a:fillRect/>
                    </a:stretch>
                  </pic:blipFill>
                  <pic:spPr>
                    <a:xfrm>
                      <a:off x="0" y="0"/>
                      <a:ext cx="2277110" cy="671830"/>
                    </a:xfrm>
                    <a:prstGeom prst="rect">
                      <a:avLst/>
                    </a:prstGeom>
                  </pic:spPr>
                </pic:pic>
              </a:graphicData>
            </a:graphic>
          </wp:anchor>
        </w:drawing>
      </w:r>
      <w:r>
        <w:rPr>
          <w:noProof/>
        </w:rPr>
        <w:drawing>
          <wp:anchor distT="0" distB="0" distL="114300" distR="114300" simplePos="0" relativeHeight="251697152" behindDoc="0" locked="0" layoutInCell="1" allowOverlap="1" wp14:anchorId="3A041745" wp14:editId="36430D32">
            <wp:simplePos x="0" y="0"/>
            <wp:positionH relativeFrom="column">
              <wp:posOffset>0</wp:posOffset>
            </wp:positionH>
            <wp:positionV relativeFrom="paragraph">
              <wp:posOffset>281115</wp:posOffset>
            </wp:positionV>
            <wp:extent cx="1857375" cy="742950"/>
            <wp:effectExtent l="0" t="0" r="9525" b="0"/>
            <wp:wrapNone/>
            <wp:docPr id="224" name="Picture 224"/>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742950"/>
                    </a:xfrm>
                    <a:prstGeom prst="rect">
                      <a:avLst/>
                    </a:prstGeom>
                    <a:noFill/>
                  </pic:spPr>
                </pic:pic>
              </a:graphicData>
            </a:graphic>
          </wp:anchor>
        </w:drawing>
      </w:r>
      <w:r w:rsidR="009C0C48">
        <w:t>Yours sincerely</w:t>
      </w:r>
    </w:p>
    <w:p w14:paraId="442534E2" w14:textId="644FCD71" w:rsidR="00E563D2" w:rsidRDefault="00E563D2" w:rsidP="00E563D2">
      <w:pPr>
        <w:spacing w:after="0" w:line="240" w:lineRule="auto"/>
        <w:rPr>
          <w:i/>
        </w:rPr>
      </w:pPr>
    </w:p>
    <w:p w14:paraId="4ACCAE7E" w14:textId="20359F19" w:rsidR="00734E06" w:rsidRPr="00920EBA" w:rsidRDefault="003F339D" w:rsidP="00920EBA">
      <w:pPr>
        <w:pStyle w:val="Exampletext"/>
        <w:spacing w:before="720" w:after="0"/>
        <w:rPr>
          <w:i w:val="0"/>
          <w:color w:val="auto"/>
          <w:lang w:val="en-AU"/>
        </w:rPr>
      </w:pPr>
      <w:r>
        <w:rPr>
          <w:i w:val="0"/>
          <w:color w:val="auto"/>
          <w:lang w:val="en-AU"/>
        </w:rPr>
        <w:t>Senator the Hon Marise Payne</w:t>
      </w:r>
      <w:r>
        <w:rPr>
          <w:i w:val="0"/>
          <w:color w:val="auto"/>
        </w:rPr>
        <w:tab/>
      </w:r>
      <w:r w:rsidRPr="00920EBA">
        <w:rPr>
          <w:i w:val="0"/>
          <w:color w:val="auto"/>
        </w:rPr>
        <w:tab/>
      </w:r>
      <w:r w:rsidRPr="00920EBA">
        <w:rPr>
          <w:i w:val="0"/>
          <w:color w:val="auto"/>
        </w:rPr>
        <w:tab/>
      </w:r>
      <w:r w:rsidRPr="00920EBA">
        <w:rPr>
          <w:i w:val="0"/>
          <w:color w:val="auto"/>
        </w:rPr>
        <w:tab/>
      </w:r>
      <w:r w:rsidRPr="00920EBA">
        <w:rPr>
          <w:i w:val="0"/>
          <w:color w:val="auto"/>
          <w:lang w:val="en-AU"/>
        </w:rPr>
        <w:t>The Hon Dan Tehan MP</w:t>
      </w:r>
    </w:p>
    <w:p w14:paraId="48C0CB82" w14:textId="6F22546D" w:rsidR="003F339D" w:rsidRPr="00920EBA" w:rsidRDefault="00920EBA" w:rsidP="00920EBA">
      <w:pPr>
        <w:pStyle w:val="Exampletext"/>
        <w:spacing w:after="0"/>
        <w:rPr>
          <w:i w:val="0"/>
          <w:color w:val="auto"/>
          <w:lang w:val="en-AU"/>
        </w:rPr>
      </w:pPr>
      <w:r w:rsidRPr="00920EBA">
        <w:rPr>
          <w:i w:val="0"/>
          <w:color w:val="auto"/>
          <w:lang w:val="en-AU"/>
        </w:rPr>
        <w:t>Minister for Foreign Affairs</w:t>
      </w:r>
      <w:r w:rsidRPr="00920EBA">
        <w:rPr>
          <w:i w:val="0"/>
          <w:color w:val="auto"/>
          <w:lang w:val="en-AU"/>
        </w:rPr>
        <w:tab/>
      </w:r>
      <w:r w:rsidRPr="00920EBA">
        <w:rPr>
          <w:i w:val="0"/>
          <w:color w:val="auto"/>
          <w:lang w:val="en-AU"/>
        </w:rPr>
        <w:tab/>
      </w:r>
      <w:r w:rsidRPr="00920EBA">
        <w:rPr>
          <w:i w:val="0"/>
          <w:color w:val="auto"/>
          <w:lang w:val="en-AU"/>
        </w:rPr>
        <w:tab/>
      </w:r>
      <w:r w:rsidRPr="00920EBA">
        <w:rPr>
          <w:i w:val="0"/>
          <w:color w:val="auto"/>
          <w:lang w:val="en-AU"/>
        </w:rPr>
        <w:tab/>
        <w:t>Minister for Trade, Tourism and</w:t>
      </w:r>
    </w:p>
    <w:p w14:paraId="57AE6224" w14:textId="77141EB6" w:rsidR="00FE3DE9" w:rsidRPr="00211316" w:rsidRDefault="00920EBA" w:rsidP="00E563D2">
      <w:pPr>
        <w:pStyle w:val="Exampletext"/>
        <w:spacing w:after="0"/>
        <w:rPr>
          <w:color w:val="000000" w:themeColor="text1"/>
        </w:rPr>
      </w:pPr>
      <w:r w:rsidRPr="00211316">
        <w:rPr>
          <w:i w:val="0"/>
          <w:color w:val="000000" w:themeColor="text1"/>
          <w:lang w:val="en-AU"/>
        </w:rPr>
        <w:t>Minister for Women</w:t>
      </w:r>
      <w:r w:rsidRPr="00211316">
        <w:rPr>
          <w:i w:val="0"/>
          <w:color w:val="000000" w:themeColor="text1"/>
          <w:lang w:val="en-AU"/>
        </w:rPr>
        <w:tab/>
      </w:r>
      <w:r w:rsidRPr="00211316">
        <w:rPr>
          <w:i w:val="0"/>
          <w:color w:val="000000" w:themeColor="text1"/>
          <w:lang w:val="en-AU"/>
        </w:rPr>
        <w:tab/>
      </w:r>
      <w:r w:rsidRPr="00211316">
        <w:rPr>
          <w:i w:val="0"/>
          <w:color w:val="000000" w:themeColor="text1"/>
          <w:lang w:val="en-AU"/>
        </w:rPr>
        <w:tab/>
      </w:r>
      <w:r w:rsidRPr="00211316">
        <w:rPr>
          <w:i w:val="0"/>
          <w:color w:val="000000" w:themeColor="text1"/>
          <w:lang w:val="en-AU"/>
        </w:rPr>
        <w:tab/>
      </w:r>
      <w:r w:rsidRPr="00211316">
        <w:rPr>
          <w:i w:val="0"/>
          <w:color w:val="000000" w:themeColor="text1"/>
          <w:lang w:val="en-AU"/>
        </w:rPr>
        <w:tab/>
        <w:t>Investment</w:t>
      </w:r>
    </w:p>
    <w:p w14:paraId="75E51558" w14:textId="77777777" w:rsidR="00FE3DE9" w:rsidRPr="00211316" w:rsidRDefault="00FE3DE9" w:rsidP="00FE3DE9">
      <w:pPr>
        <w:rPr>
          <w:color w:val="000000" w:themeColor="text1"/>
        </w:rPr>
        <w:sectPr w:rsidR="00FE3DE9" w:rsidRPr="00211316" w:rsidSect="00782467">
          <w:footerReference w:type="first" r:id="rId21"/>
          <w:pgSz w:w="11906" w:h="16838" w:code="9"/>
          <w:pgMar w:top="2835" w:right="2098" w:bottom="2466" w:left="2098" w:header="1814" w:footer="1814" w:gutter="0"/>
          <w:pgNumType w:fmt="lowerRoman"/>
          <w:cols w:space="708"/>
          <w:titlePg/>
          <w:docGrid w:linePitch="360"/>
        </w:sectPr>
      </w:pPr>
    </w:p>
    <w:p w14:paraId="7070CE9F" w14:textId="77777777" w:rsidR="009C0C48" w:rsidRDefault="009C0C48" w:rsidP="00834F9A">
      <w:pPr>
        <w:pStyle w:val="Heading4-NoTOC"/>
      </w:pPr>
      <w:r>
        <w:t>Abbreviations and conventions</w:t>
      </w:r>
    </w:p>
    <w:p w14:paraId="32B39B21" w14:textId="77777777" w:rsidR="009C0C48" w:rsidRDefault="009C0C48" w:rsidP="009C0C48">
      <w:r>
        <w:t>The following notation may be used:</w:t>
      </w:r>
    </w:p>
    <w:p w14:paraId="2F531416" w14:textId="77777777" w:rsidR="009C0C48" w:rsidRDefault="009C0C48" w:rsidP="009C0C48">
      <w:pPr>
        <w:pStyle w:val="SingleParagraph"/>
        <w:tabs>
          <w:tab w:val="left" w:pos="2268"/>
        </w:tabs>
        <w:ind w:left="567"/>
      </w:pPr>
      <w:r>
        <w:t>NEC/</w:t>
      </w:r>
      <w:proofErr w:type="spellStart"/>
      <w:r>
        <w:t>nec</w:t>
      </w:r>
      <w:proofErr w:type="spellEnd"/>
      <w:r>
        <w:tab/>
        <w:t>not elsewhere classified</w:t>
      </w:r>
    </w:p>
    <w:p w14:paraId="21365454" w14:textId="77777777" w:rsidR="009C0C48" w:rsidRDefault="00F403D6" w:rsidP="009C0C48">
      <w:pPr>
        <w:pStyle w:val="SingleParagraph"/>
        <w:tabs>
          <w:tab w:val="left" w:pos="2268"/>
        </w:tabs>
        <w:ind w:left="567"/>
      </w:pPr>
      <w:r>
        <w:t>-</w:t>
      </w:r>
      <w:r w:rsidR="009C0C48">
        <w:tab/>
        <w:t>nil</w:t>
      </w:r>
    </w:p>
    <w:p w14:paraId="3C4DE72B" w14:textId="77777777" w:rsidR="009C0C48" w:rsidRDefault="009C0C48" w:rsidP="009C0C48">
      <w:pPr>
        <w:pStyle w:val="SingleParagraph"/>
        <w:tabs>
          <w:tab w:val="left" w:pos="2268"/>
        </w:tabs>
        <w:ind w:left="567"/>
      </w:pPr>
      <w:r>
        <w:t>..</w:t>
      </w:r>
      <w:r>
        <w:tab/>
        <w:t>not zero, but rounded to zero</w:t>
      </w:r>
    </w:p>
    <w:p w14:paraId="13AA2F7F" w14:textId="77777777" w:rsidR="009C0C48" w:rsidRDefault="009C0C48" w:rsidP="009C0C48">
      <w:pPr>
        <w:pStyle w:val="SingleParagraph"/>
        <w:tabs>
          <w:tab w:val="left" w:pos="2268"/>
        </w:tabs>
        <w:ind w:left="567"/>
      </w:pPr>
      <w:proofErr w:type="spellStart"/>
      <w:r>
        <w:t>na</w:t>
      </w:r>
      <w:proofErr w:type="spellEnd"/>
      <w:r>
        <w:tab/>
        <w:t>not applicable (unless otherwise specified)</w:t>
      </w:r>
    </w:p>
    <w:p w14:paraId="02ECCA92" w14:textId="77777777" w:rsidR="009C0C48" w:rsidRDefault="009C0C48" w:rsidP="009C0C48">
      <w:pPr>
        <w:pStyle w:val="SingleParagraph"/>
        <w:tabs>
          <w:tab w:val="left" w:pos="2268"/>
        </w:tabs>
        <w:ind w:left="567"/>
      </w:pPr>
      <w:proofErr w:type="spellStart"/>
      <w:r>
        <w:t>nfp</w:t>
      </w:r>
      <w:proofErr w:type="spellEnd"/>
      <w:r>
        <w:tab/>
        <w:t>not for publication</w:t>
      </w:r>
    </w:p>
    <w:p w14:paraId="5123F5B1" w14:textId="77777777" w:rsidR="009C0C48" w:rsidRDefault="009C0C48" w:rsidP="009C0C48">
      <w:pPr>
        <w:pStyle w:val="SingleParagraph"/>
        <w:tabs>
          <w:tab w:val="left" w:pos="2268"/>
        </w:tabs>
        <w:ind w:left="567"/>
      </w:pPr>
      <w:r>
        <w:t>$m</w:t>
      </w:r>
      <w:r>
        <w:tab/>
        <w:t>$ million</w:t>
      </w:r>
    </w:p>
    <w:p w14:paraId="6B95590C" w14:textId="77777777" w:rsidR="009C0C48" w:rsidRDefault="009C0C48" w:rsidP="009C0C48">
      <w:pPr>
        <w:tabs>
          <w:tab w:val="left" w:pos="2268"/>
        </w:tabs>
        <w:ind w:left="567"/>
      </w:pPr>
      <w:r>
        <w:t>$b</w:t>
      </w:r>
      <w:r>
        <w:tab/>
        <w:t>$ billion</w:t>
      </w:r>
    </w:p>
    <w:p w14:paraId="5B8618B8" w14:textId="77777777"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26F3252" w14:textId="77777777" w:rsidR="009C0C48" w:rsidRDefault="009C0C48" w:rsidP="00834F9A">
      <w:pPr>
        <w:pStyle w:val="Heading4-NoTOC"/>
      </w:pPr>
      <w:r>
        <w:t>Enquiries</w:t>
      </w:r>
    </w:p>
    <w:p w14:paraId="3EEA47B6" w14:textId="39B80845" w:rsidR="009C0C48" w:rsidRPr="00920EBA" w:rsidRDefault="009C0C48" w:rsidP="009C0C48">
      <w:r w:rsidRPr="00920EBA">
        <w:t xml:space="preserve">Should you have any enquiries regarding this publication please contact </w:t>
      </w:r>
      <w:r w:rsidR="00920EBA" w:rsidRPr="00920EBA">
        <w:br/>
        <w:t>Mr Murali Venugopal</w:t>
      </w:r>
      <w:r w:rsidRPr="00920EBA">
        <w:t xml:space="preserve">, </w:t>
      </w:r>
      <w:r w:rsidR="00EE0ACF" w:rsidRPr="00920EBA">
        <w:t>Chief Financ</w:t>
      </w:r>
      <w:r w:rsidR="00F403D6" w:rsidRPr="00920EBA">
        <w:t>e</w:t>
      </w:r>
      <w:r w:rsidR="00EE0ACF" w:rsidRPr="00920EBA">
        <w:t xml:space="preserve"> Officer</w:t>
      </w:r>
      <w:r w:rsidRPr="00920EBA">
        <w:t>, Department of</w:t>
      </w:r>
      <w:r w:rsidR="00920EBA" w:rsidRPr="00920EBA">
        <w:t xml:space="preserve"> Foreign Affairs and Trade </w:t>
      </w:r>
      <w:r w:rsidRPr="00920EBA">
        <w:t>on (02)</w:t>
      </w:r>
      <w:r w:rsidR="00920EBA" w:rsidRPr="00920EBA">
        <w:t xml:space="preserve"> 6261 1240.</w:t>
      </w:r>
    </w:p>
    <w:p w14:paraId="3CCDD561" w14:textId="77777777"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2" w:history="1">
        <w:r w:rsidR="005F3506" w:rsidRPr="00F24527">
          <w:rPr>
            <w:rStyle w:val="Hyperlink"/>
          </w:rPr>
          <w:t>www.budget.gov.au</w:t>
        </w:r>
      </w:hyperlink>
      <w:r w:rsidR="009C0C48">
        <w:t>.</w:t>
      </w:r>
    </w:p>
    <w:p w14:paraId="3F7FAFEC" w14:textId="77777777" w:rsidR="00423003" w:rsidRPr="00174186" w:rsidRDefault="00423003" w:rsidP="00174186"/>
    <w:p w14:paraId="208CC7BA" w14:textId="77777777" w:rsidR="00174186" w:rsidRPr="00174186" w:rsidRDefault="00174186" w:rsidP="00174186"/>
    <w:p w14:paraId="13A59B64" w14:textId="77777777" w:rsidR="00174186" w:rsidRPr="00174186" w:rsidRDefault="00174186" w:rsidP="00174186">
      <w:pPr>
        <w:sectPr w:rsidR="00174186" w:rsidRPr="00174186" w:rsidSect="00782467">
          <w:headerReference w:type="even" r:id="rId23"/>
          <w:headerReference w:type="default" r:id="rId24"/>
          <w:headerReference w:type="first" r:id="rId25"/>
          <w:footerReference w:type="first" r:id="rId26"/>
          <w:pgSz w:w="11906" w:h="16838" w:code="9"/>
          <w:pgMar w:top="2835" w:right="2098" w:bottom="2466" w:left="2098" w:header="1814" w:footer="1814" w:gutter="0"/>
          <w:pgNumType w:fmt="lowerRoman"/>
          <w:cols w:space="708"/>
          <w:titlePg/>
          <w:docGrid w:linePitch="360"/>
        </w:sectPr>
      </w:pPr>
    </w:p>
    <w:p w14:paraId="5346FF67" w14:textId="77777777" w:rsidR="008D7DFC" w:rsidRPr="00883894" w:rsidRDefault="00883894" w:rsidP="00883894">
      <w:pPr>
        <w:pStyle w:val="PartHeading"/>
      </w:pPr>
      <w:bookmarkStart w:id="0" w:name="_Toc444523502"/>
      <w:r w:rsidRPr="00883894">
        <w:t>User Guide</w:t>
      </w:r>
      <w:bookmarkEnd w:id="0"/>
      <w:r w:rsidRPr="00883894">
        <w:br/>
      </w:r>
      <w:bookmarkStart w:id="1" w:name="_Toc444523503"/>
      <w:r w:rsidRPr="00883894">
        <w:t>To The</w:t>
      </w:r>
      <w:bookmarkEnd w:id="1"/>
      <w:r w:rsidRPr="00883894">
        <w:br/>
      </w:r>
      <w:bookmarkStart w:id="2" w:name="_Toc444523504"/>
      <w:r w:rsidRPr="00883894">
        <w:t>Portfolio Budget Statements</w:t>
      </w:r>
      <w:bookmarkEnd w:id="2"/>
    </w:p>
    <w:p w14:paraId="5A6B38F7" w14:textId="77777777" w:rsidR="008D7DFC" w:rsidRPr="00883894" w:rsidRDefault="008D7DFC" w:rsidP="00883894">
      <w:pPr>
        <w:pStyle w:val="PartHeading"/>
        <w:sectPr w:rsidR="008D7DFC" w:rsidRPr="00883894" w:rsidSect="00782467">
          <w:headerReference w:type="first" r:id="rId27"/>
          <w:footerReference w:type="first" r:id="rId28"/>
          <w:pgSz w:w="11906" w:h="16838" w:code="9"/>
          <w:pgMar w:top="2835" w:right="2098" w:bottom="2466" w:left="2098" w:header="1814" w:footer="1814" w:gutter="0"/>
          <w:pgNumType w:fmt="lowerRoman"/>
          <w:cols w:space="708"/>
          <w:vAlign w:val="center"/>
          <w:titlePg/>
          <w:docGrid w:linePitch="360"/>
        </w:sectPr>
      </w:pPr>
    </w:p>
    <w:p w14:paraId="5E754BBF" w14:textId="77777777" w:rsidR="008D7DFC" w:rsidRDefault="008D7DFC" w:rsidP="006928E4">
      <w:pPr>
        <w:pStyle w:val="Heading1"/>
        <w:rPr>
          <w:lang w:val="en-US"/>
        </w:rPr>
      </w:pPr>
      <w:bookmarkStart w:id="3" w:name="_Toc112211948"/>
      <w:bookmarkStart w:id="4" w:name="_Toc112212042"/>
      <w:bookmarkStart w:id="5" w:name="_Toc112137860"/>
      <w:bookmarkStart w:id="6" w:name="_Toc112224367"/>
      <w:bookmarkStart w:id="7" w:name="_Toc112225828"/>
      <w:bookmarkStart w:id="8" w:name="_Toc95217537"/>
      <w:r w:rsidRPr="006928E4">
        <w:t>User</w:t>
      </w:r>
      <w:r>
        <w:rPr>
          <w:lang w:val="en-US"/>
        </w:rPr>
        <w:t xml:space="preserve"> </w:t>
      </w:r>
      <w:r w:rsidR="00CA2F21">
        <w:rPr>
          <w:lang w:val="en-US"/>
        </w:rPr>
        <w:t>g</w:t>
      </w:r>
      <w:r>
        <w:rPr>
          <w:lang w:val="en-US"/>
        </w:rPr>
        <w:t>uide</w:t>
      </w:r>
      <w:bookmarkEnd w:id="3"/>
      <w:bookmarkEnd w:id="4"/>
      <w:bookmarkEnd w:id="5"/>
      <w:bookmarkEnd w:id="6"/>
      <w:bookmarkEnd w:id="7"/>
      <w:bookmarkEnd w:id="8"/>
    </w:p>
    <w:p w14:paraId="54E7CD6E" w14:textId="6EC63DFA" w:rsidR="008D7DFC" w:rsidRDefault="00A409BC" w:rsidP="008D7DFC">
      <w:r>
        <w:t xml:space="preserve">The purpose of the </w:t>
      </w:r>
      <w:r w:rsidR="00400A8B">
        <w:rPr>
          <w:i/>
        </w:rPr>
        <w:t>2022</w:t>
      </w:r>
      <w:r w:rsidR="007B5E45">
        <w:rPr>
          <w:i/>
        </w:rPr>
        <w:t>-</w:t>
      </w:r>
      <w:r w:rsidR="00400A8B">
        <w:rPr>
          <w:i/>
        </w:rPr>
        <w:t>23</w:t>
      </w:r>
      <w:r w:rsidR="00400A8B" w:rsidRPr="008E7DCC">
        <w:rPr>
          <w:i/>
        </w:rPr>
        <w:t xml:space="preserve"> </w:t>
      </w:r>
      <w:r w:rsidR="008D7DFC" w:rsidRPr="008E7DCC">
        <w:rPr>
          <w:i/>
        </w:rPr>
        <w:t>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14:paraId="5BC0D624" w14:textId="592B3748"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400A8B">
        <w:t>2022</w:t>
      </w:r>
      <w:r w:rsidR="007B5E45">
        <w:t>-</w:t>
      </w:r>
      <w:r w:rsidR="00400A8B">
        <w:t xml:space="preserve">23 </w:t>
      </w:r>
      <w:r>
        <w:t xml:space="preserve">(or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400A8B">
        <w:t>2022</w:t>
      </w:r>
      <w:r w:rsidR="007B5E45">
        <w:t>-</w:t>
      </w:r>
      <w:r w:rsidR="00400A8B">
        <w:t xml:space="preserve">23 </w:t>
      </w:r>
      <w:r>
        <w:t>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14:paraId="0FE41379" w14:textId="77777777" w:rsidR="008D7DFC" w:rsidRDefault="008D7DFC" w:rsidP="008D7DFC">
      <w:r>
        <w:t>The PB Statements provide information, explanation and justification to enable Parliament to understand the purpose of each outcome proposed in the Bills.</w:t>
      </w:r>
    </w:p>
    <w:p w14:paraId="3BCBCE1E" w14:textId="77777777" w:rsidR="008D7DFC" w:rsidRDefault="008D7DFC" w:rsidP="00834F9A">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14:paraId="14AF217A" w14:textId="77777777" w:rsidR="00AF3117" w:rsidRPr="005328A9" w:rsidRDefault="00AF3117" w:rsidP="005328A9">
      <w:pPr>
        <w:pStyle w:val="Heading2NoTOC"/>
      </w:pPr>
      <w:r w:rsidRPr="005328A9">
        <w:t>The Com</w:t>
      </w:r>
      <w:r w:rsidR="00834F9A" w:rsidRPr="005328A9">
        <w:t>monwealth Performance Framework</w:t>
      </w:r>
    </w:p>
    <w:p w14:paraId="1DA4113A" w14:textId="77777777" w:rsidR="00AF3117" w:rsidRPr="00FD522D" w:rsidRDefault="00AF3117" w:rsidP="00FD522D">
      <w:r w:rsidRPr="00FD522D">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3A35919F" w14:textId="77777777" w:rsidR="004D0D6B" w:rsidRDefault="004D0D6B">
      <w:pPr>
        <w:spacing w:after="0" w:line="240" w:lineRule="auto"/>
        <w:jc w:val="left"/>
        <w:rPr>
          <w:rFonts w:ascii="Arial" w:hAnsi="Arial"/>
        </w:rPr>
      </w:pPr>
      <w:r>
        <w:br w:type="page"/>
      </w:r>
    </w:p>
    <w:p w14:paraId="34205967" w14:textId="77777777" w:rsidR="005C46D8" w:rsidRPr="005C46D8" w:rsidRDefault="00A721F1" w:rsidP="003F1607">
      <w:pPr>
        <w:pStyle w:val="ChartGraphic"/>
      </w:pPr>
      <w:r>
        <w:rPr>
          <w:noProof/>
        </w:rPr>
        <mc:AlternateContent>
          <mc:Choice Requires="wpg">
            <w:drawing>
              <wp:anchor distT="0" distB="0" distL="114300" distR="114300" simplePos="0" relativeHeight="251659264" behindDoc="0" locked="0" layoutInCell="1" allowOverlap="1" wp14:anchorId="30DEEFA4" wp14:editId="739C4343">
                <wp:simplePos x="0" y="0"/>
                <wp:positionH relativeFrom="column">
                  <wp:posOffset>0</wp:posOffset>
                </wp:positionH>
                <wp:positionV relativeFrom="paragraph">
                  <wp:posOffset>0</wp:posOffset>
                </wp:positionV>
                <wp:extent cx="4882515" cy="6777990"/>
                <wp:effectExtent l="0" t="0" r="13335" b="22860"/>
                <wp:wrapNone/>
                <wp:docPr id="9" name="Group 9"/>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64C685" w14:textId="77777777" w:rsidR="00FA788E" w:rsidRDefault="00FA788E"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0A20BF13" w14:textId="77777777" w:rsidR="00FA788E" w:rsidRDefault="00FA788E"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54EFED1" w14:textId="77777777" w:rsidR="00FA788E" w:rsidRDefault="00FA788E"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C173A44" w14:textId="60623E19" w:rsidR="00FA788E" w:rsidRPr="005E1835" w:rsidRDefault="00FA788E"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14:paraId="622311E7" w14:textId="77777777" w:rsidR="00FA788E" w:rsidRDefault="00FA788E"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565E598" w14:textId="77777777" w:rsidR="00FA788E" w:rsidRPr="003548F4" w:rsidRDefault="00FA788E" w:rsidP="00A721F1">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125F2A8" w14:textId="77777777" w:rsidR="00FA788E" w:rsidRDefault="00FA788E"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4" name="Rectangle 7"/>
                          <wps:cNvSpPr>
                            <a:spLocks noChangeArrowheads="1"/>
                          </wps:cNvSpPr>
                          <wps:spPr bwMode="auto">
                            <a:xfrm>
                              <a:off x="1065754"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0F5619"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4C66CB75"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1E982132"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4D3E3EE6"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67FFDF2F"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B2EDA9"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0544988"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7C95B7C6"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16B8312D"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173"/>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796F454" w14:textId="77777777" w:rsidR="00FA788E" w:rsidRDefault="00FA788E" w:rsidP="00A721F1">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6527FB1A" w14:textId="77777777" w:rsidR="00FA788E" w:rsidRDefault="00FA788E"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9" name="Rectangle 11"/>
                          <wps:cNvSpPr>
                            <a:spLocks noChangeArrowheads="1"/>
                          </wps:cNvSpPr>
                          <wps:spPr bwMode="auto">
                            <a:xfrm>
                              <a:off x="1070254" y="1108364"/>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68250B"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D6206A3"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14A58DC8"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anchor>
            </w:drawing>
          </mc:Choice>
          <mc:Fallback>
            <w:pict>
              <v:group w14:anchorId="30DEEFA4" id="Group 9" o:spid="_x0000_s1026" style="position:absolute;left:0;text-align:left;margin-left:0;margin-top:0;width:384.45pt;height:533.7pt;z-index:251659264"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" fillcolor="#0c0c0c" strokecolor="black [0]" strokeweight="2pt">
                    <v:shadow color="black [0]"/>
                    <v:textbox inset="2.88pt,2.88pt,2.88pt,2.88pt">
                      <w:txbxContent>
                        <w:p w14:paraId="5964C685" w14:textId="77777777" w:rsidR="00FA788E" w:rsidRDefault="00FA788E"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0A20BF13" w14:textId="77777777" w:rsidR="00FA788E" w:rsidRDefault="00FA788E"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54EFED1" w14:textId="77777777" w:rsidR="00FA788E" w:rsidRDefault="00FA788E"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14:paraId="3C173A44" w14:textId="60623E19" w:rsidR="00FA788E" w:rsidRPr="005E1835" w:rsidRDefault="00FA788E"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14:paraId="622311E7" w14:textId="77777777" w:rsidR="00FA788E" w:rsidRDefault="00FA788E" w:rsidP="00A721F1">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jixQAAANsAAAAPAAAAZHJzL2Rvd25yZXYueG1sRI9Ba8JA&#10;FITvBf/D8gQvRTfWo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AA96jixQAAANsAAAAP&#10;AAAAAAAAAAAAAAAAAAcCAABkcnMvZG93bnJldi54bWxQSwUGAAAAAAMAAwC3AAAA+QIAAAAA&#10;" fillcolor="black [0]" strokecolor="black [0]" strokeweight="1pt">
                    <v:shadow color="black [0]"/>
                    <v:textbox inset="2.88pt,2.88pt,2.88pt,2.88pt">
                      <w:txbxContent>
                        <w:p w14:paraId="6565E598" w14:textId="77777777" w:rsidR="00FA788E" w:rsidRPr="003548F4" w:rsidRDefault="00FA788E" w:rsidP="00A721F1">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125F2A8" w14:textId="77777777" w:rsidR="00FA788E" w:rsidRDefault="00FA788E" w:rsidP="00A721F1">
                          <w:pPr>
                            <w:widowControl w:val="0"/>
                            <w:jc w:val="center"/>
                            <w:rPr>
                              <w:color w:val="FFFFFF"/>
                            </w:rPr>
                          </w:pPr>
                          <w:r>
                            <w:rPr>
                              <w:color w:val="FFFFFF"/>
                            </w:rPr>
                            <w:t> </w:t>
                          </w:r>
                        </w:p>
                      </w:txbxContent>
                    </v:textbox>
                  </v:rect>
                  <v:rect id="Rectangle 7" o:spid="_x0000_s1032"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FwgAAANsAAAAPAAAAZHJzL2Rvd25yZXYueG1sRI/disIw&#10;FITvhX2HcBa8s2lFRK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DhzaDFwgAAANsAAAAPAAAA&#10;AAAAAAAAAAAAAAcCAABkcnMvZG93bnJldi54bWxQSwUGAAAAAAMAAwC3AAAA9gIAAAAA&#10;" filled="f" fillcolor="black [0]" strokecolor="black [0]" strokeweight=".5pt">
                    <v:shadow color="black [0]"/>
                    <v:textbox inset="2.88pt,2.88pt,2.88pt,2.88pt">
                      <w:txbxContent>
                        <w:p w14:paraId="290F5619"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4C66CB75"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1E982132"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4D3E3EE6"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67FFDF2F"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w:t>
                          </w:r>
                        </w:p>
                      </w:txbxContent>
                    </v:textbox>
                  </v:rect>
                  <v:rect id="Rectangle 8" o:spid="_x0000_s1033"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14:paraId="59B2EDA9"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0544988"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7C95B7C6"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16B8312D"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10" o:spid="_x0000_s1035" style="position:absolute;left:10702;top:11041;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" fillcolor="black [0]" strokecolor="black [0]" strokeweight="1pt">
                    <v:shadow color="black [0]"/>
                    <v:textbox inset="2.88pt,2.88pt,2.88pt,2.88pt">
                      <w:txbxContent>
                        <w:p w14:paraId="2796F454" w14:textId="77777777" w:rsidR="00FA788E" w:rsidRDefault="00FA788E" w:rsidP="00A721F1">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6527FB1A" w14:textId="77777777" w:rsidR="00FA788E" w:rsidRDefault="00FA788E" w:rsidP="00A721F1">
                          <w:pPr>
                            <w:widowControl w:val="0"/>
                            <w:jc w:val="center"/>
                            <w:rPr>
                              <w:color w:val="FFFFFF"/>
                            </w:rPr>
                          </w:pPr>
                          <w:r>
                            <w:rPr>
                              <w:color w:val="FFFFFF"/>
                            </w:rPr>
                            <w:t> </w:t>
                          </w:r>
                        </w:p>
                      </w:txbxContent>
                    </v:textbox>
                  </v:rect>
                  <v:rect id="Rectangle 11" o:spid="_x0000_s1036" style="position:absolute;left:10702;top:11083;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" filled="f" fillcolor="black [0]" strokecolor="black [0]" strokeweight=".5pt">
                    <v:shadow color="black [0]"/>
                    <v:textbox inset="2.88pt,2.88pt,2.88pt,2.88pt">
                      <w:txbxContent>
                        <w:p w14:paraId="5368250B"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D6206A3"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14A58DC8" w14:textId="77777777" w:rsidR="00FA788E" w:rsidRDefault="00FA788E"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" strokecolor="black [0]" strokeweight="1.25pt">
                    <v:shadow color="black [0]"/>
                  </v:shape>
                  <v:shape id="AutoShape 14" o:spid="_x0000_s1038"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15" o:spid="_x0000_s1039"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1rxAAAANsAAAAPAAAAZHJzL2Rvd25yZXYueG1sRI9BawIx&#10;FITvBf9DeEJvNWux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Gkp/WvEAAAA2wAAAA8A&#10;AAAAAAAAAAAAAAAABwIAAGRycy9kb3ducmV2LnhtbFBLBQYAAAAAAwADALcAAAD4AgAAAAA=&#10;" strokecolor="black [0]" strokeweight="1.25pt">
                  <v:shadow color="black [0]"/>
                </v:shape>
              </v:group>
            </w:pict>
          </mc:Fallback>
        </mc:AlternateContent>
      </w:r>
    </w:p>
    <w:p w14:paraId="373513C9" w14:textId="77777777" w:rsidR="005C46D8" w:rsidRPr="005C46D8" w:rsidRDefault="005C46D8" w:rsidP="005C46D8">
      <w:pPr>
        <w:sectPr w:rsidR="005C46D8" w:rsidRPr="005C46D8" w:rsidSect="00782467">
          <w:headerReference w:type="even" r:id="rId29"/>
          <w:headerReference w:type="default" r:id="rId30"/>
          <w:footerReference w:type="even" r:id="rId31"/>
          <w:footerReference w:type="default" r:id="rId32"/>
          <w:headerReference w:type="first" r:id="rId33"/>
          <w:footerReference w:type="first" r:id="rId34"/>
          <w:type w:val="oddPage"/>
          <w:pgSz w:w="11906" w:h="16838" w:code="9"/>
          <w:pgMar w:top="2835" w:right="2098" w:bottom="2466" w:left="2098" w:header="1814" w:footer="1814" w:gutter="0"/>
          <w:pgNumType w:fmt="lowerRoman"/>
          <w:cols w:space="708"/>
          <w:titlePg/>
          <w:docGrid w:linePitch="360"/>
        </w:sectPr>
      </w:pPr>
    </w:p>
    <w:p w14:paraId="0A44DA8B" w14:textId="77777777" w:rsidR="00AA27AA" w:rsidRDefault="00AA27AA" w:rsidP="00A225E3">
      <w:pPr>
        <w:pStyle w:val="ContentsHeading"/>
      </w:pPr>
      <w:r>
        <w:t>Contents</w:t>
      </w:r>
    </w:p>
    <w:p w14:paraId="1077D1EA" w14:textId="331038F2" w:rsidR="00BA6FB6" w:rsidRDefault="002A32FD">
      <w:pPr>
        <w:pStyle w:val="TOC1"/>
        <w:rPr>
          <w:rFonts w:asciiTheme="minorHAnsi" w:eastAsiaTheme="minorEastAsia" w:hAnsiTheme="minorHAnsi" w:cstheme="minorBidi"/>
          <w:b w:val="0"/>
          <w:caps w:val="0"/>
          <w:noProof/>
          <w:sz w:val="22"/>
          <w:szCs w:val="22"/>
          <w:lang w:eastAsia="ja-JP"/>
        </w:rPr>
      </w:pPr>
      <w:r>
        <w:rPr>
          <w:rFonts w:ascii="Arial" w:hAnsi="Arial"/>
          <w:b w:val="0"/>
        </w:rPr>
        <w:fldChar w:fldCharType="begin"/>
      </w:r>
      <w:r>
        <w:rPr>
          <w:rFonts w:ascii="Arial" w:hAnsi="Arial"/>
          <w:b w:val="0"/>
        </w:rPr>
        <w:instrText xml:space="preserve"> TOC \h \z \t "Heading 1,1,Title,1,Title 2nd Level,1,Part,1,Heading 1 - TOC,2,Part Heading - TOC,1" </w:instrText>
      </w:r>
      <w:r>
        <w:rPr>
          <w:rFonts w:ascii="Arial" w:hAnsi="Arial"/>
          <w:b w:val="0"/>
        </w:rPr>
        <w:fldChar w:fldCharType="separate"/>
      </w:r>
      <w:hyperlink w:anchor="_Toc95217537" w:history="1">
        <w:r w:rsidR="00BA6FB6" w:rsidRPr="00401F34">
          <w:rPr>
            <w:rStyle w:val="Hyperlink"/>
            <w:noProof/>
          </w:rPr>
          <w:t>User</w:t>
        </w:r>
        <w:r w:rsidR="00BA6FB6" w:rsidRPr="00401F34">
          <w:rPr>
            <w:rStyle w:val="Hyperlink"/>
            <w:noProof/>
            <w:lang w:val="en-US"/>
          </w:rPr>
          <w:t xml:space="preserve"> guide</w:t>
        </w:r>
        <w:r w:rsidR="00BA6FB6">
          <w:rPr>
            <w:noProof/>
            <w:webHidden/>
          </w:rPr>
          <w:tab/>
        </w:r>
        <w:r w:rsidR="00BA6FB6">
          <w:rPr>
            <w:noProof/>
            <w:webHidden/>
          </w:rPr>
          <w:fldChar w:fldCharType="begin"/>
        </w:r>
        <w:r w:rsidR="00BA6FB6">
          <w:rPr>
            <w:noProof/>
            <w:webHidden/>
          </w:rPr>
          <w:instrText xml:space="preserve"> PAGEREF _Toc95217537 \h </w:instrText>
        </w:r>
        <w:r w:rsidR="00BA6FB6">
          <w:rPr>
            <w:noProof/>
            <w:webHidden/>
          </w:rPr>
        </w:r>
        <w:r w:rsidR="00BA6FB6">
          <w:rPr>
            <w:noProof/>
            <w:webHidden/>
          </w:rPr>
          <w:fldChar w:fldCharType="separate"/>
        </w:r>
        <w:r w:rsidR="00400ED5">
          <w:rPr>
            <w:noProof/>
            <w:webHidden/>
          </w:rPr>
          <w:t>vii</w:t>
        </w:r>
        <w:r w:rsidR="00BA6FB6">
          <w:rPr>
            <w:noProof/>
            <w:webHidden/>
          </w:rPr>
          <w:fldChar w:fldCharType="end"/>
        </w:r>
      </w:hyperlink>
    </w:p>
    <w:p w14:paraId="5FBCB321" w14:textId="561BFE37" w:rsidR="00BA6FB6" w:rsidRDefault="000F6D08">
      <w:pPr>
        <w:pStyle w:val="TOC1"/>
        <w:rPr>
          <w:rFonts w:asciiTheme="minorHAnsi" w:eastAsiaTheme="minorEastAsia" w:hAnsiTheme="minorHAnsi" w:cstheme="minorBidi"/>
          <w:b w:val="0"/>
          <w:caps w:val="0"/>
          <w:noProof/>
          <w:sz w:val="22"/>
          <w:szCs w:val="22"/>
          <w:lang w:eastAsia="ja-JP"/>
        </w:rPr>
      </w:pPr>
      <w:hyperlink w:anchor="_Toc95217538" w:history="1">
        <w:r w:rsidR="00BA6FB6" w:rsidRPr="00401F34">
          <w:rPr>
            <w:rStyle w:val="Hyperlink"/>
            <w:noProof/>
          </w:rPr>
          <w:t>Foreign Affairs and Trade Portfolio overview</w:t>
        </w:r>
        <w:r w:rsidR="00BA6FB6">
          <w:rPr>
            <w:noProof/>
            <w:webHidden/>
          </w:rPr>
          <w:tab/>
        </w:r>
        <w:r w:rsidR="00BA6FB6">
          <w:rPr>
            <w:noProof/>
            <w:webHidden/>
          </w:rPr>
          <w:fldChar w:fldCharType="begin"/>
        </w:r>
        <w:r w:rsidR="00BA6FB6">
          <w:rPr>
            <w:noProof/>
            <w:webHidden/>
          </w:rPr>
          <w:instrText xml:space="preserve"> PAGEREF _Toc95217538 \h </w:instrText>
        </w:r>
        <w:r w:rsidR="00BA6FB6">
          <w:rPr>
            <w:noProof/>
            <w:webHidden/>
          </w:rPr>
        </w:r>
        <w:r w:rsidR="00BA6FB6">
          <w:rPr>
            <w:noProof/>
            <w:webHidden/>
          </w:rPr>
          <w:fldChar w:fldCharType="separate"/>
        </w:r>
        <w:r w:rsidR="00400ED5">
          <w:rPr>
            <w:noProof/>
            <w:webHidden/>
          </w:rPr>
          <w:t>3</w:t>
        </w:r>
        <w:r w:rsidR="00BA6FB6">
          <w:rPr>
            <w:noProof/>
            <w:webHidden/>
          </w:rPr>
          <w:fldChar w:fldCharType="end"/>
        </w:r>
      </w:hyperlink>
    </w:p>
    <w:p w14:paraId="6530F0DF" w14:textId="7B518E00" w:rsidR="00BA6FB6" w:rsidRDefault="000F6D08">
      <w:pPr>
        <w:pStyle w:val="TOC1"/>
        <w:rPr>
          <w:rFonts w:asciiTheme="minorHAnsi" w:eastAsiaTheme="minorEastAsia" w:hAnsiTheme="minorHAnsi" w:cstheme="minorBidi"/>
          <w:b w:val="0"/>
          <w:caps w:val="0"/>
          <w:noProof/>
          <w:sz w:val="22"/>
          <w:szCs w:val="22"/>
          <w:lang w:eastAsia="ja-JP"/>
        </w:rPr>
      </w:pPr>
      <w:hyperlink w:anchor="_Toc95217539" w:history="1">
        <w:r w:rsidR="00BA6FB6" w:rsidRPr="00401F34">
          <w:rPr>
            <w:rStyle w:val="Hyperlink"/>
            <w:noProof/>
          </w:rPr>
          <w:t>Entity resources and planned performance</w:t>
        </w:r>
        <w:r w:rsidR="00BA6FB6">
          <w:rPr>
            <w:noProof/>
            <w:webHidden/>
          </w:rPr>
          <w:tab/>
        </w:r>
        <w:r w:rsidR="00683474">
          <w:rPr>
            <w:noProof/>
            <w:webHidden/>
          </w:rPr>
          <w:fldChar w:fldCharType="begin"/>
        </w:r>
        <w:r w:rsidR="00683474">
          <w:rPr>
            <w:noProof/>
            <w:webHidden/>
          </w:rPr>
          <w:instrText xml:space="preserve"> =7 </w:instrText>
        </w:r>
        <w:r w:rsidR="00683474">
          <w:rPr>
            <w:noProof/>
            <w:webHidden/>
          </w:rPr>
          <w:fldChar w:fldCharType="separate"/>
        </w:r>
        <w:r w:rsidR="00683474">
          <w:rPr>
            <w:noProof/>
            <w:webHidden/>
          </w:rPr>
          <w:t>7</w:t>
        </w:r>
        <w:r w:rsidR="00683474">
          <w:rPr>
            <w:noProof/>
            <w:webHidden/>
          </w:rPr>
          <w:fldChar w:fldCharType="end"/>
        </w:r>
      </w:hyperlink>
    </w:p>
    <w:p w14:paraId="21958CD4" w14:textId="0DBFCEEB" w:rsidR="00BA6FB6" w:rsidRDefault="000F6D08">
      <w:pPr>
        <w:pStyle w:val="TOC1"/>
        <w:rPr>
          <w:rFonts w:asciiTheme="minorHAnsi" w:eastAsiaTheme="minorEastAsia" w:hAnsiTheme="minorHAnsi" w:cstheme="minorBidi"/>
          <w:b w:val="0"/>
          <w:caps w:val="0"/>
          <w:noProof/>
          <w:sz w:val="22"/>
          <w:szCs w:val="22"/>
          <w:lang w:eastAsia="ja-JP"/>
        </w:rPr>
      </w:pPr>
      <w:hyperlink w:anchor="_Toc95217540" w:history="1">
        <w:r w:rsidR="00BA6FB6" w:rsidRPr="00401F34">
          <w:rPr>
            <w:rStyle w:val="Hyperlink"/>
            <w:noProof/>
          </w:rPr>
          <w:t>Department of Foreign Affairs and Trade</w:t>
        </w:r>
        <w:r w:rsidR="00BA6FB6">
          <w:rPr>
            <w:rStyle w:val="Hyperlink"/>
            <w:noProof/>
          </w:rPr>
          <w:t xml:space="preserve"> (DFAT)</w:t>
        </w:r>
        <w:r w:rsidR="00BA6FB6">
          <w:rPr>
            <w:noProof/>
            <w:webHidden/>
          </w:rPr>
          <w:tab/>
        </w:r>
        <w:r w:rsidR="00BA6FB6">
          <w:rPr>
            <w:noProof/>
            <w:webHidden/>
          </w:rPr>
          <w:fldChar w:fldCharType="begin"/>
        </w:r>
        <w:r w:rsidR="00BA6FB6">
          <w:rPr>
            <w:noProof/>
            <w:webHidden/>
          </w:rPr>
          <w:instrText xml:space="preserve"> PAGEREF _Toc95217540 \h </w:instrText>
        </w:r>
        <w:r w:rsidR="00BA6FB6">
          <w:rPr>
            <w:noProof/>
            <w:webHidden/>
          </w:rPr>
        </w:r>
        <w:r w:rsidR="00BA6FB6">
          <w:rPr>
            <w:noProof/>
            <w:webHidden/>
          </w:rPr>
          <w:fldChar w:fldCharType="separate"/>
        </w:r>
        <w:r w:rsidR="00400ED5">
          <w:rPr>
            <w:noProof/>
            <w:webHidden/>
          </w:rPr>
          <w:t>13</w:t>
        </w:r>
        <w:r w:rsidR="00BA6FB6">
          <w:rPr>
            <w:noProof/>
            <w:webHidden/>
          </w:rPr>
          <w:fldChar w:fldCharType="end"/>
        </w:r>
      </w:hyperlink>
    </w:p>
    <w:p w14:paraId="541C9B0D" w14:textId="30BDF97B" w:rsidR="00BA6FB6" w:rsidRDefault="000F6D08">
      <w:pPr>
        <w:pStyle w:val="TOC1"/>
        <w:rPr>
          <w:rFonts w:asciiTheme="minorHAnsi" w:eastAsiaTheme="minorEastAsia" w:hAnsiTheme="minorHAnsi" w:cstheme="minorBidi"/>
          <w:b w:val="0"/>
          <w:caps w:val="0"/>
          <w:noProof/>
          <w:sz w:val="22"/>
          <w:szCs w:val="22"/>
          <w:lang w:eastAsia="ja-JP"/>
        </w:rPr>
      </w:pPr>
      <w:hyperlink w:anchor="_Toc95217542" w:history="1">
        <w:r w:rsidR="00BA6FB6" w:rsidRPr="00401F34">
          <w:rPr>
            <w:rStyle w:val="Hyperlink"/>
            <w:noProof/>
          </w:rPr>
          <w:t>Australian Trade and Investment Commission</w:t>
        </w:r>
        <w:r w:rsidR="00BA6FB6">
          <w:rPr>
            <w:rStyle w:val="Hyperlink"/>
            <w:noProof/>
          </w:rPr>
          <w:t xml:space="preserve"> (Austrade)</w:t>
        </w:r>
        <w:r w:rsidR="00BA6FB6">
          <w:rPr>
            <w:noProof/>
            <w:webHidden/>
          </w:rPr>
          <w:tab/>
        </w:r>
        <w:r w:rsidR="00BA6FB6">
          <w:rPr>
            <w:noProof/>
            <w:webHidden/>
          </w:rPr>
          <w:fldChar w:fldCharType="begin"/>
        </w:r>
        <w:r w:rsidR="00BA6FB6">
          <w:rPr>
            <w:noProof/>
            <w:webHidden/>
          </w:rPr>
          <w:instrText xml:space="preserve"> PAGEREF _Toc95217542 \h </w:instrText>
        </w:r>
        <w:r w:rsidR="00BA6FB6">
          <w:rPr>
            <w:noProof/>
            <w:webHidden/>
          </w:rPr>
        </w:r>
        <w:r w:rsidR="00BA6FB6">
          <w:rPr>
            <w:noProof/>
            <w:webHidden/>
          </w:rPr>
          <w:fldChar w:fldCharType="separate"/>
        </w:r>
        <w:r w:rsidR="00400ED5">
          <w:rPr>
            <w:noProof/>
            <w:webHidden/>
          </w:rPr>
          <w:t>73</w:t>
        </w:r>
        <w:r w:rsidR="00BA6FB6">
          <w:rPr>
            <w:noProof/>
            <w:webHidden/>
          </w:rPr>
          <w:fldChar w:fldCharType="end"/>
        </w:r>
      </w:hyperlink>
    </w:p>
    <w:p w14:paraId="6EA9AC37" w14:textId="640F532C" w:rsidR="00BA6FB6" w:rsidRDefault="000F6D08">
      <w:pPr>
        <w:pStyle w:val="TOC1"/>
        <w:rPr>
          <w:rFonts w:asciiTheme="minorHAnsi" w:eastAsiaTheme="minorEastAsia" w:hAnsiTheme="minorHAnsi" w:cstheme="minorBidi"/>
          <w:b w:val="0"/>
          <w:caps w:val="0"/>
          <w:noProof/>
          <w:sz w:val="22"/>
          <w:szCs w:val="22"/>
          <w:lang w:eastAsia="ja-JP"/>
        </w:rPr>
      </w:pPr>
      <w:hyperlink w:anchor="_Toc95217544" w:history="1">
        <w:r w:rsidR="00BA6FB6" w:rsidRPr="00401F34">
          <w:rPr>
            <w:rStyle w:val="Hyperlink"/>
            <w:noProof/>
          </w:rPr>
          <w:t>Australian Centre for International Agricultural Research</w:t>
        </w:r>
        <w:r w:rsidR="00BA6FB6">
          <w:rPr>
            <w:rStyle w:val="Hyperlink"/>
            <w:noProof/>
          </w:rPr>
          <w:t xml:space="preserve"> (ACIAR)</w:t>
        </w:r>
        <w:r w:rsidR="00BA6FB6">
          <w:rPr>
            <w:noProof/>
            <w:webHidden/>
          </w:rPr>
          <w:tab/>
        </w:r>
        <w:r w:rsidR="00BA6FB6">
          <w:rPr>
            <w:noProof/>
            <w:webHidden/>
          </w:rPr>
          <w:fldChar w:fldCharType="begin"/>
        </w:r>
        <w:r w:rsidR="00BA6FB6">
          <w:rPr>
            <w:noProof/>
            <w:webHidden/>
          </w:rPr>
          <w:instrText xml:space="preserve"> PAGEREF _Toc95217544 \h </w:instrText>
        </w:r>
        <w:r w:rsidR="00BA6FB6">
          <w:rPr>
            <w:noProof/>
            <w:webHidden/>
          </w:rPr>
        </w:r>
        <w:r w:rsidR="00BA6FB6">
          <w:rPr>
            <w:noProof/>
            <w:webHidden/>
          </w:rPr>
          <w:fldChar w:fldCharType="separate"/>
        </w:r>
        <w:r w:rsidR="00400ED5">
          <w:rPr>
            <w:noProof/>
            <w:webHidden/>
          </w:rPr>
          <w:t>107</w:t>
        </w:r>
        <w:r w:rsidR="00BA6FB6">
          <w:rPr>
            <w:noProof/>
            <w:webHidden/>
          </w:rPr>
          <w:fldChar w:fldCharType="end"/>
        </w:r>
      </w:hyperlink>
    </w:p>
    <w:p w14:paraId="11A40C4F" w14:textId="2598EE0E" w:rsidR="00BA6FB6" w:rsidRDefault="000F6D08">
      <w:pPr>
        <w:pStyle w:val="TOC1"/>
        <w:rPr>
          <w:rFonts w:asciiTheme="minorHAnsi" w:eastAsiaTheme="minorEastAsia" w:hAnsiTheme="minorHAnsi" w:cstheme="minorBidi"/>
          <w:b w:val="0"/>
          <w:caps w:val="0"/>
          <w:noProof/>
          <w:sz w:val="22"/>
          <w:szCs w:val="22"/>
          <w:lang w:eastAsia="ja-JP"/>
        </w:rPr>
      </w:pPr>
      <w:hyperlink w:anchor="_Toc95217546" w:history="1">
        <w:r w:rsidR="00BA6FB6" w:rsidRPr="00401F34">
          <w:rPr>
            <w:rStyle w:val="Hyperlink"/>
            <w:noProof/>
          </w:rPr>
          <w:t>Australian Secret Intelligence Service</w:t>
        </w:r>
        <w:r w:rsidR="00BA6FB6">
          <w:rPr>
            <w:rStyle w:val="Hyperlink"/>
            <w:noProof/>
          </w:rPr>
          <w:t xml:space="preserve"> (ASIS)</w:t>
        </w:r>
        <w:r w:rsidR="00BA6FB6">
          <w:rPr>
            <w:noProof/>
            <w:webHidden/>
          </w:rPr>
          <w:tab/>
        </w:r>
        <w:r w:rsidR="00BA6FB6">
          <w:rPr>
            <w:noProof/>
            <w:webHidden/>
          </w:rPr>
          <w:fldChar w:fldCharType="begin"/>
        </w:r>
        <w:r w:rsidR="00BA6FB6">
          <w:rPr>
            <w:noProof/>
            <w:webHidden/>
          </w:rPr>
          <w:instrText xml:space="preserve"> PAGEREF _Toc95217546 \h </w:instrText>
        </w:r>
        <w:r w:rsidR="00BA6FB6">
          <w:rPr>
            <w:noProof/>
            <w:webHidden/>
          </w:rPr>
        </w:r>
        <w:r w:rsidR="00BA6FB6">
          <w:rPr>
            <w:noProof/>
            <w:webHidden/>
          </w:rPr>
          <w:fldChar w:fldCharType="separate"/>
        </w:r>
        <w:r w:rsidR="00400ED5">
          <w:rPr>
            <w:noProof/>
            <w:webHidden/>
          </w:rPr>
          <w:t>133</w:t>
        </w:r>
        <w:r w:rsidR="00BA6FB6">
          <w:rPr>
            <w:noProof/>
            <w:webHidden/>
          </w:rPr>
          <w:fldChar w:fldCharType="end"/>
        </w:r>
      </w:hyperlink>
    </w:p>
    <w:p w14:paraId="05F4720D" w14:textId="25506969" w:rsidR="00BA6FB6" w:rsidRDefault="000F6D08">
      <w:pPr>
        <w:pStyle w:val="TOC1"/>
        <w:rPr>
          <w:rFonts w:asciiTheme="minorHAnsi" w:eastAsiaTheme="minorEastAsia" w:hAnsiTheme="minorHAnsi" w:cstheme="minorBidi"/>
          <w:b w:val="0"/>
          <w:caps w:val="0"/>
          <w:noProof/>
          <w:sz w:val="22"/>
          <w:szCs w:val="22"/>
          <w:lang w:eastAsia="ja-JP"/>
        </w:rPr>
      </w:pPr>
      <w:hyperlink w:anchor="_Toc95217548" w:history="1">
        <w:r w:rsidR="00BA6FB6" w:rsidRPr="00401F34">
          <w:rPr>
            <w:rStyle w:val="Hyperlink"/>
            <w:noProof/>
          </w:rPr>
          <w:t>Tourism Australia</w:t>
        </w:r>
        <w:r w:rsidR="00BA6FB6">
          <w:rPr>
            <w:noProof/>
            <w:webHidden/>
          </w:rPr>
          <w:tab/>
        </w:r>
        <w:r w:rsidR="00BA6FB6">
          <w:rPr>
            <w:noProof/>
            <w:webHidden/>
          </w:rPr>
          <w:fldChar w:fldCharType="begin"/>
        </w:r>
        <w:r w:rsidR="00BA6FB6">
          <w:rPr>
            <w:noProof/>
            <w:webHidden/>
          </w:rPr>
          <w:instrText xml:space="preserve"> PAGEREF _Toc95217548 \h </w:instrText>
        </w:r>
        <w:r w:rsidR="00BA6FB6">
          <w:rPr>
            <w:noProof/>
            <w:webHidden/>
          </w:rPr>
        </w:r>
        <w:r w:rsidR="00BA6FB6">
          <w:rPr>
            <w:noProof/>
            <w:webHidden/>
          </w:rPr>
          <w:fldChar w:fldCharType="separate"/>
        </w:r>
        <w:r w:rsidR="00400ED5">
          <w:rPr>
            <w:noProof/>
            <w:webHidden/>
          </w:rPr>
          <w:t>149</w:t>
        </w:r>
        <w:r w:rsidR="00BA6FB6">
          <w:rPr>
            <w:noProof/>
            <w:webHidden/>
          </w:rPr>
          <w:fldChar w:fldCharType="end"/>
        </w:r>
      </w:hyperlink>
    </w:p>
    <w:p w14:paraId="0DC82209" w14:textId="31603DFB" w:rsidR="00BA6FB6" w:rsidRDefault="000F6D08">
      <w:pPr>
        <w:pStyle w:val="TOC1"/>
        <w:rPr>
          <w:rFonts w:asciiTheme="minorHAnsi" w:eastAsiaTheme="minorEastAsia" w:hAnsiTheme="minorHAnsi" w:cstheme="minorBidi"/>
          <w:b w:val="0"/>
          <w:caps w:val="0"/>
          <w:noProof/>
          <w:sz w:val="22"/>
          <w:szCs w:val="22"/>
          <w:lang w:eastAsia="ja-JP"/>
        </w:rPr>
      </w:pPr>
      <w:hyperlink w:anchor="_Toc95217549" w:history="1">
        <w:r w:rsidR="00BA6FB6" w:rsidRPr="00401F34">
          <w:rPr>
            <w:rStyle w:val="Hyperlink"/>
            <w:noProof/>
          </w:rPr>
          <w:t>Portfolio glossary</w:t>
        </w:r>
        <w:r w:rsidR="00BA6FB6">
          <w:rPr>
            <w:noProof/>
            <w:webHidden/>
          </w:rPr>
          <w:tab/>
        </w:r>
        <w:r w:rsidR="00BA6FB6">
          <w:rPr>
            <w:noProof/>
            <w:webHidden/>
          </w:rPr>
          <w:fldChar w:fldCharType="begin"/>
        </w:r>
        <w:r w:rsidR="00BA6FB6">
          <w:rPr>
            <w:noProof/>
            <w:webHidden/>
          </w:rPr>
          <w:instrText xml:space="preserve"> PAGEREF _Toc95217549 \h </w:instrText>
        </w:r>
        <w:r w:rsidR="00BA6FB6">
          <w:rPr>
            <w:noProof/>
            <w:webHidden/>
          </w:rPr>
        </w:r>
        <w:r w:rsidR="00BA6FB6">
          <w:rPr>
            <w:noProof/>
            <w:webHidden/>
          </w:rPr>
          <w:fldChar w:fldCharType="separate"/>
        </w:r>
        <w:r w:rsidR="00400ED5">
          <w:rPr>
            <w:noProof/>
            <w:webHidden/>
          </w:rPr>
          <w:t>173</w:t>
        </w:r>
        <w:r w:rsidR="00BA6FB6">
          <w:rPr>
            <w:noProof/>
            <w:webHidden/>
          </w:rPr>
          <w:fldChar w:fldCharType="end"/>
        </w:r>
      </w:hyperlink>
    </w:p>
    <w:p w14:paraId="4E9EC91D" w14:textId="51CE676B" w:rsidR="00CA4819" w:rsidRPr="00CA4819" w:rsidRDefault="002A32FD" w:rsidP="00CA4819">
      <w:r>
        <w:rPr>
          <w:rFonts w:ascii="Arial" w:hAnsi="Arial"/>
          <w:b/>
        </w:rPr>
        <w:fldChar w:fldCharType="end"/>
      </w:r>
    </w:p>
    <w:p w14:paraId="3C964982" w14:textId="77777777" w:rsidR="00AA27AA" w:rsidRDefault="00AA27AA" w:rsidP="00AA27AA"/>
    <w:p w14:paraId="22A3219F" w14:textId="77777777" w:rsidR="00A225E3" w:rsidRDefault="00A225E3" w:rsidP="00AA27AA">
      <w:pPr>
        <w:sectPr w:rsidR="00A225E3" w:rsidSect="00782467">
          <w:footerReference w:type="first" r:id="rId35"/>
          <w:type w:val="oddPage"/>
          <w:pgSz w:w="11906" w:h="16838" w:code="9"/>
          <w:pgMar w:top="2835" w:right="2098" w:bottom="2466" w:left="2098" w:header="1814" w:footer="1814" w:gutter="0"/>
          <w:pgNumType w:fmt="lowerRoman"/>
          <w:cols w:space="708"/>
          <w:titlePg/>
          <w:docGrid w:linePitch="360"/>
        </w:sectPr>
      </w:pPr>
    </w:p>
    <w:p w14:paraId="674D9B3D" w14:textId="26DB47C8" w:rsidR="00AA27AA" w:rsidRDefault="00883894" w:rsidP="00883894">
      <w:pPr>
        <w:pStyle w:val="PartHeading"/>
      </w:pPr>
      <w:bookmarkStart w:id="9" w:name="_Toc190766147"/>
      <w:bookmarkStart w:id="10" w:name="_Toc444523505"/>
      <w:r>
        <w:t xml:space="preserve">Portfolio </w:t>
      </w:r>
      <w:bookmarkEnd w:id="9"/>
      <w:r>
        <w:t>Overview</w:t>
      </w:r>
      <w:bookmarkEnd w:id="10"/>
    </w:p>
    <w:p w14:paraId="455D7BB4" w14:textId="77777777" w:rsidR="00081CBC" w:rsidRPr="00081CBC" w:rsidRDefault="00081CBC" w:rsidP="00081CBC"/>
    <w:p w14:paraId="3CC12E7A" w14:textId="77777777" w:rsidR="00AA27AA" w:rsidRDefault="00AA27AA" w:rsidP="00883894">
      <w:pPr>
        <w:pStyle w:val="PartHeading"/>
        <w:sectPr w:rsidR="00AA27AA" w:rsidSect="00782467">
          <w:headerReference w:type="even" r:id="rId36"/>
          <w:headerReference w:type="default" r:id="rId37"/>
          <w:headerReference w:type="first" r:id="rId38"/>
          <w:footerReference w:type="first" r:id="rId39"/>
          <w:type w:val="oddPage"/>
          <w:pgSz w:w="11906" w:h="16838" w:code="9"/>
          <w:pgMar w:top="2835" w:right="2098" w:bottom="2466" w:left="2098" w:header="1814" w:footer="1814" w:gutter="0"/>
          <w:pgNumType w:start="1"/>
          <w:cols w:space="708"/>
          <w:vAlign w:val="center"/>
          <w:titlePg/>
          <w:docGrid w:linePitch="360"/>
        </w:sectPr>
      </w:pPr>
    </w:p>
    <w:p w14:paraId="5A20C7F9" w14:textId="693C45AE" w:rsidR="00D46A7B" w:rsidRPr="00834F9A" w:rsidRDefault="000C50D8" w:rsidP="00CE4D05">
      <w:pPr>
        <w:pStyle w:val="Heading1"/>
      </w:pPr>
      <w:bookmarkStart w:id="11" w:name="_Toc190766148"/>
      <w:bookmarkStart w:id="12" w:name="_Toc95217538"/>
      <w:r>
        <w:t xml:space="preserve">Foreign Affairs and Trade </w:t>
      </w:r>
      <w:r w:rsidR="00E5444F" w:rsidRPr="00834F9A">
        <w:t>P</w:t>
      </w:r>
      <w:r w:rsidR="00605163" w:rsidRPr="00834F9A">
        <w:t xml:space="preserve">ortfolio </w:t>
      </w:r>
      <w:r w:rsidR="00605163" w:rsidRPr="00CE4D05">
        <w:t>o</w:t>
      </w:r>
      <w:r w:rsidR="00D46A7B" w:rsidRPr="00CE4D05">
        <w:t>verview</w:t>
      </w:r>
      <w:bookmarkEnd w:id="11"/>
      <w:bookmarkEnd w:id="12"/>
    </w:p>
    <w:p w14:paraId="36A48A80" w14:textId="66A287E3" w:rsidR="00D46A7B" w:rsidRDefault="00D46A7B" w:rsidP="005328A9">
      <w:pPr>
        <w:pStyle w:val="Heading2NoTOC"/>
      </w:pPr>
      <w:bookmarkStart w:id="13" w:name="_Toc190682306"/>
      <w:bookmarkStart w:id="14" w:name="_Toc444523506"/>
      <w:r>
        <w:t>Minister</w:t>
      </w:r>
      <w:r w:rsidR="00DF1ADC">
        <w:t>s</w:t>
      </w:r>
      <w:r>
        <w:t xml:space="preserve"> and </w:t>
      </w:r>
      <w:r w:rsidR="00605163">
        <w:t>p</w:t>
      </w:r>
      <w:r>
        <w:t xml:space="preserve">ortfolio </w:t>
      </w:r>
      <w:r w:rsidR="00605163">
        <w:t>r</w:t>
      </w:r>
      <w:r>
        <w:t>esponsibilities</w:t>
      </w:r>
      <w:bookmarkEnd w:id="13"/>
      <w:bookmarkEnd w:id="14"/>
    </w:p>
    <w:p w14:paraId="68122768" w14:textId="532B878F" w:rsidR="009F3C73" w:rsidRDefault="009F3C73" w:rsidP="009F3C73">
      <w:r>
        <w:t xml:space="preserve">The Foreign Affairs and Trade </w:t>
      </w:r>
      <w:r w:rsidR="007876DA">
        <w:t>p</w:t>
      </w:r>
      <w:r>
        <w:t>ortfolio has five ministers:</w:t>
      </w:r>
    </w:p>
    <w:p w14:paraId="1B7EBE97" w14:textId="77777777" w:rsidR="009F3C73" w:rsidRPr="00FD2FDA" w:rsidRDefault="009F3C73" w:rsidP="009F3C73">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Senator the Hon Marise Payne, Minister for Foreign Affairs and Minister for Women (sworn in as Minister for Foreign Affairs on 28 August 2018 and Minister for Women on 29 May 2019</w:t>
      </w:r>
      <w:proofErr w:type="gramStart"/>
      <w:r w:rsidRPr="00FD2FDA">
        <w:rPr>
          <w:rFonts w:ascii="Book Antiqua" w:eastAsia="Times New Roman" w:hAnsi="Book Antiqua"/>
          <w:sz w:val="20"/>
          <w:szCs w:val="20"/>
          <w:lang w:val="en-AU" w:eastAsia="en-AU"/>
        </w:rPr>
        <w:t>);</w:t>
      </w:r>
      <w:proofErr w:type="gramEnd"/>
    </w:p>
    <w:p w14:paraId="6862595B" w14:textId="77777777" w:rsidR="009F3C73" w:rsidRPr="00FD2FDA" w:rsidRDefault="009F3C73" w:rsidP="009F3C73">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The Hon Dan Tehan MP, Minister for Trade, Tourism and Investment (sworn in on 22 December 2020</w:t>
      </w:r>
      <w:proofErr w:type="gramStart"/>
      <w:r w:rsidRPr="00FD2FDA">
        <w:rPr>
          <w:rFonts w:ascii="Book Antiqua" w:eastAsia="Times New Roman" w:hAnsi="Book Antiqua"/>
          <w:sz w:val="20"/>
          <w:szCs w:val="20"/>
          <w:lang w:val="en-AU" w:eastAsia="en-AU"/>
        </w:rPr>
        <w:t>);</w:t>
      </w:r>
      <w:proofErr w:type="gramEnd"/>
    </w:p>
    <w:p w14:paraId="200AE23C" w14:textId="77777777" w:rsidR="009F3C73" w:rsidRPr="00FD2FDA" w:rsidRDefault="009F3C73" w:rsidP="009F3C73">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Senator the Hon Zed Seselja, Minister for International Development and the Pacific (sworn in on 22 December 2020</w:t>
      </w:r>
      <w:proofErr w:type="gramStart"/>
      <w:r w:rsidRPr="00FD2FDA">
        <w:rPr>
          <w:rFonts w:ascii="Book Antiqua" w:eastAsia="Times New Roman" w:hAnsi="Book Antiqua"/>
          <w:sz w:val="20"/>
          <w:szCs w:val="20"/>
          <w:lang w:val="en-AU" w:eastAsia="en-AU"/>
        </w:rPr>
        <w:t>);</w:t>
      </w:r>
      <w:proofErr w:type="gramEnd"/>
      <w:r w:rsidRPr="00FD2FDA">
        <w:rPr>
          <w:rFonts w:ascii="Book Antiqua" w:eastAsia="Times New Roman" w:hAnsi="Book Antiqua"/>
          <w:sz w:val="20"/>
          <w:szCs w:val="20"/>
          <w:lang w:val="en-AU" w:eastAsia="en-AU"/>
        </w:rPr>
        <w:t xml:space="preserve"> </w:t>
      </w:r>
    </w:p>
    <w:p w14:paraId="5C95DA08" w14:textId="77777777" w:rsidR="009F3C73" w:rsidRPr="00FD2FDA" w:rsidRDefault="009F3C73" w:rsidP="009F3C73">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 xml:space="preserve">The Hon </w:t>
      </w:r>
      <w:r>
        <w:rPr>
          <w:rFonts w:ascii="Book Antiqua" w:eastAsia="Times New Roman" w:hAnsi="Book Antiqua"/>
          <w:sz w:val="20"/>
          <w:szCs w:val="20"/>
          <w:lang w:val="en-AU" w:eastAsia="en-AU"/>
        </w:rPr>
        <w:t xml:space="preserve">Dr </w:t>
      </w:r>
      <w:r w:rsidRPr="00FD2FDA">
        <w:rPr>
          <w:rFonts w:ascii="Book Antiqua" w:eastAsia="Times New Roman" w:hAnsi="Book Antiqua"/>
          <w:sz w:val="20"/>
          <w:szCs w:val="20"/>
          <w:lang w:val="en-AU" w:eastAsia="en-AU"/>
        </w:rPr>
        <w:t>David Gillespie MP, Minister for Regional Health and Minister Assisting the Minister for Trade and Investment (sworn in on 2 July 2021); and</w:t>
      </w:r>
    </w:p>
    <w:p w14:paraId="7BDA549F" w14:textId="6FF519B1" w:rsidR="009F3C73" w:rsidRPr="00FD2FDA" w:rsidRDefault="009F3C73" w:rsidP="009F3C73">
      <w:pPr>
        <w:pStyle w:val="ListParagraph"/>
        <w:ind w:hanging="360"/>
        <w:rPr>
          <w:rFonts w:ascii="Book Antiqua" w:eastAsia="Times New Roman" w:hAnsi="Book Antiqua"/>
          <w:sz w:val="20"/>
          <w:szCs w:val="20"/>
          <w:lang w:val="en-AU" w:eastAsia="en-AU"/>
        </w:rPr>
      </w:pPr>
      <w:r w:rsidRPr="00FD2FDA">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ab/>
        <w:t>The Hon Michelle Landry MP, Assistant Minister for Regional Tourism and Assistant Minister for Children and Families (sworn in as Assistant Minister for Regional Tourism on 2 July 2021</w:t>
      </w:r>
      <w:r w:rsidR="00DB1992">
        <w:rPr>
          <w:rFonts w:ascii="Book Antiqua" w:eastAsia="Times New Roman" w:hAnsi="Book Antiqua"/>
          <w:sz w:val="20"/>
          <w:szCs w:val="20"/>
          <w:lang w:val="en-AU" w:eastAsia="en-AU"/>
        </w:rPr>
        <w:t>;</w:t>
      </w:r>
      <w:r w:rsidRPr="00FD2FDA">
        <w:rPr>
          <w:rFonts w:ascii="Book Antiqua" w:eastAsia="Times New Roman" w:hAnsi="Book Antiqua"/>
          <w:sz w:val="20"/>
          <w:szCs w:val="20"/>
          <w:lang w:val="en-AU" w:eastAsia="en-AU"/>
        </w:rPr>
        <w:t xml:space="preserve"> and Assistant Minister for Children and Families on 28 August 2018).</w:t>
      </w:r>
    </w:p>
    <w:p w14:paraId="01ED514D" w14:textId="2FAFD67E" w:rsidR="009F3C73" w:rsidRDefault="009F3C73" w:rsidP="009F3C73">
      <w:r>
        <w:t xml:space="preserve">The </w:t>
      </w:r>
      <w:r w:rsidR="007876DA">
        <w:t>p</w:t>
      </w:r>
      <w:r>
        <w:t>ortfolio consists of the Department of Foreign Affairs and Trade (DFAT, ‘the department’), the Australian Trade and Investment Commission (Austrade), the Australian Centre for International Agricultural Research (ACIAR), the Australian Secret Intelligence Service (ASIS), Tourism Australia and Export Finance Australia (EFA).</w:t>
      </w:r>
    </w:p>
    <w:p w14:paraId="037D25A6" w14:textId="53B32BD3" w:rsidR="009F3C73" w:rsidRDefault="009F3C73" w:rsidP="009F3C73">
      <w:pPr>
        <w:rPr>
          <w:b/>
        </w:rPr>
      </w:pPr>
      <w:r w:rsidRPr="0014127E">
        <w:rPr>
          <w:b/>
        </w:rPr>
        <w:t>Department of Foreign Affairs and Trade</w:t>
      </w:r>
      <w:r w:rsidR="00DB1992">
        <w:rPr>
          <w:b/>
        </w:rPr>
        <w:t xml:space="preserve"> (DFAT)</w:t>
      </w:r>
    </w:p>
    <w:p w14:paraId="731A08D3" w14:textId="03C37A6E" w:rsidR="009F3C73" w:rsidRDefault="009F3C73" w:rsidP="009F3C73">
      <w:r w:rsidRPr="0014127E">
        <w:t>DFAT</w:t>
      </w:r>
      <w:r w:rsidR="00DB1992">
        <w:t xml:space="preserve"> makes </w:t>
      </w:r>
      <w:r w:rsidRPr="0014127E">
        <w:t>Australia stronger, safer and more prosperous</w:t>
      </w:r>
      <w:r w:rsidR="00DB1992">
        <w:t xml:space="preserve"> by providing global diplomatic and influencing capability. DFAT leads the development of Australia’s international and strategic policy advice and provides timely and responsive consular and passport services. </w:t>
      </w:r>
    </w:p>
    <w:p w14:paraId="48D17758" w14:textId="17362F54" w:rsidR="009F3C73" w:rsidRDefault="009F3C73" w:rsidP="009F3C73">
      <w:r>
        <w:t xml:space="preserve">To achieve this purpose, DFAT has three key outcomes (see </w:t>
      </w:r>
      <w:r>
        <w:rPr>
          <w:i/>
        </w:rPr>
        <w:t>Figure 1: Foreign Affairs and Trade portfolio structure and outcomes)</w:t>
      </w:r>
      <w:r>
        <w:t xml:space="preserve"> and </w:t>
      </w:r>
      <w:r w:rsidR="00DB1992">
        <w:t xml:space="preserve">priorities </w:t>
      </w:r>
      <w:r>
        <w:t xml:space="preserve">as detailed in DFAT’s </w:t>
      </w:r>
      <w:r w:rsidRPr="008E0D3F">
        <w:rPr>
          <w:i/>
        </w:rPr>
        <w:t>202</w:t>
      </w:r>
      <w:r>
        <w:rPr>
          <w:i/>
        </w:rPr>
        <w:t>1</w:t>
      </w:r>
      <w:r w:rsidR="007876DA">
        <w:rPr>
          <w:i/>
        </w:rPr>
        <w:t>–</w:t>
      </w:r>
      <w:r w:rsidRPr="008E0D3F">
        <w:rPr>
          <w:i/>
        </w:rPr>
        <w:t>2</w:t>
      </w:r>
      <w:r>
        <w:rPr>
          <w:i/>
        </w:rPr>
        <w:t>2</w:t>
      </w:r>
      <w:r w:rsidRPr="00DD445E">
        <w:t xml:space="preserve"> </w:t>
      </w:r>
      <w:r w:rsidRPr="008C512A">
        <w:rPr>
          <w:i/>
        </w:rPr>
        <w:t>Corporate Plan</w:t>
      </w:r>
      <w:r w:rsidR="00DB1992" w:rsidRPr="00DB1992">
        <w:rPr>
          <w:i/>
          <w:iCs/>
        </w:rPr>
        <w:t>.</w:t>
      </w:r>
    </w:p>
    <w:p w14:paraId="20D4391C" w14:textId="77777777" w:rsidR="009F3C73" w:rsidRDefault="009F3C73" w:rsidP="009F3C73">
      <w:r>
        <w:t xml:space="preserve">DFAT’s work is guided </w:t>
      </w:r>
      <w:r w:rsidRPr="00842663">
        <w:t xml:space="preserve">by the </w:t>
      </w:r>
      <w:r w:rsidRPr="00DB1992">
        <w:rPr>
          <w:i/>
          <w:iCs/>
        </w:rPr>
        <w:t>2017 Foreign Policy White Paper</w:t>
      </w:r>
      <w:r w:rsidRPr="00842663">
        <w:t>, which</w:t>
      </w:r>
      <w:r>
        <w:t xml:space="preserve"> sets out a comprehensive framework to advance Australia’s security and prosperity in accordance with our values.</w:t>
      </w:r>
    </w:p>
    <w:p w14:paraId="089FBBD8" w14:textId="36F30CC8" w:rsidR="009F3C73" w:rsidRDefault="009F3C73" w:rsidP="009F3C73">
      <w:r>
        <w:t xml:space="preserve">DFAT </w:t>
      </w:r>
      <w:r w:rsidR="00DB1992">
        <w:t xml:space="preserve">works with the Australian Public Service </w:t>
      </w:r>
      <w:r>
        <w:t xml:space="preserve">to </w:t>
      </w:r>
      <w:r w:rsidR="00DB1992">
        <w:t xml:space="preserve">shape a stable and </w:t>
      </w:r>
      <w:r>
        <w:t>prosperous regional and global environment by leveraging Australia’s engagement with bilateral and regional partners and multilateral institutions.</w:t>
      </w:r>
    </w:p>
    <w:p w14:paraId="72F60AAF" w14:textId="3D04719F" w:rsidR="009F3C73" w:rsidRDefault="009F3C73" w:rsidP="00DB1992">
      <w:pPr>
        <w:rPr>
          <w:b/>
        </w:rPr>
      </w:pPr>
      <w:r>
        <w:rPr>
          <w:b/>
        </w:rPr>
        <w:t>Australian Trade and Investment Commission</w:t>
      </w:r>
      <w:r w:rsidR="00DB1992">
        <w:rPr>
          <w:b/>
        </w:rPr>
        <w:t xml:space="preserve"> (Austrade)</w:t>
      </w:r>
    </w:p>
    <w:p w14:paraId="764AA791" w14:textId="77777777" w:rsidR="00DB1992" w:rsidRDefault="009F3C73" w:rsidP="009F3C73">
      <w:pPr>
        <w:pStyle w:val="Exampletext"/>
        <w:rPr>
          <w:i w:val="0"/>
          <w:color w:val="000000" w:themeColor="text1"/>
          <w:lang w:val="en-US"/>
        </w:rPr>
      </w:pPr>
      <w:r w:rsidRPr="037D821A">
        <w:rPr>
          <w:i w:val="0"/>
          <w:color w:val="000000" w:themeColor="text1"/>
          <w:lang w:val="en-US"/>
        </w:rPr>
        <w:t>Austrade</w:t>
      </w:r>
      <w:r>
        <w:rPr>
          <w:i w:val="0"/>
          <w:color w:val="000000" w:themeColor="text1"/>
          <w:lang w:val="en-US"/>
        </w:rPr>
        <w:t>’s</w:t>
      </w:r>
      <w:r w:rsidRPr="037D821A">
        <w:rPr>
          <w:i w:val="0"/>
          <w:color w:val="000000" w:themeColor="text1"/>
          <w:lang w:val="en-US"/>
        </w:rPr>
        <w:t xml:space="preserve"> purpose </w:t>
      </w:r>
      <w:r>
        <w:rPr>
          <w:i w:val="0"/>
          <w:color w:val="000000" w:themeColor="text1"/>
          <w:lang w:val="en-US"/>
        </w:rPr>
        <w:t xml:space="preserve">is to </w:t>
      </w:r>
      <w:r w:rsidRPr="002F2B21">
        <w:rPr>
          <w:i w:val="0"/>
          <w:color w:val="000000" w:themeColor="text1"/>
          <w:lang w:val="en-US"/>
        </w:rPr>
        <w:t>deliver quality services and programs to businesses to grow Australia’s prosperity across trade, investment, tourism and international education.</w:t>
      </w:r>
    </w:p>
    <w:p w14:paraId="0A5632CD" w14:textId="6210AAB1" w:rsidR="00DB1992" w:rsidRDefault="00DB1992" w:rsidP="009F3C73">
      <w:pPr>
        <w:pStyle w:val="Exampletext"/>
        <w:rPr>
          <w:i w:val="0"/>
          <w:color w:val="000000" w:themeColor="text1"/>
          <w:lang w:val="en-US"/>
        </w:rPr>
      </w:pPr>
      <w:r>
        <w:rPr>
          <w:i w:val="0"/>
          <w:color w:val="000000" w:themeColor="text1"/>
          <w:lang w:val="en-US"/>
        </w:rPr>
        <w:t xml:space="preserve">To </w:t>
      </w:r>
      <w:r w:rsidR="009F3C73">
        <w:rPr>
          <w:i w:val="0"/>
          <w:color w:val="000000" w:themeColor="text1"/>
          <w:lang w:val="en-US"/>
        </w:rPr>
        <w:t xml:space="preserve">achieve this </w:t>
      </w:r>
      <w:r>
        <w:rPr>
          <w:i w:val="0"/>
          <w:color w:val="000000" w:themeColor="text1"/>
          <w:lang w:val="en-US"/>
        </w:rPr>
        <w:t>purpose, Austrade has two key outcomes (</w:t>
      </w:r>
      <w:r>
        <w:rPr>
          <w:iCs/>
          <w:color w:val="000000" w:themeColor="text1"/>
          <w:lang w:val="en-US"/>
        </w:rPr>
        <w:t>see Figure 1: Foreign Affairs and Trade portfolio structure and outcomes</w:t>
      </w:r>
      <w:r>
        <w:rPr>
          <w:i w:val="0"/>
          <w:color w:val="000000" w:themeColor="text1"/>
          <w:lang w:val="en-US"/>
        </w:rPr>
        <w:t>). Austrade achieves these outcomes by:</w:t>
      </w:r>
    </w:p>
    <w:p w14:paraId="514BF95B" w14:textId="59D95D02" w:rsidR="00DB1992" w:rsidRDefault="009F3C73" w:rsidP="00091F80">
      <w:pPr>
        <w:pStyle w:val="Exampletext"/>
        <w:numPr>
          <w:ilvl w:val="0"/>
          <w:numId w:val="46"/>
        </w:numPr>
        <w:ind w:left="425" w:hanging="425"/>
        <w:contextualSpacing/>
        <w:rPr>
          <w:i w:val="0"/>
          <w:iCs/>
          <w:color w:val="auto"/>
        </w:rPr>
      </w:pPr>
      <w:r w:rsidRPr="00DB1992">
        <w:rPr>
          <w:i w:val="0"/>
          <w:iCs/>
          <w:color w:val="auto"/>
        </w:rPr>
        <w:t xml:space="preserve">working with exporters, investors, the tourism industry, government and industry representatives to drive sustained long-term growth through exports and international expansion, and </w:t>
      </w:r>
      <w:r w:rsidR="00DB1992">
        <w:rPr>
          <w:i w:val="0"/>
          <w:iCs/>
          <w:color w:val="auto"/>
          <w:lang w:val="en-AU"/>
        </w:rPr>
        <w:t xml:space="preserve">attracting </w:t>
      </w:r>
      <w:r w:rsidRPr="00DB1992">
        <w:rPr>
          <w:i w:val="0"/>
          <w:iCs/>
          <w:color w:val="auto"/>
        </w:rPr>
        <w:t>productive foreign investment</w:t>
      </w:r>
      <w:r w:rsidR="00417E86">
        <w:rPr>
          <w:i w:val="0"/>
          <w:iCs/>
          <w:color w:val="auto"/>
          <w:lang w:val="en-AU"/>
        </w:rPr>
        <w:t>;</w:t>
      </w:r>
    </w:p>
    <w:p w14:paraId="4097C69F" w14:textId="2FB07F84" w:rsidR="00DB1992" w:rsidRDefault="00DB1992" w:rsidP="00091F80">
      <w:pPr>
        <w:pStyle w:val="Exampletext"/>
        <w:numPr>
          <w:ilvl w:val="0"/>
          <w:numId w:val="46"/>
        </w:numPr>
        <w:ind w:left="425" w:hanging="425"/>
        <w:contextualSpacing/>
        <w:rPr>
          <w:i w:val="0"/>
          <w:iCs/>
          <w:color w:val="auto"/>
        </w:rPr>
      </w:pPr>
      <w:r>
        <w:rPr>
          <w:i w:val="0"/>
          <w:iCs/>
          <w:color w:val="auto"/>
          <w:lang w:val="en-AU"/>
        </w:rPr>
        <w:t xml:space="preserve">reducing </w:t>
      </w:r>
      <w:r w:rsidR="009F3C73" w:rsidRPr="00DB1992">
        <w:rPr>
          <w:i w:val="0"/>
          <w:iCs/>
          <w:color w:val="auto"/>
        </w:rPr>
        <w:t>the time, cost and risk for our clients by providing authoritative commercial insights and information to help them make informed business decisions</w:t>
      </w:r>
      <w:r w:rsidR="00417E86">
        <w:rPr>
          <w:i w:val="0"/>
          <w:iCs/>
          <w:color w:val="auto"/>
          <w:lang w:val="en-AU"/>
        </w:rPr>
        <w:t>; and</w:t>
      </w:r>
    </w:p>
    <w:p w14:paraId="6404C4C6" w14:textId="1B8800C9" w:rsidR="009F3C73" w:rsidRDefault="009F3C73" w:rsidP="00091F80">
      <w:pPr>
        <w:pStyle w:val="Exampletext"/>
        <w:numPr>
          <w:ilvl w:val="0"/>
          <w:numId w:val="46"/>
        </w:numPr>
        <w:ind w:left="425" w:hanging="425"/>
        <w:contextualSpacing/>
        <w:rPr>
          <w:i w:val="0"/>
          <w:iCs/>
          <w:color w:val="auto"/>
        </w:rPr>
      </w:pPr>
      <w:r w:rsidRPr="00DB1992">
        <w:rPr>
          <w:i w:val="0"/>
          <w:iCs/>
          <w:color w:val="auto"/>
        </w:rPr>
        <w:t>collaborat</w:t>
      </w:r>
      <w:r w:rsidR="00DB1992">
        <w:rPr>
          <w:i w:val="0"/>
          <w:iCs/>
          <w:color w:val="auto"/>
          <w:lang w:val="en-AU"/>
        </w:rPr>
        <w:t>ing</w:t>
      </w:r>
      <w:r w:rsidRPr="00DB1992">
        <w:rPr>
          <w:i w:val="0"/>
          <w:iCs/>
          <w:color w:val="auto"/>
        </w:rPr>
        <w:t xml:space="preserve"> closely with state and territory governments and other Commonwealth Government entities </w:t>
      </w:r>
      <w:r w:rsidR="00DB1992">
        <w:rPr>
          <w:i w:val="0"/>
          <w:iCs/>
          <w:color w:val="auto"/>
          <w:lang w:val="en-AU"/>
        </w:rPr>
        <w:t xml:space="preserve">to </w:t>
      </w:r>
      <w:r w:rsidRPr="00DB1992">
        <w:rPr>
          <w:i w:val="0"/>
          <w:iCs/>
          <w:color w:val="auto"/>
        </w:rPr>
        <w:t>inform and influence</w:t>
      </w:r>
      <w:r w:rsidR="00DB1992">
        <w:rPr>
          <w:i w:val="0"/>
          <w:iCs/>
          <w:color w:val="auto"/>
          <w:lang w:val="en-AU"/>
        </w:rPr>
        <w:t xml:space="preserve"> </w:t>
      </w:r>
      <w:r w:rsidRPr="00DB1992">
        <w:rPr>
          <w:i w:val="0"/>
          <w:iCs/>
          <w:color w:val="auto"/>
        </w:rPr>
        <w:t xml:space="preserve">policy </w:t>
      </w:r>
      <w:r w:rsidR="00DB1992">
        <w:rPr>
          <w:i w:val="0"/>
          <w:iCs/>
          <w:color w:val="auto"/>
          <w:lang w:val="en-AU"/>
        </w:rPr>
        <w:t xml:space="preserve">supporting </w:t>
      </w:r>
      <w:r w:rsidRPr="00DB1992">
        <w:rPr>
          <w:i w:val="0"/>
          <w:iCs/>
          <w:color w:val="auto"/>
        </w:rPr>
        <w:t xml:space="preserve">positive trade and investment outcomes. </w:t>
      </w:r>
    </w:p>
    <w:p w14:paraId="4B92CDC6" w14:textId="77777777" w:rsidR="00DB1992" w:rsidRPr="00DB1992" w:rsidRDefault="00DB1992" w:rsidP="00DB1992">
      <w:pPr>
        <w:pStyle w:val="Exampletext"/>
        <w:ind w:left="425"/>
        <w:contextualSpacing/>
        <w:rPr>
          <w:i w:val="0"/>
          <w:iCs/>
          <w:color w:val="auto"/>
        </w:rPr>
      </w:pPr>
    </w:p>
    <w:p w14:paraId="25FDBAAB" w14:textId="3C0E2CCD" w:rsidR="009F3C73" w:rsidRDefault="009F3C73" w:rsidP="00DB1992">
      <w:pPr>
        <w:pStyle w:val="Exampletext"/>
        <w:rPr>
          <w:i w:val="0"/>
          <w:color w:val="000000" w:themeColor="text1"/>
        </w:rPr>
      </w:pPr>
      <w:r>
        <w:rPr>
          <w:i w:val="0"/>
          <w:color w:val="000000" w:themeColor="text1"/>
          <w:lang w:val="en-US"/>
        </w:rPr>
        <w:t>Austrade, alongside the department, promotes the opportunities created by free trade agreements (FTAs) and the reduction in non-tariff barriers. Austrade also administers schemes like the Export Market Development Grants</w:t>
      </w:r>
      <w:r w:rsidR="003B66CC">
        <w:rPr>
          <w:i w:val="0"/>
          <w:color w:val="000000" w:themeColor="text1"/>
          <w:lang w:val="en-US"/>
        </w:rPr>
        <w:t xml:space="preserve"> (EMDG) Scheme</w:t>
      </w:r>
      <w:r w:rsidR="00DB1992">
        <w:rPr>
          <w:i w:val="0"/>
          <w:color w:val="000000" w:themeColor="text1"/>
          <w:lang w:val="en-US"/>
        </w:rPr>
        <w:t xml:space="preserve"> and several tourism programs</w:t>
      </w:r>
      <w:r>
        <w:rPr>
          <w:i w:val="0"/>
          <w:color w:val="000000" w:themeColor="text1"/>
          <w:lang w:val="en-US"/>
        </w:rPr>
        <w:t>. These complement its work on policy, projects, programs and research to strengthen Australia’s tourism industry and grow Australia's share of the international tourism market.</w:t>
      </w:r>
    </w:p>
    <w:p w14:paraId="11EF0AB1" w14:textId="4DD5550A" w:rsidR="009F3C73" w:rsidRPr="00DB1992" w:rsidRDefault="009F3C73" w:rsidP="00DB1992">
      <w:pPr>
        <w:rPr>
          <w:b/>
        </w:rPr>
      </w:pPr>
      <w:r w:rsidRPr="00DB1992">
        <w:rPr>
          <w:b/>
        </w:rPr>
        <w:t>Australian Secret Intelligence Service</w:t>
      </w:r>
      <w:r w:rsidR="00DB1992">
        <w:rPr>
          <w:b/>
        </w:rPr>
        <w:t xml:space="preserve"> (ASIS)</w:t>
      </w:r>
    </w:p>
    <w:p w14:paraId="1A79D03D" w14:textId="77777777" w:rsidR="009F3C73" w:rsidRPr="0063537F" w:rsidRDefault="009F3C73" w:rsidP="00DB1992">
      <w:pPr>
        <w:pStyle w:val="Exampletext"/>
        <w:spacing w:before="120"/>
        <w:rPr>
          <w:b/>
          <w:i w:val="0"/>
          <w:color w:val="000000" w:themeColor="text1"/>
          <w:lang w:val="en-AU"/>
        </w:rPr>
      </w:pPr>
      <w:r>
        <w:rPr>
          <w:i w:val="0"/>
          <w:color w:val="000000" w:themeColor="text1"/>
          <w:lang w:val="en-AU"/>
        </w:rPr>
        <w:t>Through ASIS, the portfolio will continue to enhance the Government’s understanding of the overseas environment affecting Australia’s vital interests and take appropriate action, consistent with applicable legislation, to protect identified interests.</w:t>
      </w:r>
    </w:p>
    <w:p w14:paraId="4E3686E1" w14:textId="153B01F6" w:rsidR="009F3C73" w:rsidRPr="00F114DC" w:rsidRDefault="009F3C73" w:rsidP="00DB1992">
      <w:pPr>
        <w:rPr>
          <w:b/>
          <w:color w:val="000000" w:themeColor="text1"/>
          <w:lang w:eastAsia="x-none"/>
        </w:rPr>
      </w:pPr>
      <w:r>
        <w:rPr>
          <w:b/>
          <w:color w:val="000000" w:themeColor="text1"/>
        </w:rPr>
        <w:t>Australian Centre for International Agricultural Research</w:t>
      </w:r>
      <w:r w:rsidR="00DB1992">
        <w:rPr>
          <w:b/>
          <w:color w:val="000000" w:themeColor="text1"/>
        </w:rPr>
        <w:t xml:space="preserve"> (ACIAR)</w:t>
      </w:r>
    </w:p>
    <w:p w14:paraId="1FDFD5AE" w14:textId="77777777" w:rsidR="0058422D" w:rsidRPr="0058422D" w:rsidRDefault="0058422D" w:rsidP="0058422D">
      <w:pPr>
        <w:pStyle w:val="Exampletext"/>
        <w:rPr>
          <w:i w:val="0"/>
          <w:color w:val="000000" w:themeColor="text1"/>
        </w:rPr>
      </w:pPr>
      <w:r w:rsidRPr="0058422D">
        <w:rPr>
          <w:i w:val="0"/>
          <w:color w:val="000000" w:themeColor="text1"/>
        </w:rPr>
        <w:t>ACIAR supports Australia’s national interests by contributing to poverty reduction and improved livelihoods through more productive and sustainable agriculture emerging from collaborative international research.</w:t>
      </w:r>
    </w:p>
    <w:p w14:paraId="157B926A" w14:textId="77777777" w:rsidR="0058422D" w:rsidRDefault="0058422D">
      <w:pPr>
        <w:spacing w:after="0" w:line="240" w:lineRule="auto"/>
        <w:jc w:val="left"/>
        <w:rPr>
          <w:color w:val="000000" w:themeColor="text1"/>
          <w:lang w:val="x-none" w:eastAsia="x-none"/>
        </w:rPr>
      </w:pPr>
      <w:r>
        <w:rPr>
          <w:i/>
          <w:color w:val="000000" w:themeColor="text1"/>
        </w:rPr>
        <w:br w:type="page"/>
      </w:r>
    </w:p>
    <w:p w14:paraId="01D2C0E2" w14:textId="34DCCB9A" w:rsidR="00DB1992" w:rsidRDefault="0058422D" w:rsidP="0058422D">
      <w:pPr>
        <w:pStyle w:val="Exampletext"/>
        <w:rPr>
          <w:i w:val="0"/>
          <w:color w:val="000000" w:themeColor="text1"/>
          <w:lang w:val="en-AU"/>
        </w:rPr>
      </w:pPr>
      <w:r w:rsidRPr="0058422D">
        <w:rPr>
          <w:i w:val="0"/>
          <w:color w:val="000000" w:themeColor="text1"/>
        </w:rPr>
        <w:t>The ACIAR mandate is to amplify the impact of Australia’s outstanding capabilities in agricultural science by brokering and funding agricultural research for development partnerships in developing countries. The agency works with public and private research institutions to improve the productivity and sustainability of agricultural systems and the resilience of food systems in partner countries, with a particular focus on Papua New Guinea and Pacific island countries, and also in East Asia, South and West Asia and Eastern and Southern Africa</w:t>
      </w:r>
      <w:r w:rsidR="00DB1992" w:rsidRPr="00DB1992">
        <w:rPr>
          <w:i w:val="0"/>
          <w:color w:val="000000" w:themeColor="text1"/>
          <w:lang w:val="en-AU"/>
        </w:rPr>
        <w:t>.</w:t>
      </w:r>
    </w:p>
    <w:p w14:paraId="7C3296E4" w14:textId="77777777" w:rsidR="009F3C73" w:rsidRPr="007717FE" w:rsidRDefault="009F3C73" w:rsidP="007717FE">
      <w:pPr>
        <w:rPr>
          <w:b/>
          <w:color w:val="000000" w:themeColor="text1"/>
        </w:rPr>
      </w:pPr>
      <w:r>
        <w:rPr>
          <w:b/>
          <w:color w:val="000000" w:themeColor="text1"/>
        </w:rPr>
        <w:t>Tourism Australia</w:t>
      </w:r>
    </w:p>
    <w:p w14:paraId="3BD39793" w14:textId="240A3630" w:rsidR="009F3C73" w:rsidRDefault="009F3C73" w:rsidP="007717FE">
      <w:r>
        <w:t xml:space="preserve">Tourism Australia is Australia’s national tourism marketing organisation. It works to promote Australia internationally as a compelling tourism destination for leisure and business events travel. The outcome of Tourism Australia’s activities is to grow demand and </w:t>
      </w:r>
      <w:r w:rsidR="00417E86">
        <w:t>foster</w:t>
      </w:r>
      <w:r>
        <w:t xml:space="preserve"> a competitive and sustainable Australian tourism industry</w:t>
      </w:r>
      <w:r w:rsidR="004805B9">
        <w:t xml:space="preserve"> through partnership marketing to targeted global consumers in key markets</w:t>
      </w:r>
      <w:r>
        <w:t xml:space="preserve">. </w:t>
      </w:r>
    </w:p>
    <w:p w14:paraId="3F6AA7DC" w14:textId="743C5B30" w:rsidR="009F3C73" w:rsidRPr="00F114DC" w:rsidRDefault="009F3C73" w:rsidP="007717FE">
      <w:pPr>
        <w:rPr>
          <w:b/>
          <w:color w:val="000000" w:themeColor="text1"/>
        </w:rPr>
      </w:pPr>
      <w:r>
        <w:rPr>
          <w:b/>
          <w:color w:val="000000" w:themeColor="text1"/>
        </w:rPr>
        <w:t xml:space="preserve">Export Finance Australia </w:t>
      </w:r>
      <w:r w:rsidR="007717FE">
        <w:rPr>
          <w:b/>
          <w:color w:val="000000" w:themeColor="text1"/>
        </w:rPr>
        <w:t>(EFA)</w:t>
      </w:r>
    </w:p>
    <w:p w14:paraId="79B68B5E" w14:textId="45D7B4DA" w:rsidR="009F3C73" w:rsidRDefault="004805B9" w:rsidP="004805B9">
      <w:r>
        <w:t>EFA provides financing solutions for Australian exporters and overseas infrastructure development that delivers benefits to Australia. As the Australian Government’s export credit agency, EFA is an integral part of Australia’s international trade focus –supporting businesses, jobs and the community. EFA plays a critical role for its</w:t>
      </w:r>
      <w:r w:rsidR="00417E86">
        <w:t xml:space="preserve"> </w:t>
      </w:r>
      <w:r>
        <w:t>customers and partners by using its commercial financing capability to support viable</w:t>
      </w:r>
      <w:r w:rsidR="00417E86">
        <w:t xml:space="preserve"> </w:t>
      </w:r>
      <w:r>
        <w:t>exporters and overseas infrastructure development when financing from the private</w:t>
      </w:r>
      <w:r w:rsidR="00417E86">
        <w:t xml:space="preserve"> </w:t>
      </w:r>
      <w:r>
        <w:t>sector is unavailable. EFA works closely with banks and other financial institutions to</w:t>
      </w:r>
      <w:r w:rsidR="00973F7B">
        <w:t xml:space="preserve"> </w:t>
      </w:r>
      <w:r>
        <w:t>encourage and catalyse private market financing, and partners with DFAT and Austrade in the delivery of these services</w:t>
      </w:r>
      <w:r w:rsidR="009F3C73">
        <w:t>.</w:t>
      </w:r>
    </w:p>
    <w:p w14:paraId="7ACF8B87" w14:textId="01763725" w:rsidR="009F3C73" w:rsidRDefault="009F3C73" w:rsidP="009F3C73">
      <w:r>
        <w:t>EFA also manages the National Interest Account on behalf of the Australian</w:t>
      </w:r>
      <w:r w:rsidR="003B66CC">
        <w:t> </w:t>
      </w:r>
      <w:r>
        <w:t>Government, which includes the</w:t>
      </w:r>
      <w:r w:rsidR="0055297F">
        <w:t xml:space="preserve"> Critical Minerals Facility,</w:t>
      </w:r>
      <w:r>
        <w:t xml:space="preserve"> Defence Export Facility and loans delivered under the Australian Infrastructure Financing Facility for the Pacific. EFA also provides support to other Commonwealth Government entities such as the Northern Australia Infrastructure Facility and National Housing Finance and Investment Corporation.</w:t>
      </w:r>
    </w:p>
    <w:p w14:paraId="2F2E368C" w14:textId="36642973" w:rsidR="00C67CD1" w:rsidRDefault="00C67CD1" w:rsidP="009F3C73">
      <w:r>
        <w:t xml:space="preserve">EFA does not appear in the Portfolio Budget Statements as it is not part of the general government sector. </w:t>
      </w:r>
    </w:p>
    <w:p w14:paraId="788EB201" w14:textId="31400389" w:rsidR="00FE3DE9" w:rsidRPr="00FE3DE9" w:rsidRDefault="00932AFC" w:rsidP="00FE3DE9">
      <w:r>
        <w:t>For information on resourc</w:t>
      </w:r>
      <w:r w:rsidRPr="00932AFC">
        <w:t xml:space="preserve">ing across the portfolio, please refer to Part 1: Agency Financial Resourcing in </w:t>
      </w:r>
      <w:r w:rsidRPr="00932AFC">
        <w:rPr>
          <w:i/>
        </w:rPr>
        <w:t>Budget Paper No. 4: Agency Resourcing</w:t>
      </w:r>
      <w:r w:rsidRPr="00932AFC">
        <w:t>.</w:t>
      </w:r>
    </w:p>
    <w:p w14:paraId="154FC554" w14:textId="285A3BCB" w:rsidR="00D46A7B" w:rsidRPr="005A7C0B" w:rsidRDefault="00A1133E" w:rsidP="00FE3DE9">
      <w:pPr>
        <w:pStyle w:val="FigureHeading"/>
      </w:pPr>
      <w:r w:rsidRPr="00FE3DE9">
        <w:br w:type="page"/>
      </w:r>
      <w:r>
        <w:t xml:space="preserve">Figure 1: </w:t>
      </w:r>
      <w:r w:rsidR="000C50D8">
        <w:t xml:space="preserve">Foreign Affairs and Trade </w:t>
      </w:r>
      <w:r w:rsidR="00CA2F21">
        <w:t>p</w:t>
      </w:r>
      <w:r>
        <w:t xml:space="preserve">ortfolio </w:t>
      </w:r>
      <w:r w:rsidR="00605163">
        <w:t>structure and outcomes</w:t>
      </w:r>
    </w:p>
    <w:p w14:paraId="3051EFD3" w14:textId="7317B622" w:rsidR="00A15E63" w:rsidRDefault="00BA6FB6" w:rsidP="00C946DC">
      <w:pPr>
        <w:pStyle w:val="ChartGraphic"/>
      </w:pPr>
      <w:r w:rsidRPr="00BA6FB6">
        <w:rPr>
          <w:noProof/>
        </w:rPr>
        <mc:AlternateContent>
          <mc:Choice Requires="wps">
            <w:drawing>
              <wp:anchor distT="0" distB="0" distL="114300" distR="114300" simplePos="0" relativeHeight="251662336" behindDoc="0" locked="0" layoutInCell="1" allowOverlap="1" wp14:anchorId="247505F5" wp14:editId="12BF2AE4">
                <wp:simplePos x="0" y="0"/>
                <wp:positionH relativeFrom="column">
                  <wp:posOffset>1383665</wp:posOffset>
                </wp:positionH>
                <wp:positionV relativeFrom="paragraph">
                  <wp:posOffset>682625</wp:posOffset>
                </wp:positionV>
                <wp:extent cx="283273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832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1D4FE95"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8.95pt,53.75pt" to="332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KdtgEAALkDAAAOAAAAZHJzL2Uyb0RvYy54bWysU8GOEzEMvSPxD1HudKZdAat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" strokecolor="black [3200]" strokeweight=".5pt">
                <v:stroke joinstyle="miter"/>
              </v:line>
            </w:pict>
          </mc:Fallback>
        </mc:AlternateContent>
      </w:r>
      <w:r w:rsidRPr="00BA6FB6">
        <w:rPr>
          <w:noProof/>
        </w:rPr>
        <mc:AlternateContent>
          <mc:Choice Requires="wps">
            <w:drawing>
              <wp:anchor distT="0" distB="0" distL="114300" distR="114300" simplePos="0" relativeHeight="251664384" behindDoc="0" locked="0" layoutInCell="1" allowOverlap="1" wp14:anchorId="6DC5AB40" wp14:editId="2E45D115">
                <wp:simplePos x="0" y="0"/>
                <wp:positionH relativeFrom="column">
                  <wp:posOffset>2745105</wp:posOffset>
                </wp:positionH>
                <wp:positionV relativeFrom="paragraph">
                  <wp:posOffset>1412240</wp:posOffset>
                </wp:positionV>
                <wp:extent cx="1474592"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474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5A54C0" id="Straight Connector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5pt,111.2pt" to="332.25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" strokecolor="black [3200]" strokeweight=".5pt">
                <v:stroke joinstyle="miter"/>
              </v:line>
            </w:pict>
          </mc:Fallback>
        </mc:AlternateContent>
      </w:r>
      <w:r w:rsidRPr="00BA6FB6">
        <w:rPr>
          <w:noProof/>
        </w:rPr>
        <mc:AlternateContent>
          <mc:Choice Requires="wps">
            <w:drawing>
              <wp:anchor distT="0" distB="0" distL="114300" distR="114300" simplePos="0" relativeHeight="251665408" behindDoc="0" locked="0" layoutInCell="1" allowOverlap="1" wp14:anchorId="7E07964D" wp14:editId="2E8B08BC">
                <wp:simplePos x="0" y="0"/>
                <wp:positionH relativeFrom="column">
                  <wp:posOffset>2806700</wp:posOffset>
                </wp:positionH>
                <wp:positionV relativeFrom="paragraph">
                  <wp:posOffset>749935</wp:posOffset>
                </wp:positionV>
                <wp:extent cx="2668905" cy="609600"/>
                <wp:effectExtent l="0" t="0" r="17145" b="19050"/>
                <wp:wrapNone/>
                <wp:docPr id="329" name="Text Box 329"/>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1D5365EB" w14:textId="77777777" w:rsidR="00FA788E" w:rsidRPr="00D21B37" w:rsidRDefault="00FA788E" w:rsidP="00BA6FB6">
                            <w:pPr>
                              <w:spacing w:after="0" w:line="240" w:lineRule="auto"/>
                              <w:jc w:val="center"/>
                              <w:rPr>
                                <w:rFonts w:ascii="Calibri" w:hAnsi="Calibri" w:cs="Calibri"/>
                                <w:b/>
                                <w:bCs/>
                                <w:color w:val="000000"/>
                                <w:sz w:val="8"/>
                                <w:szCs w:val="8"/>
                                <w:lang w:val="en-US"/>
                              </w:rPr>
                            </w:pPr>
                          </w:p>
                          <w:p w14:paraId="2379B806"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Regional Health and</w:t>
                            </w:r>
                          </w:p>
                          <w:p w14:paraId="0F9574E1"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Assisting the Minister for Trade and Investment</w:t>
                            </w:r>
                          </w:p>
                          <w:p w14:paraId="73B1A624" w14:textId="77777777" w:rsidR="00FA788E" w:rsidRDefault="00FA788E" w:rsidP="00BA6FB6">
                            <w:pPr>
                              <w:spacing w:after="0" w:line="240" w:lineRule="auto"/>
                              <w:jc w:val="center"/>
                            </w:pPr>
                            <w:r>
                              <w:rPr>
                                <w:rFonts w:ascii="Calibri" w:hAnsi="Calibri" w:cs="Calibri"/>
                                <w:b/>
                                <w:bCs/>
                                <w:color w:val="000000"/>
                                <w:sz w:val="16"/>
                                <w:szCs w:val="16"/>
                                <w:lang w:val="en-US"/>
                              </w:rPr>
                              <w:t>The Hon Dr David Gillespie MP</w:t>
                            </w:r>
                          </w:p>
                          <w:p w14:paraId="013F9B15" w14:textId="77777777" w:rsidR="00FA788E" w:rsidRDefault="00FA788E" w:rsidP="00BA6F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07964D" id="_x0000_t202" coordsize="21600,21600" o:spt="202" path="m,l,21600r21600,l21600,xe">
                <v:stroke joinstyle="miter"/>
                <v:path gradientshapeok="t" o:connecttype="rect"/>
              </v:shapetype>
              <v:shape id="Text Box 329" o:spid="_x0000_s1041" type="#_x0000_t202" style="position:absolute;left:0;text-align:left;margin-left:221pt;margin-top:59.05pt;width:210.1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" fillcolor="#a5a5a5 [2092]" strokeweight=".5pt">
                <v:fill color2="#f2f2f2 [3052]" rotate="t" colors="0 #a6a6a6;48497f #d9d9d9;54395f #d9d9d9;1 #f2f2f2" focus="100%" type="gradient"/>
                <v:textbox>
                  <w:txbxContent>
                    <w:p w14:paraId="1D5365EB" w14:textId="77777777" w:rsidR="00FA788E" w:rsidRPr="00D21B37" w:rsidRDefault="00FA788E" w:rsidP="00BA6FB6">
                      <w:pPr>
                        <w:spacing w:after="0" w:line="240" w:lineRule="auto"/>
                        <w:jc w:val="center"/>
                        <w:rPr>
                          <w:rFonts w:ascii="Calibri" w:hAnsi="Calibri" w:cs="Calibri"/>
                          <w:b/>
                          <w:bCs/>
                          <w:color w:val="000000"/>
                          <w:sz w:val="8"/>
                          <w:szCs w:val="8"/>
                          <w:lang w:val="en-US"/>
                        </w:rPr>
                      </w:pPr>
                    </w:p>
                    <w:p w14:paraId="2379B806"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Regional Health and</w:t>
                      </w:r>
                    </w:p>
                    <w:p w14:paraId="0F9574E1"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Assisting the Minister for Trade and Investment</w:t>
                      </w:r>
                    </w:p>
                    <w:p w14:paraId="73B1A624" w14:textId="77777777" w:rsidR="00FA788E" w:rsidRDefault="00FA788E" w:rsidP="00BA6FB6">
                      <w:pPr>
                        <w:spacing w:after="0" w:line="240" w:lineRule="auto"/>
                        <w:jc w:val="center"/>
                      </w:pPr>
                      <w:r>
                        <w:rPr>
                          <w:rFonts w:ascii="Calibri" w:hAnsi="Calibri" w:cs="Calibri"/>
                          <w:b/>
                          <w:bCs/>
                          <w:color w:val="000000"/>
                          <w:sz w:val="16"/>
                          <w:szCs w:val="16"/>
                          <w:lang w:val="en-US"/>
                        </w:rPr>
                        <w:t>The Hon Dr David Gillespie MP</w:t>
                      </w:r>
                    </w:p>
                    <w:p w14:paraId="013F9B15" w14:textId="77777777" w:rsidR="00FA788E" w:rsidRDefault="00FA788E" w:rsidP="00BA6FB6"/>
                  </w:txbxContent>
                </v:textbox>
              </v:shape>
            </w:pict>
          </mc:Fallback>
        </mc:AlternateContent>
      </w:r>
      <w:r w:rsidRPr="00BA6FB6">
        <w:rPr>
          <w:noProof/>
        </w:rPr>
        <mc:AlternateContent>
          <mc:Choice Requires="wps">
            <w:drawing>
              <wp:anchor distT="0" distB="0" distL="114300" distR="114300" simplePos="0" relativeHeight="251666432" behindDoc="0" locked="0" layoutInCell="1" allowOverlap="1" wp14:anchorId="0C8336D3" wp14:editId="48CC8BF3">
                <wp:simplePos x="0" y="0"/>
                <wp:positionH relativeFrom="column">
                  <wp:posOffset>635</wp:posOffset>
                </wp:positionH>
                <wp:positionV relativeFrom="paragraph">
                  <wp:posOffset>749935</wp:posOffset>
                </wp:positionV>
                <wp:extent cx="2668905" cy="609600"/>
                <wp:effectExtent l="0" t="0" r="17145" b="19050"/>
                <wp:wrapNone/>
                <wp:docPr id="330" name="Text Box 330"/>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6014DDB8" w14:textId="77777777" w:rsidR="00FA788E" w:rsidRDefault="00FA788E" w:rsidP="00BA6FB6">
                            <w:pPr>
                              <w:spacing w:after="0" w:line="240" w:lineRule="auto"/>
                              <w:jc w:val="center"/>
                              <w:rPr>
                                <w:rFonts w:ascii="Calibri" w:hAnsi="Calibri" w:cs="Calibri"/>
                                <w:b/>
                                <w:bCs/>
                                <w:color w:val="000000"/>
                                <w:sz w:val="16"/>
                                <w:szCs w:val="16"/>
                                <w:lang w:val="en-US"/>
                              </w:rPr>
                            </w:pPr>
                          </w:p>
                          <w:p w14:paraId="1B8AD604"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International Development and the Pacific</w:t>
                            </w:r>
                          </w:p>
                          <w:p w14:paraId="38411053" w14:textId="77777777" w:rsidR="00FA788E" w:rsidRDefault="00FA788E" w:rsidP="00BA6FB6">
                            <w:pPr>
                              <w:spacing w:after="0" w:line="240" w:lineRule="auto"/>
                              <w:jc w:val="center"/>
                            </w:pPr>
                            <w:r>
                              <w:rPr>
                                <w:rFonts w:ascii="Calibri" w:hAnsi="Calibri" w:cs="Calibri"/>
                                <w:b/>
                                <w:bCs/>
                                <w:color w:val="000000"/>
                                <w:sz w:val="16"/>
                                <w:szCs w:val="16"/>
                                <w:lang w:val="en-US"/>
                              </w:rPr>
                              <w:t>Senator the Hon Zed Seselja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336D3" id="Text Box 330" o:spid="_x0000_s1042" type="#_x0000_t202" style="position:absolute;left:0;text-align:left;margin-left:.05pt;margin-top:59.05pt;width:210.1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" fillcolor="#a5a5a5 [2092]" strokeweight=".5pt">
                <v:fill color2="#f2f2f2 [3052]" rotate="t" colors="0 #a6a6a6;48497f #d9d9d9;54395f #d9d9d9;1 #f2f2f2" focus="100%" type="gradient"/>
                <v:textbox>
                  <w:txbxContent>
                    <w:p w14:paraId="6014DDB8" w14:textId="77777777" w:rsidR="00FA788E" w:rsidRDefault="00FA788E" w:rsidP="00BA6FB6">
                      <w:pPr>
                        <w:spacing w:after="0" w:line="240" w:lineRule="auto"/>
                        <w:jc w:val="center"/>
                        <w:rPr>
                          <w:rFonts w:ascii="Calibri" w:hAnsi="Calibri" w:cs="Calibri"/>
                          <w:b/>
                          <w:bCs/>
                          <w:color w:val="000000"/>
                          <w:sz w:val="16"/>
                          <w:szCs w:val="16"/>
                          <w:lang w:val="en-US"/>
                        </w:rPr>
                      </w:pPr>
                    </w:p>
                    <w:p w14:paraId="1B8AD604"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International Development and the Pacific</w:t>
                      </w:r>
                    </w:p>
                    <w:p w14:paraId="38411053" w14:textId="77777777" w:rsidR="00FA788E" w:rsidRDefault="00FA788E" w:rsidP="00BA6FB6">
                      <w:pPr>
                        <w:spacing w:after="0" w:line="240" w:lineRule="auto"/>
                        <w:jc w:val="center"/>
                      </w:pPr>
                      <w:r>
                        <w:rPr>
                          <w:rFonts w:ascii="Calibri" w:hAnsi="Calibri" w:cs="Calibri"/>
                          <w:b/>
                          <w:bCs/>
                          <w:color w:val="000000"/>
                          <w:sz w:val="16"/>
                          <w:szCs w:val="16"/>
                          <w:lang w:val="en-US"/>
                        </w:rPr>
                        <w:t>Senator the Hon Zed Seselja</w:t>
                      </w:r>
                    </w:p>
                  </w:txbxContent>
                </v:textbox>
              </v:shape>
            </w:pict>
          </mc:Fallback>
        </mc:AlternateContent>
      </w:r>
      <w:r w:rsidRPr="00BA6FB6">
        <w:rPr>
          <w:noProof/>
        </w:rPr>
        <mc:AlternateContent>
          <mc:Choice Requires="wps">
            <w:drawing>
              <wp:anchor distT="0" distB="0" distL="114300" distR="114300" simplePos="0" relativeHeight="251667456" behindDoc="0" locked="0" layoutInCell="1" allowOverlap="1" wp14:anchorId="09242035" wp14:editId="3752C711">
                <wp:simplePos x="0" y="0"/>
                <wp:positionH relativeFrom="column">
                  <wp:posOffset>2806700</wp:posOffset>
                </wp:positionH>
                <wp:positionV relativeFrom="paragraph">
                  <wp:posOffset>1466215</wp:posOffset>
                </wp:positionV>
                <wp:extent cx="2668905" cy="609600"/>
                <wp:effectExtent l="0" t="0" r="17145" b="19050"/>
                <wp:wrapNone/>
                <wp:docPr id="331" name="Text Box 331"/>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57579FDE" w14:textId="77777777" w:rsidR="00FA788E" w:rsidRPr="00D21B37" w:rsidRDefault="00FA788E" w:rsidP="00BA6FB6">
                            <w:pPr>
                              <w:spacing w:after="0" w:line="240" w:lineRule="auto"/>
                              <w:jc w:val="center"/>
                              <w:rPr>
                                <w:rFonts w:ascii="Calibri" w:hAnsi="Calibri" w:cs="Calibri"/>
                                <w:b/>
                                <w:bCs/>
                                <w:color w:val="000000"/>
                                <w:sz w:val="8"/>
                                <w:szCs w:val="8"/>
                                <w:lang w:val="en-US"/>
                              </w:rPr>
                            </w:pPr>
                          </w:p>
                          <w:p w14:paraId="579CF0D9"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Assistant Minister for Regional Tourism and </w:t>
                            </w:r>
                          </w:p>
                          <w:p w14:paraId="3AD08F92"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Children and Families</w:t>
                            </w:r>
                          </w:p>
                          <w:p w14:paraId="6E20AC9A" w14:textId="77777777" w:rsidR="00FA788E" w:rsidRPr="00D21B37"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The Hon Michelle Landry 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242035" id="Text Box 331" o:spid="_x0000_s1043" type="#_x0000_t202" style="position:absolute;left:0;text-align:left;margin-left:221pt;margin-top:115.45pt;width:210.1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" fillcolor="#a5a5a5 [2092]" strokeweight=".5pt">
                <v:fill color2="#f2f2f2 [3052]" rotate="t" colors="0 #a6a6a6;48497f #d9d9d9;54395f #d9d9d9;1 #f2f2f2" focus="100%" type="gradient"/>
                <v:textbox>
                  <w:txbxContent>
                    <w:p w14:paraId="57579FDE" w14:textId="77777777" w:rsidR="00FA788E" w:rsidRPr="00D21B37" w:rsidRDefault="00FA788E" w:rsidP="00BA6FB6">
                      <w:pPr>
                        <w:spacing w:after="0" w:line="240" w:lineRule="auto"/>
                        <w:jc w:val="center"/>
                        <w:rPr>
                          <w:rFonts w:ascii="Calibri" w:hAnsi="Calibri" w:cs="Calibri"/>
                          <w:b/>
                          <w:bCs/>
                          <w:color w:val="000000"/>
                          <w:sz w:val="8"/>
                          <w:szCs w:val="8"/>
                          <w:lang w:val="en-US"/>
                        </w:rPr>
                      </w:pPr>
                    </w:p>
                    <w:p w14:paraId="579CF0D9"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Assistant Minister for Regional Tourism and </w:t>
                      </w:r>
                    </w:p>
                    <w:p w14:paraId="3AD08F92"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Assistant Minister for Children and Families</w:t>
                      </w:r>
                    </w:p>
                    <w:p w14:paraId="6E20AC9A" w14:textId="77777777" w:rsidR="00FA788E" w:rsidRPr="00D21B37"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The Hon Michelle Landry MP</w:t>
                      </w:r>
                    </w:p>
                  </w:txbxContent>
                </v:textbox>
              </v:shape>
            </w:pict>
          </mc:Fallback>
        </mc:AlternateContent>
      </w:r>
      <w:r w:rsidRPr="00BA6FB6">
        <w:rPr>
          <w:noProof/>
        </w:rPr>
        <mc:AlternateContent>
          <mc:Choice Requires="wps">
            <w:drawing>
              <wp:anchor distT="0" distB="0" distL="114300" distR="114300" simplePos="0" relativeHeight="251668480" behindDoc="0" locked="0" layoutInCell="1" allowOverlap="1" wp14:anchorId="3D565094" wp14:editId="160F23E5">
                <wp:simplePos x="0" y="0"/>
                <wp:positionH relativeFrom="column">
                  <wp:posOffset>635</wp:posOffset>
                </wp:positionH>
                <wp:positionV relativeFrom="paragraph">
                  <wp:posOffset>3613785</wp:posOffset>
                </wp:positionV>
                <wp:extent cx="2668905" cy="1066800"/>
                <wp:effectExtent l="0" t="0" r="17145" b="19050"/>
                <wp:wrapNone/>
                <wp:docPr id="332" name="Text Box 332"/>
                <wp:cNvGraphicFramePr/>
                <a:graphic xmlns:a="http://schemas.openxmlformats.org/drawingml/2006/main">
                  <a:graphicData uri="http://schemas.microsoft.com/office/word/2010/wordprocessingShape">
                    <wps:wsp>
                      <wps:cNvSpPr txBox="1"/>
                      <wps:spPr>
                        <a:xfrm>
                          <a:off x="0" y="0"/>
                          <a:ext cx="2668905" cy="1066800"/>
                        </a:xfrm>
                        <a:prstGeom prst="rect">
                          <a:avLst/>
                        </a:prstGeom>
                        <a:solidFill>
                          <a:schemeClr val="lt1"/>
                        </a:solidFill>
                        <a:ln w="6350">
                          <a:solidFill>
                            <a:prstClr val="black"/>
                          </a:solidFill>
                        </a:ln>
                      </wps:spPr>
                      <wps:txbx>
                        <w:txbxContent>
                          <w:p w14:paraId="3B0E2778"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14:paraId="290CF57F"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14:paraId="7132C6E0" w14:textId="77777777" w:rsidR="00FA788E" w:rsidRDefault="00FA788E" w:rsidP="00BA6FB6">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Chief Executive Officer, Professor Andrew Campbell</w:t>
                            </w:r>
                          </w:p>
                          <w:p w14:paraId="440472FD" w14:textId="77777777" w:rsidR="00FA788E" w:rsidRDefault="00FA788E" w:rsidP="00BA6FB6">
                            <w:pPr>
                              <w:spacing w:after="120" w:line="240" w:lineRule="auto"/>
                              <w:jc w:val="center"/>
                            </w:pPr>
                            <w:r>
                              <w:rPr>
                                <w:rFonts w:ascii="Calibri" w:hAnsi="Calibri" w:cs="Calibri"/>
                                <w:color w:val="000000"/>
                                <w:sz w:val="16"/>
                                <w:szCs w:val="16"/>
                                <w:lang w:val="en-US"/>
                              </w:rPr>
                              <w:t>Outcome 1: To achieve more productive and sustainable agricultural systems for the benefit of developing countries and Australia through international agricultural research and training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65094" id="Text Box 332" o:spid="_x0000_s1044" type="#_x0000_t202" style="position:absolute;left:0;text-align:left;margin-left:.05pt;margin-top:284.55pt;width:210.1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" fillcolor="white [3201]" strokeweight=".5pt">
                <v:textbox>
                  <w:txbxContent>
                    <w:p w14:paraId="3B0E2778"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14:paraId="290CF57F"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14:paraId="7132C6E0" w14:textId="77777777" w:rsidR="00FA788E" w:rsidRDefault="00FA788E" w:rsidP="00BA6FB6">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Chief Executive Officer, Professor Andrew Campbell</w:t>
                      </w:r>
                    </w:p>
                    <w:p w14:paraId="440472FD" w14:textId="77777777" w:rsidR="00FA788E" w:rsidRDefault="00FA788E" w:rsidP="00BA6FB6">
                      <w:pPr>
                        <w:spacing w:after="120" w:line="240" w:lineRule="auto"/>
                        <w:jc w:val="center"/>
                      </w:pPr>
                      <w:r>
                        <w:rPr>
                          <w:rFonts w:ascii="Calibri" w:hAnsi="Calibri" w:cs="Calibri"/>
                          <w:color w:val="000000"/>
                          <w:sz w:val="16"/>
                          <w:szCs w:val="16"/>
                          <w:lang w:val="en-US"/>
                        </w:rPr>
                        <w:t>Outcome 1: To achieve more productive and sustainable agricultural systems for the benefit of developing countries and Australia through international agricultural research and training partnerships</w:t>
                      </w:r>
                    </w:p>
                  </w:txbxContent>
                </v:textbox>
              </v:shape>
            </w:pict>
          </mc:Fallback>
        </mc:AlternateContent>
      </w:r>
      <w:r w:rsidRPr="00BA6FB6">
        <w:rPr>
          <w:noProof/>
        </w:rPr>
        <mc:AlternateContent>
          <mc:Choice Requires="wps">
            <w:drawing>
              <wp:anchor distT="0" distB="0" distL="114300" distR="114300" simplePos="0" relativeHeight="251669504" behindDoc="0" locked="0" layoutInCell="1" allowOverlap="1" wp14:anchorId="391325A2" wp14:editId="2E977C7D">
                <wp:simplePos x="0" y="0"/>
                <wp:positionH relativeFrom="column">
                  <wp:posOffset>2806700</wp:posOffset>
                </wp:positionH>
                <wp:positionV relativeFrom="paragraph">
                  <wp:posOffset>3613785</wp:posOffset>
                </wp:positionV>
                <wp:extent cx="2668905" cy="1524000"/>
                <wp:effectExtent l="0" t="0" r="17145" b="19050"/>
                <wp:wrapNone/>
                <wp:docPr id="333" name="Text Box 333"/>
                <wp:cNvGraphicFramePr/>
                <a:graphic xmlns:a="http://schemas.openxmlformats.org/drawingml/2006/main">
                  <a:graphicData uri="http://schemas.microsoft.com/office/word/2010/wordprocessingShape">
                    <wps:wsp>
                      <wps:cNvSpPr txBox="1"/>
                      <wps:spPr>
                        <a:xfrm>
                          <a:off x="0" y="0"/>
                          <a:ext cx="2668905" cy="1524000"/>
                        </a:xfrm>
                        <a:prstGeom prst="rect">
                          <a:avLst/>
                        </a:prstGeom>
                        <a:solidFill>
                          <a:schemeClr val="lt1"/>
                        </a:solidFill>
                        <a:ln w="6350">
                          <a:solidFill>
                            <a:prstClr val="black"/>
                          </a:solidFill>
                        </a:ln>
                      </wps:spPr>
                      <wps:txbx>
                        <w:txbxContent>
                          <w:p w14:paraId="44C65E51" w14:textId="77777777"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Australian Trade and Investment Commission </w:t>
                            </w:r>
                            <w:r>
                              <w:rPr>
                                <w:rFonts w:ascii="Calibri" w:hAnsi="Calibri" w:cs="Calibri"/>
                                <w:b/>
                                <w:bCs/>
                                <w:color w:val="000000"/>
                                <w:sz w:val="16"/>
                                <w:szCs w:val="16"/>
                                <w:lang w:val="en-US"/>
                              </w:rPr>
                              <w:br/>
                              <w:t>Chief Executive Officer, Mr Xavier Simonet</w:t>
                            </w:r>
                          </w:p>
                          <w:p w14:paraId="091D2178" w14:textId="77777777" w:rsidR="00FA788E" w:rsidRDefault="00FA788E" w:rsidP="00BA6FB6">
                            <w:pPr>
                              <w:spacing w:after="12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1: Contribute to Australia’s economic prosperity by promoting Australia’s export and other international economic interests through the provision of information, advice and services to business, associations, institutions and government</w:t>
                            </w:r>
                          </w:p>
                          <w:p w14:paraId="3D99BC7B" w14:textId="77777777" w:rsidR="00FA788E" w:rsidRDefault="00FA788E" w:rsidP="00BA6FB6">
                            <w:pPr>
                              <w:spacing w:after="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2: The protection and welfare of Australians abroad though timely and responsive consular and passport services in specific locations overseas</w:t>
                            </w:r>
                          </w:p>
                          <w:p w14:paraId="4DE083E3" w14:textId="77777777" w:rsidR="00FA788E" w:rsidRDefault="00FA788E" w:rsidP="00BA6FB6">
                            <w:pPr>
                              <w:spacing w:after="0" w:line="240" w:lineRule="auto"/>
                              <w:jc w:val="center"/>
                              <w:rPr>
                                <w:rFonts w:ascii="Calibri" w:hAnsi="Calibri" w:cs="Calibri"/>
                                <w:bCs/>
                                <w:color w:val="000000"/>
                                <w:sz w:val="16"/>
                                <w:szCs w:val="16"/>
                                <w:lang w:val="en-US"/>
                              </w:rPr>
                            </w:pPr>
                          </w:p>
                          <w:p w14:paraId="39308710" w14:textId="77777777" w:rsidR="00FA788E" w:rsidRDefault="00FA788E" w:rsidP="00BA6F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325A2" id="Text Box 333" o:spid="_x0000_s1045" type="#_x0000_t202" style="position:absolute;left:0;text-align:left;margin-left:221pt;margin-top:284.55pt;width:210.1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" fillcolor="white [3201]" strokeweight=".5pt">
                <v:textbox>
                  <w:txbxContent>
                    <w:p w14:paraId="44C65E51" w14:textId="77777777"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Australian Trade and Investment Commission </w:t>
                      </w:r>
                      <w:r>
                        <w:rPr>
                          <w:rFonts w:ascii="Calibri" w:hAnsi="Calibri" w:cs="Calibri"/>
                          <w:b/>
                          <w:bCs/>
                          <w:color w:val="000000"/>
                          <w:sz w:val="16"/>
                          <w:szCs w:val="16"/>
                          <w:lang w:val="en-US"/>
                        </w:rPr>
                        <w:br/>
                        <w:t>Chief Executive Officer, Mr Xavier Simonet</w:t>
                      </w:r>
                    </w:p>
                    <w:p w14:paraId="091D2178" w14:textId="77777777" w:rsidR="00FA788E" w:rsidRDefault="00FA788E" w:rsidP="00BA6FB6">
                      <w:pPr>
                        <w:spacing w:after="12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1: Contribute to Australia’s economic prosperity by promoting Australia’s export and other international economic interests through the provision of information, advice and services to business, associations, institutions and government</w:t>
                      </w:r>
                    </w:p>
                    <w:p w14:paraId="3D99BC7B" w14:textId="77777777" w:rsidR="00FA788E" w:rsidRDefault="00FA788E" w:rsidP="00BA6FB6">
                      <w:pPr>
                        <w:spacing w:after="0" w:line="240" w:lineRule="auto"/>
                        <w:jc w:val="center"/>
                        <w:rPr>
                          <w:rFonts w:ascii="Calibri" w:hAnsi="Calibri" w:cs="Calibri"/>
                          <w:bCs/>
                          <w:color w:val="000000"/>
                          <w:sz w:val="16"/>
                          <w:szCs w:val="16"/>
                          <w:lang w:val="en-US"/>
                        </w:rPr>
                      </w:pPr>
                      <w:r>
                        <w:rPr>
                          <w:rFonts w:ascii="Calibri" w:hAnsi="Calibri" w:cs="Calibri"/>
                          <w:bCs/>
                          <w:color w:val="000000"/>
                          <w:sz w:val="16"/>
                          <w:szCs w:val="16"/>
                          <w:lang w:val="en-US"/>
                        </w:rPr>
                        <w:t>Outcome 2: The protection and welfare of Australians abroad though timely and responsive consular and passport services in specific locations overseas</w:t>
                      </w:r>
                    </w:p>
                    <w:p w14:paraId="4DE083E3" w14:textId="77777777" w:rsidR="00FA788E" w:rsidRDefault="00FA788E" w:rsidP="00BA6FB6">
                      <w:pPr>
                        <w:spacing w:after="0" w:line="240" w:lineRule="auto"/>
                        <w:jc w:val="center"/>
                        <w:rPr>
                          <w:rFonts w:ascii="Calibri" w:hAnsi="Calibri" w:cs="Calibri"/>
                          <w:bCs/>
                          <w:color w:val="000000"/>
                          <w:sz w:val="16"/>
                          <w:szCs w:val="16"/>
                          <w:lang w:val="en-US"/>
                        </w:rPr>
                      </w:pPr>
                    </w:p>
                    <w:p w14:paraId="39308710" w14:textId="77777777" w:rsidR="00FA788E" w:rsidRDefault="00FA788E" w:rsidP="00BA6FB6"/>
                  </w:txbxContent>
                </v:textbox>
              </v:shape>
            </w:pict>
          </mc:Fallback>
        </mc:AlternateContent>
      </w:r>
      <w:r w:rsidRPr="00BA6FB6">
        <w:rPr>
          <w:noProof/>
        </w:rPr>
        <mc:AlternateContent>
          <mc:Choice Requires="wps">
            <w:drawing>
              <wp:anchor distT="0" distB="0" distL="114300" distR="114300" simplePos="0" relativeHeight="251670528" behindDoc="0" locked="0" layoutInCell="1" allowOverlap="1" wp14:anchorId="048F8993" wp14:editId="119D8ECB">
                <wp:simplePos x="0" y="0"/>
                <wp:positionH relativeFrom="column">
                  <wp:posOffset>2806700</wp:posOffset>
                </wp:positionH>
                <wp:positionV relativeFrom="paragraph">
                  <wp:posOffset>5210175</wp:posOffset>
                </wp:positionV>
                <wp:extent cx="2668905" cy="939800"/>
                <wp:effectExtent l="0" t="0" r="17145" b="12700"/>
                <wp:wrapNone/>
                <wp:docPr id="334" name="Text Box 334"/>
                <wp:cNvGraphicFramePr/>
                <a:graphic xmlns:a="http://schemas.openxmlformats.org/drawingml/2006/main">
                  <a:graphicData uri="http://schemas.microsoft.com/office/word/2010/wordprocessingShape">
                    <wps:wsp>
                      <wps:cNvSpPr txBox="1"/>
                      <wps:spPr>
                        <a:xfrm>
                          <a:off x="0" y="0"/>
                          <a:ext cx="2668905" cy="939800"/>
                        </a:xfrm>
                        <a:prstGeom prst="rect">
                          <a:avLst/>
                        </a:prstGeom>
                        <a:solidFill>
                          <a:schemeClr val="lt1"/>
                        </a:solidFill>
                        <a:ln w="6350">
                          <a:solidFill>
                            <a:prstClr val="black"/>
                          </a:solidFill>
                        </a:ln>
                      </wps:spPr>
                      <wps:txbx>
                        <w:txbxContent>
                          <w:p w14:paraId="25DD4535"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Tourism Australia </w:t>
                            </w:r>
                          </w:p>
                          <w:p w14:paraId="34B4B62E"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Chair, Mr </w:t>
                            </w:r>
                            <w:r w:rsidRPr="00C03C92">
                              <w:rPr>
                                <w:rFonts w:ascii="Calibri" w:hAnsi="Calibri" w:cs="Calibri"/>
                                <w:b/>
                                <w:bCs/>
                                <w:color w:val="000000"/>
                                <w:sz w:val="16"/>
                                <w:szCs w:val="16"/>
                                <w:lang w:val="en-US"/>
                              </w:rPr>
                              <w:t>Michael Issenberg</w:t>
                            </w:r>
                          </w:p>
                          <w:p w14:paraId="13BDD7D5" w14:textId="77777777"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Managing Director, Ms Phillipa Harrison</w:t>
                            </w:r>
                          </w:p>
                          <w:p w14:paraId="750DC70A" w14:textId="77777777" w:rsidR="00FA788E" w:rsidRDefault="00FA788E" w:rsidP="00BA6FB6">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Outcome 1: Grow demand and foster a competitive and sustainable Australian tourism industry through partnership marketing to targeted global consumers in key markets</w:t>
                            </w:r>
                          </w:p>
                          <w:p w14:paraId="2C99C178" w14:textId="77777777" w:rsidR="00FA788E" w:rsidRDefault="00FA788E" w:rsidP="00BA6FB6">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F8993" id="Text Box 334" o:spid="_x0000_s1046" type="#_x0000_t202" style="position:absolute;left:0;text-align:left;margin-left:221pt;margin-top:410.25pt;width:210.15pt;height: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" fillcolor="white [3201]" strokeweight=".5pt">
                <v:textbox>
                  <w:txbxContent>
                    <w:p w14:paraId="25DD4535"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Tourism Australia </w:t>
                      </w:r>
                    </w:p>
                    <w:p w14:paraId="34B4B62E"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Chair, Mr </w:t>
                      </w:r>
                      <w:r w:rsidRPr="00C03C92">
                        <w:rPr>
                          <w:rFonts w:ascii="Calibri" w:hAnsi="Calibri" w:cs="Calibri"/>
                          <w:b/>
                          <w:bCs/>
                          <w:color w:val="000000"/>
                          <w:sz w:val="16"/>
                          <w:szCs w:val="16"/>
                          <w:lang w:val="en-US"/>
                        </w:rPr>
                        <w:t>Michael Issenberg</w:t>
                      </w:r>
                    </w:p>
                    <w:p w14:paraId="13BDD7D5" w14:textId="77777777"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Managing Director, Ms Phillipa Harrison</w:t>
                      </w:r>
                    </w:p>
                    <w:p w14:paraId="750DC70A" w14:textId="77777777" w:rsidR="00FA788E" w:rsidRDefault="00FA788E" w:rsidP="00BA6FB6">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Outcome 1: Grow demand and foster a competitive and sustainable Australian tourism industry through partnership marketing to targeted global consumers in key markets</w:t>
                      </w:r>
                    </w:p>
                    <w:p w14:paraId="2C99C178" w14:textId="77777777" w:rsidR="00FA788E" w:rsidRDefault="00FA788E" w:rsidP="00BA6FB6">
                      <w:pPr>
                        <w:spacing w:after="120" w:line="240" w:lineRule="auto"/>
                        <w:jc w:val="center"/>
                      </w:pPr>
                    </w:p>
                  </w:txbxContent>
                </v:textbox>
              </v:shape>
            </w:pict>
          </mc:Fallback>
        </mc:AlternateContent>
      </w:r>
      <w:r w:rsidRPr="00BA6FB6">
        <w:rPr>
          <w:noProof/>
        </w:rPr>
        <mc:AlternateContent>
          <mc:Choice Requires="wps">
            <w:drawing>
              <wp:anchor distT="0" distB="0" distL="114300" distR="114300" simplePos="0" relativeHeight="251671552" behindDoc="0" locked="0" layoutInCell="1" allowOverlap="1" wp14:anchorId="647BB2AC" wp14:editId="788261C6">
                <wp:simplePos x="0" y="0"/>
                <wp:positionH relativeFrom="column">
                  <wp:posOffset>0</wp:posOffset>
                </wp:positionH>
                <wp:positionV relativeFrom="paragraph">
                  <wp:posOffset>4761230</wp:posOffset>
                </wp:positionV>
                <wp:extent cx="2668905" cy="1066800"/>
                <wp:effectExtent l="0" t="0" r="17145" b="19050"/>
                <wp:wrapNone/>
                <wp:docPr id="335" name="Text Box 335"/>
                <wp:cNvGraphicFramePr/>
                <a:graphic xmlns:a="http://schemas.openxmlformats.org/drawingml/2006/main">
                  <a:graphicData uri="http://schemas.microsoft.com/office/word/2010/wordprocessingShape">
                    <wps:wsp>
                      <wps:cNvSpPr txBox="1"/>
                      <wps:spPr>
                        <a:xfrm>
                          <a:off x="0" y="0"/>
                          <a:ext cx="2668905" cy="1066800"/>
                        </a:xfrm>
                        <a:prstGeom prst="rect">
                          <a:avLst/>
                        </a:prstGeom>
                        <a:solidFill>
                          <a:schemeClr val="lt1"/>
                        </a:solidFill>
                        <a:ln w="6350">
                          <a:solidFill>
                            <a:prstClr val="black"/>
                          </a:solidFill>
                        </a:ln>
                      </wps:spPr>
                      <wps:txbx>
                        <w:txbxContent>
                          <w:p w14:paraId="10A2D84F" w14:textId="77777777"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Secret Intelligence Service</w:t>
                            </w:r>
                            <w:r>
                              <w:rPr>
                                <w:rFonts w:ascii="Calibri" w:hAnsi="Calibri" w:cs="Calibri"/>
                                <w:b/>
                                <w:bCs/>
                                <w:color w:val="000000"/>
                                <w:sz w:val="16"/>
                                <w:szCs w:val="16"/>
                                <w:lang w:val="en-US"/>
                              </w:rPr>
                              <w:br/>
                              <w:t>Director-General, Mr Paul Symon AO</w:t>
                            </w:r>
                          </w:p>
                          <w:p w14:paraId="52510C37" w14:textId="77777777" w:rsidR="00FA788E" w:rsidRDefault="00FA788E" w:rsidP="00BA6FB6">
                            <w:pPr>
                              <w:spacing w:after="100" w:afterAutospacing="1"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affecting Australia’s interests through the provision of covert intelligence services about the capabilities, intentions or activities of people or </w:t>
                            </w:r>
                            <w:r w:rsidRPr="009233CE">
                              <w:rPr>
                                <w:rFonts w:ascii="Calibri" w:hAnsi="Calibri" w:cs="Calibri"/>
                                <w:color w:val="000000"/>
                                <w:sz w:val="16"/>
                                <w:szCs w:val="16"/>
                              </w:rPr>
                              <w:t>organisations</w:t>
                            </w:r>
                            <w:r>
                              <w:rPr>
                                <w:rFonts w:ascii="Calibri" w:hAnsi="Calibri" w:cs="Calibri"/>
                                <w:color w:val="000000"/>
                                <w:sz w:val="16"/>
                                <w:szCs w:val="16"/>
                                <w:lang w:val="en-US"/>
                              </w:rPr>
                              <w:t xml:space="preserve"> outside Australia</w:t>
                            </w:r>
                          </w:p>
                          <w:p w14:paraId="0A4E78B2" w14:textId="77777777" w:rsidR="00FA788E" w:rsidRDefault="00FA788E" w:rsidP="00BA6FB6">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BB2AC" id="Text Box 335" o:spid="_x0000_s1047" type="#_x0000_t202" style="position:absolute;left:0;text-align:left;margin-left:0;margin-top:374.9pt;width:210.1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" fillcolor="white [3201]" strokeweight=".5pt">
                <v:textbox>
                  <w:txbxContent>
                    <w:p w14:paraId="10A2D84F" w14:textId="77777777"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Secret Intelligence Service</w:t>
                      </w:r>
                      <w:r>
                        <w:rPr>
                          <w:rFonts w:ascii="Calibri" w:hAnsi="Calibri" w:cs="Calibri"/>
                          <w:b/>
                          <w:bCs/>
                          <w:color w:val="000000"/>
                          <w:sz w:val="16"/>
                          <w:szCs w:val="16"/>
                          <w:lang w:val="en-US"/>
                        </w:rPr>
                        <w:br/>
                        <w:t>Director-General, Mr Paul Symon AO</w:t>
                      </w:r>
                    </w:p>
                    <w:p w14:paraId="52510C37" w14:textId="77777777" w:rsidR="00FA788E" w:rsidRDefault="00FA788E" w:rsidP="00BA6FB6">
                      <w:pPr>
                        <w:spacing w:after="100" w:afterAutospacing="1"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affecting Australia’s interests through the provision of covert intelligence services about the capabilities, intentions or activities of people or </w:t>
                      </w:r>
                      <w:r w:rsidRPr="009233CE">
                        <w:rPr>
                          <w:rFonts w:ascii="Calibri" w:hAnsi="Calibri" w:cs="Calibri"/>
                          <w:color w:val="000000"/>
                          <w:sz w:val="16"/>
                          <w:szCs w:val="16"/>
                        </w:rPr>
                        <w:t>organisations</w:t>
                      </w:r>
                      <w:r>
                        <w:rPr>
                          <w:rFonts w:ascii="Calibri" w:hAnsi="Calibri" w:cs="Calibri"/>
                          <w:color w:val="000000"/>
                          <w:sz w:val="16"/>
                          <w:szCs w:val="16"/>
                          <w:lang w:val="en-US"/>
                        </w:rPr>
                        <w:t xml:space="preserve"> outside Australia</w:t>
                      </w:r>
                    </w:p>
                    <w:p w14:paraId="0A4E78B2" w14:textId="77777777" w:rsidR="00FA788E" w:rsidRDefault="00FA788E" w:rsidP="00BA6FB6">
                      <w:pPr>
                        <w:spacing w:after="120" w:line="240" w:lineRule="auto"/>
                        <w:jc w:val="center"/>
                      </w:pPr>
                    </w:p>
                  </w:txbxContent>
                </v:textbox>
              </v:shape>
            </w:pict>
          </mc:Fallback>
        </mc:AlternateContent>
      </w:r>
      <w:r w:rsidRPr="00BA6FB6">
        <w:rPr>
          <w:noProof/>
        </w:rPr>
        <mc:AlternateContent>
          <mc:Choice Requires="wps">
            <w:drawing>
              <wp:anchor distT="0" distB="0" distL="114300" distR="114300" simplePos="0" relativeHeight="251672576" behindDoc="0" locked="0" layoutInCell="1" allowOverlap="1" wp14:anchorId="3CEDDB59" wp14:editId="0C04A6E6">
                <wp:simplePos x="0" y="0"/>
                <wp:positionH relativeFrom="column">
                  <wp:posOffset>2806700</wp:posOffset>
                </wp:positionH>
                <wp:positionV relativeFrom="paragraph">
                  <wp:posOffset>6219190</wp:posOffset>
                </wp:positionV>
                <wp:extent cx="2668905" cy="922020"/>
                <wp:effectExtent l="0" t="0" r="17145" b="11430"/>
                <wp:wrapNone/>
                <wp:docPr id="336" name="Text Box 336"/>
                <wp:cNvGraphicFramePr/>
                <a:graphic xmlns:a="http://schemas.openxmlformats.org/drawingml/2006/main">
                  <a:graphicData uri="http://schemas.microsoft.com/office/word/2010/wordprocessingShape">
                    <wps:wsp>
                      <wps:cNvSpPr txBox="1"/>
                      <wps:spPr>
                        <a:xfrm>
                          <a:off x="0" y="0"/>
                          <a:ext cx="2668905" cy="922020"/>
                        </a:xfrm>
                        <a:prstGeom prst="rect">
                          <a:avLst/>
                        </a:prstGeom>
                        <a:solidFill>
                          <a:schemeClr val="lt1"/>
                        </a:solidFill>
                        <a:ln w="6350">
                          <a:solidFill>
                            <a:prstClr val="black"/>
                          </a:solidFill>
                        </a:ln>
                      </wps:spPr>
                      <wps:txbx>
                        <w:txbxContent>
                          <w:p w14:paraId="5C7E69A6"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Export Finance Australia </w:t>
                            </w:r>
                          </w:p>
                          <w:p w14:paraId="78A7EC07"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James M Millar AM</w:t>
                            </w:r>
                          </w:p>
                          <w:p w14:paraId="5D16C9DE" w14:textId="77777777" w:rsidR="00FA788E" w:rsidRDefault="00FA788E" w:rsidP="00BA6FB6">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Managing Director and CEO, Ms Swati Dave</w:t>
                            </w:r>
                          </w:p>
                          <w:p w14:paraId="4E4B3745" w14:textId="77777777" w:rsidR="00FA788E" w:rsidRDefault="00FA788E" w:rsidP="00BA6FB6">
                            <w:pPr>
                              <w:spacing w:line="240" w:lineRule="auto"/>
                              <w:jc w:val="center"/>
                            </w:pPr>
                            <w:r>
                              <w:rPr>
                                <w:rFonts w:ascii="Calibri" w:hAnsi="Calibri" w:cs="Calibri"/>
                                <w:color w:val="000000"/>
                                <w:sz w:val="16"/>
                                <w:szCs w:val="16"/>
                                <w:lang w:val="en-US"/>
                              </w:rPr>
                              <w:t>Purpose: Facilitate and encourage Australian export trade and overseas infrastructure development on a commercial basis</w:t>
                            </w:r>
                          </w:p>
                          <w:p w14:paraId="369421F1" w14:textId="77777777" w:rsidR="00FA788E" w:rsidRDefault="00FA788E" w:rsidP="00BA6FB6">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DB59" id="Text Box 336" o:spid="_x0000_s1048" type="#_x0000_t202" style="position:absolute;left:0;text-align:left;margin-left:221pt;margin-top:489.7pt;width:210.15pt;height:7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" fillcolor="white [3201]" strokeweight=".5pt">
                <v:textbox>
                  <w:txbxContent>
                    <w:p w14:paraId="5C7E69A6"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Export Finance Australia </w:t>
                      </w:r>
                    </w:p>
                    <w:p w14:paraId="78A7EC07"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James M Millar AM</w:t>
                      </w:r>
                    </w:p>
                    <w:p w14:paraId="5D16C9DE" w14:textId="77777777" w:rsidR="00FA788E" w:rsidRDefault="00FA788E" w:rsidP="00BA6FB6">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Managing Director and CEO, Ms Swati Dave</w:t>
                      </w:r>
                    </w:p>
                    <w:p w14:paraId="4E4B3745" w14:textId="77777777" w:rsidR="00FA788E" w:rsidRDefault="00FA788E" w:rsidP="00BA6FB6">
                      <w:pPr>
                        <w:spacing w:line="240" w:lineRule="auto"/>
                        <w:jc w:val="center"/>
                      </w:pPr>
                      <w:r>
                        <w:rPr>
                          <w:rFonts w:ascii="Calibri" w:hAnsi="Calibri" w:cs="Calibri"/>
                          <w:color w:val="000000"/>
                          <w:sz w:val="16"/>
                          <w:szCs w:val="16"/>
                          <w:lang w:val="en-US"/>
                        </w:rPr>
                        <w:t>Purpose: Facilitate and encourage Australian export trade and overseas infrastructure development on a commercial basis</w:t>
                      </w:r>
                    </w:p>
                    <w:p w14:paraId="369421F1" w14:textId="77777777" w:rsidR="00FA788E" w:rsidRDefault="00FA788E" w:rsidP="00BA6FB6">
                      <w:pPr>
                        <w:spacing w:after="120" w:line="240" w:lineRule="auto"/>
                        <w:jc w:val="center"/>
                      </w:pPr>
                    </w:p>
                  </w:txbxContent>
                </v:textbox>
              </v:shape>
            </w:pict>
          </mc:Fallback>
        </mc:AlternateContent>
      </w:r>
      <w:r w:rsidRPr="00BA6FB6">
        <w:rPr>
          <w:noProof/>
        </w:rPr>
        <mc:AlternateContent>
          <mc:Choice Requires="wps">
            <w:drawing>
              <wp:anchor distT="0" distB="0" distL="114300" distR="114300" simplePos="0" relativeHeight="251675648" behindDoc="0" locked="0" layoutInCell="1" allowOverlap="1" wp14:anchorId="74A0930D" wp14:editId="1FCBEB68">
                <wp:simplePos x="0" y="0"/>
                <wp:positionH relativeFrom="column">
                  <wp:posOffset>1381125</wp:posOffset>
                </wp:positionH>
                <wp:positionV relativeFrom="paragraph">
                  <wp:posOffset>611505</wp:posOffset>
                </wp:positionV>
                <wp:extent cx="0" cy="139065"/>
                <wp:effectExtent l="0" t="0" r="38100" b="32385"/>
                <wp:wrapNone/>
                <wp:docPr id="339" name="Straight Connector 339"/>
                <wp:cNvGraphicFramePr/>
                <a:graphic xmlns:a="http://schemas.openxmlformats.org/drawingml/2006/main">
                  <a:graphicData uri="http://schemas.microsoft.com/office/word/2010/wordprocessingShape">
                    <wps:wsp>
                      <wps:cNvCnPr/>
                      <wps:spPr>
                        <a:xfrm>
                          <a:off x="0" y="0"/>
                          <a:ext cx="0" cy="139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E0F8D6" id="Straight Connector 3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48.15pt" to="108.7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" strokecolor="black [3200]" strokeweight=".5pt">
                <v:stroke joinstyle="miter"/>
              </v:line>
            </w:pict>
          </mc:Fallback>
        </mc:AlternateContent>
      </w:r>
      <w:r w:rsidRPr="00BA6FB6">
        <w:rPr>
          <w:noProof/>
        </w:rPr>
        <mc:AlternateContent>
          <mc:Choice Requires="wps">
            <w:drawing>
              <wp:anchor distT="0" distB="0" distL="114300" distR="114300" simplePos="0" relativeHeight="251676672" behindDoc="0" locked="0" layoutInCell="1" allowOverlap="1" wp14:anchorId="6F7B9501" wp14:editId="73102878">
                <wp:simplePos x="0" y="0"/>
                <wp:positionH relativeFrom="column">
                  <wp:posOffset>-161925</wp:posOffset>
                </wp:positionH>
                <wp:positionV relativeFrom="paragraph">
                  <wp:posOffset>1100455</wp:posOffset>
                </wp:positionV>
                <wp:extent cx="161925" cy="0"/>
                <wp:effectExtent l="0" t="0" r="0" b="0"/>
                <wp:wrapNone/>
                <wp:docPr id="340" name="Straight Connector 340"/>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CDC9A6" id="Straight Connector 3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75pt,86.65pt" to="0,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" strokecolor="black [3200]" strokeweight=".5pt">
                <v:stroke joinstyle="miter"/>
              </v:line>
            </w:pict>
          </mc:Fallback>
        </mc:AlternateContent>
      </w:r>
      <w:r w:rsidRPr="00BA6FB6">
        <w:rPr>
          <w:noProof/>
        </w:rPr>
        <mc:AlternateContent>
          <mc:Choice Requires="wps">
            <w:drawing>
              <wp:anchor distT="0" distB="0" distL="114300" distR="114300" simplePos="0" relativeHeight="251677696" behindDoc="0" locked="0" layoutInCell="1" allowOverlap="1" wp14:anchorId="4DED6D04" wp14:editId="287C222C">
                <wp:simplePos x="0" y="0"/>
                <wp:positionH relativeFrom="column">
                  <wp:posOffset>4214495</wp:posOffset>
                </wp:positionH>
                <wp:positionV relativeFrom="paragraph">
                  <wp:posOffset>607060</wp:posOffset>
                </wp:positionV>
                <wp:extent cx="0" cy="143510"/>
                <wp:effectExtent l="0" t="0" r="38100" b="27940"/>
                <wp:wrapNone/>
                <wp:docPr id="341" name="Straight Connector 341"/>
                <wp:cNvGraphicFramePr/>
                <a:graphic xmlns:a="http://schemas.openxmlformats.org/drawingml/2006/main">
                  <a:graphicData uri="http://schemas.microsoft.com/office/word/2010/wordprocessingShape">
                    <wps:wsp>
                      <wps:cNvCnPr/>
                      <wps:spPr>
                        <a:xfrm>
                          <a:off x="0" y="0"/>
                          <a:ext cx="0"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B84EFF" id="Straight Connector 3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1.85pt,47.8pt" to="331.8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" strokecolor="black [3200]" strokeweight=".5pt">
                <v:stroke joinstyle="miter"/>
              </v:line>
            </w:pict>
          </mc:Fallback>
        </mc:AlternateContent>
      </w:r>
      <w:r w:rsidRPr="00BA6FB6">
        <w:rPr>
          <w:noProof/>
        </w:rPr>
        <mc:AlternateContent>
          <mc:Choice Requires="wps">
            <w:drawing>
              <wp:anchor distT="0" distB="0" distL="114300" distR="114300" simplePos="0" relativeHeight="251680768" behindDoc="0" locked="0" layoutInCell="1" allowOverlap="1" wp14:anchorId="6BD8BB31" wp14:editId="0D62E25C">
                <wp:simplePos x="0" y="0"/>
                <wp:positionH relativeFrom="column">
                  <wp:posOffset>2806700</wp:posOffset>
                </wp:positionH>
                <wp:positionV relativeFrom="paragraph">
                  <wp:posOffset>-635</wp:posOffset>
                </wp:positionV>
                <wp:extent cx="2668905" cy="609600"/>
                <wp:effectExtent l="0" t="0" r="17145" b="19050"/>
                <wp:wrapNone/>
                <wp:docPr id="344" name="Text Box 344"/>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14184A93" w14:textId="77777777" w:rsidR="00FA788E" w:rsidRDefault="00FA788E" w:rsidP="00BA6FB6">
                            <w:pPr>
                              <w:spacing w:after="0" w:line="240" w:lineRule="auto"/>
                              <w:rPr>
                                <w:rFonts w:ascii="Calibri" w:hAnsi="Calibri" w:cs="Calibri"/>
                                <w:b/>
                                <w:bCs/>
                                <w:color w:val="000000"/>
                                <w:sz w:val="16"/>
                                <w:szCs w:val="16"/>
                                <w:lang w:val="en-US"/>
                              </w:rPr>
                            </w:pPr>
                          </w:p>
                          <w:p w14:paraId="02F1AC2B"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14:paraId="0C669B08" w14:textId="77777777" w:rsidR="00FA788E" w:rsidRDefault="00FA788E" w:rsidP="00BA6FB6">
                            <w:pPr>
                              <w:spacing w:after="0" w:line="240" w:lineRule="auto"/>
                              <w:jc w:val="center"/>
                            </w:pPr>
                            <w:r>
                              <w:rPr>
                                <w:rFonts w:ascii="Calibri" w:hAnsi="Calibri" w:cs="Calibri"/>
                                <w:b/>
                                <w:bCs/>
                                <w:color w:val="000000"/>
                                <w:sz w:val="16"/>
                                <w:szCs w:val="16"/>
                                <w:lang w:val="en-US"/>
                              </w:rPr>
                              <w:t>The Hon Dan Tehan 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8BB31" id="Text Box 344" o:spid="_x0000_s1049" type="#_x0000_t202" style="position:absolute;left:0;text-align:left;margin-left:221pt;margin-top:-.05pt;width:210.1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" fillcolor="#a5a5a5 [2092]" strokeweight=".5pt">
                <v:fill color2="#f2f2f2 [3052]" rotate="t" colors="0 #a6a6a6;48497f #d9d9d9;54395f #d9d9d9;1 #f2f2f2" focus="100%" type="gradient"/>
                <v:textbox>
                  <w:txbxContent>
                    <w:p w14:paraId="14184A93" w14:textId="77777777" w:rsidR="00FA788E" w:rsidRDefault="00FA788E" w:rsidP="00BA6FB6">
                      <w:pPr>
                        <w:spacing w:after="0" w:line="240" w:lineRule="auto"/>
                        <w:rPr>
                          <w:rFonts w:ascii="Calibri" w:hAnsi="Calibri" w:cs="Calibri"/>
                          <w:b/>
                          <w:bCs/>
                          <w:color w:val="000000"/>
                          <w:sz w:val="16"/>
                          <w:szCs w:val="16"/>
                          <w:lang w:val="en-US"/>
                        </w:rPr>
                      </w:pPr>
                    </w:p>
                    <w:p w14:paraId="02F1AC2B"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14:paraId="0C669B08" w14:textId="77777777" w:rsidR="00FA788E" w:rsidRDefault="00FA788E" w:rsidP="00BA6FB6">
                      <w:pPr>
                        <w:spacing w:after="0" w:line="240" w:lineRule="auto"/>
                        <w:jc w:val="center"/>
                      </w:pPr>
                      <w:r>
                        <w:rPr>
                          <w:rFonts w:ascii="Calibri" w:hAnsi="Calibri" w:cs="Calibri"/>
                          <w:b/>
                          <w:bCs/>
                          <w:color w:val="000000"/>
                          <w:sz w:val="16"/>
                          <w:szCs w:val="16"/>
                          <w:lang w:val="en-US"/>
                        </w:rPr>
                        <w:t>The Hon Dan Tehan MP</w:t>
                      </w:r>
                    </w:p>
                  </w:txbxContent>
                </v:textbox>
              </v:shape>
            </w:pict>
          </mc:Fallback>
        </mc:AlternateContent>
      </w:r>
      <w:r w:rsidRPr="00BA6FB6">
        <w:rPr>
          <w:noProof/>
        </w:rPr>
        <mc:AlternateContent>
          <mc:Choice Requires="wps">
            <w:drawing>
              <wp:anchor distT="0" distB="0" distL="114300" distR="114300" simplePos="0" relativeHeight="251681792" behindDoc="0" locked="0" layoutInCell="1" allowOverlap="1" wp14:anchorId="288FFC26" wp14:editId="36C8F494">
                <wp:simplePos x="0" y="0"/>
                <wp:positionH relativeFrom="column">
                  <wp:posOffset>-161925</wp:posOffset>
                </wp:positionH>
                <wp:positionV relativeFrom="paragraph">
                  <wp:posOffset>2961640</wp:posOffset>
                </wp:positionV>
                <wp:extent cx="161925" cy="0"/>
                <wp:effectExtent l="0" t="0" r="0" b="0"/>
                <wp:wrapNone/>
                <wp:docPr id="345" name="Straight Connector 345"/>
                <wp:cNvGraphicFramePr/>
                <a:graphic xmlns:a="http://schemas.openxmlformats.org/drawingml/2006/main">
                  <a:graphicData uri="http://schemas.microsoft.com/office/word/2010/wordprocessingShape">
                    <wps:wsp>
                      <wps:cNvCnPr/>
                      <wps:spPr>
                        <a:xfrm flipV="1">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E3A15A" id="Straight Connector 34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75pt,233.2pt" to="0,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" strokecolor="black [3200]" strokeweight=".5pt">
                <v:stroke joinstyle="miter"/>
              </v:line>
            </w:pict>
          </mc:Fallback>
        </mc:AlternateContent>
      </w:r>
      <w:r w:rsidRPr="00BA6FB6">
        <w:rPr>
          <w:noProof/>
        </w:rPr>
        <mc:AlternateContent>
          <mc:Choice Requires="wps">
            <w:drawing>
              <wp:anchor distT="0" distB="0" distL="114300" distR="114300" simplePos="0" relativeHeight="251682816" behindDoc="0" locked="0" layoutInCell="1" allowOverlap="1" wp14:anchorId="565BA323" wp14:editId="148E5999">
                <wp:simplePos x="0" y="0"/>
                <wp:positionH relativeFrom="column">
                  <wp:posOffset>-161925</wp:posOffset>
                </wp:positionH>
                <wp:positionV relativeFrom="paragraph">
                  <wp:posOffset>4205605</wp:posOffset>
                </wp:positionV>
                <wp:extent cx="161925" cy="0"/>
                <wp:effectExtent l="0" t="0" r="0" b="0"/>
                <wp:wrapNone/>
                <wp:docPr id="346" name="Straight Connector 346"/>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BA7364" id="Straight Connector 3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31.15pt" to="0,3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" strokecolor="black [3200]" strokeweight=".5pt">
                <v:stroke joinstyle="miter"/>
              </v:line>
            </w:pict>
          </mc:Fallback>
        </mc:AlternateContent>
      </w:r>
      <w:r w:rsidRPr="00BA6FB6">
        <w:rPr>
          <w:noProof/>
        </w:rPr>
        <mc:AlternateContent>
          <mc:Choice Requires="wps">
            <w:drawing>
              <wp:anchor distT="0" distB="0" distL="114300" distR="114300" simplePos="0" relativeHeight="251683840" behindDoc="0" locked="0" layoutInCell="1" allowOverlap="1" wp14:anchorId="340FFAEE" wp14:editId="641A46B7">
                <wp:simplePos x="0" y="0"/>
                <wp:positionH relativeFrom="column">
                  <wp:posOffset>-161925</wp:posOffset>
                </wp:positionH>
                <wp:positionV relativeFrom="paragraph">
                  <wp:posOffset>5349240</wp:posOffset>
                </wp:positionV>
                <wp:extent cx="161925" cy="0"/>
                <wp:effectExtent l="0" t="0" r="0" b="0"/>
                <wp:wrapNone/>
                <wp:docPr id="347" name="Straight Connector 347"/>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F49611" id="Straight Connector 3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421.2pt" to="0,4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" strokecolor="black [3200]" strokeweight=".5pt">
                <v:stroke joinstyle="miter"/>
              </v:line>
            </w:pict>
          </mc:Fallback>
        </mc:AlternateContent>
      </w:r>
      <w:r w:rsidRPr="00BA6FB6">
        <w:rPr>
          <w:noProof/>
        </w:rPr>
        <mc:AlternateContent>
          <mc:Choice Requires="wps">
            <w:drawing>
              <wp:anchor distT="0" distB="0" distL="114300" distR="114300" simplePos="0" relativeHeight="251688960" behindDoc="0" locked="0" layoutInCell="1" allowOverlap="1" wp14:anchorId="2A51E4C2" wp14:editId="1D853AA4">
                <wp:simplePos x="0" y="0"/>
                <wp:positionH relativeFrom="column">
                  <wp:posOffset>635</wp:posOffset>
                </wp:positionH>
                <wp:positionV relativeFrom="paragraph">
                  <wp:posOffset>-635</wp:posOffset>
                </wp:positionV>
                <wp:extent cx="2668905" cy="609600"/>
                <wp:effectExtent l="0" t="0" r="17145" b="19050"/>
                <wp:wrapNone/>
                <wp:docPr id="352" name="Text Box 352"/>
                <wp:cNvGraphicFramePr/>
                <a:graphic xmlns:a="http://schemas.openxmlformats.org/drawingml/2006/main">
                  <a:graphicData uri="http://schemas.microsoft.com/office/word/2010/wordprocessingShape">
                    <wps:wsp>
                      <wps:cNvSpPr txBox="1"/>
                      <wps:spPr>
                        <a:xfrm>
                          <a:off x="0" y="0"/>
                          <a:ext cx="2668905" cy="609600"/>
                        </a:xfrm>
                        <a:prstGeom prst="rect">
                          <a:avLst/>
                        </a:prstGeom>
                        <a:gradFill flip="none" rotWithShape="1">
                          <a:gsLst>
                            <a:gs pos="0">
                              <a:schemeClr val="bg1">
                                <a:lumMod val="65000"/>
                              </a:schemeClr>
                            </a:gs>
                            <a:gs pos="74000">
                              <a:schemeClr val="bg1">
                                <a:lumMod val="85000"/>
                              </a:schemeClr>
                            </a:gs>
                            <a:gs pos="83000">
                              <a:schemeClr val="bg1">
                                <a:lumMod val="85000"/>
                              </a:schemeClr>
                            </a:gs>
                            <a:gs pos="100000">
                              <a:schemeClr val="bg1">
                                <a:lumMod val="95000"/>
                              </a:schemeClr>
                            </a:gs>
                          </a:gsLst>
                          <a:lin ang="5400000" scaled="1"/>
                          <a:tileRect/>
                        </a:gradFill>
                        <a:ln w="6350">
                          <a:solidFill>
                            <a:prstClr val="black"/>
                          </a:solidFill>
                        </a:ln>
                      </wps:spPr>
                      <wps:txbx>
                        <w:txbxContent>
                          <w:p w14:paraId="21B8145B" w14:textId="77777777" w:rsidR="00FA788E" w:rsidRPr="00D21B37" w:rsidRDefault="00FA788E" w:rsidP="00BA6FB6">
                            <w:pPr>
                              <w:spacing w:after="0" w:line="240" w:lineRule="auto"/>
                              <w:jc w:val="center"/>
                              <w:rPr>
                                <w:rFonts w:ascii="Calibri" w:hAnsi="Calibri" w:cs="Calibri"/>
                                <w:b/>
                                <w:bCs/>
                                <w:color w:val="000000"/>
                                <w:sz w:val="8"/>
                                <w:szCs w:val="8"/>
                                <w:lang w:val="en-US"/>
                              </w:rPr>
                            </w:pPr>
                          </w:p>
                          <w:p w14:paraId="2DF1A4F3"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 and</w:t>
                            </w:r>
                          </w:p>
                          <w:p w14:paraId="2A51D977"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Women</w:t>
                            </w:r>
                          </w:p>
                          <w:p w14:paraId="2110863F" w14:textId="77777777" w:rsidR="00FA788E" w:rsidRDefault="00FA788E" w:rsidP="00BA6FB6">
                            <w:pPr>
                              <w:spacing w:after="0" w:line="240" w:lineRule="auto"/>
                              <w:jc w:val="center"/>
                            </w:pPr>
                            <w:r>
                              <w:rPr>
                                <w:rFonts w:ascii="Calibri" w:hAnsi="Calibri" w:cs="Calibri"/>
                                <w:b/>
                                <w:bCs/>
                                <w:color w:val="000000"/>
                                <w:sz w:val="16"/>
                                <w:szCs w:val="16"/>
                                <w:lang w:val="en-US"/>
                              </w:rPr>
                              <w:t>Senator the Hon Marise Payne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1E4C2" id="Text Box 352" o:spid="_x0000_s1050" type="#_x0000_t202" style="position:absolute;left:0;text-align:left;margin-left:.05pt;margin-top:-.05pt;width:210.15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" fillcolor="#a5a5a5 [2092]" strokeweight=".5pt">
                <v:fill color2="#f2f2f2 [3052]" rotate="t" colors="0 #a6a6a6;48497f #d9d9d9;54395f #d9d9d9;1 #f2f2f2" focus="100%" type="gradient"/>
                <v:textbox>
                  <w:txbxContent>
                    <w:p w14:paraId="21B8145B" w14:textId="77777777" w:rsidR="00FA788E" w:rsidRPr="00D21B37" w:rsidRDefault="00FA788E" w:rsidP="00BA6FB6">
                      <w:pPr>
                        <w:spacing w:after="0" w:line="240" w:lineRule="auto"/>
                        <w:jc w:val="center"/>
                        <w:rPr>
                          <w:rFonts w:ascii="Calibri" w:hAnsi="Calibri" w:cs="Calibri"/>
                          <w:b/>
                          <w:bCs/>
                          <w:color w:val="000000"/>
                          <w:sz w:val="8"/>
                          <w:szCs w:val="8"/>
                          <w:lang w:val="en-US"/>
                        </w:rPr>
                      </w:pPr>
                    </w:p>
                    <w:p w14:paraId="2DF1A4F3"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 and</w:t>
                      </w:r>
                    </w:p>
                    <w:p w14:paraId="2A51D977"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Women</w:t>
                      </w:r>
                    </w:p>
                    <w:p w14:paraId="2110863F" w14:textId="77777777" w:rsidR="00FA788E" w:rsidRDefault="00FA788E" w:rsidP="00BA6FB6">
                      <w:pPr>
                        <w:spacing w:after="0" w:line="240" w:lineRule="auto"/>
                        <w:jc w:val="center"/>
                      </w:pPr>
                      <w:r>
                        <w:rPr>
                          <w:rFonts w:ascii="Calibri" w:hAnsi="Calibri" w:cs="Calibri"/>
                          <w:b/>
                          <w:bCs/>
                          <w:color w:val="000000"/>
                          <w:sz w:val="16"/>
                          <w:szCs w:val="16"/>
                          <w:lang w:val="en-US"/>
                        </w:rPr>
                        <w:t>Senator the Hon Marise Payne</w:t>
                      </w:r>
                    </w:p>
                  </w:txbxContent>
                </v:textbox>
              </v:shape>
            </w:pict>
          </mc:Fallback>
        </mc:AlternateContent>
      </w:r>
      <w:r w:rsidRPr="00BA6FB6">
        <w:rPr>
          <w:noProof/>
        </w:rPr>
        <mc:AlternateContent>
          <mc:Choice Requires="wps">
            <w:drawing>
              <wp:anchor distT="0" distB="0" distL="114300" distR="114300" simplePos="0" relativeHeight="251689984" behindDoc="0" locked="0" layoutInCell="1" allowOverlap="1" wp14:anchorId="7CE4E1A4" wp14:editId="73B13A13">
                <wp:simplePos x="0" y="0"/>
                <wp:positionH relativeFrom="column">
                  <wp:posOffset>2743200</wp:posOffset>
                </wp:positionH>
                <wp:positionV relativeFrom="paragraph">
                  <wp:posOffset>681990</wp:posOffset>
                </wp:positionV>
                <wp:extent cx="0" cy="1455420"/>
                <wp:effectExtent l="0" t="0" r="38100" b="30480"/>
                <wp:wrapNone/>
                <wp:docPr id="353" name="Straight Connector 353"/>
                <wp:cNvGraphicFramePr/>
                <a:graphic xmlns:a="http://schemas.openxmlformats.org/drawingml/2006/main">
                  <a:graphicData uri="http://schemas.microsoft.com/office/word/2010/wordprocessingShape">
                    <wps:wsp>
                      <wps:cNvCnPr/>
                      <wps:spPr>
                        <a:xfrm flipH="1">
                          <a:off x="0" y="0"/>
                          <a:ext cx="0" cy="145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1A1592" id="Straight Connector 35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in,53.7pt" to="3in,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" strokecolor="black [3200]" strokeweight=".5pt">
                <v:stroke joinstyle="miter"/>
              </v:line>
            </w:pict>
          </mc:Fallback>
        </mc:AlternateContent>
      </w:r>
    </w:p>
    <w:p w14:paraId="526A2FFE" w14:textId="0F2E2608" w:rsidR="00A15E63" w:rsidRPr="00FE3DE9" w:rsidRDefault="006C355A" w:rsidP="00FE3DE9">
      <w:r w:rsidRPr="00BA6FB6">
        <w:rPr>
          <w:noProof/>
        </w:rPr>
        <mc:AlternateContent>
          <mc:Choice Requires="wps">
            <w:drawing>
              <wp:anchor distT="0" distB="0" distL="114300" distR="114300" simplePos="0" relativeHeight="251678720" behindDoc="0" locked="0" layoutInCell="1" allowOverlap="1" wp14:anchorId="3D37C528" wp14:editId="10598B87">
                <wp:simplePos x="0" y="0"/>
                <wp:positionH relativeFrom="column">
                  <wp:posOffset>5472430</wp:posOffset>
                </wp:positionH>
                <wp:positionV relativeFrom="paragraph">
                  <wp:posOffset>368935</wp:posOffset>
                </wp:positionV>
                <wp:extent cx="76200" cy="0"/>
                <wp:effectExtent l="0" t="0" r="0" b="0"/>
                <wp:wrapNone/>
                <wp:docPr id="342" name="Straight Connector 342"/>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FA3948" id="Straight Connector 34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29.05pt" to="436.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" strokecolor="black [3200]" strokeweight=".5pt">
                <v:stroke joinstyle="miter"/>
              </v:line>
            </w:pict>
          </mc:Fallback>
        </mc:AlternateContent>
      </w:r>
      <w:r w:rsidRPr="00BA6FB6">
        <w:rPr>
          <w:noProof/>
        </w:rPr>
        <mc:AlternateContent>
          <mc:Choice Requires="wps">
            <w:drawing>
              <wp:anchor distT="0" distB="0" distL="114300" distR="114300" simplePos="0" relativeHeight="251674624" behindDoc="0" locked="0" layoutInCell="1" allowOverlap="1" wp14:anchorId="3C4DD5C4" wp14:editId="3F77FB37">
                <wp:simplePos x="0" y="0"/>
                <wp:positionH relativeFrom="column">
                  <wp:posOffset>5548630</wp:posOffset>
                </wp:positionH>
                <wp:positionV relativeFrom="paragraph">
                  <wp:posOffset>370840</wp:posOffset>
                </wp:positionV>
                <wp:extent cx="0" cy="6176010"/>
                <wp:effectExtent l="0" t="0" r="38100" b="34290"/>
                <wp:wrapNone/>
                <wp:docPr id="338" name="Straight Connector 338"/>
                <wp:cNvGraphicFramePr/>
                <a:graphic xmlns:a="http://schemas.openxmlformats.org/drawingml/2006/main">
                  <a:graphicData uri="http://schemas.microsoft.com/office/word/2010/wordprocessingShape">
                    <wps:wsp>
                      <wps:cNvCnPr/>
                      <wps:spPr>
                        <a:xfrm>
                          <a:off x="0" y="0"/>
                          <a:ext cx="0" cy="6176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1BCF88D" id="Straight Connector 3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6.9pt,29.2pt" to="436.9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" strokecolor="black [3200]" strokeweight=".5pt">
                <v:stroke joinstyle="miter"/>
              </v:line>
            </w:pict>
          </mc:Fallback>
        </mc:AlternateContent>
      </w:r>
      <w:r w:rsidR="00BA6FB6" w:rsidRPr="00BA6FB6">
        <w:rPr>
          <w:noProof/>
        </w:rPr>
        <mc:AlternateContent>
          <mc:Choice Requires="wps">
            <w:drawing>
              <wp:anchor distT="0" distB="0" distL="114300" distR="114300" simplePos="0" relativeHeight="251663360" behindDoc="0" locked="0" layoutInCell="1" allowOverlap="1" wp14:anchorId="14D327A8" wp14:editId="55CC068C">
                <wp:simplePos x="0" y="0"/>
                <wp:positionH relativeFrom="column">
                  <wp:posOffset>-157480</wp:posOffset>
                </wp:positionH>
                <wp:positionV relativeFrom="paragraph">
                  <wp:posOffset>285356</wp:posOffset>
                </wp:positionV>
                <wp:extent cx="1619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0F4686"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2.45pt" to=".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" strokecolor="black [3200]" strokeweight=".5pt">
                <v:stroke joinstyle="miter"/>
              </v:line>
            </w:pict>
          </mc:Fallback>
        </mc:AlternateContent>
      </w:r>
      <w:r w:rsidR="00BA6FB6" w:rsidRPr="00BA6FB6">
        <w:rPr>
          <w:noProof/>
        </w:rPr>
        <mc:AlternateContent>
          <mc:Choice Requires="wps">
            <w:drawing>
              <wp:anchor distT="0" distB="0" distL="114300" distR="114300" simplePos="0" relativeHeight="251673600" behindDoc="0" locked="0" layoutInCell="1" allowOverlap="1" wp14:anchorId="2983768F" wp14:editId="0A916669">
                <wp:simplePos x="0" y="0"/>
                <wp:positionH relativeFrom="column">
                  <wp:posOffset>-160655</wp:posOffset>
                </wp:positionH>
                <wp:positionV relativeFrom="paragraph">
                  <wp:posOffset>282575</wp:posOffset>
                </wp:positionV>
                <wp:extent cx="0" cy="4919980"/>
                <wp:effectExtent l="0" t="0" r="38100" b="33020"/>
                <wp:wrapNone/>
                <wp:docPr id="337" name="Straight Connector 337"/>
                <wp:cNvGraphicFramePr/>
                <a:graphic xmlns:a="http://schemas.openxmlformats.org/drawingml/2006/main">
                  <a:graphicData uri="http://schemas.microsoft.com/office/word/2010/wordprocessingShape">
                    <wps:wsp>
                      <wps:cNvCnPr/>
                      <wps:spPr>
                        <a:xfrm flipH="1">
                          <a:off x="0" y="0"/>
                          <a:ext cx="0" cy="4919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F8568" id="Straight Connector 3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22.25pt" to="-12.65pt,4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" strokecolor="black [3200]" strokeweight=".5pt">
                <v:stroke joinstyle="miter"/>
              </v:line>
            </w:pict>
          </mc:Fallback>
        </mc:AlternateContent>
      </w:r>
    </w:p>
    <w:p w14:paraId="4EC001E8" w14:textId="7A4C43BC" w:rsidR="00A15E63" w:rsidRPr="00FE3DE9" w:rsidRDefault="00A15E63" w:rsidP="00FE3DE9"/>
    <w:p w14:paraId="37160AEE" w14:textId="6FB335F4" w:rsidR="00FE3DE9" w:rsidRPr="00FE3DE9" w:rsidRDefault="006C355A" w:rsidP="00FE3DE9">
      <w:r w:rsidRPr="00BA6FB6">
        <w:rPr>
          <w:noProof/>
        </w:rPr>
        <mc:AlternateContent>
          <mc:Choice Requires="wps">
            <w:drawing>
              <wp:anchor distT="0" distB="0" distL="114300" distR="114300" simplePos="0" relativeHeight="251686912" behindDoc="0" locked="0" layoutInCell="1" allowOverlap="1" wp14:anchorId="435E09D3" wp14:editId="429F5BD9">
                <wp:simplePos x="0" y="0"/>
                <wp:positionH relativeFrom="column">
                  <wp:posOffset>5472430</wp:posOffset>
                </wp:positionH>
                <wp:positionV relativeFrom="paragraph">
                  <wp:posOffset>5913755</wp:posOffset>
                </wp:positionV>
                <wp:extent cx="76200" cy="0"/>
                <wp:effectExtent l="0" t="0" r="0" b="0"/>
                <wp:wrapNone/>
                <wp:docPr id="350" name="Straight Connector 350"/>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C59C0F" id="Straight Connector 35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465.65pt" to="436.9pt,4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" strokecolor="black [3200]" strokeweight=".5pt">
                <v:stroke joinstyle="miter"/>
              </v:line>
            </w:pict>
          </mc:Fallback>
        </mc:AlternateContent>
      </w:r>
      <w:r w:rsidRPr="00BA6FB6">
        <w:rPr>
          <w:noProof/>
        </w:rPr>
        <mc:AlternateContent>
          <mc:Choice Requires="wps">
            <w:drawing>
              <wp:anchor distT="0" distB="0" distL="114300" distR="114300" simplePos="0" relativeHeight="251691008" behindDoc="0" locked="0" layoutInCell="1" allowOverlap="1" wp14:anchorId="710DE183" wp14:editId="2045CC30">
                <wp:simplePos x="0" y="0"/>
                <wp:positionH relativeFrom="column">
                  <wp:posOffset>5476240</wp:posOffset>
                </wp:positionH>
                <wp:positionV relativeFrom="paragraph">
                  <wp:posOffset>4923155</wp:posOffset>
                </wp:positionV>
                <wp:extent cx="72390"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72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2B6B75" id="Straight Connector 2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2pt,387.65pt" to="436.9pt,3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" strokecolor="black [3200]" strokeweight=".5pt">
                <v:stroke joinstyle="miter"/>
              </v:line>
            </w:pict>
          </mc:Fallback>
        </mc:AlternateContent>
      </w:r>
      <w:r w:rsidRPr="00BA6FB6">
        <w:rPr>
          <w:noProof/>
        </w:rPr>
        <mc:AlternateContent>
          <mc:Choice Requires="wps">
            <w:drawing>
              <wp:anchor distT="0" distB="0" distL="114300" distR="114300" simplePos="0" relativeHeight="251685888" behindDoc="0" locked="0" layoutInCell="1" allowOverlap="1" wp14:anchorId="6D92E8ED" wp14:editId="0EAE77ED">
                <wp:simplePos x="0" y="0"/>
                <wp:positionH relativeFrom="column">
                  <wp:posOffset>5472430</wp:posOffset>
                </wp:positionH>
                <wp:positionV relativeFrom="paragraph">
                  <wp:posOffset>3700145</wp:posOffset>
                </wp:positionV>
                <wp:extent cx="76200" cy="0"/>
                <wp:effectExtent l="0" t="0" r="0" b="0"/>
                <wp:wrapNone/>
                <wp:docPr id="349" name="Straight Connector 349"/>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5186DA" id="Straight Connector 34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291.35pt" to="436.9pt,2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" strokecolor="black [3200]" strokeweight=".5pt">
                <v:stroke joinstyle="miter"/>
              </v:line>
            </w:pict>
          </mc:Fallback>
        </mc:AlternateContent>
      </w:r>
      <w:r w:rsidRPr="00BA6FB6">
        <w:rPr>
          <w:noProof/>
        </w:rPr>
        <mc:AlternateContent>
          <mc:Choice Requires="wps">
            <w:drawing>
              <wp:anchor distT="0" distB="0" distL="114300" distR="114300" simplePos="0" relativeHeight="251684864" behindDoc="0" locked="0" layoutInCell="1" allowOverlap="1" wp14:anchorId="5F17B48B" wp14:editId="28101436">
                <wp:simplePos x="0" y="0"/>
                <wp:positionH relativeFrom="column">
                  <wp:posOffset>5472430</wp:posOffset>
                </wp:positionH>
                <wp:positionV relativeFrom="paragraph">
                  <wp:posOffset>2179955</wp:posOffset>
                </wp:positionV>
                <wp:extent cx="76200" cy="0"/>
                <wp:effectExtent l="0" t="0" r="0" b="0"/>
                <wp:wrapNone/>
                <wp:docPr id="348" name="Straight Connector 348"/>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B6DC89" id="Straight Connector 34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171.65pt" to="436.9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uitQEAALkDAAAOAAAAZHJzL2Uyb0RvYy54bWysU8GOEzEMvSPxD1HudKYLWt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" strokecolor="black [3200]" strokeweight=".5pt">
                <v:stroke joinstyle="miter"/>
              </v:line>
            </w:pict>
          </mc:Fallback>
        </mc:AlternateContent>
      </w:r>
      <w:r w:rsidRPr="00BA6FB6">
        <w:rPr>
          <w:noProof/>
        </w:rPr>
        <mc:AlternateContent>
          <mc:Choice Requires="wps">
            <w:drawing>
              <wp:anchor distT="0" distB="0" distL="114300" distR="114300" simplePos="0" relativeHeight="251687936" behindDoc="0" locked="0" layoutInCell="1" allowOverlap="1" wp14:anchorId="1DC4EE9C" wp14:editId="4BBE69A8">
                <wp:simplePos x="0" y="0"/>
                <wp:positionH relativeFrom="column">
                  <wp:posOffset>5472430</wp:posOffset>
                </wp:positionH>
                <wp:positionV relativeFrom="paragraph">
                  <wp:posOffset>1029335</wp:posOffset>
                </wp:positionV>
                <wp:extent cx="76200" cy="0"/>
                <wp:effectExtent l="0" t="0" r="0" b="0"/>
                <wp:wrapNone/>
                <wp:docPr id="351" name="Straight Connector 351"/>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E612246" id="Straight Connector 35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0.9pt,81.05pt" to="436.9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" strokecolor="black [3200]" strokeweight=".5pt">
                <v:stroke joinstyle="miter"/>
              </v:line>
            </w:pict>
          </mc:Fallback>
        </mc:AlternateContent>
      </w:r>
      <w:r w:rsidRPr="00BA6FB6">
        <w:rPr>
          <w:noProof/>
        </w:rPr>
        <mc:AlternateContent>
          <mc:Choice Requires="wps">
            <w:drawing>
              <wp:anchor distT="0" distB="0" distL="114300" distR="114300" simplePos="0" relativeHeight="251679744" behindDoc="0" locked="0" layoutInCell="1" allowOverlap="1" wp14:anchorId="73108C45" wp14:editId="1850D0F6">
                <wp:simplePos x="0" y="0"/>
                <wp:positionH relativeFrom="column">
                  <wp:posOffset>5472430</wp:posOffset>
                </wp:positionH>
                <wp:positionV relativeFrom="paragraph">
                  <wp:posOffset>328295</wp:posOffset>
                </wp:positionV>
                <wp:extent cx="76200" cy="3810"/>
                <wp:effectExtent l="0" t="0" r="19050" b="34290"/>
                <wp:wrapNone/>
                <wp:docPr id="343" name="Straight Connector 343"/>
                <wp:cNvGraphicFramePr/>
                <a:graphic xmlns:a="http://schemas.openxmlformats.org/drawingml/2006/main">
                  <a:graphicData uri="http://schemas.microsoft.com/office/word/2010/wordprocessingShape">
                    <wps:wsp>
                      <wps:cNvCnPr/>
                      <wps:spPr>
                        <a:xfrm>
                          <a:off x="0" y="0"/>
                          <a:ext cx="7620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9E90F41" id="Straight Connector 34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0.9pt,25.85pt" to="436.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" strokecolor="black [3200]" strokeweight=".5pt">
                <v:stroke joinstyle="miter"/>
              </v:line>
            </w:pict>
          </mc:Fallback>
        </mc:AlternateContent>
      </w:r>
      <w:r w:rsidR="00BA6FB6">
        <w:rPr>
          <w:noProof/>
        </w:rPr>
        <mc:AlternateContent>
          <mc:Choice Requires="wps">
            <w:drawing>
              <wp:anchor distT="0" distB="0" distL="114300" distR="114300" simplePos="0" relativeHeight="251693056" behindDoc="0" locked="0" layoutInCell="1" allowOverlap="1" wp14:anchorId="665B270B" wp14:editId="57F8624E">
                <wp:simplePos x="0" y="0"/>
                <wp:positionH relativeFrom="column">
                  <wp:posOffset>4218305</wp:posOffset>
                </wp:positionH>
                <wp:positionV relativeFrom="paragraph">
                  <wp:posOffset>575310</wp:posOffset>
                </wp:positionV>
                <wp:extent cx="0" cy="114300"/>
                <wp:effectExtent l="0" t="0" r="38100" b="19050"/>
                <wp:wrapNone/>
                <wp:docPr id="354" name="Straight Connector 35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5BE24C" id="Straight Connector 35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45.3pt" to="332.1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" strokecolor="black [3200]" strokeweight=".5pt">
                <v:stroke joinstyle="miter"/>
              </v:line>
            </w:pict>
          </mc:Fallback>
        </mc:AlternateContent>
      </w:r>
      <w:r w:rsidR="00BA6FB6" w:rsidRPr="00BA6FB6">
        <w:rPr>
          <w:noProof/>
        </w:rPr>
        <mc:AlternateContent>
          <mc:Choice Requires="wps">
            <w:drawing>
              <wp:anchor distT="0" distB="0" distL="114300" distR="114300" simplePos="0" relativeHeight="251661312" behindDoc="0" locked="0" layoutInCell="1" allowOverlap="1" wp14:anchorId="7528F5D4" wp14:editId="78D6CB9D">
                <wp:simplePos x="0" y="0"/>
                <wp:positionH relativeFrom="column">
                  <wp:posOffset>635</wp:posOffset>
                </wp:positionH>
                <wp:positionV relativeFrom="paragraph">
                  <wp:posOffset>1360805</wp:posOffset>
                </wp:positionV>
                <wp:extent cx="5470525" cy="1371600"/>
                <wp:effectExtent l="0" t="0" r="15875" b="19050"/>
                <wp:wrapNone/>
                <wp:docPr id="11" name="Text Box 11"/>
                <wp:cNvGraphicFramePr/>
                <a:graphic xmlns:a="http://schemas.openxmlformats.org/drawingml/2006/main">
                  <a:graphicData uri="http://schemas.microsoft.com/office/word/2010/wordprocessingShape">
                    <wps:wsp>
                      <wps:cNvSpPr txBox="1"/>
                      <wps:spPr>
                        <a:xfrm>
                          <a:off x="0" y="0"/>
                          <a:ext cx="5470525" cy="1371600"/>
                        </a:xfrm>
                        <a:prstGeom prst="rect">
                          <a:avLst/>
                        </a:prstGeom>
                        <a:solidFill>
                          <a:schemeClr val="lt1"/>
                        </a:solidFill>
                        <a:ln w="6350">
                          <a:solidFill>
                            <a:prstClr val="black"/>
                          </a:solidFill>
                        </a:ln>
                      </wps:spPr>
                      <wps:txbx>
                        <w:txbxContent>
                          <w:p w14:paraId="29F20319"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Department of Foreign Affairs and Trade</w:t>
                            </w:r>
                          </w:p>
                          <w:p w14:paraId="446DA9ED" w14:textId="1475B075"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Secretary, Ms Kathryn Campbell AO CSC and Bar</w:t>
                            </w:r>
                          </w:p>
                          <w:p w14:paraId="3E1CCCC1" w14:textId="77777777" w:rsidR="00FA788E" w:rsidRDefault="00FA788E" w:rsidP="00BA6FB6">
                            <w:pPr>
                              <w:spacing w:after="120" w:line="240" w:lineRule="auto"/>
                              <w:jc w:val="center"/>
                              <w:rPr>
                                <w:rFonts w:asciiTheme="minorHAnsi" w:hAnsiTheme="minorHAnsi"/>
                                <w:sz w:val="16"/>
                                <w:szCs w:val="16"/>
                              </w:rPr>
                            </w:pPr>
                            <w:r>
                              <w:rPr>
                                <w:rFonts w:asciiTheme="minorHAnsi" w:hAnsiTheme="minorHAnsi"/>
                                <w:sz w:val="16"/>
                                <w:szCs w:val="16"/>
                              </w:rPr>
                              <w:t>Outcome 1: The advancement of Australia’s international strategic, security and economic interests including through bilateral, regional and multilateral engagement on Australian Government foreign, trade and international development policy priorities</w:t>
                            </w:r>
                          </w:p>
                          <w:p w14:paraId="71E7D1EA" w14:textId="77777777" w:rsidR="00FA788E" w:rsidRDefault="00FA788E" w:rsidP="00BA6FB6">
                            <w:pPr>
                              <w:spacing w:after="120" w:line="240" w:lineRule="auto"/>
                              <w:jc w:val="center"/>
                              <w:rPr>
                                <w:rFonts w:asciiTheme="minorHAnsi" w:hAnsiTheme="minorHAnsi"/>
                                <w:sz w:val="16"/>
                                <w:szCs w:val="16"/>
                              </w:rPr>
                            </w:pPr>
                            <w:r>
                              <w:rPr>
                                <w:rFonts w:asciiTheme="minorHAnsi" w:hAnsiTheme="minorHAnsi"/>
                                <w:sz w:val="16"/>
                                <w:szCs w:val="16"/>
                              </w:rPr>
                              <w:t>Outcome 2: The protection and welfare of Australians abroad and access to secure international travel documentation through timely and responsive travel advice and consular and passport services in Australia and overseas</w:t>
                            </w:r>
                          </w:p>
                          <w:p w14:paraId="656CFAFC" w14:textId="77777777" w:rsidR="00FA788E" w:rsidRDefault="00FA788E" w:rsidP="00BA6FB6">
                            <w:pPr>
                              <w:spacing w:after="120" w:line="240" w:lineRule="auto"/>
                              <w:jc w:val="center"/>
                              <w:rPr>
                                <w:rFonts w:asciiTheme="minorHAnsi" w:hAnsiTheme="minorHAnsi"/>
                                <w:sz w:val="16"/>
                                <w:szCs w:val="16"/>
                              </w:rPr>
                            </w:pPr>
                            <w:r>
                              <w:rPr>
                                <w:rFonts w:asciiTheme="minorHAnsi" w:hAnsiTheme="minorHAnsi"/>
                                <w:sz w:val="16"/>
                                <w:szCs w:val="16"/>
                              </w:rPr>
                              <w:t>Outcome 3: A secure Australian Government presence overseas through the provision of security services and information and communication technology infrastructure, and the management of the Commonwealth’s overseas property estate</w:t>
                            </w:r>
                          </w:p>
                          <w:p w14:paraId="20E594DA" w14:textId="77777777" w:rsidR="00FA788E" w:rsidRDefault="00FA788E" w:rsidP="00BA6FB6">
                            <w:pPr>
                              <w:rPr>
                                <w:rFonts w:asciiTheme="minorHAnsi" w:hAnsiTheme="minorHAnsi"/>
                                <w:sz w:val="16"/>
                                <w:szCs w:val="16"/>
                              </w:rPr>
                            </w:pPr>
                          </w:p>
                          <w:p w14:paraId="228C39FA" w14:textId="77777777" w:rsidR="00FA788E" w:rsidRDefault="00FA788E" w:rsidP="00BA6FB6">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F5D4" id="Text Box 11" o:spid="_x0000_s1051" type="#_x0000_t202" style="position:absolute;left:0;text-align:left;margin-left:.05pt;margin-top:107.15pt;width:430.7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" fillcolor="white [3201]" strokeweight=".5pt">
                <v:textbox>
                  <w:txbxContent>
                    <w:p w14:paraId="29F20319" w14:textId="77777777" w:rsidR="00FA788E" w:rsidRDefault="00FA788E" w:rsidP="00BA6FB6">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Department of Foreign Affairs and Trade</w:t>
                      </w:r>
                    </w:p>
                    <w:p w14:paraId="446DA9ED" w14:textId="1475B075" w:rsidR="00FA788E" w:rsidRDefault="00FA788E" w:rsidP="00BA6FB6">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Secretary, Ms Kathryn Campbell AO CSC and Bar</w:t>
                      </w:r>
                    </w:p>
                    <w:p w14:paraId="3E1CCCC1" w14:textId="77777777" w:rsidR="00FA788E" w:rsidRDefault="00FA788E" w:rsidP="00BA6FB6">
                      <w:pPr>
                        <w:spacing w:after="120" w:line="240" w:lineRule="auto"/>
                        <w:jc w:val="center"/>
                        <w:rPr>
                          <w:rFonts w:asciiTheme="minorHAnsi" w:hAnsiTheme="minorHAnsi"/>
                          <w:sz w:val="16"/>
                          <w:szCs w:val="16"/>
                        </w:rPr>
                      </w:pPr>
                      <w:r>
                        <w:rPr>
                          <w:rFonts w:asciiTheme="minorHAnsi" w:hAnsiTheme="minorHAnsi"/>
                          <w:sz w:val="16"/>
                          <w:szCs w:val="16"/>
                        </w:rPr>
                        <w:t>Outcome 1: The advancement of Australia’s international strategic, security and economic interests including through bilateral, regional and multilateral engagement on Australian Government foreign, trade and international development policy priorities</w:t>
                      </w:r>
                    </w:p>
                    <w:p w14:paraId="71E7D1EA" w14:textId="77777777" w:rsidR="00FA788E" w:rsidRDefault="00FA788E" w:rsidP="00BA6FB6">
                      <w:pPr>
                        <w:spacing w:after="120" w:line="240" w:lineRule="auto"/>
                        <w:jc w:val="center"/>
                        <w:rPr>
                          <w:rFonts w:asciiTheme="minorHAnsi" w:hAnsiTheme="minorHAnsi"/>
                          <w:sz w:val="16"/>
                          <w:szCs w:val="16"/>
                        </w:rPr>
                      </w:pPr>
                      <w:r>
                        <w:rPr>
                          <w:rFonts w:asciiTheme="minorHAnsi" w:hAnsiTheme="minorHAnsi"/>
                          <w:sz w:val="16"/>
                          <w:szCs w:val="16"/>
                        </w:rPr>
                        <w:t>Outcome 2: The protection and welfare of Australians abroad and access to secure international travel documentation through timely and responsive travel advice and consular and passport services in Australia and overseas</w:t>
                      </w:r>
                    </w:p>
                    <w:p w14:paraId="656CFAFC" w14:textId="77777777" w:rsidR="00FA788E" w:rsidRDefault="00FA788E" w:rsidP="00BA6FB6">
                      <w:pPr>
                        <w:spacing w:after="120" w:line="240" w:lineRule="auto"/>
                        <w:jc w:val="center"/>
                        <w:rPr>
                          <w:rFonts w:asciiTheme="minorHAnsi" w:hAnsiTheme="minorHAnsi"/>
                          <w:sz w:val="16"/>
                          <w:szCs w:val="16"/>
                        </w:rPr>
                      </w:pPr>
                      <w:r>
                        <w:rPr>
                          <w:rFonts w:asciiTheme="minorHAnsi" w:hAnsiTheme="minorHAnsi"/>
                          <w:sz w:val="16"/>
                          <w:szCs w:val="16"/>
                        </w:rPr>
                        <w:t>Outcome 3: A secure Australian Government presence overseas through the provision of security services and information and communication technology infrastructure, and the management of the Commonwealth’s overseas property estate</w:t>
                      </w:r>
                    </w:p>
                    <w:p w14:paraId="20E594DA" w14:textId="77777777" w:rsidR="00FA788E" w:rsidRDefault="00FA788E" w:rsidP="00BA6FB6">
                      <w:pPr>
                        <w:rPr>
                          <w:rFonts w:asciiTheme="minorHAnsi" w:hAnsiTheme="minorHAnsi"/>
                          <w:sz w:val="16"/>
                          <w:szCs w:val="16"/>
                        </w:rPr>
                      </w:pPr>
                    </w:p>
                    <w:p w14:paraId="228C39FA" w14:textId="77777777" w:rsidR="00FA788E" w:rsidRDefault="00FA788E" w:rsidP="00BA6FB6">
                      <w:pPr>
                        <w:rPr>
                          <w:rFonts w:asciiTheme="minorHAnsi" w:hAnsiTheme="minorHAnsi"/>
                          <w:sz w:val="16"/>
                          <w:szCs w:val="16"/>
                        </w:rPr>
                      </w:pPr>
                    </w:p>
                  </w:txbxContent>
                </v:textbox>
              </v:shape>
            </w:pict>
          </mc:Fallback>
        </mc:AlternateContent>
      </w:r>
    </w:p>
    <w:p w14:paraId="72F7BA9A" w14:textId="77777777" w:rsidR="00FE3DE9" w:rsidRPr="00FE3DE9" w:rsidRDefault="00FE3DE9" w:rsidP="00FE3DE9">
      <w:pPr>
        <w:sectPr w:rsidR="00FE3DE9" w:rsidRPr="00FE3DE9" w:rsidSect="00782467">
          <w:headerReference w:type="even" r:id="rId40"/>
          <w:headerReference w:type="default" r:id="rId41"/>
          <w:footerReference w:type="even" r:id="rId42"/>
          <w:headerReference w:type="first" r:id="rId43"/>
          <w:footerReference w:type="first" r:id="rId44"/>
          <w:type w:val="oddPage"/>
          <w:pgSz w:w="11906" w:h="16838" w:code="9"/>
          <w:pgMar w:top="2835" w:right="2098" w:bottom="2466" w:left="2098" w:header="1814" w:footer="1814" w:gutter="0"/>
          <w:pgNumType w:start="2"/>
          <w:cols w:space="708"/>
          <w:titlePg/>
          <w:docGrid w:linePitch="360"/>
        </w:sectPr>
      </w:pPr>
    </w:p>
    <w:p w14:paraId="24BEAD6B" w14:textId="77777777" w:rsidR="00F20B6E" w:rsidRPr="002A32FD" w:rsidRDefault="007E6BBD" w:rsidP="002A32FD">
      <w:pPr>
        <w:pStyle w:val="ContentsHeading"/>
      </w:pPr>
      <w:bookmarkStart w:id="15" w:name="_Toc190766149"/>
      <w:bookmarkStart w:id="16" w:name="_Toc444523507"/>
      <w:r w:rsidRPr="002A32FD">
        <w:t xml:space="preserve">Entity </w:t>
      </w:r>
      <w:r w:rsidR="00605163" w:rsidRPr="002A32FD">
        <w:t>resources and</w:t>
      </w:r>
      <w:r w:rsidR="00605163" w:rsidRPr="002A32FD">
        <w:br/>
        <w:t>planned performance</w:t>
      </w:r>
      <w:bookmarkEnd w:id="15"/>
      <w:bookmarkEnd w:id="16"/>
    </w:p>
    <w:p w14:paraId="420FA4EF" w14:textId="0265D9E5" w:rsidR="00AB76EC" w:rsidRDefault="00AB76EC" w:rsidP="00AB76EC">
      <w:pPr>
        <w:pStyle w:val="TOC1"/>
      </w:pPr>
      <w:r>
        <w:t xml:space="preserve">Department of </w:t>
      </w:r>
      <w:r w:rsidR="00455F24">
        <w:t>Foreign Affairs and Trade (DFAT)</w:t>
      </w:r>
      <w:r>
        <w:tab/>
      </w:r>
      <w:r w:rsidR="007B0A3E">
        <w:t>13</w:t>
      </w:r>
    </w:p>
    <w:p w14:paraId="6D372E1A" w14:textId="0D2E7847" w:rsidR="00AB76EC" w:rsidRDefault="00455F24" w:rsidP="00AB76EC">
      <w:pPr>
        <w:pStyle w:val="TOC1"/>
      </w:pPr>
      <w:r>
        <w:t>Australian Trade and Investment Commission (Austrade)</w:t>
      </w:r>
      <w:r w:rsidR="00AB76EC">
        <w:tab/>
      </w:r>
      <w:r w:rsidR="00783F55">
        <w:t>7</w:t>
      </w:r>
      <w:r w:rsidR="005170E1">
        <w:t>3</w:t>
      </w:r>
    </w:p>
    <w:p w14:paraId="78F08E02" w14:textId="34746CDD" w:rsidR="00AB76EC" w:rsidRDefault="00455F24" w:rsidP="00AB76EC">
      <w:pPr>
        <w:pStyle w:val="TOC1"/>
      </w:pPr>
      <w:r>
        <w:t>Australian Centre for International Agricultural Research (ACIAR)</w:t>
      </w:r>
      <w:r w:rsidR="00AB76EC">
        <w:tab/>
      </w:r>
      <w:r w:rsidR="007B0A3E">
        <w:t>1</w:t>
      </w:r>
      <w:r w:rsidR="009D179D">
        <w:t>0</w:t>
      </w:r>
      <w:r w:rsidR="005170E1">
        <w:t>7</w:t>
      </w:r>
    </w:p>
    <w:p w14:paraId="3F84D897" w14:textId="6F742F54" w:rsidR="00AB76EC" w:rsidRDefault="00455F24" w:rsidP="00AB76EC">
      <w:pPr>
        <w:pStyle w:val="TOC1"/>
      </w:pPr>
      <w:r>
        <w:t>Australian Secret Intelligence Organisation (ASIS)</w:t>
      </w:r>
      <w:r w:rsidR="00AB76EC">
        <w:tab/>
      </w:r>
      <w:r w:rsidR="007B0A3E">
        <w:t>1</w:t>
      </w:r>
      <w:r w:rsidR="009D179D">
        <w:t>3</w:t>
      </w:r>
      <w:r w:rsidR="005170E1">
        <w:t>3</w:t>
      </w:r>
    </w:p>
    <w:p w14:paraId="6675E80D" w14:textId="0CD3DBF4" w:rsidR="00AB76EC" w:rsidRDefault="00455F24" w:rsidP="00AB76EC">
      <w:pPr>
        <w:pStyle w:val="TOC1"/>
      </w:pPr>
      <w:r>
        <w:t>Tourism Australia</w:t>
      </w:r>
      <w:r w:rsidR="00AB76EC">
        <w:tab/>
      </w:r>
      <w:r w:rsidR="007B0A3E">
        <w:t>1</w:t>
      </w:r>
      <w:r w:rsidR="009D179D">
        <w:t>4</w:t>
      </w:r>
      <w:r w:rsidR="005170E1">
        <w:t>9</w:t>
      </w:r>
    </w:p>
    <w:p w14:paraId="54543AB3" w14:textId="77777777" w:rsidR="00AB76EC" w:rsidRDefault="00AB76EC" w:rsidP="00AB76EC"/>
    <w:p w14:paraId="3E5CC828" w14:textId="77777777" w:rsidR="00257FF4" w:rsidRDefault="00257FF4" w:rsidP="00AB76EC"/>
    <w:p w14:paraId="550B3F14" w14:textId="77777777" w:rsidR="005A7C0B" w:rsidRDefault="005A7C0B" w:rsidP="00AB76EC">
      <w:pPr>
        <w:sectPr w:rsidR="005A7C0B" w:rsidSect="00782467">
          <w:footerReference w:type="first" r:id="rId45"/>
          <w:type w:val="oddPage"/>
          <w:pgSz w:w="11906" w:h="16838" w:code="9"/>
          <w:pgMar w:top="2835" w:right="2098" w:bottom="2466" w:left="2098" w:header="1814" w:footer="1814" w:gutter="0"/>
          <w:cols w:space="708"/>
          <w:titlePg/>
          <w:docGrid w:linePitch="360"/>
        </w:sectPr>
      </w:pPr>
    </w:p>
    <w:p w14:paraId="2B7FC5B2" w14:textId="44335547" w:rsidR="00257FF4" w:rsidRPr="005A7C0B" w:rsidRDefault="00257FF4" w:rsidP="005A7C0B">
      <w:pPr>
        <w:pStyle w:val="PartHeading"/>
      </w:pPr>
      <w:r w:rsidRPr="005A7C0B">
        <w:t xml:space="preserve">Department of </w:t>
      </w:r>
      <w:r w:rsidR="000C50D8">
        <w:t>Foreign Affairs and Trade</w:t>
      </w:r>
      <w:r w:rsidR="008E34EA">
        <w:t xml:space="preserve"> (DFAT)</w:t>
      </w:r>
    </w:p>
    <w:p w14:paraId="5FD018ED" w14:textId="77777777" w:rsidR="005A7C0B" w:rsidRDefault="005A7C0B" w:rsidP="005A7C0B">
      <w:pPr>
        <w:pStyle w:val="PartHeading"/>
      </w:pPr>
    </w:p>
    <w:p w14:paraId="4D591F14" w14:textId="77777777" w:rsidR="005A7C0B" w:rsidRDefault="005A7C0B" w:rsidP="005A7C0B">
      <w:pPr>
        <w:pStyle w:val="PartHeading"/>
      </w:pPr>
    </w:p>
    <w:p w14:paraId="6F0A1A14" w14:textId="77777777" w:rsidR="00257FF4" w:rsidRDefault="007E6BBD" w:rsidP="006B7542">
      <w:pPr>
        <w:pStyle w:val="PartHeading-TOC"/>
      </w:pPr>
      <w:bookmarkStart w:id="17" w:name="_Toc95215529"/>
      <w:bookmarkStart w:id="18" w:name="_Toc95217539"/>
      <w:r>
        <w:t xml:space="preserve">Entity </w:t>
      </w:r>
      <w:r w:rsidR="00605163">
        <w:t>resources and planned performance</w:t>
      </w:r>
      <w:bookmarkEnd w:id="17"/>
      <w:bookmarkEnd w:id="18"/>
    </w:p>
    <w:p w14:paraId="7C8C4A98" w14:textId="77777777" w:rsidR="00257FF4" w:rsidRDefault="00257FF4" w:rsidP="005A7C0B">
      <w:pPr>
        <w:pStyle w:val="PartHeading"/>
        <w:sectPr w:rsidR="00257FF4" w:rsidSect="00782467">
          <w:footerReference w:type="first" r:id="rId46"/>
          <w:type w:val="oddPage"/>
          <w:pgSz w:w="11906" w:h="16838" w:code="9"/>
          <w:pgMar w:top="2835" w:right="2098" w:bottom="2466" w:left="2098" w:header="1814" w:footer="1814" w:gutter="0"/>
          <w:cols w:space="708"/>
          <w:vAlign w:val="center"/>
          <w:titlePg/>
          <w:docGrid w:linePitch="360"/>
        </w:sectPr>
      </w:pPr>
    </w:p>
    <w:p w14:paraId="2D16B08A" w14:textId="76E8F199" w:rsidR="00257FF4" w:rsidRPr="002A32FD" w:rsidRDefault="00257FF4" w:rsidP="002A32FD">
      <w:pPr>
        <w:pStyle w:val="ContentsHeading"/>
      </w:pPr>
      <w:bookmarkStart w:id="19" w:name="_Toc190766150"/>
      <w:r w:rsidRPr="002A32FD">
        <w:t xml:space="preserve">Department of </w:t>
      </w:r>
      <w:bookmarkEnd w:id="19"/>
      <w:r w:rsidR="000C50D8">
        <w:t>Foreign Affairs and Trade</w:t>
      </w:r>
    </w:p>
    <w:p w14:paraId="6CAE4DF9" w14:textId="417EAE20" w:rsidR="007B0A3E" w:rsidRDefault="00915F49">
      <w:pPr>
        <w:pStyle w:val="TOC1"/>
        <w:rPr>
          <w:rFonts w:asciiTheme="minorHAnsi" w:eastAsiaTheme="minorEastAsia" w:hAnsiTheme="minorHAnsi" w:cstheme="minorBidi"/>
          <w:b w:val="0"/>
          <w:caps w:val="0"/>
          <w:noProof/>
          <w:sz w:val="22"/>
          <w:szCs w:val="22"/>
          <w:lang w:eastAsia="ja-JP"/>
        </w:rPr>
      </w:pPr>
      <w:r>
        <w:fldChar w:fldCharType="begin"/>
      </w:r>
      <w:r>
        <w:instrText xml:space="preserve"> TOC \h \z \t "Heading 2,1,Heading 3,2" </w:instrText>
      </w:r>
      <w:r>
        <w:fldChar w:fldCharType="separate"/>
      </w:r>
      <w:hyperlink w:anchor="_Toc95217846" w:history="1">
        <w:r w:rsidR="007B0A3E" w:rsidRPr="00E503A6">
          <w:rPr>
            <w:rStyle w:val="Hyperlink"/>
            <w:noProof/>
          </w:rPr>
          <w:t>Section 1: Entity overview and resources</w:t>
        </w:r>
        <w:r w:rsidR="007B0A3E">
          <w:rPr>
            <w:noProof/>
            <w:webHidden/>
          </w:rPr>
          <w:tab/>
        </w:r>
        <w:r w:rsidR="007B0A3E">
          <w:rPr>
            <w:noProof/>
            <w:webHidden/>
          </w:rPr>
          <w:fldChar w:fldCharType="begin"/>
        </w:r>
        <w:r w:rsidR="007B0A3E">
          <w:rPr>
            <w:noProof/>
            <w:webHidden/>
          </w:rPr>
          <w:instrText xml:space="preserve"> PAGEREF _Toc95217846 \h </w:instrText>
        </w:r>
        <w:r w:rsidR="007B0A3E">
          <w:rPr>
            <w:noProof/>
            <w:webHidden/>
          </w:rPr>
        </w:r>
        <w:r w:rsidR="007B0A3E">
          <w:rPr>
            <w:noProof/>
            <w:webHidden/>
          </w:rPr>
          <w:fldChar w:fldCharType="separate"/>
        </w:r>
        <w:r w:rsidR="00400ED5">
          <w:rPr>
            <w:noProof/>
            <w:webHidden/>
          </w:rPr>
          <w:t>13</w:t>
        </w:r>
        <w:r w:rsidR="007B0A3E">
          <w:rPr>
            <w:noProof/>
            <w:webHidden/>
          </w:rPr>
          <w:fldChar w:fldCharType="end"/>
        </w:r>
      </w:hyperlink>
    </w:p>
    <w:p w14:paraId="75F23919" w14:textId="54794FD3" w:rsidR="007B0A3E" w:rsidRDefault="000F6D08">
      <w:pPr>
        <w:pStyle w:val="TOC2"/>
        <w:tabs>
          <w:tab w:val="left" w:pos="800"/>
        </w:tabs>
        <w:rPr>
          <w:rFonts w:asciiTheme="minorHAnsi" w:eastAsiaTheme="minorEastAsia" w:hAnsiTheme="minorHAnsi" w:cstheme="minorBidi"/>
          <w:noProof/>
          <w:sz w:val="22"/>
          <w:szCs w:val="22"/>
          <w:lang w:eastAsia="ja-JP"/>
        </w:rPr>
      </w:pPr>
      <w:hyperlink w:anchor="_Toc95217847" w:history="1">
        <w:r w:rsidR="007B0A3E" w:rsidRPr="00E503A6">
          <w:rPr>
            <w:rStyle w:val="Hyperlink"/>
            <w:noProof/>
          </w:rPr>
          <w:t>1.1</w:t>
        </w:r>
        <w:r w:rsidR="007B0A3E">
          <w:rPr>
            <w:rFonts w:asciiTheme="minorHAnsi" w:eastAsiaTheme="minorEastAsia" w:hAnsiTheme="minorHAnsi" w:cstheme="minorBidi"/>
            <w:noProof/>
            <w:sz w:val="22"/>
            <w:szCs w:val="22"/>
            <w:lang w:eastAsia="ja-JP"/>
          </w:rPr>
          <w:tab/>
        </w:r>
        <w:r w:rsidR="007B0A3E" w:rsidRPr="00E503A6">
          <w:rPr>
            <w:rStyle w:val="Hyperlink"/>
            <w:noProof/>
          </w:rPr>
          <w:t>Strategic direction statement</w:t>
        </w:r>
        <w:r w:rsidR="007B0A3E">
          <w:rPr>
            <w:noProof/>
            <w:webHidden/>
          </w:rPr>
          <w:tab/>
        </w:r>
        <w:r w:rsidR="007B0A3E">
          <w:rPr>
            <w:noProof/>
            <w:webHidden/>
          </w:rPr>
          <w:fldChar w:fldCharType="begin"/>
        </w:r>
        <w:r w:rsidR="007B0A3E">
          <w:rPr>
            <w:noProof/>
            <w:webHidden/>
          </w:rPr>
          <w:instrText xml:space="preserve"> PAGEREF _Toc95217847 \h </w:instrText>
        </w:r>
        <w:r w:rsidR="007B0A3E">
          <w:rPr>
            <w:noProof/>
            <w:webHidden/>
          </w:rPr>
        </w:r>
        <w:r w:rsidR="007B0A3E">
          <w:rPr>
            <w:noProof/>
            <w:webHidden/>
          </w:rPr>
          <w:fldChar w:fldCharType="separate"/>
        </w:r>
        <w:r w:rsidR="00400ED5">
          <w:rPr>
            <w:noProof/>
            <w:webHidden/>
          </w:rPr>
          <w:t>13</w:t>
        </w:r>
        <w:r w:rsidR="007B0A3E">
          <w:rPr>
            <w:noProof/>
            <w:webHidden/>
          </w:rPr>
          <w:fldChar w:fldCharType="end"/>
        </w:r>
      </w:hyperlink>
    </w:p>
    <w:p w14:paraId="688566CC" w14:textId="67503674" w:rsidR="007B0A3E" w:rsidRDefault="000F6D08">
      <w:pPr>
        <w:pStyle w:val="TOC2"/>
        <w:tabs>
          <w:tab w:val="left" w:pos="800"/>
        </w:tabs>
        <w:rPr>
          <w:rFonts w:asciiTheme="minorHAnsi" w:eastAsiaTheme="minorEastAsia" w:hAnsiTheme="minorHAnsi" w:cstheme="minorBidi"/>
          <w:noProof/>
          <w:sz w:val="22"/>
          <w:szCs w:val="22"/>
          <w:lang w:eastAsia="ja-JP"/>
        </w:rPr>
      </w:pPr>
      <w:hyperlink w:anchor="_Toc95217848" w:history="1">
        <w:r w:rsidR="007B0A3E" w:rsidRPr="00E503A6">
          <w:rPr>
            <w:rStyle w:val="Hyperlink"/>
            <w:noProof/>
          </w:rPr>
          <w:t>1.2</w:t>
        </w:r>
        <w:r w:rsidR="007B0A3E">
          <w:rPr>
            <w:rFonts w:asciiTheme="minorHAnsi" w:eastAsiaTheme="minorEastAsia" w:hAnsiTheme="minorHAnsi" w:cstheme="minorBidi"/>
            <w:noProof/>
            <w:sz w:val="22"/>
            <w:szCs w:val="22"/>
            <w:lang w:eastAsia="ja-JP"/>
          </w:rPr>
          <w:tab/>
        </w:r>
        <w:r w:rsidR="007B0A3E" w:rsidRPr="00E503A6">
          <w:rPr>
            <w:rStyle w:val="Hyperlink"/>
            <w:noProof/>
          </w:rPr>
          <w:t>Entity resource statement</w:t>
        </w:r>
        <w:r w:rsidR="007B0A3E">
          <w:rPr>
            <w:noProof/>
            <w:webHidden/>
          </w:rPr>
          <w:tab/>
        </w:r>
        <w:r w:rsidR="007B0A3E">
          <w:rPr>
            <w:noProof/>
            <w:webHidden/>
          </w:rPr>
          <w:fldChar w:fldCharType="begin"/>
        </w:r>
        <w:r w:rsidR="007B0A3E">
          <w:rPr>
            <w:noProof/>
            <w:webHidden/>
          </w:rPr>
          <w:instrText xml:space="preserve"> PAGEREF _Toc95217848 \h </w:instrText>
        </w:r>
        <w:r w:rsidR="007B0A3E">
          <w:rPr>
            <w:noProof/>
            <w:webHidden/>
          </w:rPr>
        </w:r>
        <w:r w:rsidR="007B0A3E">
          <w:rPr>
            <w:noProof/>
            <w:webHidden/>
          </w:rPr>
          <w:fldChar w:fldCharType="separate"/>
        </w:r>
        <w:r w:rsidR="00400ED5">
          <w:rPr>
            <w:noProof/>
            <w:webHidden/>
          </w:rPr>
          <w:t>17</w:t>
        </w:r>
        <w:r w:rsidR="007B0A3E">
          <w:rPr>
            <w:noProof/>
            <w:webHidden/>
          </w:rPr>
          <w:fldChar w:fldCharType="end"/>
        </w:r>
      </w:hyperlink>
    </w:p>
    <w:p w14:paraId="60C57D8B" w14:textId="139CCEC7" w:rsidR="007B0A3E" w:rsidRDefault="000F6D08">
      <w:pPr>
        <w:pStyle w:val="TOC2"/>
        <w:tabs>
          <w:tab w:val="left" w:pos="800"/>
        </w:tabs>
        <w:rPr>
          <w:rFonts w:asciiTheme="minorHAnsi" w:eastAsiaTheme="minorEastAsia" w:hAnsiTheme="minorHAnsi" w:cstheme="minorBidi"/>
          <w:noProof/>
          <w:sz w:val="22"/>
          <w:szCs w:val="22"/>
          <w:lang w:eastAsia="ja-JP"/>
        </w:rPr>
      </w:pPr>
      <w:hyperlink w:anchor="_Toc95217849" w:history="1">
        <w:r w:rsidR="007B0A3E" w:rsidRPr="00E503A6">
          <w:rPr>
            <w:rStyle w:val="Hyperlink"/>
            <w:noProof/>
          </w:rPr>
          <w:t>1.3</w:t>
        </w:r>
        <w:r w:rsidR="007B0A3E">
          <w:rPr>
            <w:rFonts w:asciiTheme="minorHAnsi" w:eastAsiaTheme="minorEastAsia" w:hAnsiTheme="minorHAnsi" w:cstheme="minorBidi"/>
            <w:noProof/>
            <w:sz w:val="22"/>
            <w:szCs w:val="22"/>
            <w:lang w:eastAsia="ja-JP"/>
          </w:rPr>
          <w:tab/>
        </w:r>
        <w:r w:rsidR="007B0A3E" w:rsidRPr="00E503A6">
          <w:rPr>
            <w:rStyle w:val="Hyperlink"/>
            <w:noProof/>
          </w:rPr>
          <w:t>Budget measures</w:t>
        </w:r>
        <w:r w:rsidR="007B0A3E">
          <w:rPr>
            <w:noProof/>
            <w:webHidden/>
          </w:rPr>
          <w:tab/>
        </w:r>
        <w:r w:rsidR="007B0A3E">
          <w:rPr>
            <w:noProof/>
            <w:webHidden/>
          </w:rPr>
          <w:fldChar w:fldCharType="begin"/>
        </w:r>
        <w:r w:rsidR="007B0A3E">
          <w:rPr>
            <w:noProof/>
            <w:webHidden/>
          </w:rPr>
          <w:instrText xml:space="preserve"> PAGEREF _Toc95217849 \h </w:instrText>
        </w:r>
        <w:r w:rsidR="007B0A3E">
          <w:rPr>
            <w:noProof/>
            <w:webHidden/>
          </w:rPr>
        </w:r>
        <w:r w:rsidR="007B0A3E">
          <w:rPr>
            <w:noProof/>
            <w:webHidden/>
          </w:rPr>
          <w:fldChar w:fldCharType="separate"/>
        </w:r>
        <w:r w:rsidR="00400ED5">
          <w:rPr>
            <w:noProof/>
            <w:webHidden/>
          </w:rPr>
          <w:t>20</w:t>
        </w:r>
        <w:r w:rsidR="007B0A3E">
          <w:rPr>
            <w:noProof/>
            <w:webHidden/>
          </w:rPr>
          <w:fldChar w:fldCharType="end"/>
        </w:r>
      </w:hyperlink>
    </w:p>
    <w:p w14:paraId="136E2ABF" w14:textId="284EA68E" w:rsidR="007B0A3E" w:rsidRDefault="000F6D08">
      <w:pPr>
        <w:pStyle w:val="TOC1"/>
        <w:rPr>
          <w:rFonts w:asciiTheme="minorHAnsi" w:eastAsiaTheme="minorEastAsia" w:hAnsiTheme="minorHAnsi" w:cstheme="minorBidi"/>
          <w:b w:val="0"/>
          <w:caps w:val="0"/>
          <w:noProof/>
          <w:sz w:val="22"/>
          <w:szCs w:val="22"/>
          <w:lang w:eastAsia="ja-JP"/>
        </w:rPr>
      </w:pPr>
      <w:hyperlink w:anchor="_Toc95217850" w:history="1">
        <w:r w:rsidR="007B0A3E" w:rsidRPr="00E503A6">
          <w:rPr>
            <w:rStyle w:val="Hyperlink"/>
            <w:noProof/>
          </w:rPr>
          <w:t>Section 2: Outcomes and planned performance</w:t>
        </w:r>
        <w:r w:rsidR="007B0A3E">
          <w:rPr>
            <w:noProof/>
            <w:webHidden/>
          </w:rPr>
          <w:tab/>
        </w:r>
        <w:r w:rsidR="007B0A3E">
          <w:rPr>
            <w:noProof/>
            <w:webHidden/>
          </w:rPr>
          <w:fldChar w:fldCharType="begin"/>
        </w:r>
        <w:r w:rsidR="007B0A3E">
          <w:rPr>
            <w:noProof/>
            <w:webHidden/>
          </w:rPr>
          <w:instrText xml:space="preserve"> PAGEREF _Toc95217850 \h </w:instrText>
        </w:r>
        <w:r w:rsidR="007B0A3E">
          <w:rPr>
            <w:noProof/>
            <w:webHidden/>
          </w:rPr>
        </w:r>
        <w:r w:rsidR="007B0A3E">
          <w:rPr>
            <w:noProof/>
            <w:webHidden/>
          </w:rPr>
          <w:fldChar w:fldCharType="separate"/>
        </w:r>
        <w:r w:rsidR="00400ED5">
          <w:rPr>
            <w:noProof/>
            <w:webHidden/>
          </w:rPr>
          <w:t>22</w:t>
        </w:r>
        <w:r w:rsidR="007B0A3E">
          <w:rPr>
            <w:noProof/>
            <w:webHidden/>
          </w:rPr>
          <w:fldChar w:fldCharType="end"/>
        </w:r>
      </w:hyperlink>
    </w:p>
    <w:p w14:paraId="046A8E6C" w14:textId="15D1C722" w:rsidR="007B0A3E" w:rsidRDefault="000F6D08">
      <w:pPr>
        <w:pStyle w:val="TOC2"/>
        <w:tabs>
          <w:tab w:val="left" w:pos="800"/>
        </w:tabs>
        <w:rPr>
          <w:rFonts w:asciiTheme="minorHAnsi" w:eastAsiaTheme="minorEastAsia" w:hAnsiTheme="minorHAnsi" w:cstheme="minorBidi"/>
          <w:noProof/>
          <w:sz w:val="22"/>
          <w:szCs w:val="22"/>
          <w:lang w:eastAsia="ja-JP"/>
        </w:rPr>
      </w:pPr>
      <w:hyperlink w:anchor="_Toc95217851" w:history="1">
        <w:r w:rsidR="007B0A3E" w:rsidRPr="00E503A6">
          <w:rPr>
            <w:rStyle w:val="Hyperlink"/>
            <w:noProof/>
          </w:rPr>
          <w:t xml:space="preserve">2.1 </w:t>
        </w:r>
        <w:r w:rsidR="007B0A3E">
          <w:rPr>
            <w:rFonts w:asciiTheme="minorHAnsi" w:eastAsiaTheme="minorEastAsia" w:hAnsiTheme="minorHAnsi" w:cstheme="minorBidi"/>
            <w:noProof/>
            <w:sz w:val="22"/>
            <w:szCs w:val="22"/>
            <w:lang w:eastAsia="ja-JP"/>
          </w:rPr>
          <w:tab/>
        </w:r>
        <w:r w:rsidR="007B0A3E" w:rsidRPr="00E503A6">
          <w:rPr>
            <w:rStyle w:val="Hyperlink"/>
            <w:noProof/>
          </w:rPr>
          <w:t>Budgeted expenses and performance for Outcome 1</w:t>
        </w:r>
        <w:r w:rsidR="007B0A3E">
          <w:rPr>
            <w:noProof/>
            <w:webHidden/>
          </w:rPr>
          <w:tab/>
        </w:r>
        <w:r w:rsidR="007B0A3E">
          <w:rPr>
            <w:noProof/>
            <w:webHidden/>
          </w:rPr>
          <w:fldChar w:fldCharType="begin"/>
        </w:r>
        <w:r w:rsidR="007B0A3E">
          <w:rPr>
            <w:noProof/>
            <w:webHidden/>
          </w:rPr>
          <w:instrText xml:space="preserve"> PAGEREF _Toc95217851 \h </w:instrText>
        </w:r>
        <w:r w:rsidR="007B0A3E">
          <w:rPr>
            <w:noProof/>
            <w:webHidden/>
          </w:rPr>
        </w:r>
        <w:r w:rsidR="007B0A3E">
          <w:rPr>
            <w:noProof/>
            <w:webHidden/>
          </w:rPr>
          <w:fldChar w:fldCharType="separate"/>
        </w:r>
        <w:r w:rsidR="00400ED5">
          <w:rPr>
            <w:noProof/>
            <w:webHidden/>
          </w:rPr>
          <w:t>23</w:t>
        </w:r>
        <w:r w:rsidR="007B0A3E">
          <w:rPr>
            <w:noProof/>
            <w:webHidden/>
          </w:rPr>
          <w:fldChar w:fldCharType="end"/>
        </w:r>
      </w:hyperlink>
    </w:p>
    <w:p w14:paraId="06E67F15" w14:textId="0EDB9AE6" w:rsidR="007B0A3E" w:rsidRDefault="000F6D08">
      <w:pPr>
        <w:pStyle w:val="TOC2"/>
        <w:tabs>
          <w:tab w:val="left" w:pos="800"/>
        </w:tabs>
        <w:rPr>
          <w:rFonts w:asciiTheme="minorHAnsi" w:eastAsiaTheme="minorEastAsia" w:hAnsiTheme="minorHAnsi" w:cstheme="minorBidi"/>
          <w:noProof/>
          <w:sz w:val="22"/>
          <w:szCs w:val="22"/>
          <w:lang w:eastAsia="ja-JP"/>
        </w:rPr>
      </w:pPr>
      <w:hyperlink w:anchor="_Toc95217852" w:history="1">
        <w:r w:rsidR="007B0A3E" w:rsidRPr="00E503A6">
          <w:rPr>
            <w:rStyle w:val="Hyperlink"/>
            <w:noProof/>
          </w:rPr>
          <w:t xml:space="preserve">2.2 </w:t>
        </w:r>
        <w:r w:rsidR="007B0A3E">
          <w:rPr>
            <w:rFonts w:asciiTheme="minorHAnsi" w:eastAsiaTheme="minorEastAsia" w:hAnsiTheme="minorHAnsi" w:cstheme="minorBidi"/>
            <w:noProof/>
            <w:sz w:val="22"/>
            <w:szCs w:val="22"/>
            <w:lang w:eastAsia="ja-JP"/>
          </w:rPr>
          <w:tab/>
        </w:r>
        <w:r w:rsidR="007B0A3E" w:rsidRPr="00E503A6">
          <w:rPr>
            <w:rStyle w:val="Hyperlink"/>
            <w:noProof/>
          </w:rPr>
          <w:t>Budgeted expenses and performance for Outcome 2</w:t>
        </w:r>
        <w:r w:rsidR="007B0A3E">
          <w:rPr>
            <w:noProof/>
            <w:webHidden/>
          </w:rPr>
          <w:tab/>
        </w:r>
        <w:r w:rsidR="007B0A3E">
          <w:rPr>
            <w:noProof/>
            <w:webHidden/>
          </w:rPr>
          <w:fldChar w:fldCharType="begin"/>
        </w:r>
        <w:r w:rsidR="007B0A3E">
          <w:rPr>
            <w:noProof/>
            <w:webHidden/>
          </w:rPr>
          <w:instrText xml:space="preserve"> PAGEREF _Toc95217852 \h </w:instrText>
        </w:r>
        <w:r w:rsidR="007B0A3E">
          <w:rPr>
            <w:noProof/>
            <w:webHidden/>
          </w:rPr>
        </w:r>
        <w:r w:rsidR="007B0A3E">
          <w:rPr>
            <w:noProof/>
            <w:webHidden/>
          </w:rPr>
          <w:fldChar w:fldCharType="separate"/>
        </w:r>
        <w:r w:rsidR="00400ED5">
          <w:rPr>
            <w:noProof/>
            <w:webHidden/>
          </w:rPr>
          <w:t>43</w:t>
        </w:r>
        <w:r w:rsidR="007B0A3E">
          <w:rPr>
            <w:noProof/>
            <w:webHidden/>
          </w:rPr>
          <w:fldChar w:fldCharType="end"/>
        </w:r>
      </w:hyperlink>
    </w:p>
    <w:p w14:paraId="53A604CC" w14:textId="2D854402" w:rsidR="007B0A3E" w:rsidRDefault="000F6D08">
      <w:pPr>
        <w:pStyle w:val="TOC2"/>
        <w:tabs>
          <w:tab w:val="left" w:pos="800"/>
        </w:tabs>
        <w:rPr>
          <w:rFonts w:asciiTheme="minorHAnsi" w:eastAsiaTheme="minorEastAsia" w:hAnsiTheme="minorHAnsi" w:cstheme="minorBidi"/>
          <w:noProof/>
          <w:sz w:val="22"/>
          <w:szCs w:val="22"/>
          <w:lang w:eastAsia="ja-JP"/>
        </w:rPr>
      </w:pPr>
      <w:hyperlink w:anchor="_Toc95217853" w:history="1">
        <w:r w:rsidR="007B0A3E" w:rsidRPr="00E503A6">
          <w:rPr>
            <w:rStyle w:val="Hyperlink"/>
            <w:noProof/>
          </w:rPr>
          <w:t xml:space="preserve">2.3 </w:t>
        </w:r>
        <w:r w:rsidR="007B0A3E">
          <w:rPr>
            <w:rFonts w:asciiTheme="minorHAnsi" w:eastAsiaTheme="minorEastAsia" w:hAnsiTheme="minorHAnsi" w:cstheme="minorBidi"/>
            <w:noProof/>
            <w:sz w:val="22"/>
            <w:szCs w:val="22"/>
            <w:lang w:eastAsia="ja-JP"/>
          </w:rPr>
          <w:tab/>
        </w:r>
        <w:r w:rsidR="007B0A3E" w:rsidRPr="00E503A6">
          <w:rPr>
            <w:rStyle w:val="Hyperlink"/>
            <w:noProof/>
          </w:rPr>
          <w:t>Budgeted expenses and performance for Outcome 3</w:t>
        </w:r>
        <w:r w:rsidR="007B0A3E">
          <w:rPr>
            <w:noProof/>
            <w:webHidden/>
          </w:rPr>
          <w:tab/>
        </w:r>
        <w:r w:rsidR="007B0A3E">
          <w:rPr>
            <w:noProof/>
            <w:webHidden/>
          </w:rPr>
          <w:fldChar w:fldCharType="begin"/>
        </w:r>
        <w:r w:rsidR="007B0A3E">
          <w:rPr>
            <w:noProof/>
            <w:webHidden/>
          </w:rPr>
          <w:instrText xml:space="preserve"> PAGEREF _Toc95217853 \h </w:instrText>
        </w:r>
        <w:r w:rsidR="007B0A3E">
          <w:rPr>
            <w:noProof/>
            <w:webHidden/>
          </w:rPr>
        </w:r>
        <w:r w:rsidR="007B0A3E">
          <w:rPr>
            <w:noProof/>
            <w:webHidden/>
          </w:rPr>
          <w:fldChar w:fldCharType="separate"/>
        </w:r>
        <w:r w:rsidR="00400ED5">
          <w:rPr>
            <w:noProof/>
            <w:webHidden/>
          </w:rPr>
          <w:t>48</w:t>
        </w:r>
        <w:r w:rsidR="007B0A3E">
          <w:rPr>
            <w:noProof/>
            <w:webHidden/>
          </w:rPr>
          <w:fldChar w:fldCharType="end"/>
        </w:r>
      </w:hyperlink>
    </w:p>
    <w:p w14:paraId="2312DA7B" w14:textId="3F9D3BC3" w:rsidR="007B0A3E" w:rsidRDefault="000F6D08">
      <w:pPr>
        <w:pStyle w:val="TOC1"/>
        <w:rPr>
          <w:rFonts w:asciiTheme="minorHAnsi" w:eastAsiaTheme="minorEastAsia" w:hAnsiTheme="minorHAnsi" w:cstheme="minorBidi"/>
          <w:b w:val="0"/>
          <w:caps w:val="0"/>
          <w:noProof/>
          <w:sz w:val="22"/>
          <w:szCs w:val="22"/>
          <w:lang w:eastAsia="ja-JP"/>
        </w:rPr>
      </w:pPr>
      <w:hyperlink w:anchor="_Toc95217854" w:history="1">
        <w:r w:rsidR="007B0A3E" w:rsidRPr="00E503A6">
          <w:rPr>
            <w:rStyle w:val="Hyperlink"/>
            <w:noProof/>
          </w:rPr>
          <w:t>Section 3: Budgeted financial statements</w:t>
        </w:r>
        <w:r w:rsidR="007B0A3E">
          <w:rPr>
            <w:noProof/>
            <w:webHidden/>
          </w:rPr>
          <w:tab/>
        </w:r>
        <w:r w:rsidR="007B0A3E">
          <w:rPr>
            <w:noProof/>
            <w:webHidden/>
          </w:rPr>
          <w:fldChar w:fldCharType="begin"/>
        </w:r>
        <w:r w:rsidR="007B0A3E">
          <w:rPr>
            <w:noProof/>
            <w:webHidden/>
          </w:rPr>
          <w:instrText xml:space="preserve"> PAGEREF _Toc95217854 \h </w:instrText>
        </w:r>
        <w:r w:rsidR="007B0A3E">
          <w:rPr>
            <w:noProof/>
            <w:webHidden/>
          </w:rPr>
        </w:r>
        <w:r w:rsidR="007B0A3E">
          <w:rPr>
            <w:noProof/>
            <w:webHidden/>
          </w:rPr>
          <w:fldChar w:fldCharType="separate"/>
        </w:r>
        <w:r w:rsidR="00400ED5">
          <w:rPr>
            <w:noProof/>
            <w:webHidden/>
          </w:rPr>
          <w:t>53</w:t>
        </w:r>
        <w:r w:rsidR="007B0A3E">
          <w:rPr>
            <w:noProof/>
            <w:webHidden/>
          </w:rPr>
          <w:fldChar w:fldCharType="end"/>
        </w:r>
      </w:hyperlink>
    </w:p>
    <w:p w14:paraId="25546864" w14:textId="4337CC3B" w:rsidR="007B0A3E" w:rsidRDefault="000F6D08">
      <w:pPr>
        <w:pStyle w:val="TOC2"/>
        <w:tabs>
          <w:tab w:val="left" w:pos="800"/>
        </w:tabs>
        <w:rPr>
          <w:rFonts w:asciiTheme="minorHAnsi" w:eastAsiaTheme="minorEastAsia" w:hAnsiTheme="minorHAnsi" w:cstheme="minorBidi"/>
          <w:noProof/>
          <w:sz w:val="22"/>
          <w:szCs w:val="22"/>
          <w:lang w:eastAsia="ja-JP"/>
        </w:rPr>
      </w:pPr>
      <w:hyperlink w:anchor="_Toc95217855" w:history="1">
        <w:r w:rsidR="007B0A3E" w:rsidRPr="00E503A6">
          <w:rPr>
            <w:rStyle w:val="Hyperlink"/>
            <w:noProof/>
          </w:rPr>
          <w:t>3.1</w:t>
        </w:r>
        <w:r w:rsidR="007B0A3E">
          <w:rPr>
            <w:rFonts w:asciiTheme="minorHAnsi" w:eastAsiaTheme="minorEastAsia" w:hAnsiTheme="minorHAnsi" w:cstheme="minorBidi"/>
            <w:noProof/>
            <w:sz w:val="22"/>
            <w:szCs w:val="22"/>
            <w:lang w:eastAsia="ja-JP"/>
          </w:rPr>
          <w:tab/>
        </w:r>
        <w:r w:rsidR="007B0A3E" w:rsidRPr="00E503A6">
          <w:rPr>
            <w:rStyle w:val="Hyperlink"/>
            <w:noProof/>
          </w:rPr>
          <w:t>Budgeted financial statements</w:t>
        </w:r>
        <w:r w:rsidR="007B0A3E">
          <w:rPr>
            <w:noProof/>
            <w:webHidden/>
          </w:rPr>
          <w:tab/>
        </w:r>
        <w:r w:rsidR="007B0A3E">
          <w:rPr>
            <w:noProof/>
            <w:webHidden/>
          </w:rPr>
          <w:fldChar w:fldCharType="begin"/>
        </w:r>
        <w:r w:rsidR="007B0A3E">
          <w:rPr>
            <w:noProof/>
            <w:webHidden/>
          </w:rPr>
          <w:instrText xml:space="preserve"> PAGEREF _Toc95217855 \h </w:instrText>
        </w:r>
        <w:r w:rsidR="007B0A3E">
          <w:rPr>
            <w:noProof/>
            <w:webHidden/>
          </w:rPr>
        </w:r>
        <w:r w:rsidR="007B0A3E">
          <w:rPr>
            <w:noProof/>
            <w:webHidden/>
          </w:rPr>
          <w:fldChar w:fldCharType="separate"/>
        </w:r>
        <w:r w:rsidR="00400ED5">
          <w:rPr>
            <w:noProof/>
            <w:webHidden/>
          </w:rPr>
          <w:t>53</w:t>
        </w:r>
        <w:r w:rsidR="007B0A3E">
          <w:rPr>
            <w:noProof/>
            <w:webHidden/>
          </w:rPr>
          <w:fldChar w:fldCharType="end"/>
        </w:r>
      </w:hyperlink>
    </w:p>
    <w:p w14:paraId="0AB5DB2C" w14:textId="14A2B0A9" w:rsidR="008B5AFD" w:rsidRDefault="00915F49" w:rsidP="003E2B5E">
      <w:pPr>
        <w:pStyle w:val="TOC1"/>
      </w:pPr>
      <w:r>
        <w:fldChar w:fldCharType="end"/>
      </w:r>
    </w:p>
    <w:p w14:paraId="7DA5ECAA" w14:textId="77777777" w:rsidR="003E2B5E" w:rsidRPr="008B5AFD" w:rsidRDefault="003E2B5E" w:rsidP="008B5AFD"/>
    <w:p w14:paraId="15CBB10D" w14:textId="77777777" w:rsidR="00257FF4" w:rsidRDefault="00257FF4" w:rsidP="00257FF4">
      <w:pPr>
        <w:sectPr w:rsidR="00257FF4" w:rsidSect="00782467">
          <w:footerReference w:type="first" r:id="rId47"/>
          <w:type w:val="oddPage"/>
          <w:pgSz w:w="11906" w:h="16838" w:code="9"/>
          <w:pgMar w:top="2835" w:right="2098" w:bottom="2466" w:left="2098" w:header="1814" w:footer="1814" w:gutter="0"/>
          <w:cols w:space="708"/>
          <w:titlePg/>
          <w:docGrid w:linePitch="360"/>
        </w:sectPr>
      </w:pPr>
    </w:p>
    <w:p w14:paraId="4253FB97" w14:textId="1C96061A" w:rsidR="00257FF4" w:rsidRDefault="00257FF4" w:rsidP="00834F9A">
      <w:pPr>
        <w:pStyle w:val="Heading1"/>
      </w:pPr>
      <w:bookmarkStart w:id="20" w:name="_Toc95217540"/>
      <w:r>
        <w:t xml:space="preserve">Department of </w:t>
      </w:r>
      <w:r w:rsidR="008E34EA">
        <w:t>Foreign Affairs and Trade</w:t>
      </w:r>
      <w:bookmarkEnd w:id="20"/>
    </w:p>
    <w:p w14:paraId="2AE7AEB7" w14:textId="29146157" w:rsidR="00257FF4" w:rsidRPr="002C4D41" w:rsidRDefault="00257FF4" w:rsidP="00257FF4">
      <w:pPr>
        <w:pStyle w:val="Heading2"/>
      </w:pPr>
      <w:bookmarkStart w:id="21" w:name="_Toc190682308"/>
      <w:bookmarkStart w:id="22" w:name="_Toc190682526"/>
      <w:bookmarkStart w:id="23" w:name="_Toc444523508"/>
      <w:bookmarkStart w:id="24" w:name="_Toc95217846"/>
      <w:bookmarkStart w:id="25" w:name="_Toc95229673"/>
      <w:bookmarkStart w:id="26" w:name="_Toc95288980"/>
      <w:bookmarkStart w:id="27" w:name="_Toc95291867"/>
      <w:bookmarkStart w:id="28" w:name="_Toc95293741"/>
      <w:bookmarkStart w:id="29" w:name="_Toc95296391"/>
      <w:bookmarkStart w:id="30" w:name="_Toc97387896"/>
      <w:bookmarkStart w:id="31" w:name="_Toc97540634"/>
      <w:bookmarkStart w:id="32" w:name="_Toc99111636"/>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21"/>
      <w:bookmarkEnd w:id="22"/>
      <w:bookmarkEnd w:id="23"/>
      <w:bookmarkEnd w:id="24"/>
      <w:bookmarkEnd w:id="25"/>
      <w:bookmarkEnd w:id="26"/>
      <w:bookmarkEnd w:id="27"/>
      <w:bookmarkEnd w:id="28"/>
      <w:bookmarkEnd w:id="29"/>
      <w:bookmarkEnd w:id="30"/>
      <w:bookmarkEnd w:id="31"/>
      <w:bookmarkEnd w:id="32"/>
    </w:p>
    <w:p w14:paraId="15267AAD" w14:textId="77777777" w:rsidR="00257FF4" w:rsidRDefault="00257FF4" w:rsidP="00257FF4">
      <w:pPr>
        <w:pStyle w:val="Heading3"/>
      </w:pPr>
      <w:bookmarkStart w:id="33" w:name="_Toc190682309"/>
      <w:bookmarkStart w:id="34" w:name="_Toc190682527"/>
      <w:bookmarkStart w:id="35" w:name="_Toc444523509"/>
      <w:bookmarkStart w:id="36" w:name="_Toc95217847"/>
      <w:bookmarkStart w:id="37" w:name="_Toc95229674"/>
      <w:bookmarkStart w:id="38" w:name="_Toc95288981"/>
      <w:bookmarkStart w:id="39" w:name="_Toc95291868"/>
      <w:bookmarkStart w:id="40" w:name="_Toc95293742"/>
      <w:bookmarkStart w:id="41" w:name="_Toc95296392"/>
      <w:bookmarkStart w:id="42" w:name="_Toc97387897"/>
      <w:bookmarkStart w:id="43" w:name="_Toc97540635"/>
      <w:bookmarkStart w:id="44" w:name="_Toc99111637"/>
      <w:r>
        <w:t>1.1</w:t>
      </w:r>
      <w:r>
        <w:tab/>
      </w:r>
      <w:r w:rsidRPr="00417E86">
        <w:t xml:space="preserve">Strategic </w:t>
      </w:r>
      <w:r w:rsidR="00D81071" w:rsidRPr="00417E86">
        <w:t>direction</w:t>
      </w:r>
      <w:bookmarkEnd w:id="33"/>
      <w:bookmarkEnd w:id="34"/>
      <w:r w:rsidR="00D81071" w:rsidRPr="00417E86">
        <w:t xml:space="preserve"> </w:t>
      </w:r>
      <w:r w:rsidR="00605163" w:rsidRPr="00417E86">
        <w:t>statement</w:t>
      </w:r>
      <w:bookmarkEnd w:id="35"/>
      <w:bookmarkEnd w:id="36"/>
      <w:bookmarkEnd w:id="37"/>
      <w:bookmarkEnd w:id="38"/>
      <w:bookmarkEnd w:id="39"/>
      <w:bookmarkEnd w:id="40"/>
      <w:bookmarkEnd w:id="41"/>
      <w:bookmarkEnd w:id="42"/>
      <w:bookmarkEnd w:id="43"/>
      <w:bookmarkEnd w:id="44"/>
    </w:p>
    <w:p w14:paraId="686B614E" w14:textId="6CAF6FC3" w:rsidR="00C67701" w:rsidRPr="00C67701" w:rsidRDefault="00C67701" w:rsidP="00C67701">
      <w:pPr>
        <w:pStyle w:val="Exampletext"/>
        <w:rPr>
          <w:i w:val="0"/>
          <w:iCs/>
          <w:color w:val="auto"/>
        </w:rPr>
      </w:pPr>
      <w:r w:rsidRPr="00C67701">
        <w:rPr>
          <w:i w:val="0"/>
          <w:iCs/>
          <w:color w:val="auto"/>
        </w:rPr>
        <w:t xml:space="preserve">The Department of Foreign Affairs and Trade (DFAT, 'the department') leads the development of Australia’s foreign, trade and investment, development and international security policies. DFAT delivers passport and consular services to Australian citizens and manages a secure Australian Government presence overseas. </w:t>
      </w:r>
    </w:p>
    <w:p w14:paraId="46A03DAE" w14:textId="77777777" w:rsidR="00F27BE8" w:rsidRDefault="00C67701" w:rsidP="00C67701">
      <w:pPr>
        <w:pStyle w:val="Exampletext"/>
        <w:rPr>
          <w:i w:val="0"/>
          <w:iCs/>
          <w:color w:val="auto"/>
        </w:rPr>
      </w:pPr>
      <w:r w:rsidRPr="00C67701">
        <w:rPr>
          <w:i w:val="0"/>
          <w:iCs/>
          <w:color w:val="auto"/>
        </w:rPr>
        <w:t>Australia faces a deteriorating strategic environment in 2022</w:t>
      </w:r>
      <w:r w:rsidR="007876DA">
        <w:rPr>
          <w:i w:val="0"/>
          <w:iCs/>
          <w:color w:val="auto"/>
          <w:lang w:val="en-AU"/>
        </w:rPr>
        <w:t>–</w:t>
      </w:r>
      <w:r w:rsidRPr="00C67701">
        <w:rPr>
          <w:i w:val="0"/>
          <w:iCs/>
          <w:color w:val="auto"/>
        </w:rPr>
        <w:t xml:space="preserve">23. Many Indo-Pacific countries remain vulnerable following the COVID-19 pandemic, while great power strategic competition is intensifying. The rules, norms and institutions that support Australia’s prosperity and security are under persistent pressure. </w:t>
      </w:r>
    </w:p>
    <w:p w14:paraId="275B3D6F" w14:textId="642775B8" w:rsidR="00730362" w:rsidRPr="00F27BE8" w:rsidRDefault="00730362" w:rsidP="00730362">
      <w:r w:rsidRPr="00C67701">
        <w:rPr>
          <w:iCs/>
        </w:rPr>
        <w:t>Russia’s</w:t>
      </w:r>
      <w:r>
        <w:rPr>
          <w:iCs/>
        </w:rPr>
        <w:t xml:space="preserve"> unprovoked and illegal</w:t>
      </w:r>
      <w:r w:rsidRPr="00C67701">
        <w:rPr>
          <w:iCs/>
        </w:rPr>
        <w:t xml:space="preserve"> invasion of Ukraine </w:t>
      </w:r>
      <w:r>
        <w:rPr>
          <w:iCs/>
        </w:rPr>
        <w:t>reinforces Australia’s strong support for</w:t>
      </w:r>
      <w:r w:rsidR="00604642">
        <w:rPr>
          <w:iCs/>
        </w:rPr>
        <w:t xml:space="preserve"> </w:t>
      </w:r>
      <w:proofErr w:type="spellStart"/>
      <w:proofErr w:type="gramStart"/>
      <w:r>
        <w:rPr>
          <w:iCs/>
        </w:rPr>
        <w:t>a</w:t>
      </w:r>
      <w:proofErr w:type="spellEnd"/>
      <w:proofErr w:type="gramEnd"/>
      <w:r w:rsidRPr="00C67701">
        <w:rPr>
          <w:iCs/>
        </w:rPr>
        <w:t xml:space="preserve"> </w:t>
      </w:r>
      <w:r>
        <w:rPr>
          <w:iCs/>
        </w:rPr>
        <w:t xml:space="preserve">open and transparent </w:t>
      </w:r>
      <w:r w:rsidRPr="00C67701">
        <w:rPr>
          <w:iCs/>
        </w:rPr>
        <w:t xml:space="preserve">rules-based </w:t>
      </w:r>
      <w:r>
        <w:rPr>
          <w:iCs/>
        </w:rPr>
        <w:t xml:space="preserve">international </w:t>
      </w:r>
      <w:r w:rsidRPr="00C67701">
        <w:rPr>
          <w:iCs/>
        </w:rPr>
        <w:t xml:space="preserve">order and the essential role of diplomacy in responding to such challenges. </w:t>
      </w:r>
      <w:r>
        <w:t xml:space="preserve">Growing alignment between Russia and China, with its increasing military capability and growing assertiveness, has significant geo-strategic implications and underlines the importance of established rules and norms instead of a ‘might is right’ approach. Australia will continue to impose high costs on Russia, including through the imposition of sanctions.  </w:t>
      </w:r>
    </w:p>
    <w:p w14:paraId="1C290B35" w14:textId="77777777" w:rsidR="00F27BE8" w:rsidRDefault="00C67701" w:rsidP="00C67701">
      <w:pPr>
        <w:pStyle w:val="Exampletext"/>
        <w:rPr>
          <w:i w:val="0"/>
          <w:iCs/>
          <w:color w:val="auto"/>
        </w:rPr>
      </w:pPr>
      <w:r w:rsidRPr="00C67701">
        <w:rPr>
          <w:i w:val="0"/>
          <w:iCs/>
          <w:color w:val="auto"/>
        </w:rPr>
        <w:t xml:space="preserve">Australia </w:t>
      </w:r>
      <w:r w:rsidR="00F27BE8" w:rsidRPr="00F27BE8">
        <w:rPr>
          <w:i w:val="0"/>
          <w:color w:val="auto"/>
          <w:lang w:val="en-AU" w:eastAsia="en-AU"/>
        </w:rPr>
        <w:t xml:space="preserve">is working with partners to support global rules and standards, advance the type of international environment we want to live in and promote an open, resilient, </w:t>
      </w:r>
      <w:r w:rsidRPr="00C67701">
        <w:rPr>
          <w:i w:val="0"/>
          <w:iCs/>
          <w:color w:val="auto"/>
        </w:rPr>
        <w:t>and inclusive Indo</w:t>
      </w:r>
      <w:r w:rsidR="007876DA">
        <w:rPr>
          <w:i w:val="0"/>
          <w:iCs/>
          <w:color w:val="auto"/>
        </w:rPr>
        <w:noBreakHyphen/>
      </w:r>
      <w:r w:rsidRPr="00C67701">
        <w:rPr>
          <w:i w:val="0"/>
          <w:iCs/>
          <w:color w:val="auto"/>
        </w:rPr>
        <w:t xml:space="preserve">Pacific region. </w:t>
      </w:r>
    </w:p>
    <w:p w14:paraId="3B43058D" w14:textId="34B34FBD" w:rsidR="00C67701" w:rsidRPr="00C67701" w:rsidRDefault="00C67701" w:rsidP="00C67701">
      <w:pPr>
        <w:pStyle w:val="Exampletext"/>
        <w:rPr>
          <w:i w:val="0"/>
          <w:iCs/>
          <w:color w:val="auto"/>
        </w:rPr>
      </w:pPr>
      <w:r w:rsidRPr="00C67701">
        <w:rPr>
          <w:i w:val="0"/>
          <w:iCs/>
          <w:color w:val="auto"/>
        </w:rPr>
        <w:t xml:space="preserve">The </w:t>
      </w:r>
      <w:r w:rsidR="007876DA">
        <w:rPr>
          <w:i w:val="0"/>
          <w:iCs/>
          <w:color w:val="auto"/>
          <w:lang w:val="en-AU"/>
        </w:rPr>
        <w:t>G</w:t>
      </w:r>
      <w:proofErr w:type="spellStart"/>
      <w:r w:rsidRPr="00C67701">
        <w:rPr>
          <w:i w:val="0"/>
          <w:iCs/>
          <w:color w:val="auto"/>
        </w:rPr>
        <w:t>overnment</w:t>
      </w:r>
      <w:proofErr w:type="spellEnd"/>
      <w:r w:rsidRPr="00C67701">
        <w:rPr>
          <w:i w:val="0"/>
          <w:iCs/>
          <w:color w:val="auto"/>
        </w:rPr>
        <w:t xml:space="preserve"> will continue to partner with our Pacific family and Southeast Asian neighbours to recover from COVID-19, to pursue economic integration and resilience, to deepen our network of partnerships and to combat the risks posed by climate change</w:t>
      </w:r>
      <w:r w:rsidR="00730362">
        <w:rPr>
          <w:i w:val="0"/>
          <w:iCs/>
          <w:color w:val="auto"/>
          <w:lang w:val="en-AU"/>
        </w:rPr>
        <w:t xml:space="preserve"> and natural disasters </w:t>
      </w:r>
      <w:r w:rsidRPr="00C67701">
        <w:rPr>
          <w:i w:val="0"/>
          <w:iCs/>
          <w:color w:val="auto"/>
        </w:rPr>
        <w:t>in the region.</w:t>
      </w:r>
    </w:p>
    <w:p w14:paraId="1538D20F" w14:textId="1AF9ACC0" w:rsidR="00C67701" w:rsidRPr="00C67701" w:rsidRDefault="00C67701" w:rsidP="00C67701">
      <w:pPr>
        <w:pStyle w:val="Exampletext"/>
        <w:rPr>
          <w:i w:val="0"/>
          <w:iCs/>
          <w:color w:val="auto"/>
        </w:rPr>
      </w:pPr>
      <w:r w:rsidRPr="00C67701">
        <w:rPr>
          <w:i w:val="0"/>
          <w:iCs/>
          <w:color w:val="auto"/>
        </w:rPr>
        <w:t>In the Pacific, the whole-of-government Office of the Pacific leads Australia’s effort to work in partnership with our Pacific family through the Pacific Step-up, supporting economic resilience and recovery and a more prosperous, stable and secure region.</w:t>
      </w:r>
    </w:p>
    <w:p w14:paraId="3FDF4923" w14:textId="3A982B36" w:rsidR="00C67701" w:rsidRPr="00C67701" w:rsidRDefault="00C67701" w:rsidP="00C67701">
      <w:pPr>
        <w:pStyle w:val="Exampletext"/>
        <w:rPr>
          <w:i w:val="0"/>
          <w:iCs/>
          <w:color w:val="auto"/>
        </w:rPr>
      </w:pPr>
      <w:r w:rsidRPr="00C67701">
        <w:rPr>
          <w:i w:val="0"/>
          <w:iCs/>
          <w:color w:val="auto"/>
        </w:rPr>
        <w:t>The department will support the economic growth of Pacific island countries and Timor</w:t>
      </w:r>
      <w:r>
        <w:rPr>
          <w:i w:val="0"/>
          <w:iCs/>
          <w:color w:val="auto"/>
        </w:rPr>
        <w:noBreakHyphen/>
      </w:r>
      <w:r w:rsidRPr="00C67701">
        <w:rPr>
          <w:i w:val="0"/>
          <w:iCs/>
          <w:color w:val="auto"/>
        </w:rPr>
        <w:t>Leste through the new Pacific Australia Labour Mobility scheme. The scheme will help employers in rural and regional Australia engage the right workers where and when they need them, while delivering economic benefits for their families and home countries.</w:t>
      </w:r>
    </w:p>
    <w:p w14:paraId="7405ACB0" w14:textId="11032267" w:rsidR="00C67701" w:rsidRPr="00C67701" w:rsidRDefault="00C67701" w:rsidP="00C67701">
      <w:pPr>
        <w:pStyle w:val="Exampletext"/>
        <w:rPr>
          <w:i w:val="0"/>
          <w:iCs/>
          <w:color w:val="auto"/>
        </w:rPr>
      </w:pPr>
      <w:r w:rsidRPr="00C67701">
        <w:rPr>
          <w:i w:val="0"/>
          <w:iCs/>
          <w:color w:val="auto"/>
        </w:rPr>
        <w:t>Our COVID-19 Response Package for 2022</w:t>
      </w:r>
      <w:r w:rsidR="007876DA">
        <w:rPr>
          <w:i w:val="0"/>
          <w:iCs/>
          <w:color w:val="auto"/>
          <w:lang w:val="en-AU"/>
        </w:rPr>
        <w:t>–</w:t>
      </w:r>
      <w:r w:rsidRPr="00C67701">
        <w:rPr>
          <w:i w:val="0"/>
          <w:iCs/>
          <w:color w:val="auto"/>
        </w:rPr>
        <w:t>23 will build on Australia’s assistance to our Pacific family, providing fiscal crisis support, technical expertise and connectivity. The department is supporting enhanced trade and investment flows in the region, including through a new PACER Plus Implementation Unit in Apia, Samoa. Through the Australian Infrastructure Financing Facility for the Pacific (AIFFP), we are financing airports, ports, submarine cables and solar farms in the Pacific and Timor</w:t>
      </w:r>
      <w:r>
        <w:rPr>
          <w:i w:val="0"/>
          <w:iCs/>
          <w:color w:val="auto"/>
        </w:rPr>
        <w:noBreakHyphen/>
      </w:r>
      <w:r w:rsidRPr="00C67701">
        <w:rPr>
          <w:i w:val="0"/>
          <w:iCs/>
          <w:color w:val="auto"/>
        </w:rPr>
        <w:t xml:space="preserve">Leste to address infrastructure needs. The </w:t>
      </w:r>
      <w:r w:rsidR="007876DA">
        <w:rPr>
          <w:i w:val="0"/>
          <w:iCs/>
          <w:color w:val="auto"/>
          <w:lang w:val="en-AU"/>
        </w:rPr>
        <w:t>G</w:t>
      </w:r>
      <w:proofErr w:type="spellStart"/>
      <w:r w:rsidRPr="00C67701">
        <w:rPr>
          <w:i w:val="0"/>
          <w:iCs/>
          <w:color w:val="auto"/>
        </w:rPr>
        <w:t>overnment</w:t>
      </w:r>
      <w:proofErr w:type="spellEnd"/>
      <w:r w:rsidRPr="00C67701">
        <w:rPr>
          <w:i w:val="0"/>
          <w:iCs/>
          <w:color w:val="auto"/>
        </w:rPr>
        <w:t xml:space="preserve"> has doubled the AIFFP’s lending headroom, allowing us to further support quality climate-resilient infrastructure in the Pacific without creating debt distress.</w:t>
      </w:r>
    </w:p>
    <w:p w14:paraId="18BEC823" w14:textId="791B2A77" w:rsidR="00C67701" w:rsidRPr="00C67701" w:rsidRDefault="00C67701" w:rsidP="00C67701">
      <w:pPr>
        <w:pStyle w:val="Exampletext"/>
        <w:rPr>
          <w:i w:val="0"/>
          <w:iCs/>
          <w:color w:val="auto"/>
        </w:rPr>
      </w:pPr>
      <w:r w:rsidRPr="00C67701">
        <w:rPr>
          <w:i w:val="0"/>
          <w:iCs/>
          <w:color w:val="auto"/>
        </w:rPr>
        <w:t>Australia</w:t>
      </w:r>
      <w:r w:rsidR="00FC4FBC">
        <w:rPr>
          <w:i w:val="0"/>
          <w:iCs/>
          <w:color w:val="auto"/>
          <w:lang w:val="en-AU"/>
        </w:rPr>
        <w:t xml:space="preserve">’s </w:t>
      </w:r>
      <w:r w:rsidRPr="00C67701">
        <w:rPr>
          <w:i w:val="0"/>
          <w:iCs/>
          <w:color w:val="auto"/>
        </w:rPr>
        <w:t xml:space="preserve"> </w:t>
      </w:r>
      <w:r w:rsidR="00FC4FBC">
        <w:rPr>
          <w:i w:val="0"/>
          <w:iCs/>
          <w:color w:val="auto"/>
          <w:lang w:val="en-AU"/>
        </w:rPr>
        <w:t xml:space="preserve">partnerships </w:t>
      </w:r>
      <w:r w:rsidRPr="00C67701">
        <w:rPr>
          <w:i w:val="0"/>
          <w:iCs/>
          <w:color w:val="auto"/>
        </w:rPr>
        <w:t>with Southeast Asia</w:t>
      </w:r>
      <w:r w:rsidR="00FC4FBC">
        <w:rPr>
          <w:i w:val="0"/>
          <w:iCs/>
          <w:color w:val="auto"/>
          <w:lang w:val="en-AU"/>
        </w:rPr>
        <w:t>n countries</w:t>
      </w:r>
      <w:r w:rsidRPr="00C67701">
        <w:rPr>
          <w:i w:val="0"/>
          <w:iCs/>
          <w:color w:val="auto"/>
        </w:rPr>
        <w:t xml:space="preserve"> and the Association of Southeast Asian Nations (ASEAN)</w:t>
      </w:r>
      <w:r w:rsidR="00FC4FBC">
        <w:rPr>
          <w:i w:val="0"/>
          <w:iCs/>
          <w:color w:val="auto"/>
          <w:lang w:val="en-AU"/>
        </w:rPr>
        <w:t xml:space="preserve"> are indispensable</w:t>
      </w:r>
      <w:r w:rsidRPr="00C67701">
        <w:rPr>
          <w:i w:val="0"/>
          <w:iCs/>
          <w:color w:val="auto"/>
        </w:rPr>
        <w:t xml:space="preserve">. </w:t>
      </w:r>
      <w:r w:rsidR="00FC4FBC">
        <w:rPr>
          <w:i w:val="0"/>
          <w:iCs/>
          <w:color w:val="auto"/>
          <w:lang w:val="en-AU"/>
        </w:rPr>
        <w:t>O</w:t>
      </w:r>
      <w:proofErr w:type="spellStart"/>
      <w:r w:rsidRPr="00C67701">
        <w:rPr>
          <w:i w:val="0"/>
          <w:iCs/>
          <w:color w:val="auto"/>
        </w:rPr>
        <w:t>ur</w:t>
      </w:r>
      <w:proofErr w:type="spellEnd"/>
      <w:r w:rsidRPr="00C67701">
        <w:rPr>
          <w:i w:val="0"/>
          <w:iCs/>
          <w:color w:val="auto"/>
        </w:rPr>
        <w:t xml:space="preserve"> Comprehensive Strategic Partnerships with Indonesia, Malaysia and Singapore </w:t>
      </w:r>
      <w:r w:rsidR="00FC4FBC">
        <w:rPr>
          <w:i w:val="0"/>
          <w:iCs/>
          <w:color w:val="auto"/>
          <w:lang w:val="en-AU"/>
        </w:rPr>
        <w:t xml:space="preserve">provide a framework to </w:t>
      </w:r>
      <w:r w:rsidRPr="00C67701">
        <w:rPr>
          <w:i w:val="0"/>
          <w:iCs/>
          <w:color w:val="auto"/>
        </w:rPr>
        <w:t>pursu</w:t>
      </w:r>
      <w:r w:rsidR="00FC4FBC">
        <w:rPr>
          <w:i w:val="0"/>
          <w:iCs/>
          <w:color w:val="auto"/>
          <w:lang w:val="en-AU"/>
        </w:rPr>
        <w:t>e</w:t>
      </w:r>
      <w:r w:rsidRPr="00C67701">
        <w:rPr>
          <w:i w:val="0"/>
          <w:iCs/>
          <w:color w:val="auto"/>
        </w:rPr>
        <w:t xml:space="preserve"> </w:t>
      </w:r>
      <w:r w:rsidR="00FC4FBC">
        <w:rPr>
          <w:i w:val="0"/>
          <w:iCs/>
          <w:color w:val="auto"/>
          <w:lang w:val="en-AU"/>
        </w:rPr>
        <w:t xml:space="preserve">our shared economic and security </w:t>
      </w:r>
      <w:r w:rsidRPr="00C67701">
        <w:rPr>
          <w:i w:val="0"/>
          <w:iCs/>
          <w:color w:val="auto"/>
        </w:rPr>
        <w:t xml:space="preserve">interests. We are strengthening our economic partnership with Vietnam and pursuing critical interests with the Philippines and Thailand and deepening cooperation with Brunei. We will mark longstanding diplomatic relationships with Cambodia and Laos in 2022. </w:t>
      </w:r>
    </w:p>
    <w:p w14:paraId="6A10A547" w14:textId="5EE0A499" w:rsidR="00C67701" w:rsidRPr="00C67701" w:rsidRDefault="00C67701" w:rsidP="00C67701">
      <w:pPr>
        <w:pStyle w:val="Exampletext"/>
        <w:rPr>
          <w:i w:val="0"/>
          <w:iCs/>
          <w:color w:val="auto"/>
        </w:rPr>
      </w:pPr>
      <w:r w:rsidRPr="00C67701">
        <w:rPr>
          <w:i w:val="0"/>
          <w:iCs/>
          <w:color w:val="auto"/>
        </w:rPr>
        <w:t xml:space="preserve">ASEAN is central to the regional order </w:t>
      </w:r>
      <w:r w:rsidR="007876DA">
        <w:rPr>
          <w:i w:val="0"/>
          <w:iCs/>
          <w:color w:val="auto"/>
          <w:lang w:val="en-AU"/>
        </w:rPr>
        <w:t>–</w:t>
      </w:r>
      <w:r w:rsidRPr="00C67701">
        <w:rPr>
          <w:i w:val="0"/>
          <w:iCs/>
          <w:color w:val="auto"/>
        </w:rPr>
        <w:t xml:space="preserve"> a strong and resilient ASEAN is vital to Australia’s own security and prosperity. </w:t>
      </w:r>
      <w:proofErr w:type="spellStart"/>
      <w:r w:rsidR="00FC4FBC">
        <w:rPr>
          <w:i w:val="0"/>
          <w:iCs/>
          <w:color w:val="auto"/>
          <w:lang w:val="en-AU"/>
        </w:rPr>
        <w:t>T</w:t>
      </w:r>
      <w:r w:rsidRPr="00C67701">
        <w:rPr>
          <w:i w:val="0"/>
          <w:iCs/>
          <w:color w:val="auto"/>
        </w:rPr>
        <w:t>he</w:t>
      </w:r>
      <w:proofErr w:type="spellEnd"/>
      <w:r w:rsidRPr="00C67701">
        <w:rPr>
          <w:i w:val="0"/>
          <w:iCs/>
          <w:color w:val="auto"/>
        </w:rPr>
        <w:t xml:space="preserve"> Australia</w:t>
      </w:r>
      <w:r w:rsidR="007876DA">
        <w:rPr>
          <w:i w:val="0"/>
          <w:iCs/>
          <w:color w:val="auto"/>
          <w:lang w:val="en-AU"/>
        </w:rPr>
        <w:t>–</w:t>
      </w:r>
      <w:r w:rsidRPr="00C67701">
        <w:rPr>
          <w:i w:val="0"/>
          <w:iCs/>
          <w:color w:val="auto"/>
        </w:rPr>
        <w:t>ASEAN Comprehensive Strategic Partnership</w:t>
      </w:r>
      <w:r w:rsidR="00FC4FBC">
        <w:rPr>
          <w:i w:val="0"/>
          <w:iCs/>
          <w:color w:val="auto"/>
          <w:lang w:val="en-AU"/>
        </w:rPr>
        <w:t xml:space="preserve"> underscores Australia’s commitment to ASEAN centrality and to </w:t>
      </w:r>
      <w:r w:rsidRPr="00C67701">
        <w:rPr>
          <w:i w:val="0"/>
          <w:iCs/>
          <w:color w:val="auto"/>
        </w:rPr>
        <w:t>cooperate on shared regional challenges. From 2022</w:t>
      </w:r>
      <w:r w:rsidR="007876DA">
        <w:rPr>
          <w:i w:val="0"/>
          <w:iCs/>
          <w:color w:val="auto"/>
          <w:lang w:val="en-AU"/>
        </w:rPr>
        <w:t>–</w:t>
      </w:r>
      <w:r w:rsidRPr="00C67701">
        <w:rPr>
          <w:i w:val="0"/>
          <w:iCs/>
          <w:color w:val="auto"/>
        </w:rPr>
        <w:t xml:space="preserve">2023, DFAT will lead implementation of the largest increase in Australia’s development cooperation program with ASEAN. </w:t>
      </w:r>
    </w:p>
    <w:p w14:paraId="1BA18856" w14:textId="77777777" w:rsidR="00C67701" w:rsidRPr="00C67701" w:rsidRDefault="00C67701" w:rsidP="00C67701">
      <w:pPr>
        <w:pStyle w:val="Exampletext"/>
        <w:rPr>
          <w:i w:val="0"/>
          <w:iCs/>
          <w:color w:val="auto"/>
        </w:rPr>
      </w:pPr>
      <w:r w:rsidRPr="00C67701">
        <w:rPr>
          <w:i w:val="0"/>
          <w:iCs/>
          <w:color w:val="auto"/>
        </w:rPr>
        <w:t xml:space="preserve">The Government is supporting Australia’s Comprehensive Strategic Partnership with India through an expanded diplomatic presence in Bengaluru and a Centre of Excellence for Critical and Emerging Technology Policy. Three </w:t>
      </w:r>
      <w:proofErr w:type="spellStart"/>
      <w:r w:rsidRPr="00C67701">
        <w:rPr>
          <w:i w:val="0"/>
          <w:iCs/>
          <w:color w:val="auto"/>
        </w:rPr>
        <w:t>Maitri</w:t>
      </w:r>
      <w:proofErr w:type="spellEnd"/>
      <w:r w:rsidRPr="00C67701">
        <w:rPr>
          <w:i w:val="0"/>
          <w:iCs/>
          <w:color w:val="auto"/>
        </w:rPr>
        <w:t xml:space="preserve"> (friendship) initiatives with India will support our education, community, tourism and investment links and add to our growing bilateral relationship. We will advance cooperation on tourism policy, data sharing, training and industry engagement. The department-led Australia India Infrastructure Forum will serve as a hub to promote two-way investment in infrastructure. </w:t>
      </w:r>
    </w:p>
    <w:p w14:paraId="1EF8022B" w14:textId="3089D9C4" w:rsidR="00C67701" w:rsidRPr="00C67701" w:rsidRDefault="00C67701" w:rsidP="00C67701">
      <w:pPr>
        <w:pStyle w:val="Exampletext"/>
        <w:rPr>
          <w:i w:val="0"/>
          <w:iCs/>
          <w:color w:val="auto"/>
        </w:rPr>
      </w:pPr>
      <w:r w:rsidRPr="00C67701">
        <w:rPr>
          <w:i w:val="0"/>
          <w:iCs/>
          <w:color w:val="auto"/>
        </w:rPr>
        <w:t>We will contribute to economic recovery and resilience through our bilateral and regional partnerships. Our health investments, including through the Quad</w:t>
      </w:r>
      <w:r w:rsidR="0086331B">
        <w:rPr>
          <w:i w:val="0"/>
          <w:iCs/>
          <w:color w:val="auto"/>
          <w:lang w:val="en-AU"/>
        </w:rPr>
        <w:t xml:space="preserve"> </w:t>
      </w:r>
      <w:r w:rsidR="0086331B" w:rsidRPr="003C3C94">
        <w:rPr>
          <w:i w:val="0"/>
          <w:iCs/>
          <w:color w:val="000000" w:themeColor="text1"/>
        </w:rPr>
        <w:t>(Australia, India, Japan and the United States)</w:t>
      </w:r>
      <w:r w:rsidRPr="00C67701">
        <w:rPr>
          <w:i w:val="0"/>
          <w:iCs/>
          <w:color w:val="auto"/>
        </w:rPr>
        <w:t>, will support countries in vaccine delivery. Our new Partnerships for Infrastructure initiative w</w:t>
      </w:r>
      <w:r w:rsidR="00FC4FBC">
        <w:rPr>
          <w:i w:val="0"/>
          <w:iCs/>
          <w:color w:val="auto"/>
          <w:lang w:val="en-AU"/>
        </w:rPr>
        <w:t>ork</w:t>
      </w:r>
      <w:r w:rsidR="007876DA">
        <w:rPr>
          <w:i w:val="0"/>
          <w:iCs/>
          <w:color w:val="auto"/>
          <w:lang w:val="en-AU"/>
        </w:rPr>
        <w:t>s</w:t>
      </w:r>
      <w:r w:rsidR="00FC4FBC">
        <w:rPr>
          <w:i w:val="0"/>
          <w:iCs/>
          <w:color w:val="auto"/>
          <w:lang w:val="en-AU"/>
        </w:rPr>
        <w:t xml:space="preserve"> with Southeast Asian countries to </w:t>
      </w:r>
      <w:r w:rsidRPr="00C67701">
        <w:rPr>
          <w:i w:val="0"/>
          <w:iCs/>
          <w:color w:val="auto"/>
        </w:rPr>
        <w:t>progress priority infrastructure projects and drive inclusive and sustainable growth. Through the Mekong</w:t>
      </w:r>
      <w:r w:rsidR="007876DA">
        <w:rPr>
          <w:i w:val="0"/>
          <w:iCs/>
          <w:color w:val="auto"/>
          <w:lang w:val="en-AU"/>
        </w:rPr>
        <w:t>–</w:t>
      </w:r>
      <w:r w:rsidRPr="00C67701">
        <w:rPr>
          <w:i w:val="0"/>
          <w:iCs/>
          <w:color w:val="auto"/>
        </w:rPr>
        <w:t>Australia Partnership we will support economic reform and resilience, invest in human capability, boost trade and investment and build environmental resilience</w:t>
      </w:r>
      <w:r w:rsidR="00FC4FBC">
        <w:rPr>
          <w:i w:val="0"/>
          <w:iCs/>
          <w:color w:val="auto"/>
          <w:lang w:val="en-AU"/>
        </w:rPr>
        <w:t xml:space="preserve"> in this vital sub-region of Southeast Asia</w:t>
      </w:r>
      <w:r w:rsidRPr="00C67701">
        <w:rPr>
          <w:i w:val="0"/>
          <w:iCs/>
          <w:color w:val="auto"/>
        </w:rPr>
        <w:t xml:space="preserve">.    </w:t>
      </w:r>
    </w:p>
    <w:p w14:paraId="6E2B45C3" w14:textId="77777777" w:rsidR="00F27BE8" w:rsidRPr="003C3C94" w:rsidRDefault="00C67701" w:rsidP="00C67701">
      <w:pPr>
        <w:pStyle w:val="Exampletext"/>
        <w:rPr>
          <w:iCs/>
          <w:color w:val="000000" w:themeColor="text1"/>
        </w:rPr>
      </w:pPr>
      <w:r w:rsidRPr="00C67701">
        <w:rPr>
          <w:i w:val="0"/>
          <w:iCs/>
          <w:color w:val="auto"/>
        </w:rPr>
        <w:t xml:space="preserve">Through </w:t>
      </w:r>
      <w:r w:rsidRPr="00FA788E">
        <w:rPr>
          <w:color w:val="auto"/>
        </w:rPr>
        <w:t>Partnerships for Recovery</w:t>
      </w:r>
      <w:r w:rsidRPr="00C67701">
        <w:rPr>
          <w:i w:val="0"/>
          <w:iCs/>
          <w:color w:val="auto"/>
        </w:rPr>
        <w:t xml:space="preserve">, the department works to rebuild regional </w:t>
      </w:r>
      <w:r w:rsidRPr="003C3C94">
        <w:rPr>
          <w:i w:val="0"/>
          <w:iCs/>
          <w:color w:val="000000" w:themeColor="text1"/>
        </w:rPr>
        <w:t>economies and reverse poverty and inequality trends worsened by the impacts of the pandemic. This directly supports security and stability in the region.  Australia will assist in establishing infrastructure that is sustainable and climate adapted, drives economic growth and achieves genuine development goals. The department will continue to be at the forefront of providing timely and effective humanitarian assistance to our neighbours in times of need.</w:t>
      </w:r>
    </w:p>
    <w:p w14:paraId="31886A50" w14:textId="1846C61F" w:rsidR="00C67701" w:rsidRPr="003C3C94" w:rsidRDefault="00C67701" w:rsidP="00C67701">
      <w:pPr>
        <w:pStyle w:val="Exampletext"/>
        <w:rPr>
          <w:iCs/>
          <w:color w:val="000000" w:themeColor="text1"/>
        </w:rPr>
      </w:pPr>
      <w:r w:rsidRPr="003C3C94">
        <w:rPr>
          <w:i w:val="0"/>
          <w:iCs/>
          <w:color w:val="000000" w:themeColor="text1"/>
        </w:rPr>
        <w:t xml:space="preserve">To support Australia’s post-pandemic economic recovery, the department will continue to negotiate trade and investment agreements. Our </w:t>
      </w:r>
      <w:r w:rsidR="007876DA" w:rsidRPr="003C3C94">
        <w:rPr>
          <w:i w:val="0"/>
          <w:iCs/>
          <w:color w:val="000000" w:themeColor="text1"/>
          <w:lang w:val="en-AU"/>
        </w:rPr>
        <w:t>f</w:t>
      </w:r>
      <w:proofErr w:type="spellStart"/>
      <w:r w:rsidRPr="003C3C94">
        <w:rPr>
          <w:i w:val="0"/>
          <w:iCs/>
          <w:color w:val="000000" w:themeColor="text1"/>
        </w:rPr>
        <w:t>ree</w:t>
      </w:r>
      <w:proofErr w:type="spellEnd"/>
      <w:r w:rsidRPr="003C3C94">
        <w:rPr>
          <w:i w:val="0"/>
          <w:iCs/>
          <w:color w:val="000000" w:themeColor="text1"/>
        </w:rPr>
        <w:t xml:space="preserve"> </w:t>
      </w:r>
      <w:r w:rsidR="007876DA" w:rsidRPr="003C3C94">
        <w:rPr>
          <w:i w:val="0"/>
          <w:iCs/>
          <w:color w:val="000000" w:themeColor="text1"/>
          <w:lang w:val="en-AU"/>
        </w:rPr>
        <w:t>t</w:t>
      </w:r>
      <w:proofErr w:type="spellStart"/>
      <w:r w:rsidRPr="003C3C94">
        <w:rPr>
          <w:i w:val="0"/>
          <w:iCs/>
          <w:color w:val="000000" w:themeColor="text1"/>
        </w:rPr>
        <w:t>rade</w:t>
      </w:r>
      <w:proofErr w:type="spellEnd"/>
      <w:r w:rsidRPr="003C3C94">
        <w:rPr>
          <w:i w:val="0"/>
          <w:iCs/>
          <w:color w:val="000000" w:themeColor="text1"/>
        </w:rPr>
        <w:t xml:space="preserve"> </w:t>
      </w:r>
      <w:r w:rsidR="007876DA" w:rsidRPr="003C3C94">
        <w:rPr>
          <w:i w:val="0"/>
          <w:iCs/>
          <w:color w:val="000000" w:themeColor="text1"/>
          <w:lang w:val="en-AU"/>
        </w:rPr>
        <w:t>a</w:t>
      </w:r>
      <w:proofErr w:type="spellStart"/>
      <w:r w:rsidRPr="003C3C94">
        <w:rPr>
          <w:i w:val="0"/>
          <w:iCs/>
          <w:color w:val="000000" w:themeColor="text1"/>
        </w:rPr>
        <w:t>greements</w:t>
      </w:r>
      <w:proofErr w:type="spellEnd"/>
      <w:r w:rsidRPr="003C3C94">
        <w:rPr>
          <w:i w:val="0"/>
          <w:iCs/>
          <w:color w:val="000000" w:themeColor="text1"/>
        </w:rPr>
        <w:t xml:space="preserve"> (FTAs) create export opportunities and jobs, reduce the cost of doing business overseas and provide Australian consumers with greater choice. The department’s implementation of the Australia</w:t>
      </w:r>
      <w:r w:rsidR="007876DA" w:rsidRPr="003C3C94">
        <w:rPr>
          <w:i w:val="0"/>
          <w:iCs/>
          <w:color w:val="000000" w:themeColor="text1"/>
          <w:lang w:val="en-AU"/>
        </w:rPr>
        <w:t>–</w:t>
      </w:r>
      <w:r w:rsidRPr="003C3C94">
        <w:rPr>
          <w:i w:val="0"/>
          <w:iCs/>
          <w:color w:val="000000" w:themeColor="text1"/>
        </w:rPr>
        <w:t>UK FTA will build on our existing strengths in two-way trade and investment. We are negotiating the Australia</w:t>
      </w:r>
      <w:r w:rsidR="007876DA" w:rsidRPr="003C3C94">
        <w:rPr>
          <w:i w:val="0"/>
          <w:iCs/>
          <w:color w:val="000000" w:themeColor="text1"/>
          <w:lang w:val="en-AU"/>
        </w:rPr>
        <w:t>–</w:t>
      </w:r>
      <w:r w:rsidRPr="003C3C94">
        <w:rPr>
          <w:i w:val="0"/>
          <w:iCs/>
          <w:color w:val="000000" w:themeColor="text1"/>
        </w:rPr>
        <w:t xml:space="preserve">India Comprehensive Economic Cooperation Agreement (CECA) to liberalise and deepen trade in goods and services between Australia and India. Negotiation of an FTA with the European Union </w:t>
      </w:r>
      <w:r w:rsidR="007876DA" w:rsidRPr="003C3C94">
        <w:rPr>
          <w:i w:val="0"/>
          <w:iCs/>
          <w:color w:val="000000" w:themeColor="text1"/>
          <w:lang w:val="en-AU"/>
        </w:rPr>
        <w:t>–</w:t>
      </w:r>
      <w:r w:rsidRPr="003C3C94">
        <w:rPr>
          <w:i w:val="0"/>
          <w:iCs/>
          <w:color w:val="000000" w:themeColor="text1"/>
        </w:rPr>
        <w:t xml:space="preserve"> our second largest trading partner </w:t>
      </w:r>
      <w:r w:rsidR="007876DA" w:rsidRPr="003C3C94">
        <w:rPr>
          <w:i w:val="0"/>
          <w:iCs/>
          <w:color w:val="000000" w:themeColor="text1"/>
          <w:lang w:val="en-AU"/>
        </w:rPr>
        <w:t>–</w:t>
      </w:r>
      <w:r w:rsidRPr="003C3C94">
        <w:rPr>
          <w:i w:val="0"/>
          <w:iCs/>
          <w:color w:val="000000" w:themeColor="text1"/>
        </w:rPr>
        <w:t xml:space="preserve"> is well advanced and work towards early conclusion is a priority. We are also working to support businesses to reduce supply chain vulnerabilities and improve trade diversification.</w:t>
      </w:r>
    </w:p>
    <w:p w14:paraId="59635E85" w14:textId="5A09835D" w:rsidR="00C67701" w:rsidRPr="003C3C94" w:rsidRDefault="00C67701" w:rsidP="00C67701">
      <w:pPr>
        <w:pStyle w:val="Exampletext"/>
        <w:rPr>
          <w:i w:val="0"/>
          <w:iCs/>
          <w:color w:val="000000" w:themeColor="text1"/>
        </w:rPr>
      </w:pPr>
      <w:r w:rsidRPr="003C3C94">
        <w:rPr>
          <w:i w:val="0"/>
          <w:iCs/>
          <w:color w:val="000000" w:themeColor="text1"/>
        </w:rPr>
        <w:t xml:space="preserve">The department advocates for our interests in international economic bodies and leads efforts to uphold the rules-based trading system, including the process to remove impediments to Australian exports. In the World Trade </w:t>
      </w:r>
      <w:proofErr w:type="spellStart"/>
      <w:r w:rsidRPr="003C3C94">
        <w:rPr>
          <w:i w:val="0"/>
          <w:iCs/>
          <w:color w:val="000000" w:themeColor="text1"/>
        </w:rPr>
        <w:t>Organi</w:t>
      </w:r>
      <w:r w:rsidR="007876DA" w:rsidRPr="003C3C94">
        <w:rPr>
          <w:i w:val="0"/>
          <w:iCs/>
          <w:color w:val="000000" w:themeColor="text1"/>
          <w:lang w:val="en-AU"/>
        </w:rPr>
        <w:t>z</w:t>
      </w:r>
      <w:r w:rsidRPr="003C3C94">
        <w:rPr>
          <w:i w:val="0"/>
          <w:iCs/>
          <w:color w:val="000000" w:themeColor="text1"/>
        </w:rPr>
        <w:t>ation</w:t>
      </w:r>
      <w:proofErr w:type="spellEnd"/>
      <w:r w:rsidRPr="003C3C94">
        <w:rPr>
          <w:i w:val="0"/>
          <w:iCs/>
          <w:color w:val="000000" w:themeColor="text1"/>
        </w:rPr>
        <w:t xml:space="preserve"> (WTO) we build coalitions to maintain adherence to existing rules and engage in dispute settlements where necessary to protect our interests. </w:t>
      </w:r>
    </w:p>
    <w:p w14:paraId="542DFDE4" w14:textId="682BE29B" w:rsidR="00C67701" w:rsidRPr="003C3C94" w:rsidRDefault="00C67701" w:rsidP="00C67701">
      <w:pPr>
        <w:pStyle w:val="Exampletext"/>
        <w:rPr>
          <w:i w:val="0"/>
          <w:iCs/>
          <w:color w:val="000000" w:themeColor="text1"/>
        </w:rPr>
      </w:pPr>
      <w:r w:rsidRPr="003C3C94">
        <w:rPr>
          <w:i w:val="0"/>
          <w:iCs/>
          <w:color w:val="000000" w:themeColor="text1"/>
        </w:rPr>
        <w:t xml:space="preserve">The department leads and manages Australia’s bilateral, </w:t>
      </w:r>
      <w:proofErr w:type="spellStart"/>
      <w:r w:rsidRPr="003C3C94">
        <w:rPr>
          <w:i w:val="0"/>
          <w:iCs/>
          <w:color w:val="000000" w:themeColor="text1"/>
        </w:rPr>
        <w:t>minilateral</w:t>
      </w:r>
      <w:proofErr w:type="spellEnd"/>
      <w:r w:rsidRPr="003C3C94">
        <w:rPr>
          <w:i w:val="0"/>
          <w:iCs/>
          <w:color w:val="000000" w:themeColor="text1"/>
        </w:rPr>
        <w:t xml:space="preserve"> and multilateral efforts, which equip us to meet global challenges. Through new and ongoing initiatives, we will advance our agenda with ASEAN, the Quad, the Pacific Island Forum (PIF), the East Asia Summit and through AUKUS (Australia, United Kingdom and the United States). The department will continue to lead our national interest</w:t>
      </w:r>
      <w:r w:rsidR="00D63E28" w:rsidRPr="003C3C94">
        <w:rPr>
          <w:i w:val="0"/>
          <w:iCs/>
          <w:color w:val="000000" w:themeColor="text1"/>
          <w:lang w:val="en-AU"/>
        </w:rPr>
        <w:t xml:space="preserve"> </w:t>
      </w:r>
      <w:r w:rsidRPr="003C3C94">
        <w:rPr>
          <w:i w:val="0"/>
          <w:iCs/>
          <w:color w:val="000000" w:themeColor="text1"/>
        </w:rPr>
        <w:t>based approach to China, remaining open to dialogue without preconditions and working in partnership with domestic and international stakeholders.</w:t>
      </w:r>
    </w:p>
    <w:p w14:paraId="0371EB0C" w14:textId="3955A59A" w:rsidR="00C67701" w:rsidRPr="00C67701" w:rsidRDefault="00C67701" w:rsidP="00C67701">
      <w:pPr>
        <w:pStyle w:val="Exampletext"/>
        <w:rPr>
          <w:i w:val="0"/>
          <w:iCs/>
          <w:color w:val="auto"/>
        </w:rPr>
      </w:pPr>
      <w:r w:rsidRPr="003C3C94">
        <w:rPr>
          <w:i w:val="0"/>
          <w:iCs/>
          <w:color w:val="000000" w:themeColor="text1"/>
        </w:rPr>
        <w:t xml:space="preserve">The department will continue to work with </w:t>
      </w:r>
      <w:r w:rsidR="00FC4FBC" w:rsidRPr="003C3C94">
        <w:rPr>
          <w:i w:val="0"/>
          <w:iCs/>
          <w:color w:val="000000" w:themeColor="text1"/>
          <w:lang w:val="en-AU"/>
        </w:rPr>
        <w:t xml:space="preserve">like-minded </w:t>
      </w:r>
      <w:r w:rsidRPr="003C3C94">
        <w:rPr>
          <w:i w:val="0"/>
          <w:iCs/>
          <w:color w:val="000000" w:themeColor="text1"/>
        </w:rPr>
        <w:t xml:space="preserve">partners to protect </w:t>
      </w:r>
      <w:r w:rsidR="00FC4FBC" w:rsidRPr="003C3C94">
        <w:rPr>
          <w:i w:val="0"/>
          <w:iCs/>
          <w:color w:val="000000" w:themeColor="text1"/>
          <w:lang w:val="en-AU"/>
        </w:rPr>
        <w:t xml:space="preserve">and promote international law, and </w:t>
      </w:r>
      <w:r w:rsidRPr="003C3C94">
        <w:rPr>
          <w:i w:val="0"/>
          <w:iCs/>
          <w:color w:val="000000" w:themeColor="text1"/>
        </w:rPr>
        <w:t>the rules, norms and standards that support the interests of Australia and the Indo-Pacific region. We will work to set new standards and rules that protect and advance human rights, while also supporting reform efforts. We will seek to reinforce leadership of multilateral institutions by supporting meritorious individuals with a commitment to good governance and transparency, including Australian candidacies. We are investing $25.6</w:t>
      </w:r>
      <w:r w:rsidR="00603BDF" w:rsidRPr="003C3C94">
        <w:rPr>
          <w:i w:val="0"/>
          <w:iCs/>
          <w:color w:val="000000" w:themeColor="text1"/>
          <w:lang w:val="en-AU"/>
        </w:rPr>
        <w:t> </w:t>
      </w:r>
      <w:r w:rsidRPr="003C3C94">
        <w:rPr>
          <w:i w:val="0"/>
          <w:iCs/>
          <w:color w:val="000000" w:themeColor="text1"/>
        </w:rPr>
        <w:t>million over four years from 2021</w:t>
      </w:r>
      <w:r w:rsidR="007876DA" w:rsidRPr="003C3C94">
        <w:rPr>
          <w:i w:val="0"/>
          <w:iCs/>
          <w:color w:val="000000" w:themeColor="text1"/>
          <w:lang w:val="en-AU"/>
        </w:rPr>
        <w:t>–</w:t>
      </w:r>
      <w:r w:rsidRPr="003C3C94">
        <w:rPr>
          <w:i w:val="0"/>
          <w:iCs/>
          <w:color w:val="000000" w:themeColor="text1"/>
        </w:rPr>
        <w:t xml:space="preserve">22 to assist young Australians gain professional experience within international institutions. The </w:t>
      </w:r>
      <w:r w:rsidRPr="00C67701">
        <w:rPr>
          <w:i w:val="0"/>
          <w:iCs/>
          <w:color w:val="auto"/>
        </w:rPr>
        <w:t>department will continue to work closely with the 54 nations under the Antarctic Treaty System in protecting the Antarctic and in sharing research.</w:t>
      </w:r>
    </w:p>
    <w:p w14:paraId="4452EF52" w14:textId="77777777" w:rsidR="00C67701" w:rsidRPr="00C67701" w:rsidRDefault="00C67701" w:rsidP="00C67701">
      <w:pPr>
        <w:pStyle w:val="Exampletext"/>
        <w:rPr>
          <w:i w:val="0"/>
          <w:iCs/>
          <w:color w:val="auto"/>
        </w:rPr>
      </w:pPr>
      <w:r w:rsidRPr="00C67701">
        <w:rPr>
          <w:i w:val="0"/>
          <w:iCs/>
          <w:color w:val="auto"/>
        </w:rPr>
        <w:t>Through the Foreign Arrangements Scheme, the department supports and reviews arrangements between state and territory governments and foreign governments to ensure consistency with Australia’s foreign policy.</w:t>
      </w:r>
    </w:p>
    <w:p w14:paraId="3CB3ECF6" w14:textId="40495A05" w:rsidR="00C67701" w:rsidRPr="00F27BE8" w:rsidRDefault="00C67701" w:rsidP="00F27BE8">
      <w:pPr>
        <w:pStyle w:val="Exampletext"/>
        <w:rPr>
          <w:i w:val="0"/>
          <w:iCs/>
          <w:color w:val="auto"/>
        </w:rPr>
      </w:pPr>
      <w:r w:rsidRPr="00C67701">
        <w:rPr>
          <w:i w:val="0"/>
          <w:iCs/>
          <w:color w:val="auto"/>
        </w:rPr>
        <w:t>The department supports Australian businesses and citizens overseas through our network of embassies</w:t>
      </w:r>
      <w:r w:rsidR="007876DA" w:rsidRPr="00F27BE8">
        <w:rPr>
          <w:i w:val="0"/>
          <w:iCs/>
          <w:color w:val="auto"/>
        </w:rPr>
        <w:t>, high commissions</w:t>
      </w:r>
      <w:r w:rsidRPr="00C67701">
        <w:rPr>
          <w:i w:val="0"/>
          <w:iCs/>
          <w:color w:val="auto"/>
        </w:rPr>
        <w:t xml:space="preserve"> and consular posts. We deliver essential consular and passport services, information and advice. The department’s global network will be strengthened through the Government’s commitment to open new posts in Bern, Switzerland</w:t>
      </w:r>
      <w:r w:rsidR="007876DA" w:rsidRPr="00F27BE8">
        <w:rPr>
          <w:i w:val="0"/>
          <w:iCs/>
          <w:color w:val="auto"/>
        </w:rPr>
        <w:t>;</w:t>
      </w:r>
      <w:r w:rsidRPr="00C67701">
        <w:rPr>
          <w:i w:val="0"/>
          <w:iCs/>
          <w:color w:val="auto"/>
        </w:rPr>
        <w:t xml:space="preserve"> Male, Maldives</w:t>
      </w:r>
      <w:r w:rsidR="00C376B2" w:rsidRPr="00F27BE8">
        <w:rPr>
          <w:i w:val="0"/>
          <w:iCs/>
          <w:color w:val="auto"/>
        </w:rPr>
        <w:t>;</w:t>
      </w:r>
      <w:r w:rsidRPr="00C67701">
        <w:rPr>
          <w:i w:val="0"/>
          <w:iCs/>
          <w:color w:val="auto"/>
        </w:rPr>
        <w:t xml:space="preserve"> and Bengaluru, India and to continue funding the Special Representative on Afghanistan and the Interim Mission to Afghanistan in Doha.</w:t>
      </w:r>
    </w:p>
    <w:p w14:paraId="56F9040D" w14:textId="361512E0" w:rsidR="00417E86" w:rsidRPr="00417E86" w:rsidRDefault="00C67701" w:rsidP="00C67701">
      <w:pPr>
        <w:pStyle w:val="Exampletext"/>
        <w:rPr>
          <w:i w:val="0"/>
          <w:iCs/>
          <w:color w:val="auto"/>
          <w:lang w:val="en-AU"/>
        </w:rPr>
      </w:pPr>
      <w:r w:rsidRPr="00C67701">
        <w:rPr>
          <w:i w:val="0"/>
          <w:iCs/>
          <w:color w:val="auto"/>
        </w:rPr>
        <w:t>As Australia’s strategic and operating environment becomes more uncertain and challenging, strong foreign affairs capability will be essential to advance Australia’s interests. The department’s three outcomes detailed in this document, and the priorities outlined in the department’s 2021</w:t>
      </w:r>
      <w:r w:rsidR="00C376B2">
        <w:rPr>
          <w:i w:val="0"/>
          <w:iCs/>
          <w:color w:val="auto"/>
          <w:lang w:val="en-AU"/>
        </w:rPr>
        <w:t>–</w:t>
      </w:r>
      <w:r w:rsidRPr="00C67701">
        <w:rPr>
          <w:i w:val="0"/>
          <w:iCs/>
          <w:color w:val="auto"/>
        </w:rPr>
        <w:t xml:space="preserve">22 Corporate Plan, provide the roadmap for how we will deliver for the </w:t>
      </w:r>
      <w:r w:rsidR="007876DA">
        <w:rPr>
          <w:i w:val="0"/>
          <w:iCs/>
          <w:color w:val="auto"/>
          <w:lang w:val="en-AU"/>
        </w:rPr>
        <w:t>G</w:t>
      </w:r>
      <w:proofErr w:type="spellStart"/>
      <w:r w:rsidRPr="00C67701">
        <w:rPr>
          <w:i w:val="0"/>
          <w:iCs/>
          <w:color w:val="auto"/>
        </w:rPr>
        <w:t>overnment</w:t>
      </w:r>
      <w:proofErr w:type="spellEnd"/>
      <w:r w:rsidRPr="00C67701">
        <w:rPr>
          <w:i w:val="0"/>
          <w:iCs/>
          <w:color w:val="auto"/>
        </w:rPr>
        <w:t xml:space="preserve"> and Australia</w:t>
      </w:r>
      <w:r w:rsidR="00417E86">
        <w:rPr>
          <w:i w:val="0"/>
          <w:iCs/>
          <w:color w:val="auto"/>
          <w:lang w:val="en-AU"/>
        </w:rPr>
        <w:t>.</w:t>
      </w:r>
    </w:p>
    <w:p w14:paraId="6A8E544A" w14:textId="77777777" w:rsidR="00257FF4" w:rsidRDefault="000B36D8" w:rsidP="0079797F">
      <w:pPr>
        <w:pStyle w:val="Heading3"/>
      </w:pPr>
      <w:bookmarkStart w:id="45" w:name="_Toc190682310"/>
      <w:bookmarkStart w:id="46" w:name="_Toc190682528"/>
      <w:r w:rsidRPr="0079797F">
        <w:br w:type="page"/>
      </w:r>
      <w:bookmarkStart w:id="47" w:name="_Toc444523510"/>
      <w:bookmarkStart w:id="48" w:name="_Toc95217848"/>
      <w:bookmarkStart w:id="49" w:name="_Toc95229675"/>
      <w:bookmarkStart w:id="50" w:name="_Toc95288982"/>
      <w:bookmarkStart w:id="51" w:name="_Toc95291869"/>
      <w:bookmarkStart w:id="52" w:name="_Toc95293743"/>
      <w:bookmarkStart w:id="53" w:name="_Toc95296393"/>
      <w:bookmarkStart w:id="54" w:name="_Toc97387898"/>
      <w:bookmarkStart w:id="55" w:name="_Toc97540636"/>
      <w:bookmarkStart w:id="56" w:name="_Toc99111638"/>
      <w:r w:rsidR="00257FF4">
        <w:t>1.2</w:t>
      </w:r>
      <w:r w:rsidR="00257FF4">
        <w:tab/>
      </w:r>
      <w:r w:rsidR="007E6BBD">
        <w:t xml:space="preserve">Entity </w:t>
      </w:r>
      <w:r w:rsidR="00257FF4">
        <w:t>resource statement</w:t>
      </w:r>
      <w:bookmarkEnd w:id="45"/>
      <w:bookmarkEnd w:id="46"/>
      <w:bookmarkEnd w:id="47"/>
      <w:bookmarkEnd w:id="48"/>
      <w:bookmarkEnd w:id="49"/>
      <w:bookmarkEnd w:id="50"/>
      <w:bookmarkEnd w:id="51"/>
      <w:bookmarkEnd w:id="52"/>
      <w:bookmarkEnd w:id="53"/>
      <w:bookmarkEnd w:id="54"/>
      <w:bookmarkEnd w:id="55"/>
      <w:bookmarkEnd w:id="56"/>
    </w:p>
    <w:p w14:paraId="714495FD" w14:textId="77777777" w:rsidR="00E1129E" w:rsidRDefault="00257FF4" w:rsidP="00257FF4">
      <w:bookmarkStart w:id="57" w:name="OLE_LINK11"/>
      <w:bookmarkStart w:id="58"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64D0186F"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w:t>
      </w:r>
      <w:r w:rsidR="00460810">
        <w:t>DFAT</w:t>
      </w:r>
      <w:r w:rsidR="00331B40">
        <w:t xml:space="preserve">’s operations) </w:t>
      </w:r>
      <w:r>
        <w:t>classification.</w:t>
      </w:r>
    </w:p>
    <w:p w14:paraId="43E76EB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208FE50F" w14:textId="65711CAF"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t>tables in Section 2 and the financial statements in Section 3 are</w:t>
      </w:r>
      <w:r w:rsidR="00831489">
        <w:t xml:space="preserve"> presented on an accrual basis.</w:t>
      </w:r>
    </w:p>
    <w:bookmarkEnd w:id="57"/>
    <w:bookmarkEnd w:id="58"/>
    <w:p w14:paraId="730101D4" w14:textId="48B382D9" w:rsidR="00CB2844" w:rsidRPr="00FE1091" w:rsidRDefault="00E92644" w:rsidP="00D44150">
      <w:pPr>
        <w:pStyle w:val="TableHeading"/>
        <w:rPr>
          <w:b w:val="0"/>
          <w:lang w:val="en-AU"/>
        </w:rPr>
      </w:pPr>
      <w:r>
        <w:br w:type="page"/>
      </w:r>
      <w:r w:rsidR="00741BF8" w:rsidRPr="00D44150">
        <w:t xml:space="preserve">Table 1.1: </w:t>
      </w:r>
      <w:r w:rsidR="00460810">
        <w:rPr>
          <w:lang w:val="en-AU"/>
        </w:rPr>
        <w:t>Department of Foreign Affairs and Trade</w:t>
      </w:r>
      <w:r w:rsidR="00741BF8" w:rsidRPr="00D44150">
        <w:t xml:space="preserve"> resource statement</w:t>
      </w:r>
      <w:r w:rsidR="0066176D">
        <w:t xml:space="preserve"> — Budget estimates for </w:t>
      </w:r>
      <w:r w:rsidR="00400A8B">
        <w:rPr>
          <w:lang w:val="en-AU"/>
        </w:rPr>
        <w:t>2022</w:t>
      </w:r>
      <w:r w:rsidR="00FC6CF3">
        <w:rPr>
          <w:lang w:val="en-AU"/>
        </w:rPr>
        <w:t>-</w:t>
      </w:r>
      <w:r w:rsidR="00400A8B">
        <w:rPr>
          <w:lang w:val="en-AU"/>
        </w:rPr>
        <w:t>23</w:t>
      </w:r>
      <w:r w:rsidR="00400A8B">
        <w:t xml:space="preserve"> </w:t>
      </w:r>
      <w:r w:rsidR="00741BF8" w:rsidRPr="00D44150">
        <w:t xml:space="preserve">as at Budget </w:t>
      </w:r>
      <w:r w:rsidR="00ED3B06">
        <w:rPr>
          <w:lang w:val="en-AU"/>
        </w:rPr>
        <w:t>Ma</w:t>
      </w:r>
      <w:r w:rsidR="00006B50">
        <w:rPr>
          <w:lang w:val="en-AU"/>
        </w:rPr>
        <w:t>rch</w:t>
      </w:r>
      <w:r w:rsidR="00ED3B06" w:rsidRPr="00D44150">
        <w:t xml:space="preserve"> </w:t>
      </w:r>
      <w:r w:rsidR="00400A8B">
        <w:rPr>
          <w:lang w:val="en-AU"/>
        </w:rPr>
        <w:t>2022</w:t>
      </w:r>
    </w:p>
    <w:p w14:paraId="08B01EA0" w14:textId="3B769857" w:rsidR="00F94E8C" w:rsidRDefault="00E34D7D" w:rsidP="009763C1">
      <w:pPr>
        <w:pStyle w:val="TableGraphic"/>
        <w:rPr>
          <w:rFonts w:ascii="Arial" w:hAnsi="Arial"/>
          <w:color w:val="000000"/>
          <w:lang w:val="x-none" w:eastAsia="x-none"/>
        </w:rPr>
      </w:pPr>
      <w:r w:rsidRPr="00E34D7D">
        <w:rPr>
          <w:noProof/>
        </w:rPr>
        <w:drawing>
          <wp:inline distT="0" distB="0" distL="0" distR="0" wp14:anchorId="4BB10D74" wp14:editId="2279C487">
            <wp:extent cx="4895850" cy="467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95850" cy="4676775"/>
                    </a:xfrm>
                    <a:prstGeom prst="rect">
                      <a:avLst/>
                    </a:prstGeom>
                    <a:noFill/>
                    <a:ln>
                      <a:noFill/>
                    </a:ln>
                  </pic:spPr>
                </pic:pic>
              </a:graphicData>
            </a:graphic>
          </wp:inline>
        </w:drawing>
      </w:r>
    </w:p>
    <w:p w14:paraId="0EA16674" w14:textId="77777777" w:rsidR="00C53B7C" w:rsidRPr="00C53B7C" w:rsidRDefault="00C53B7C" w:rsidP="00C354BB">
      <w:pPr>
        <w:pStyle w:val="Source"/>
      </w:pPr>
      <w:r w:rsidRPr="00C53B7C">
        <w:t xml:space="preserve">Table </w:t>
      </w:r>
      <w:proofErr w:type="gramStart"/>
      <w:r w:rsidRPr="00C53B7C">
        <w:t>continued on</w:t>
      </w:r>
      <w:proofErr w:type="gramEnd"/>
      <w:r w:rsidRPr="00C53B7C">
        <w:t xml:space="preserve"> the next page. </w:t>
      </w:r>
    </w:p>
    <w:p w14:paraId="6793964C" w14:textId="12F2D66F" w:rsidR="0066176D" w:rsidRDefault="00D44150" w:rsidP="0066176D">
      <w:pPr>
        <w:pStyle w:val="TableHeading"/>
        <w:rPr>
          <w:lang w:val="en-AU"/>
        </w:rPr>
      </w:pPr>
      <w:r>
        <w:br w:type="page"/>
      </w:r>
      <w:r w:rsidR="0066176D" w:rsidRPr="00D44150">
        <w:t xml:space="preserve">Table 1.1: </w:t>
      </w:r>
      <w:r w:rsidR="00460810">
        <w:rPr>
          <w:lang w:val="en-AU"/>
        </w:rPr>
        <w:t>Department of Foreign Affairs and Trade</w:t>
      </w:r>
      <w:r w:rsidR="00460810" w:rsidRPr="00D44150">
        <w:t xml:space="preserve"> </w:t>
      </w:r>
      <w:r w:rsidR="0066176D" w:rsidRPr="00D44150">
        <w:t>resource statement</w:t>
      </w:r>
      <w:r w:rsidR="0066176D">
        <w:t xml:space="preserve"> — Budget estimates for </w:t>
      </w:r>
      <w:r w:rsidR="00400A8B">
        <w:rPr>
          <w:lang w:val="en-AU"/>
        </w:rPr>
        <w:t>2022</w:t>
      </w:r>
      <w:r w:rsidR="00FC6CF3">
        <w:rPr>
          <w:lang w:val="en-AU"/>
        </w:rPr>
        <w:t>-</w:t>
      </w:r>
      <w:r w:rsidR="00400A8B">
        <w:rPr>
          <w:lang w:val="en-AU"/>
        </w:rPr>
        <w:t>23</w:t>
      </w:r>
      <w:r w:rsidR="00400A8B">
        <w:t xml:space="preserve"> </w:t>
      </w:r>
      <w:r w:rsidR="0066176D" w:rsidRPr="00D44150">
        <w:t xml:space="preserve">as at Budget </w:t>
      </w:r>
      <w:r w:rsidR="00ED3B06">
        <w:rPr>
          <w:lang w:val="en-AU"/>
        </w:rPr>
        <w:t>Ma</w:t>
      </w:r>
      <w:r w:rsidR="00006B50">
        <w:rPr>
          <w:lang w:val="en-AU"/>
        </w:rPr>
        <w:t>rch</w:t>
      </w:r>
      <w:r w:rsidR="00ED3B06">
        <w:rPr>
          <w:lang w:val="en-AU"/>
        </w:rPr>
        <w:t xml:space="preserve"> </w:t>
      </w:r>
      <w:r w:rsidR="00400A8B">
        <w:rPr>
          <w:lang w:val="en-AU"/>
        </w:rPr>
        <w:t xml:space="preserve">2022 </w:t>
      </w:r>
      <w:r w:rsidR="0066176D">
        <w:rPr>
          <w:lang w:val="en-AU"/>
        </w:rPr>
        <w:t>(continued)</w:t>
      </w:r>
    </w:p>
    <w:p w14:paraId="23F9C7F7" w14:textId="4694F89B" w:rsidR="00CE4D05" w:rsidRDefault="00E34D7D" w:rsidP="009763C1">
      <w:pPr>
        <w:pStyle w:val="TableGraphic"/>
      </w:pPr>
      <w:r w:rsidRPr="00E34D7D">
        <w:rPr>
          <w:noProof/>
        </w:rPr>
        <w:drawing>
          <wp:inline distT="0" distB="0" distL="0" distR="0" wp14:anchorId="2C445B4A" wp14:editId="6C3205DD">
            <wp:extent cx="4895850" cy="17716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95850" cy="1771650"/>
                    </a:xfrm>
                    <a:prstGeom prst="rect">
                      <a:avLst/>
                    </a:prstGeom>
                    <a:noFill/>
                    <a:ln>
                      <a:noFill/>
                    </a:ln>
                  </pic:spPr>
                </pic:pic>
              </a:graphicData>
            </a:graphic>
          </wp:inline>
        </w:drawing>
      </w:r>
    </w:p>
    <w:p w14:paraId="407906DA" w14:textId="3ACFFDD9" w:rsidR="0066176D" w:rsidRDefault="0066176D" w:rsidP="0066176D">
      <w:pPr>
        <w:pStyle w:val="TableHeading"/>
      </w:pPr>
    </w:p>
    <w:p w14:paraId="7E08B4E7" w14:textId="77777777" w:rsidR="00C7638D" w:rsidRDefault="00C7638D" w:rsidP="00C7638D">
      <w:pPr>
        <w:pStyle w:val="TableHeading"/>
      </w:pPr>
      <w:r w:rsidRPr="005C4BEE">
        <w:t xml:space="preserve">Third party payments from and on behalf of other </w:t>
      </w:r>
      <w:r w:rsidR="00422F4B">
        <w:t>entities</w:t>
      </w:r>
    </w:p>
    <w:p w14:paraId="3C6E1B48" w14:textId="1E01E634" w:rsidR="002376AD" w:rsidRDefault="00E34D7D" w:rsidP="00C946DC">
      <w:pPr>
        <w:pStyle w:val="TableGraphic"/>
      </w:pPr>
      <w:bookmarkStart w:id="59" w:name="_Toc190682311"/>
      <w:bookmarkStart w:id="60" w:name="_Toc190682529"/>
      <w:r w:rsidRPr="00E34D7D">
        <w:rPr>
          <w:noProof/>
        </w:rPr>
        <w:drawing>
          <wp:inline distT="0" distB="0" distL="0" distR="0" wp14:anchorId="10069809" wp14:editId="0D6EE778">
            <wp:extent cx="4895850" cy="1209675"/>
            <wp:effectExtent l="0" t="0" r="0"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95850" cy="1209675"/>
                    </a:xfrm>
                    <a:prstGeom prst="rect">
                      <a:avLst/>
                    </a:prstGeom>
                    <a:noFill/>
                    <a:ln>
                      <a:noFill/>
                    </a:ln>
                  </pic:spPr>
                </pic:pic>
              </a:graphicData>
            </a:graphic>
          </wp:inline>
        </w:drawing>
      </w:r>
    </w:p>
    <w:p w14:paraId="671977B7" w14:textId="77777777" w:rsidR="00CB2844" w:rsidRPr="00CB2844" w:rsidRDefault="00CB2844" w:rsidP="00CB2844">
      <w:pPr>
        <w:pStyle w:val="ChartandTableFootnote"/>
      </w:pPr>
      <w:r w:rsidRPr="00696AA8">
        <w:t>All figures shown above are GST exclusive - these may not match figures in the cash flow statement.</w:t>
      </w:r>
    </w:p>
    <w:p w14:paraId="57128A29" w14:textId="77777777" w:rsidR="00CB2844" w:rsidRDefault="00CB2844" w:rsidP="00CB2844">
      <w:pPr>
        <w:pStyle w:val="ChartandTableFootnote"/>
      </w:pPr>
      <w:r>
        <w:t>Prepared on a resourcing (</w:t>
      </w:r>
      <w:r>
        <w:rPr>
          <w:lang w:val="en-AU"/>
        </w:rPr>
        <w:t>that is,</w:t>
      </w:r>
      <w:r>
        <w:t xml:space="preserve"> appropriations available) basis.</w:t>
      </w:r>
    </w:p>
    <w:p w14:paraId="7D4B2932" w14:textId="61E1274B" w:rsidR="00CB2844" w:rsidRPr="002003A1" w:rsidRDefault="00CB2844" w:rsidP="00DC0A7A">
      <w:pPr>
        <w:pStyle w:val="ChartandTableFootnoteAlpha"/>
      </w:pPr>
      <w:r w:rsidRPr="00DC0A7A">
        <w:rPr>
          <w:color w:val="000000"/>
          <w:szCs w:val="16"/>
        </w:rPr>
        <w:t>Appropriation</w:t>
      </w:r>
      <w:r>
        <w:t xml:space="preserve"> Bill (No. 1) </w:t>
      </w:r>
      <w:r w:rsidR="00400A8B">
        <w:t>2022</w:t>
      </w:r>
      <w:r w:rsidR="00FC6CF3">
        <w:t>-</w:t>
      </w:r>
      <w:r w:rsidR="00400A8B">
        <w:t>23</w:t>
      </w:r>
      <w:r>
        <w:t>.</w:t>
      </w:r>
    </w:p>
    <w:p w14:paraId="47786F5B" w14:textId="505564C7" w:rsidR="00CB2844" w:rsidRPr="00037D19" w:rsidRDefault="00CB2844" w:rsidP="009763C1">
      <w:pPr>
        <w:pStyle w:val="ChartandTableFootnoteAlpha"/>
        <w:rPr>
          <w:color w:val="000000"/>
          <w:szCs w:val="16"/>
        </w:rPr>
      </w:pPr>
      <w:r w:rsidRPr="00037D19">
        <w:rPr>
          <w:color w:val="000000"/>
          <w:szCs w:val="16"/>
        </w:rPr>
        <w:t>Excludes $</w:t>
      </w:r>
      <w:r w:rsidR="00FF4CB6">
        <w:rPr>
          <w:color w:val="000000"/>
          <w:szCs w:val="16"/>
        </w:rPr>
        <w:t>144.0</w:t>
      </w:r>
      <w:r w:rsidRPr="00037D19">
        <w:rPr>
          <w:color w:val="000000"/>
          <w:szCs w:val="16"/>
        </w:rPr>
        <w:t xml:space="preserve">m subject to administrative quarantine by Finance or withheld under section 51 of the </w:t>
      </w:r>
      <w:r w:rsidRPr="00037D19">
        <w:rPr>
          <w:i/>
          <w:iCs/>
          <w:color w:val="000000"/>
          <w:szCs w:val="16"/>
        </w:rPr>
        <w:t xml:space="preserve">Public Governance, Performance and Accountability Act 2013 </w:t>
      </w:r>
      <w:r w:rsidRPr="00310FAE">
        <w:rPr>
          <w:color w:val="000000"/>
          <w:szCs w:val="16"/>
        </w:rPr>
        <w:t>(PGPA Act)</w:t>
      </w:r>
      <w:r w:rsidR="00093D79" w:rsidRPr="00310FAE">
        <w:rPr>
          <w:color w:val="000000"/>
          <w:szCs w:val="16"/>
        </w:rPr>
        <w:t>.</w:t>
      </w:r>
    </w:p>
    <w:p w14:paraId="7254CA33" w14:textId="77777777" w:rsidR="00CB2844" w:rsidRDefault="00CB2844" w:rsidP="009763C1">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39DE060E" w14:textId="77777777" w:rsidR="00CB2844" w:rsidRPr="001071C7" w:rsidRDefault="00CB2844" w:rsidP="009763C1">
      <w:pPr>
        <w:pStyle w:val="ChartandTableFootnoteAlpha"/>
        <w:rPr>
          <w:color w:val="000000"/>
        </w:rPr>
      </w:pPr>
      <w:r w:rsidRPr="001071C7">
        <w:rPr>
          <w:color w:val="000000"/>
        </w:rPr>
        <w:t>Estimated External Revenue receipts under section 74 of the PGPA Act.</w:t>
      </w:r>
    </w:p>
    <w:p w14:paraId="159B26EC" w14:textId="77777777" w:rsidR="00CB2844" w:rsidRPr="001071C7" w:rsidRDefault="00CB2844" w:rsidP="009763C1">
      <w:pPr>
        <w:pStyle w:val="ChartandTableFootnoteAlpha"/>
        <w:rPr>
          <w:color w:val="000000"/>
        </w:rPr>
      </w:pPr>
      <w:r w:rsidRPr="001071C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7C30EB6C" w14:textId="4CDA8987" w:rsidR="00CB2844" w:rsidRPr="001071C7" w:rsidRDefault="00CB2844" w:rsidP="009763C1">
      <w:pPr>
        <w:pStyle w:val="ChartandTableFootnoteAlpha"/>
        <w:rPr>
          <w:color w:val="000000"/>
        </w:rPr>
      </w:pPr>
      <w:r w:rsidRPr="001071C7">
        <w:rPr>
          <w:color w:val="000000"/>
        </w:rPr>
        <w:t xml:space="preserve">Appropriation Bill (No. 2) </w:t>
      </w:r>
      <w:r w:rsidR="00400A8B">
        <w:rPr>
          <w:color w:val="000000"/>
        </w:rPr>
        <w:t>2022</w:t>
      </w:r>
      <w:r w:rsidR="00FC6CF3">
        <w:rPr>
          <w:color w:val="000000"/>
        </w:rPr>
        <w:t>-</w:t>
      </w:r>
      <w:r w:rsidR="00400A8B">
        <w:rPr>
          <w:color w:val="000000"/>
        </w:rPr>
        <w:t>23</w:t>
      </w:r>
      <w:r w:rsidRPr="001071C7">
        <w:rPr>
          <w:color w:val="000000"/>
        </w:rPr>
        <w:t>.</w:t>
      </w:r>
    </w:p>
    <w:p w14:paraId="7BC47735" w14:textId="77777777" w:rsidR="00CB2844" w:rsidRPr="001071C7" w:rsidRDefault="00CB2844" w:rsidP="009763C1">
      <w:pPr>
        <w:pStyle w:val="ChartandTableFootnoteAlpha"/>
        <w:rPr>
          <w:color w:val="000000"/>
        </w:rPr>
      </w:pPr>
      <w:r w:rsidRPr="001071C7">
        <w:rPr>
          <w:color w:val="000000"/>
        </w:rPr>
        <w:t xml:space="preserve">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w:t>
      </w:r>
      <w:proofErr w:type="gramStart"/>
      <w:r w:rsidRPr="001071C7">
        <w:rPr>
          <w:color w:val="000000"/>
        </w:rPr>
        <w:t>e.g.</w:t>
      </w:r>
      <w:proofErr w:type="gramEnd"/>
      <w:r w:rsidRPr="001071C7">
        <w:rPr>
          <w:color w:val="000000"/>
        </w:rPr>
        <w:t xml:space="preserve"> annual appropriations, special appro</w:t>
      </w:r>
      <w:r>
        <w:rPr>
          <w:color w:val="000000"/>
        </w:rPr>
        <w:t>priations and special accounts.</w:t>
      </w:r>
    </w:p>
    <w:p w14:paraId="3B1E1887" w14:textId="5B8FB722" w:rsidR="00CB2844" w:rsidRPr="001071C7" w:rsidRDefault="00CB2844" w:rsidP="009763C1">
      <w:pPr>
        <w:pStyle w:val="ChartandTableFootnoteAlpha"/>
        <w:rPr>
          <w:color w:val="000000"/>
        </w:rPr>
      </w:pPr>
      <w:r w:rsidRPr="001071C7">
        <w:rPr>
          <w:color w:val="000000"/>
        </w:rPr>
        <w:t xml:space="preserve">Amounts credited to the special account(s) from </w:t>
      </w:r>
      <w:r w:rsidR="00FF4CB6">
        <w:rPr>
          <w:color w:val="000000"/>
        </w:rPr>
        <w:t>the Department of Foreign Affairs and Trade’</w:t>
      </w:r>
      <w:r w:rsidRPr="001071C7">
        <w:rPr>
          <w:color w:val="000000"/>
        </w:rPr>
        <w:t>s ann</w:t>
      </w:r>
      <w:r>
        <w:rPr>
          <w:color w:val="000000"/>
        </w:rPr>
        <w:t>ual appropriations.</w:t>
      </w:r>
    </w:p>
    <w:p w14:paraId="0C9FB8A8" w14:textId="77777777" w:rsidR="00CB2844" w:rsidRPr="001071C7" w:rsidRDefault="00CB2844" w:rsidP="009763C1">
      <w:pPr>
        <w:pStyle w:val="ChartandTableFootnoteAlpha"/>
        <w:rPr>
          <w:color w:val="000000"/>
        </w:rPr>
      </w:pPr>
      <w:r w:rsidRPr="001071C7">
        <w:rPr>
          <w:color w:val="000000"/>
        </w:rPr>
        <w:t>Amounts credited to the special account(s) from another entity's ann</w:t>
      </w:r>
      <w:r>
        <w:rPr>
          <w:color w:val="000000"/>
        </w:rPr>
        <w:t>ual and special appropriations.</w:t>
      </w:r>
    </w:p>
    <w:p w14:paraId="667BAEB0" w14:textId="77777777" w:rsidR="00CB2844" w:rsidRPr="001071C7" w:rsidRDefault="00CB2844" w:rsidP="009763C1">
      <w:pPr>
        <w:pStyle w:val="ChartandTableFootnoteAlpha"/>
        <w:rPr>
          <w:color w:val="000000"/>
        </w:rPr>
      </w:pPr>
      <w:r w:rsidRPr="001071C7">
        <w:rPr>
          <w:color w:val="000000"/>
        </w:rPr>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31E995D7" w14:textId="608D55BA" w:rsidR="00CB2844" w:rsidRDefault="00CB2844" w:rsidP="009763C1">
      <w:pPr>
        <w:pStyle w:val="ChartandTableFootnoteAlpha"/>
        <w:rPr>
          <w:color w:val="000000"/>
        </w:rPr>
      </w:pPr>
      <w:r w:rsidRPr="001071C7">
        <w:rPr>
          <w:color w:val="000000"/>
        </w:rPr>
        <w:t>'Corporate entities' are corporate Commonwealth entities and Commonwealth companies</w:t>
      </w:r>
      <w:r>
        <w:rPr>
          <w:color w:val="000000"/>
        </w:rPr>
        <w:t xml:space="preserve"> as defined under the PGPA Act.</w:t>
      </w:r>
    </w:p>
    <w:p w14:paraId="291E9A90" w14:textId="4536B4B6" w:rsidR="00DC0A7A" w:rsidRPr="009A4F75" w:rsidRDefault="00DC0A7A" w:rsidP="009A4F75">
      <w:pPr>
        <w:pStyle w:val="ChartandTableFootnote"/>
      </w:pPr>
      <w:r w:rsidRPr="009A4F75">
        <w:t xml:space="preserve">Note: </w:t>
      </w:r>
      <w:r w:rsidR="009A4F75">
        <w:rPr>
          <w:lang w:val="en-AU"/>
        </w:rPr>
        <w:t xml:space="preserve">The </w:t>
      </w:r>
      <w:r w:rsidR="009A4F75" w:rsidRPr="009A4F75">
        <w:t xml:space="preserve">Annual </w:t>
      </w:r>
      <w:r w:rsidR="009A4F75">
        <w:rPr>
          <w:lang w:val="en-AU"/>
        </w:rPr>
        <w:t>A</w:t>
      </w:r>
      <w:proofErr w:type="spellStart"/>
      <w:r w:rsidR="009A4F75" w:rsidRPr="009A4F75">
        <w:t>ppropriation</w:t>
      </w:r>
      <w:proofErr w:type="spellEnd"/>
      <w:r w:rsidR="009A4F75" w:rsidRPr="009A4F75">
        <w:t xml:space="preserve"> amounts appearing for 20</w:t>
      </w:r>
      <w:r w:rsidR="009A4F75">
        <w:rPr>
          <w:lang w:val="en-AU"/>
        </w:rPr>
        <w:t>21</w:t>
      </w:r>
      <w:r w:rsidR="009A4F75" w:rsidRPr="009A4F75">
        <w:t>-</w:t>
      </w:r>
      <w:r w:rsidR="009A4F75">
        <w:rPr>
          <w:lang w:val="en-AU"/>
        </w:rPr>
        <w:t>22</w:t>
      </w:r>
      <w:r w:rsidR="009A4F75" w:rsidRPr="009A4F75">
        <w:t xml:space="preserve"> </w:t>
      </w:r>
      <w:r w:rsidR="009A4F75">
        <w:rPr>
          <w:lang w:val="en-AU"/>
        </w:rPr>
        <w:t xml:space="preserve">estimated actual </w:t>
      </w:r>
      <w:r w:rsidR="009A4F75" w:rsidRPr="009A4F75">
        <w:t>do not include the Appropriation Bills (No. 3) and</w:t>
      </w:r>
      <w:r w:rsidR="009A4F75">
        <w:rPr>
          <w:lang w:val="en-AU"/>
        </w:rPr>
        <w:t xml:space="preserve"> </w:t>
      </w:r>
      <w:r w:rsidR="009A4F75" w:rsidRPr="009A4F75">
        <w:t xml:space="preserve">(No. 4) </w:t>
      </w:r>
      <w:r w:rsidR="009A4F75">
        <w:rPr>
          <w:lang w:val="en-AU"/>
        </w:rPr>
        <w:t>2021-22</w:t>
      </w:r>
      <w:r w:rsidR="009A4F75" w:rsidRPr="009A4F75">
        <w:t xml:space="preserve"> as they had not been enacted at the time of publication.</w:t>
      </w:r>
      <w:r w:rsidR="009A4F75">
        <w:br/>
      </w:r>
      <w:r w:rsidRPr="009A4F75">
        <w:t>$20.0</w:t>
      </w:r>
      <w:r w:rsidR="0067503A" w:rsidRPr="009A4F75">
        <w:t>30</w:t>
      </w:r>
      <w:r w:rsidRPr="009A4F75">
        <w:t xml:space="preserve"> million will be received through Appropriation Bill </w:t>
      </w:r>
      <w:r w:rsidR="009A4F75">
        <w:rPr>
          <w:lang w:val="en-AU"/>
        </w:rPr>
        <w:t>(</w:t>
      </w:r>
      <w:r w:rsidRPr="009A4F75">
        <w:t>No.</w:t>
      </w:r>
      <w:r w:rsidR="009A4F75">
        <w:rPr>
          <w:lang w:val="en-AU"/>
        </w:rPr>
        <w:t xml:space="preserve"> </w:t>
      </w:r>
      <w:r w:rsidRPr="009A4F75">
        <w:t>3</w:t>
      </w:r>
      <w:r w:rsidR="009A4F75">
        <w:rPr>
          <w:lang w:val="en-AU"/>
        </w:rPr>
        <w:t>)</w:t>
      </w:r>
      <w:r w:rsidR="00DE0D89" w:rsidRPr="009A4F75">
        <w:t xml:space="preserve"> 2021-22</w:t>
      </w:r>
      <w:r w:rsidRPr="009A4F75">
        <w:t xml:space="preserve">. The annual appropriations received from these bills will be recognised in a future Portfolio Budget </w:t>
      </w:r>
      <w:r w:rsidR="00B27F24" w:rsidRPr="009A4F75">
        <w:t xml:space="preserve">Statement </w:t>
      </w:r>
      <w:r w:rsidRPr="009A4F75">
        <w:t>but only after the Bills have received Royal Assent.</w:t>
      </w:r>
    </w:p>
    <w:p w14:paraId="2F84097E" w14:textId="77777777" w:rsidR="0008449F" w:rsidRPr="005A7C0B" w:rsidRDefault="00E06F9F" w:rsidP="00AD42E2">
      <w:pPr>
        <w:pStyle w:val="Heading3"/>
        <w:spacing w:before="0"/>
      </w:pPr>
      <w:r>
        <w:br w:type="page"/>
      </w:r>
      <w:bookmarkStart w:id="61" w:name="_Toc444523511"/>
      <w:bookmarkStart w:id="62" w:name="_Toc95217849"/>
      <w:bookmarkStart w:id="63" w:name="_Toc95229676"/>
      <w:bookmarkStart w:id="64" w:name="_Toc95288983"/>
      <w:bookmarkStart w:id="65" w:name="_Toc95291870"/>
      <w:bookmarkStart w:id="66" w:name="_Toc95293744"/>
      <w:bookmarkStart w:id="67" w:name="_Toc95296394"/>
      <w:bookmarkStart w:id="68" w:name="_Toc97387899"/>
      <w:bookmarkStart w:id="69" w:name="_Toc97540637"/>
      <w:bookmarkStart w:id="70" w:name="_Toc99111639"/>
      <w:r w:rsidR="0008449F" w:rsidRPr="005A7C0B">
        <w:t>1.3</w:t>
      </w:r>
      <w:r w:rsidR="0008449F" w:rsidRPr="005A7C0B">
        <w:tab/>
        <w:t>Budget measures</w:t>
      </w:r>
      <w:bookmarkEnd w:id="59"/>
      <w:bookmarkEnd w:id="60"/>
      <w:bookmarkEnd w:id="61"/>
      <w:bookmarkEnd w:id="62"/>
      <w:bookmarkEnd w:id="63"/>
      <w:bookmarkEnd w:id="64"/>
      <w:bookmarkEnd w:id="65"/>
      <w:bookmarkEnd w:id="66"/>
      <w:bookmarkEnd w:id="67"/>
      <w:bookmarkEnd w:id="68"/>
      <w:bookmarkEnd w:id="69"/>
      <w:bookmarkEnd w:id="70"/>
    </w:p>
    <w:p w14:paraId="776D009C" w14:textId="68F2EA68" w:rsidR="00F20B6E" w:rsidRDefault="00DC32EC" w:rsidP="0008449F">
      <w:r w:rsidRPr="00DC32EC">
        <w:t xml:space="preserve">Budget measures </w:t>
      </w:r>
      <w:r w:rsidR="005C4BEE">
        <w:t xml:space="preserve">in Part 1 </w:t>
      </w:r>
      <w:r w:rsidRPr="00DC32EC">
        <w:t>relating to</w:t>
      </w:r>
      <w:r w:rsidR="001B03CC">
        <w:t xml:space="preserve"> </w:t>
      </w:r>
      <w:r w:rsidR="00460810">
        <w:t xml:space="preserve">DFAT </w:t>
      </w:r>
      <w:r w:rsidRPr="00DC32EC">
        <w:t>a</w:t>
      </w:r>
      <w:r w:rsidR="00CB4589">
        <w:t>re detailed in Budget Paper No. </w:t>
      </w:r>
      <w:r w:rsidRPr="00DC32EC">
        <w:t>2</w:t>
      </w:r>
      <w:r w:rsidR="00C2641F">
        <w:t xml:space="preserve"> and are summarised </w:t>
      </w:r>
      <w:r w:rsidR="002C7703">
        <w:t>below</w:t>
      </w:r>
      <w:r w:rsidR="003D4188">
        <w:t>.</w:t>
      </w:r>
    </w:p>
    <w:p w14:paraId="2BBD58B5" w14:textId="606B01D5" w:rsidR="00AF3811" w:rsidRDefault="00AF3811" w:rsidP="00E5444F">
      <w:pPr>
        <w:pStyle w:val="TableHeading"/>
      </w:pPr>
      <w:r w:rsidRPr="009A40DD">
        <w:t xml:space="preserve">Table 1.2: </w:t>
      </w:r>
      <w:r w:rsidR="00460810">
        <w:rPr>
          <w:lang w:val="en-AU"/>
        </w:rPr>
        <w:t xml:space="preserve">Department of Foreign Affairs and Trade </w:t>
      </w:r>
      <w:r w:rsidR="00400A8B">
        <w:rPr>
          <w:lang w:val="en-AU"/>
        </w:rPr>
        <w:t>2022</w:t>
      </w:r>
      <w:r w:rsidR="00FC6CF3">
        <w:rPr>
          <w:lang w:val="en-AU"/>
        </w:rPr>
        <w:t>-</w:t>
      </w:r>
      <w:r w:rsidR="00400A8B">
        <w:rPr>
          <w:lang w:val="en-AU"/>
        </w:rPr>
        <w:t xml:space="preserve">23 </w:t>
      </w:r>
      <w:r w:rsidRPr="009A40DD">
        <w:t>Budget measures</w:t>
      </w:r>
    </w:p>
    <w:p w14:paraId="3135A669" w14:textId="31AC22BF" w:rsidR="00704BB6" w:rsidRDefault="00E34D7D" w:rsidP="00704BB6">
      <w:pPr>
        <w:pStyle w:val="ChartandTableFootnote"/>
      </w:pPr>
      <w:r w:rsidRPr="00E34D7D">
        <w:rPr>
          <w:noProof/>
        </w:rPr>
        <w:drawing>
          <wp:inline distT="0" distB="0" distL="0" distR="0" wp14:anchorId="28F2CAC7" wp14:editId="637F79D2">
            <wp:extent cx="4895850" cy="5057775"/>
            <wp:effectExtent l="0" t="0" r="0"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95850" cy="5057775"/>
                    </a:xfrm>
                    <a:prstGeom prst="rect">
                      <a:avLst/>
                    </a:prstGeom>
                    <a:noFill/>
                    <a:ln>
                      <a:noFill/>
                    </a:ln>
                  </pic:spPr>
                </pic:pic>
              </a:graphicData>
            </a:graphic>
          </wp:inline>
        </w:drawing>
      </w:r>
    </w:p>
    <w:p w14:paraId="1EDA0736" w14:textId="77777777" w:rsidR="001465CF" w:rsidRDefault="001465CF" w:rsidP="001465CF">
      <w:pPr>
        <w:pStyle w:val="ChartandTableFootnote"/>
        <w:rPr>
          <w:lang w:val="en-AU"/>
        </w:rPr>
      </w:pPr>
      <w:r>
        <w:rPr>
          <w:lang w:val="en-AU"/>
        </w:rPr>
        <w:t xml:space="preserve">Table </w:t>
      </w:r>
      <w:proofErr w:type="gramStart"/>
      <w:r>
        <w:rPr>
          <w:lang w:val="en-AU"/>
        </w:rPr>
        <w:t>continued on</w:t>
      </w:r>
      <w:proofErr w:type="gramEnd"/>
      <w:r>
        <w:rPr>
          <w:lang w:val="en-AU"/>
        </w:rPr>
        <w:t xml:space="preserve"> the next page.</w:t>
      </w:r>
    </w:p>
    <w:p w14:paraId="56182B4F" w14:textId="7950328A" w:rsidR="001465CF" w:rsidRDefault="001465CF" w:rsidP="001465CF">
      <w:pPr>
        <w:rPr>
          <w:lang w:val="x-none" w:eastAsia="x-none"/>
        </w:rPr>
      </w:pPr>
    </w:p>
    <w:p w14:paraId="2E22D699" w14:textId="77777777" w:rsidR="001465CF" w:rsidRDefault="001465CF">
      <w:pPr>
        <w:spacing w:after="0" w:line="240" w:lineRule="auto"/>
        <w:jc w:val="left"/>
        <w:rPr>
          <w:rFonts w:ascii="Arial" w:hAnsi="Arial"/>
          <w:b/>
          <w:color w:val="000000"/>
          <w:lang w:val="x-none" w:eastAsia="x-none"/>
        </w:rPr>
      </w:pPr>
      <w:r>
        <w:br w:type="page"/>
      </w:r>
    </w:p>
    <w:p w14:paraId="4146D08B" w14:textId="45B09E30" w:rsidR="00A9282E" w:rsidRDefault="001465CF" w:rsidP="00A9282E">
      <w:pPr>
        <w:pStyle w:val="TableHeading"/>
      </w:pPr>
      <w:r w:rsidRPr="009A40DD">
        <w:t xml:space="preserve">Table 1.2: </w:t>
      </w:r>
      <w:r>
        <w:rPr>
          <w:lang w:val="en-AU"/>
        </w:rPr>
        <w:t xml:space="preserve">Department of Foreign Affairs and Trade 2022-23 </w:t>
      </w:r>
      <w:r w:rsidRPr="009A40DD">
        <w:t>Budget measures</w:t>
      </w:r>
      <w:r>
        <w:rPr>
          <w:lang w:val="en-AU"/>
        </w:rPr>
        <w:t xml:space="preserve"> continued</w:t>
      </w:r>
    </w:p>
    <w:p w14:paraId="3AFF974D" w14:textId="0AF2D19C" w:rsidR="001465CF" w:rsidRPr="001465CF" w:rsidRDefault="00E34D7D" w:rsidP="00704BB6">
      <w:pPr>
        <w:pStyle w:val="ChartandTableFootnote"/>
      </w:pPr>
      <w:r w:rsidRPr="00E34D7D">
        <w:rPr>
          <w:noProof/>
        </w:rPr>
        <w:drawing>
          <wp:inline distT="0" distB="0" distL="0" distR="0" wp14:anchorId="62CEDA80" wp14:editId="7EBF4C3B">
            <wp:extent cx="4895850" cy="30861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95850" cy="3086100"/>
                    </a:xfrm>
                    <a:prstGeom prst="rect">
                      <a:avLst/>
                    </a:prstGeom>
                    <a:noFill/>
                    <a:ln>
                      <a:noFill/>
                    </a:ln>
                  </pic:spPr>
                </pic:pic>
              </a:graphicData>
            </a:graphic>
          </wp:inline>
        </w:drawing>
      </w:r>
    </w:p>
    <w:p w14:paraId="723DCDA7" w14:textId="45DC99A8" w:rsidR="00704BB6" w:rsidRPr="00F2645B" w:rsidRDefault="00704BB6" w:rsidP="00704BB6">
      <w:pPr>
        <w:pStyle w:val="ChartandTableFootnote"/>
        <w:rPr>
          <w:lang w:val="en-AU"/>
        </w:rPr>
      </w:pPr>
      <w:r w:rsidRPr="00F2645B">
        <w:t>Prepared on a Government Finance Statistics (Underlying Cash) basis. Figures displayed as a negative (-) represent a decrease in funds and a positive (+) represent an increase in funds.</w:t>
      </w:r>
    </w:p>
    <w:p w14:paraId="3EBCB3BE" w14:textId="6D17BD6E" w:rsidR="009C5C7A" w:rsidRDefault="009C5C7A" w:rsidP="009C5C7A">
      <w:pPr>
        <w:pStyle w:val="ChartandTableFootnoteAlpha"/>
        <w:numPr>
          <w:ilvl w:val="0"/>
          <w:numId w:val="60"/>
        </w:numPr>
        <w:jc w:val="left"/>
      </w:pPr>
      <w:r w:rsidRPr="00F2645B">
        <w:t xml:space="preserve">The lead entity for </w:t>
      </w:r>
      <w:r w:rsidR="006B12E3">
        <w:t xml:space="preserve">the </w:t>
      </w:r>
      <w:r w:rsidRPr="00F2645B">
        <w:t xml:space="preserve">measure </w:t>
      </w:r>
      <w:r>
        <w:t xml:space="preserve">Assistance to Ukraine </w:t>
      </w:r>
      <w:r w:rsidRPr="00F2645B">
        <w:t xml:space="preserve">is </w:t>
      </w:r>
      <w:r>
        <w:t>the Department of Defence</w:t>
      </w:r>
      <w:r w:rsidRPr="00F2645B">
        <w:t xml:space="preserve">. The full measure description and package details appear in </w:t>
      </w:r>
      <w:r w:rsidRPr="009F1E9C">
        <w:rPr>
          <w:i/>
        </w:rPr>
        <w:t>Budget Paper No. 2</w:t>
      </w:r>
      <w:r w:rsidRPr="00F2645B">
        <w:t xml:space="preserve"> under the </w:t>
      </w:r>
      <w:r>
        <w:t>Defence</w:t>
      </w:r>
      <w:r w:rsidRPr="00F2645B">
        <w:t xml:space="preserve"> portfolio.</w:t>
      </w:r>
    </w:p>
    <w:p w14:paraId="360347C4" w14:textId="536A88C5" w:rsidR="00AB4E6A" w:rsidRDefault="00AB4E6A" w:rsidP="00AB4E6A">
      <w:pPr>
        <w:pStyle w:val="ChartandTableFootnoteAlpha"/>
        <w:numPr>
          <w:ilvl w:val="0"/>
          <w:numId w:val="60"/>
        </w:numPr>
        <w:jc w:val="left"/>
      </w:pPr>
      <w:bookmarkStart w:id="71" w:name="_Hlk99194874"/>
      <w:r w:rsidRPr="00F2645B">
        <w:t xml:space="preserve">The lead entity for </w:t>
      </w:r>
      <w:r>
        <w:t xml:space="preserve">the </w:t>
      </w:r>
      <w:r w:rsidRPr="00F2645B">
        <w:t xml:space="preserve">measure </w:t>
      </w:r>
      <w:r w:rsidRPr="00AB4E6A">
        <w:t>Australia UK Free Trade Agreement – increasing market access opportunities and strengthening ties between our two countries</w:t>
      </w:r>
      <w:r w:rsidRPr="00F2645B">
        <w:t xml:space="preserve"> is </w:t>
      </w:r>
      <w:r>
        <w:t xml:space="preserve">the </w:t>
      </w:r>
      <w:r w:rsidR="0025102D">
        <w:t xml:space="preserve">Department of the </w:t>
      </w:r>
      <w:r>
        <w:t>Treasury</w:t>
      </w:r>
      <w:r w:rsidRPr="00F2645B">
        <w:t xml:space="preserve">. The full measure description and package details appear in </w:t>
      </w:r>
      <w:r w:rsidRPr="00AB4E6A">
        <w:rPr>
          <w:i/>
        </w:rPr>
        <w:t>Budget Paper No. 2</w:t>
      </w:r>
      <w:r w:rsidRPr="00F2645B">
        <w:t xml:space="preserve"> under the </w:t>
      </w:r>
      <w:r>
        <w:t>Treasury</w:t>
      </w:r>
      <w:r w:rsidRPr="00F2645B">
        <w:t xml:space="preserve"> portfolio.</w:t>
      </w:r>
      <w:bookmarkEnd w:id="71"/>
    </w:p>
    <w:p w14:paraId="44FC4D45" w14:textId="77777777" w:rsidR="006B12E3" w:rsidRPr="00F2645B" w:rsidRDefault="006B12E3" w:rsidP="006B12E3">
      <w:pPr>
        <w:pStyle w:val="ChartandTableFootnoteAlpha"/>
        <w:numPr>
          <w:ilvl w:val="0"/>
          <w:numId w:val="60"/>
        </w:numPr>
      </w:pPr>
      <w:r w:rsidRPr="00F2645B">
        <w:t>Decision taken but not yet announced in the 2021-22 MYEFO, with the following impact:</w:t>
      </w:r>
      <w:r w:rsidRPr="00F2645B">
        <w:br/>
        <w:t>2021-22 $</w:t>
      </w:r>
      <w:r>
        <w:t>3.935</w:t>
      </w:r>
      <w:r w:rsidRPr="00F2645B">
        <w:t xml:space="preserve"> million; 2022-23 $</w:t>
      </w:r>
      <w:r>
        <w:t>21.591</w:t>
      </w:r>
      <w:r w:rsidRPr="00F2645B">
        <w:t xml:space="preserve"> million, 2023-24 $</w:t>
      </w:r>
      <w:r>
        <w:t>26.012 million</w:t>
      </w:r>
      <w:r w:rsidRPr="00F2645B">
        <w:t>, 2024-25 $</w:t>
      </w:r>
      <w:r>
        <w:t>35.591</w:t>
      </w:r>
      <w:r w:rsidRPr="00F2645B">
        <w:t xml:space="preserve"> </w:t>
      </w:r>
      <w:r>
        <w:t xml:space="preserve">million </w:t>
      </w:r>
      <w:r w:rsidRPr="00F2645B">
        <w:t xml:space="preserve">and </w:t>
      </w:r>
      <w:r>
        <w:br/>
      </w:r>
      <w:r w:rsidRPr="00F2645B">
        <w:t>2025-26 $</w:t>
      </w:r>
      <w:r>
        <w:t>28.607 million.</w:t>
      </w:r>
      <w:r w:rsidRPr="00F2645B">
        <w:t xml:space="preserve"> Including $</w:t>
      </w:r>
      <w:r>
        <w:t>17.752</w:t>
      </w:r>
      <w:r w:rsidRPr="00F2645B">
        <w:t xml:space="preserve"> million in capital funding.</w:t>
      </w:r>
    </w:p>
    <w:p w14:paraId="2A65CE91" w14:textId="30D9346A" w:rsidR="006B12E3" w:rsidRDefault="006B12E3" w:rsidP="006B12E3">
      <w:pPr>
        <w:pStyle w:val="ChartandTableFootnoteAlpha"/>
        <w:numPr>
          <w:ilvl w:val="0"/>
          <w:numId w:val="60"/>
        </w:numPr>
      </w:pPr>
      <w:r w:rsidRPr="00F2645B">
        <w:t xml:space="preserve">The lead entity for </w:t>
      </w:r>
      <w:r>
        <w:t xml:space="preserve">the </w:t>
      </w:r>
      <w:r w:rsidRPr="00F2645B">
        <w:t xml:space="preserve">measure </w:t>
      </w:r>
      <w:r>
        <w:t>COVID-19 Response Package – vaccines and treatments</w:t>
      </w:r>
      <w:r w:rsidRPr="00F2645B">
        <w:t xml:space="preserve"> </w:t>
      </w:r>
      <w:proofErr w:type="gramStart"/>
      <w:r w:rsidRPr="00F2645B">
        <w:t>is</w:t>
      </w:r>
      <w:proofErr w:type="gramEnd"/>
      <w:r w:rsidRPr="00F2645B">
        <w:t xml:space="preserve"> </w:t>
      </w:r>
      <w:r>
        <w:t>the Department of Health</w:t>
      </w:r>
      <w:r w:rsidRPr="00F2645B">
        <w:t xml:space="preserve">. The full measure description and package details appear in </w:t>
      </w:r>
      <w:r w:rsidRPr="00F2645B">
        <w:rPr>
          <w:i/>
        </w:rPr>
        <w:t>Budget Paper No. 2</w:t>
      </w:r>
      <w:r w:rsidRPr="00F2645B">
        <w:t xml:space="preserve"> under the </w:t>
      </w:r>
      <w:r>
        <w:t>Health</w:t>
      </w:r>
      <w:r w:rsidRPr="00F2645B">
        <w:t xml:space="preserve"> portfolio</w:t>
      </w:r>
      <w:r w:rsidR="002D208E">
        <w:t>.</w:t>
      </w:r>
    </w:p>
    <w:p w14:paraId="2AC9C647" w14:textId="1124D856" w:rsidR="0058194D" w:rsidRPr="00F2645B" w:rsidRDefault="0058194D" w:rsidP="0058194D">
      <w:pPr>
        <w:pStyle w:val="ChartandTableFootnoteAlpha"/>
        <w:numPr>
          <w:ilvl w:val="0"/>
          <w:numId w:val="60"/>
        </w:numPr>
      </w:pPr>
      <w:r w:rsidRPr="00F2645B">
        <w:t xml:space="preserve">Decision taken but not yet announced in the 2021-22 MYEFO, with the following impact: </w:t>
      </w:r>
      <w:r>
        <w:br/>
      </w:r>
      <w:r w:rsidRPr="00F2645B">
        <w:t>2022-23 $</w:t>
      </w:r>
      <w:r>
        <w:t>5.295</w:t>
      </w:r>
      <w:r w:rsidRPr="00F2645B">
        <w:t xml:space="preserve"> million,</w:t>
      </w:r>
      <w:r>
        <w:t xml:space="preserve"> </w:t>
      </w:r>
      <w:r w:rsidRPr="00F2645B">
        <w:t>2023-24 $</w:t>
      </w:r>
      <w:r>
        <w:t>15.516 million</w:t>
      </w:r>
      <w:r w:rsidRPr="00F2645B">
        <w:t>, 2024-25 $</w:t>
      </w:r>
      <w:r>
        <w:t>32.264</w:t>
      </w:r>
      <w:r w:rsidRPr="00F2645B">
        <w:t xml:space="preserve"> </w:t>
      </w:r>
      <w:r>
        <w:t xml:space="preserve">million </w:t>
      </w:r>
      <w:r w:rsidRPr="00F2645B">
        <w:t>and 2025-26 $</w:t>
      </w:r>
      <w:r>
        <w:t>11.823 million.</w:t>
      </w:r>
      <w:r w:rsidRPr="00F2645B">
        <w:t xml:space="preserve"> Includ</w:t>
      </w:r>
      <w:r w:rsidR="00E077C6">
        <w:t>es</w:t>
      </w:r>
      <w:r w:rsidRPr="00F2645B">
        <w:t xml:space="preserve"> </w:t>
      </w:r>
      <w:r w:rsidR="00E077C6">
        <w:t xml:space="preserve">$45.520 absorbed from the Overseas Property Special Account and </w:t>
      </w:r>
      <w:r w:rsidRPr="00F2645B">
        <w:t>$</w:t>
      </w:r>
      <w:r>
        <w:t>20.216</w:t>
      </w:r>
      <w:r w:rsidRPr="00F2645B">
        <w:t xml:space="preserve"> million in capital funding.</w:t>
      </w:r>
    </w:p>
    <w:p w14:paraId="6D67CC18" w14:textId="6496D00C" w:rsidR="0058194D" w:rsidRDefault="0058194D" w:rsidP="009F1E9C">
      <w:pPr>
        <w:pStyle w:val="ChartandTableFootnoteAlpha"/>
        <w:numPr>
          <w:ilvl w:val="0"/>
          <w:numId w:val="60"/>
        </w:numPr>
        <w:jc w:val="left"/>
      </w:pPr>
      <w:r w:rsidRPr="00F2645B">
        <w:t xml:space="preserve">The lead entity for </w:t>
      </w:r>
      <w:r>
        <w:t xml:space="preserve">the </w:t>
      </w:r>
      <w:r w:rsidRPr="00F2645B">
        <w:t xml:space="preserve">measure </w:t>
      </w:r>
      <w:r>
        <w:t xml:space="preserve">Humanitarian Program 2022-23 and Update on Afghan Arrivals </w:t>
      </w:r>
      <w:r w:rsidRPr="00F2645B">
        <w:t xml:space="preserve">is </w:t>
      </w:r>
      <w:r>
        <w:t>the Department of Home Affairs</w:t>
      </w:r>
      <w:r w:rsidRPr="00F2645B">
        <w:t xml:space="preserve">. The full measure description and package details appear in </w:t>
      </w:r>
      <w:r>
        <w:br/>
      </w:r>
      <w:r w:rsidRPr="0058194D">
        <w:rPr>
          <w:i/>
          <w:iCs/>
        </w:rPr>
        <w:t>Budget Paper No. 2</w:t>
      </w:r>
      <w:r w:rsidRPr="00F2645B">
        <w:t xml:space="preserve"> under the </w:t>
      </w:r>
      <w:r>
        <w:t>Home Affairs</w:t>
      </w:r>
      <w:r w:rsidRPr="00F2645B">
        <w:t xml:space="preserve"> portfolio</w:t>
      </w:r>
      <w:r>
        <w:t>.</w:t>
      </w:r>
    </w:p>
    <w:p w14:paraId="7DC6394D" w14:textId="2C45CEE5" w:rsidR="0058194D" w:rsidRPr="0058194D" w:rsidRDefault="0058194D" w:rsidP="0058194D">
      <w:pPr>
        <w:pStyle w:val="ChartandTableFootnoteAlpha"/>
        <w:numPr>
          <w:ilvl w:val="0"/>
          <w:numId w:val="60"/>
        </w:numPr>
        <w:jc w:val="left"/>
        <w:rPr>
          <w:rFonts w:ascii="Arial Bold" w:hAnsi="Arial Bold"/>
          <w:b/>
        </w:rPr>
      </w:pPr>
      <w:r w:rsidRPr="00F2645B">
        <w:t>Decision taken but not yet announced in the 2021-22 MYEFO</w:t>
      </w:r>
      <w:r>
        <w:t xml:space="preserve">. </w:t>
      </w:r>
      <w:r w:rsidRPr="00F2645B">
        <w:t xml:space="preserve"> The lead entity for </w:t>
      </w:r>
      <w:r>
        <w:t xml:space="preserve">the </w:t>
      </w:r>
      <w:r w:rsidRPr="00F2645B">
        <w:t xml:space="preserve">measure titled </w:t>
      </w:r>
      <w:r>
        <w:t>Strengthening Australia’s Leadership</w:t>
      </w:r>
      <w:r w:rsidR="00E55A87">
        <w:t xml:space="preserve"> in Antarctica</w:t>
      </w:r>
      <w:r w:rsidRPr="00F2645B">
        <w:t xml:space="preserve"> is </w:t>
      </w:r>
      <w:r>
        <w:t>the Department of Agriculture, Water and the Environment</w:t>
      </w:r>
      <w:r w:rsidRPr="00F2645B">
        <w:t xml:space="preserve">. The full measure description and package details appear in </w:t>
      </w:r>
      <w:r w:rsidRPr="0058194D">
        <w:rPr>
          <w:i/>
        </w:rPr>
        <w:t>Budget Paper No. 2</w:t>
      </w:r>
      <w:r w:rsidRPr="00F2645B">
        <w:t xml:space="preserve"> under the </w:t>
      </w:r>
      <w:r>
        <w:t>Agriculture, Water and the Environment</w:t>
      </w:r>
      <w:r w:rsidRPr="00F2645B">
        <w:t xml:space="preserve"> portfolio.</w:t>
      </w:r>
    </w:p>
    <w:p w14:paraId="40378174" w14:textId="00A650C3" w:rsidR="0058194D" w:rsidRDefault="0058194D" w:rsidP="009F1E9C">
      <w:pPr>
        <w:pStyle w:val="ChartandTableFootnoteAlpha"/>
        <w:numPr>
          <w:ilvl w:val="0"/>
          <w:numId w:val="60"/>
        </w:numPr>
        <w:jc w:val="left"/>
      </w:pPr>
      <w:r w:rsidRPr="00F2645B">
        <w:t>Decision taken but not yet announced in the 2021-22 MYEFO</w:t>
      </w:r>
      <w:r>
        <w:t xml:space="preserve">. </w:t>
      </w:r>
      <w:r w:rsidRPr="00F2645B">
        <w:t xml:space="preserve"> The lead entity for </w:t>
      </w:r>
      <w:r>
        <w:t xml:space="preserve">the </w:t>
      </w:r>
      <w:r w:rsidRPr="00F2645B">
        <w:t xml:space="preserve">measure titled </w:t>
      </w:r>
      <w:r>
        <w:t xml:space="preserve">Strengthening the Great Barrier Reef through Stewardship and Leadership </w:t>
      </w:r>
      <w:r w:rsidRPr="00F2645B">
        <w:t xml:space="preserve">is </w:t>
      </w:r>
      <w:r>
        <w:t>the Department of Agriculture, Water and the Environment</w:t>
      </w:r>
      <w:r w:rsidRPr="00F2645B">
        <w:t xml:space="preserve">. The full measure description and package details appear in </w:t>
      </w:r>
      <w:r w:rsidRPr="0058194D">
        <w:rPr>
          <w:i/>
        </w:rPr>
        <w:t>Budget Paper No. 2</w:t>
      </w:r>
      <w:r w:rsidRPr="00F2645B">
        <w:t xml:space="preserve"> under the </w:t>
      </w:r>
      <w:r>
        <w:t>Agriculture, Water and the Environment</w:t>
      </w:r>
      <w:r w:rsidRPr="00F2645B">
        <w:t xml:space="preserve"> portfolio.</w:t>
      </w:r>
    </w:p>
    <w:p w14:paraId="44343B52" w14:textId="7D52FF6E" w:rsidR="009F1E9C" w:rsidRDefault="009F1E9C" w:rsidP="009F1E9C">
      <w:pPr>
        <w:pStyle w:val="ChartandTableFootnoteAlpha"/>
        <w:numPr>
          <w:ilvl w:val="0"/>
          <w:numId w:val="60"/>
        </w:numPr>
        <w:jc w:val="left"/>
      </w:pPr>
      <w:r w:rsidRPr="00F2645B">
        <w:t xml:space="preserve">The </w:t>
      </w:r>
      <w:r w:rsidR="0058194D">
        <w:t>full measure</w:t>
      </w:r>
      <w:r w:rsidRPr="00F2645B">
        <w:t xml:space="preserve"> description and package details appear in </w:t>
      </w:r>
      <w:r w:rsidRPr="009F1E9C">
        <w:rPr>
          <w:i/>
        </w:rPr>
        <w:t>Budget Paper No. 2</w:t>
      </w:r>
      <w:r w:rsidRPr="00F2645B">
        <w:t xml:space="preserve"> under the </w:t>
      </w:r>
      <w:r>
        <w:t xml:space="preserve">Foreign Affairs and Trade </w:t>
      </w:r>
      <w:r w:rsidRPr="00F2645B">
        <w:t>portfolio.</w:t>
      </w:r>
    </w:p>
    <w:p w14:paraId="51A31B43" w14:textId="1B50FF30" w:rsidR="002314DB" w:rsidRPr="00F2645B" w:rsidRDefault="002314DB" w:rsidP="002314DB">
      <w:pPr>
        <w:pStyle w:val="ChartandTableFootnoteAlpha"/>
        <w:jc w:val="left"/>
        <w:rPr>
          <w:rFonts w:ascii="Arial Bold" w:hAnsi="Arial Bold"/>
          <w:b/>
        </w:rPr>
      </w:pPr>
      <w:r w:rsidRPr="00F2645B">
        <w:t xml:space="preserve">The </w:t>
      </w:r>
      <w:r w:rsidR="0025102D">
        <w:t xml:space="preserve">lead entity for the measure Women’s Leadership Package is the Department of the Treasury. The full measure description and package details </w:t>
      </w:r>
      <w:r w:rsidRPr="00F2645B">
        <w:t xml:space="preserve">appear in </w:t>
      </w:r>
      <w:r w:rsidRPr="00F2645B">
        <w:rPr>
          <w:i/>
        </w:rPr>
        <w:t>Budget Paper No. 2</w:t>
      </w:r>
      <w:r w:rsidRPr="00F2645B">
        <w:t xml:space="preserve"> under the </w:t>
      </w:r>
      <w:r w:rsidR="0025102D">
        <w:t>Treasury</w:t>
      </w:r>
      <w:r w:rsidR="009F1E9C">
        <w:t xml:space="preserve"> </w:t>
      </w:r>
      <w:r w:rsidRPr="00F2645B">
        <w:t>portfolio.</w:t>
      </w:r>
    </w:p>
    <w:p w14:paraId="4C1F59FE" w14:textId="77777777" w:rsidR="00BE7D58" w:rsidRPr="00810C6A" w:rsidRDefault="0049212C" w:rsidP="00810C6A">
      <w:pPr>
        <w:pStyle w:val="Heading2"/>
      </w:pPr>
      <w:bookmarkStart w:id="72" w:name="_Toc190682312"/>
      <w:bookmarkStart w:id="73" w:name="_Toc190682530"/>
      <w:r>
        <w:br w:type="page"/>
      </w:r>
      <w:bookmarkStart w:id="74" w:name="_Toc444523512"/>
      <w:bookmarkStart w:id="75" w:name="_Toc95217850"/>
      <w:bookmarkStart w:id="76" w:name="_Toc95229677"/>
      <w:bookmarkStart w:id="77" w:name="_Toc95288984"/>
      <w:bookmarkStart w:id="78" w:name="_Toc95291871"/>
      <w:bookmarkStart w:id="79" w:name="_Toc95293745"/>
      <w:bookmarkStart w:id="80" w:name="_Toc95296395"/>
      <w:bookmarkStart w:id="81" w:name="_Toc97387900"/>
      <w:bookmarkStart w:id="82" w:name="_Toc97540638"/>
      <w:bookmarkStart w:id="83" w:name="_Toc99111640"/>
      <w:r w:rsidR="00BE7D58" w:rsidRPr="00810C6A">
        <w:t xml:space="preserve">Section 2: Outcomes and </w:t>
      </w:r>
      <w:r w:rsidR="00CD3382" w:rsidRPr="00810C6A">
        <w:t>p</w:t>
      </w:r>
      <w:r w:rsidR="0069466B" w:rsidRPr="00810C6A">
        <w:t>lanned</w:t>
      </w:r>
      <w:r w:rsidR="00BE7D58" w:rsidRPr="00810C6A">
        <w:t xml:space="preserve"> performance</w:t>
      </w:r>
      <w:bookmarkEnd w:id="74"/>
      <w:bookmarkEnd w:id="75"/>
      <w:bookmarkEnd w:id="76"/>
      <w:bookmarkEnd w:id="77"/>
      <w:bookmarkEnd w:id="78"/>
      <w:bookmarkEnd w:id="79"/>
      <w:bookmarkEnd w:id="80"/>
      <w:bookmarkEnd w:id="81"/>
      <w:bookmarkEnd w:id="82"/>
      <w:bookmarkEnd w:id="83"/>
    </w:p>
    <w:p w14:paraId="69CC4627"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CAC410D" w14:textId="40835ADA" w:rsidR="00A61BD0" w:rsidRPr="00460810" w:rsidRDefault="00BE7D58" w:rsidP="00BE7D58">
      <w:pPr>
        <w:rPr>
          <w:i/>
        </w:rPr>
      </w:pPr>
      <w:r w:rsidRPr="00460810">
        <w:t xml:space="preserve">Each outcome is described below together with its related </w:t>
      </w:r>
      <w:r w:rsidR="00290933" w:rsidRPr="00460810">
        <w:t>programs</w:t>
      </w:r>
      <w:r w:rsidRPr="00460810">
        <w:t>.</w:t>
      </w:r>
      <w:r w:rsidR="001D1903" w:rsidRPr="00460810">
        <w:t xml:space="preserve"> </w:t>
      </w:r>
      <w:r w:rsidR="00A61BD0" w:rsidRPr="00460810">
        <w:t>The following provides detailed information on expenses for each outcome</w:t>
      </w:r>
      <w:r w:rsidR="001D1903" w:rsidRPr="00460810">
        <w:t xml:space="preserve"> and </w:t>
      </w:r>
      <w:r w:rsidR="00290933" w:rsidRPr="00460810">
        <w:t>program,</w:t>
      </w:r>
      <w:r w:rsidR="001D1903" w:rsidRPr="00460810">
        <w:t xml:space="preserve"> further broken down by funding source</w:t>
      </w:r>
      <w:r w:rsidR="00A61BD0" w:rsidRPr="00460810">
        <w:t>.</w:t>
      </w:r>
      <w:r w:rsidR="0051207B" w:rsidRPr="00460810">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5748655D" w14:textId="77777777" w:rsidR="00CE4D05" w:rsidRPr="006906E4" w:rsidRDefault="00CE4D05" w:rsidP="009763C1">
            <w:pPr>
              <w:spacing w:before="120" w:after="120" w:line="240" w:lineRule="auto"/>
              <w:rPr>
                <w:b/>
              </w:rPr>
            </w:pPr>
            <w:r w:rsidRPr="006906E4">
              <w:rPr>
                <w:b/>
              </w:rPr>
              <w:t>Note:</w:t>
            </w:r>
          </w:p>
          <w:p w14:paraId="0F65923B" w14:textId="1602CDFE"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 xml:space="preserve">described in Portfolio Budget Statements will be read with broader information provided in an entity’s corporate plans and annual performance statements </w:t>
            </w:r>
            <w:r w:rsidR="00310FAE">
              <w:t>–</w:t>
            </w:r>
            <w:r>
              <w:t xml:space="preserve"> included in Annual Reports </w:t>
            </w:r>
            <w:r w:rsidR="00310FAE">
              <w:t>–</w:t>
            </w:r>
            <w:r>
              <w:t xml:space="preserve"> to provide a complete picture of an entity’s planned and actual performance.</w:t>
            </w:r>
          </w:p>
          <w:p w14:paraId="4C31BEF5" w14:textId="77777777" w:rsidR="0026133E" w:rsidRDefault="00CE4D05" w:rsidP="0026133E">
            <w:pPr>
              <w:spacing w:after="0"/>
            </w:pPr>
            <w:r>
              <w:t xml:space="preserve">The most recent corporate plan for </w:t>
            </w:r>
            <w:r w:rsidR="00460810">
              <w:t xml:space="preserve">DFAT </w:t>
            </w:r>
            <w:r>
              <w:t>can be found at:</w:t>
            </w:r>
            <w:r w:rsidR="00460810">
              <w:t xml:space="preserve"> </w:t>
            </w:r>
          </w:p>
          <w:p w14:paraId="0BBC509A" w14:textId="0CF10138" w:rsidR="00CE4D05" w:rsidRDefault="000F6D08" w:rsidP="009763C1">
            <w:hyperlink r:id="rId53" w:history="1">
              <w:r w:rsidR="0026133E" w:rsidRPr="005E6202">
                <w:rPr>
                  <w:rStyle w:val="Hyperlink"/>
                </w:rPr>
                <w:t>https://www.dfat.gov.au/about-us/publications/corporate/dfat-corporate-plan</w:t>
              </w:r>
            </w:hyperlink>
            <w:r w:rsidR="00460810">
              <w:t xml:space="preserve">. </w:t>
            </w:r>
            <w:r w:rsidR="00CE4D05">
              <w:t xml:space="preserve"> </w:t>
            </w:r>
          </w:p>
          <w:p w14:paraId="56A6CF53" w14:textId="77777777" w:rsidR="0026133E" w:rsidRDefault="00CE4D05" w:rsidP="0026133E">
            <w:pPr>
              <w:spacing w:after="0"/>
            </w:pPr>
            <w:r>
              <w:t xml:space="preserve">The most recent annual performance statement can be found at: </w:t>
            </w:r>
          </w:p>
          <w:p w14:paraId="526CCC8E" w14:textId="20247CAE" w:rsidR="00CE4D05" w:rsidRDefault="000F6D08" w:rsidP="00845E77">
            <w:hyperlink r:id="rId54" w:history="1">
              <w:r w:rsidR="0026133E" w:rsidRPr="005E6202">
                <w:rPr>
                  <w:rStyle w:val="Hyperlink"/>
                </w:rPr>
                <w:t>https://www.dfat.gov.au/sites/default/files/dfat-annual-report-2020-21.pdf</w:t>
              </w:r>
            </w:hyperlink>
            <w:r w:rsidR="00460810">
              <w:t xml:space="preserve"> and </w:t>
            </w:r>
            <w:hyperlink r:id="rId55" w:history="1">
              <w:r w:rsidR="00460810" w:rsidRPr="005E6202">
                <w:rPr>
                  <w:rStyle w:val="Hyperlink"/>
                </w:rPr>
                <w:t>https://www.transparency.gov.au/annual-reports/department-foreign-affairs-and-trade/reporting-year/2020-21</w:t>
              </w:r>
            </w:hyperlink>
            <w:r w:rsidR="00460810">
              <w:t xml:space="preserve">. </w:t>
            </w:r>
          </w:p>
        </w:tc>
      </w:tr>
    </w:tbl>
    <w:p w14:paraId="48067286" w14:textId="77777777" w:rsidR="00810C6A" w:rsidRDefault="00810C6A" w:rsidP="00BE7D58">
      <w:pPr>
        <w:rPr>
          <w:highlight w:val="yellow"/>
        </w:rPr>
      </w:pPr>
    </w:p>
    <w:p w14:paraId="6AA13B28" w14:textId="77777777" w:rsidR="00950281" w:rsidRDefault="00950281" w:rsidP="003876AB">
      <w:pPr>
        <w:pStyle w:val="Heading3"/>
        <w:sectPr w:rsidR="00950281" w:rsidSect="00503FD8">
          <w:headerReference w:type="even" r:id="rId56"/>
          <w:headerReference w:type="default" r:id="rId57"/>
          <w:headerReference w:type="first" r:id="rId58"/>
          <w:footerReference w:type="first" r:id="rId59"/>
          <w:type w:val="oddPage"/>
          <w:pgSz w:w="11906" w:h="16838" w:code="9"/>
          <w:pgMar w:top="2835" w:right="2098" w:bottom="2466" w:left="2098" w:header="1814" w:footer="1814" w:gutter="0"/>
          <w:cols w:space="708"/>
          <w:titlePg/>
          <w:docGrid w:linePitch="360"/>
        </w:sectPr>
      </w:pPr>
    </w:p>
    <w:p w14:paraId="0E766647" w14:textId="26CA0D23" w:rsidR="005E54A3" w:rsidRPr="00831489" w:rsidRDefault="008462FB" w:rsidP="0026133E">
      <w:pPr>
        <w:pStyle w:val="Heading3"/>
      </w:pPr>
      <w:bookmarkStart w:id="85" w:name="_Toc444523513"/>
      <w:bookmarkStart w:id="86" w:name="_Toc95217851"/>
      <w:bookmarkStart w:id="87" w:name="_Toc95229678"/>
      <w:bookmarkStart w:id="88" w:name="_Toc95288985"/>
      <w:bookmarkStart w:id="89" w:name="_Toc95291872"/>
      <w:bookmarkStart w:id="90" w:name="_Toc95293746"/>
      <w:bookmarkStart w:id="91" w:name="_Toc95296396"/>
      <w:bookmarkStart w:id="92" w:name="_Toc97387901"/>
      <w:bookmarkStart w:id="93" w:name="_Toc97540639"/>
      <w:bookmarkStart w:id="94" w:name="_Toc99111641"/>
      <w:r>
        <w:t>2.1</w:t>
      </w:r>
      <w:r w:rsidR="003876AB" w:rsidRPr="00F743D8">
        <w:t xml:space="preserve"> </w:t>
      </w:r>
      <w:r w:rsidR="003876AB" w:rsidRPr="00F743D8">
        <w:tab/>
        <w:t xml:space="preserve">Budgeted expenses and performance for Outcome </w:t>
      </w:r>
      <w:bookmarkEnd w:id="85"/>
      <w:r w:rsidR="007B0A3E">
        <w:t>1</w:t>
      </w:r>
      <w:bookmarkEnd w:id="86"/>
      <w:bookmarkEnd w:id="87"/>
      <w:bookmarkEnd w:id="88"/>
      <w:bookmarkEnd w:id="89"/>
      <w:bookmarkEnd w:id="90"/>
      <w:bookmarkEnd w:id="91"/>
      <w:bookmarkEnd w:id="92"/>
      <w:bookmarkEnd w:id="93"/>
      <w:bookmarkEnd w:id="9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9763C1">
        <w:tc>
          <w:tcPr>
            <w:tcW w:w="7713" w:type="dxa"/>
            <w:shd w:val="clear" w:color="auto" w:fill="E6E6E6"/>
          </w:tcPr>
          <w:p w14:paraId="6F3E6A83" w14:textId="26CB855E" w:rsidR="00BE7D58" w:rsidRPr="005E6F2B" w:rsidRDefault="00BE7D58" w:rsidP="003876AB">
            <w:pPr>
              <w:pStyle w:val="TableColumnHeadingLeft"/>
            </w:pPr>
            <w:r w:rsidRPr="005E6F2B">
              <w:t xml:space="preserve">Outcome </w:t>
            </w:r>
            <w:r w:rsidR="0026133E">
              <w:t>1</w:t>
            </w:r>
            <w:r w:rsidRPr="005E6F2B">
              <w:t xml:space="preserve">: </w:t>
            </w:r>
            <w:r w:rsidR="0026133E" w:rsidRPr="004F75DB">
              <w:t>The advancement of Australia's international strategic, security and economic interests including through bilateral, regional and multilateral engagement on Australian Government foreign, trade and international development policy priorities</w:t>
            </w:r>
          </w:p>
        </w:tc>
      </w:tr>
    </w:tbl>
    <w:p w14:paraId="4D51F565" w14:textId="77777777" w:rsidR="00451501" w:rsidRPr="005E6F2B" w:rsidRDefault="00451501" w:rsidP="00451501">
      <w:pPr>
        <w:pStyle w:val="NoSpacing"/>
      </w:pPr>
    </w:p>
    <w:p w14:paraId="5C400C24" w14:textId="0BFFBA50" w:rsidR="00F743D8" w:rsidRPr="005E6F2B" w:rsidRDefault="00F743D8" w:rsidP="00810C6A">
      <w:pPr>
        <w:pStyle w:val="Heading4"/>
      </w:pPr>
      <w:r w:rsidRPr="005E6F2B">
        <w:t>Linked programs</w:t>
      </w:r>
      <w:r w:rsidR="005E54A3" w:rsidRPr="005E6F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A6D3A" w:rsidRPr="007A6D3A" w14:paraId="525AAD55" w14:textId="77777777" w:rsidTr="0026133E">
        <w:trPr>
          <w:trHeight w:val="113"/>
          <w:tblHeader/>
        </w:trPr>
        <w:tc>
          <w:tcPr>
            <w:tcW w:w="7700" w:type="dxa"/>
            <w:tcBorders>
              <w:bottom w:val="dotted" w:sz="4" w:space="0" w:color="auto"/>
            </w:tcBorders>
          </w:tcPr>
          <w:p w14:paraId="201EA2DD" w14:textId="20ABDA31" w:rsidR="00B86CCD" w:rsidRPr="007A6D3A" w:rsidRDefault="0026133E" w:rsidP="00810C6A">
            <w:pPr>
              <w:pStyle w:val="ExampleText0"/>
              <w:spacing w:before="60" w:after="60" w:line="240" w:lineRule="auto"/>
              <w:rPr>
                <w:color w:val="000000" w:themeColor="text1"/>
              </w:rPr>
            </w:pPr>
            <w:bookmarkStart w:id="95" w:name="_Hlk95220561"/>
            <w:r w:rsidRPr="007A6D3A">
              <w:rPr>
                <w:rStyle w:val="ExampletextCharChar"/>
                <w:b/>
                <w:color w:val="000000" w:themeColor="text1"/>
              </w:rPr>
              <w:t xml:space="preserve">Attorney-General’s Department </w:t>
            </w:r>
          </w:p>
        </w:tc>
      </w:tr>
      <w:tr w:rsidR="007A6D3A" w:rsidRPr="007A6D3A" w14:paraId="3FED5D38" w14:textId="77777777" w:rsidTr="0026133E">
        <w:trPr>
          <w:trHeight w:val="113"/>
        </w:trPr>
        <w:tc>
          <w:tcPr>
            <w:tcW w:w="7700" w:type="dxa"/>
            <w:tcBorders>
              <w:top w:val="dotted" w:sz="4" w:space="0" w:color="auto"/>
              <w:bottom w:val="single" w:sz="4" w:space="0" w:color="auto"/>
            </w:tcBorders>
          </w:tcPr>
          <w:p w14:paraId="7BB886CB" w14:textId="77777777" w:rsidR="00F743D8" w:rsidRPr="007A6D3A" w:rsidRDefault="00F743D8" w:rsidP="00F743D8">
            <w:pPr>
              <w:spacing w:before="60" w:after="60" w:line="240" w:lineRule="auto"/>
              <w:rPr>
                <w:rStyle w:val="ExampletextCharChar"/>
                <w:b/>
                <w:i w:val="0"/>
                <w:color w:val="000000" w:themeColor="text1"/>
              </w:rPr>
            </w:pPr>
            <w:r w:rsidRPr="007A6D3A">
              <w:rPr>
                <w:rStyle w:val="ExampletextCharChar"/>
                <w:b/>
                <w:i w:val="0"/>
                <w:color w:val="000000" w:themeColor="text1"/>
              </w:rPr>
              <w:t>Programs</w:t>
            </w:r>
          </w:p>
          <w:p w14:paraId="71180FAE" w14:textId="575621DA" w:rsidR="00F743D8" w:rsidRPr="007A6D3A" w:rsidRDefault="00F743D8" w:rsidP="00091F80">
            <w:pPr>
              <w:numPr>
                <w:ilvl w:val="0"/>
                <w:numId w:val="11"/>
              </w:numPr>
              <w:spacing w:before="60" w:after="60" w:line="240" w:lineRule="auto"/>
              <w:ind w:left="714" w:hanging="357"/>
              <w:jc w:val="left"/>
              <w:rPr>
                <w:rStyle w:val="ExampletextCharChar"/>
                <w:i w:val="0"/>
                <w:color w:val="000000" w:themeColor="text1"/>
              </w:rPr>
            </w:pPr>
            <w:r w:rsidRPr="007A6D3A">
              <w:rPr>
                <w:rStyle w:val="ExampletextCharChar"/>
                <w:i w:val="0"/>
                <w:color w:val="000000" w:themeColor="text1"/>
              </w:rPr>
              <w:t>Program</w:t>
            </w:r>
            <w:r w:rsidR="0026133E" w:rsidRPr="007A6D3A">
              <w:rPr>
                <w:rStyle w:val="ExampletextCharChar"/>
                <w:i w:val="0"/>
                <w:color w:val="000000" w:themeColor="text1"/>
              </w:rPr>
              <w:t xml:space="preserve"> 1.1 – </w:t>
            </w:r>
            <w:r w:rsidR="0026133E" w:rsidRPr="007A6D3A">
              <w:rPr>
                <w:rFonts w:eastAsia="SimSun"/>
                <w:color w:val="000000" w:themeColor="text1"/>
              </w:rPr>
              <w:t>Attorney-General’s Department Operating Expenses – Legal Services and Families</w:t>
            </w:r>
            <w:r w:rsidRPr="007A6D3A">
              <w:rPr>
                <w:rStyle w:val="ExampletextCharChar"/>
                <w:i w:val="0"/>
                <w:color w:val="000000" w:themeColor="text1"/>
              </w:rPr>
              <w:t xml:space="preserve"> </w:t>
            </w:r>
          </w:p>
          <w:p w14:paraId="705A7916" w14:textId="77777777" w:rsidR="0026133E" w:rsidRPr="007A6D3A" w:rsidRDefault="00F743D8" w:rsidP="00091F80">
            <w:pPr>
              <w:numPr>
                <w:ilvl w:val="0"/>
                <w:numId w:val="11"/>
              </w:numPr>
              <w:spacing w:before="60" w:after="40" w:line="240" w:lineRule="auto"/>
              <w:ind w:left="714" w:hanging="357"/>
              <w:jc w:val="left"/>
              <w:rPr>
                <w:i/>
                <w:color w:val="000000" w:themeColor="text1"/>
              </w:rPr>
            </w:pPr>
            <w:r w:rsidRPr="007A6D3A">
              <w:rPr>
                <w:rStyle w:val="ExampletextCharChar"/>
                <w:i w:val="0"/>
                <w:color w:val="000000" w:themeColor="text1"/>
              </w:rPr>
              <w:t xml:space="preserve">Program </w:t>
            </w:r>
            <w:r w:rsidR="0026133E" w:rsidRPr="007A6D3A">
              <w:rPr>
                <w:rStyle w:val="ExampletextCharChar"/>
                <w:i w:val="0"/>
                <w:color w:val="000000" w:themeColor="text1"/>
              </w:rPr>
              <w:t xml:space="preserve">1.2 – </w:t>
            </w:r>
            <w:r w:rsidR="0026133E" w:rsidRPr="007A6D3A">
              <w:rPr>
                <w:rFonts w:eastAsia="SimSun"/>
                <w:color w:val="000000" w:themeColor="text1"/>
              </w:rPr>
              <w:t>Attorney-General’s Department Operating Expenses –</w:t>
            </w:r>
          </w:p>
          <w:p w14:paraId="048D6877" w14:textId="653118BB" w:rsidR="00F743D8" w:rsidRPr="007A6D3A" w:rsidRDefault="0026133E" w:rsidP="00E26389">
            <w:pPr>
              <w:spacing w:after="60" w:line="240" w:lineRule="auto"/>
              <w:ind w:left="714"/>
              <w:jc w:val="left"/>
              <w:rPr>
                <w:rStyle w:val="ExampletextCharChar"/>
                <w:color w:val="000000" w:themeColor="text1"/>
              </w:rPr>
            </w:pPr>
            <w:r w:rsidRPr="007A6D3A">
              <w:rPr>
                <w:rFonts w:eastAsia="SimSun"/>
                <w:color w:val="000000" w:themeColor="text1"/>
              </w:rPr>
              <w:t>National Security, Integrity and International</w:t>
            </w:r>
            <w:r w:rsidRPr="007A6D3A">
              <w:rPr>
                <w:rStyle w:val="ExampletextCharChar"/>
                <w:i w:val="0"/>
                <w:color w:val="000000" w:themeColor="text1"/>
              </w:rPr>
              <w:t xml:space="preserve"> </w:t>
            </w:r>
            <w:r w:rsidR="00F743D8" w:rsidRPr="007A6D3A">
              <w:rPr>
                <w:rStyle w:val="ExampletextCharChar"/>
                <w:i w:val="0"/>
                <w:color w:val="000000" w:themeColor="text1"/>
              </w:rPr>
              <w:t xml:space="preserve"> </w:t>
            </w:r>
          </w:p>
        </w:tc>
      </w:tr>
      <w:tr w:rsidR="007A6D3A" w:rsidRPr="007A6D3A" w14:paraId="6BB89FBA" w14:textId="77777777" w:rsidTr="0026133E">
        <w:trPr>
          <w:trHeight w:val="113"/>
        </w:trPr>
        <w:tc>
          <w:tcPr>
            <w:tcW w:w="7700" w:type="dxa"/>
            <w:tcBorders>
              <w:bottom w:val="dotted" w:sz="4" w:space="0" w:color="auto"/>
            </w:tcBorders>
          </w:tcPr>
          <w:p w14:paraId="101E0BD5" w14:textId="590A3902" w:rsidR="00F743D8" w:rsidRPr="007A6D3A" w:rsidRDefault="0026133E" w:rsidP="00F743D8">
            <w:pPr>
              <w:pStyle w:val="ExampleText0"/>
              <w:spacing w:before="60" w:after="60" w:line="240" w:lineRule="auto"/>
              <w:rPr>
                <w:color w:val="000000" w:themeColor="text1"/>
              </w:rPr>
            </w:pPr>
            <w:bookmarkStart w:id="96" w:name="_Hlk95220547"/>
            <w:bookmarkEnd w:id="95"/>
            <w:r w:rsidRPr="007A6D3A">
              <w:rPr>
                <w:rStyle w:val="ExampletextCharChar"/>
                <w:b/>
                <w:color w:val="000000" w:themeColor="text1"/>
              </w:rPr>
              <w:t xml:space="preserve">Australian Centre for International Agricultural Research </w:t>
            </w:r>
          </w:p>
        </w:tc>
      </w:tr>
      <w:tr w:rsidR="007A6D3A" w:rsidRPr="007A6D3A" w14:paraId="2655C59E" w14:textId="77777777" w:rsidTr="0026133E">
        <w:trPr>
          <w:trHeight w:val="113"/>
        </w:trPr>
        <w:tc>
          <w:tcPr>
            <w:tcW w:w="7700" w:type="dxa"/>
            <w:tcBorders>
              <w:top w:val="dotted" w:sz="4" w:space="0" w:color="auto"/>
              <w:bottom w:val="single" w:sz="4" w:space="0" w:color="auto"/>
            </w:tcBorders>
          </w:tcPr>
          <w:p w14:paraId="24D48900" w14:textId="77777777" w:rsidR="00F743D8" w:rsidRPr="007A6D3A" w:rsidRDefault="00F743D8" w:rsidP="00F743D8">
            <w:pPr>
              <w:spacing w:before="60" w:after="60" w:line="240" w:lineRule="auto"/>
              <w:rPr>
                <w:rStyle w:val="ExampletextCharChar"/>
                <w:b/>
                <w:i w:val="0"/>
                <w:color w:val="000000" w:themeColor="text1"/>
              </w:rPr>
            </w:pPr>
            <w:r w:rsidRPr="007A6D3A">
              <w:rPr>
                <w:rStyle w:val="ExampletextCharChar"/>
                <w:b/>
                <w:i w:val="0"/>
                <w:color w:val="000000" w:themeColor="text1"/>
              </w:rPr>
              <w:t>Programs</w:t>
            </w:r>
          </w:p>
          <w:p w14:paraId="1E6BBD9C" w14:textId="37BAFCAC" w:rsidR="00F743D8" w:rsidRPr="007A6D3A" w:rsidRDefault="00F743D8" w:rsidP="00091F80">
            <w:pPr>
              <w:numPr>
                <w:ilvl w:val="0"/>
                <w:numId w:val="11"/>
              </w:numPr>
              <w:spacing w:before="60" w:after="60" w:line="240" w:lineRule="auto"/>
              <w:ind w:left="714" w:hanging="357"/>
              <w:rPr>
                <w:rStyle w:val="ExampletextCharChar"/>
                <w:i w:val="0"/>
                <w:color w:val="000000" w:themeColor="text1"/>
              </w:rPr>
            </w:pPr>
            <w:r w:rsidRPr="007A6D3A">
              <w:rPr>
                <w:rStyle w:val="ExampletextCharChar"/>
                <w:i w:val="0"/>
                <w:color w:val="000000" w:themeColor="text1"/>
              </w:rPr>
              <w:t xml:space="preserve">Program </w:t>
            </w:r>
            <w:r w:rsidR="0026133E" w:rsidRPr="007A6D3A">
              <w:rPr>
                <w:rStyle w:val="ExampletextCharChar"/>
                <w:i w:val="0"/>
                <w:color w:val="000000" w:themeColor="text1"/>
              </w:rPr>
              <w:t xml:space="preserve">1.1 – International Agricultural Research for Development </w:t>
            </w:r>
          </w:p>
        </w:tc>
      </w:tr>
      <w:bookmarkEnd w:id="96"/>
      <w:tr w:rsidR="007A6D3A" w:rsidRPr="007A6D3A" w14:paraId="7D4774C8" w14:textId="77777777" w:rsidTr="0026133E">
        <w:trPr>
          <w:trHeight w:val="113"/>
          <w:tblHeader/>
        </w:trPr>
        <w:tc>
          <w:tcPr>
            <w:tcW w:w="7700" w:type="dxa"/>
            <w:tcBorders>
              <w:bottom w:val="dotted" w:sz="4" w:space="0" w:color="auto"/>
            </w:tcBorders>
          </w:tcPr>
          <w:p w14:paraId="37381341" w14:textId="5FED022E" w:rsidR="0026133E" w:rsidRPr="007A6D3A" w:rsidRDefault="0026133E" w:rsidP="00C53B7C">
            <w:pPr>
              <w:pStyle w:val="ExampleText0"/>
              <w:spacing w:before="60" w:after="60" w:line="240" w:lineRule="auto"/>
              <w:rPr>
                <w:color w:val="000000" w:themeColor="text1"/>
              </w:rPr>
            </w:pPr>
            <w:r w:rsidRPr="007A6D3A">
              <w:rPr>
                <w:rStyle w:val="ExampletextCharChar"/>
                <w:b/>
                <w:color w:val="000000" w:themeColor="text1"/>
              </w:rPr>
              <w:t xml:space="preserve">Australian Federal Police </w:t>
            </w:r>
          </w:p>
        </w:tc>
      </w:tr>
      <w:tr w:rsidR="007A6D3A" w:rsidRPr="007A6D3A" w14:paraId="4805CFAB" w14:textId="77777777" w:rsidTr="0026133E">
        <w:trPr>
          <w:trHeight w:val="113"/>
        </w:trPr>
        <w:tc>
          <w:tcPr>
            <w:tcW w:w="7700" w:type="dxa"/>
            <w:tcBorders>
              <w:top w:val="dotted" w:sz="4" w:space="0" w:color="auto"/>
              <w:bottom w:val="single" w:sz="4" w:space="0" w:color="auto"/>
            </w:tcBorders>
          </w:tcPr>
          <w:p w14:paraId="39582A7F" w14:textId="77777777" w:rsidR="0026133E" w:rsidRPr="007A6D3A" w:rsidRDefault="0026133E" w:rsidP="00C53B7C">
            <w:pPr>
              <w:spacing w:before="60" w:after="60" w:line="240" w:lineRule="auto"/>
              <w:rPr>
                <w:rStyle w:val="ExampletextCharChar"/>
                <w:b/>
                <w:i w:val="0"/>
                <w:color w:val="000000" w:themeColor="text1"/>
              </w:rPr>
            </w:pPr>
            <w:r w:rsidRPr="007A6D3A">
              <w:rPr>
                <w:rStyle w:val="ExampletextCharChar"/>
                <w:b/>
                <w:i w:val="0"/>
                <w:color w:val="000000" w:themeColor="text1"/>
              </w:rPr>
              <w:t>Programs</w:t>
            </w:r>
          </w:p>
          <w:p w14:paraId="06631E23" w14:textId="1CAEBC56" w:rsidR="0026133E" w:rsidRPr="007A6D3A" w:rsidRDefault="0026133E" w:rsidP="00091F80">
            <w:pPr>
              <w:numPr>
                <w:ilvl w:val="0"/>
                <w:numId w:val="11"/>
              </w:numPr>
              <w:spacing w:before="60" w:after="60" w:line="240" w:lineRule="auto"/>
              <w:ind w:left="714" w:hanging="357"/>
              <w:rPr>
                <w:rStyle w:val="ExampletextCharChar"/>
                <w:i w:val="0"/>
                <w:color w:val="000000" w:themeColor="text1"/>
              </w:rPr>
            </w:pPr>
            <w:r w:rsidRPr="007A6D3A">
              <w:rPr>
                <w:rStyle w:val="ExampletextCharChar"/>
                <w:i w:val="0"/>
                <w:color w:val="000000" w:themeColor="text1"/>
              </w:rPr>
              <w:t xml:space="preserve">Program 1.1 – </w:t>
            </w:r>
            <w:r w:rsidRPr="007A6D3A">
              <w:rPr>
                <w:rFonts w:eastAsia="SimSun"/>
                <w:color w:val="000000" w:themeColor="text1"/>
              </w:rPr>
              <w:t xml:space="preserve">Federal Policing - Investigations </w:t>
            </w:r>
            <w:r w:rsidRPr="007A6D3A">
              <w:rPr>
                <w:rStyle w:val="ExampletextCharChar"/>
                <w:i w:val="0"/>
                <w:color w:val="000000" w:themeColor="text1"/>
              </w:rPr>
              <w:t xml:space="preserve"> </w:t>
            </w:r>
          </w:p>
          <w:p w14:paraId="2B4D1AB1" w14:textId="0B62D4B0" w:rsidR="0026133E" w:rsidRPr="007A6D3A" w:rsidRDefault="0026133E" w:rsidP="00091F80">
            <w:pPr>
              <w:numPr>
                <w:ilvl w:val="0"/>
                <w:numId w:val="11"/>
              </w:numPr>
              <w:spacing w:before="60" w:after="40" w:line="240" w:lineRule="auto"/>
              <w:ind w:left="714" w:hanging="357"/>
              <w:rPr>
                <w:rStyle w:val="ExampletextCharChar"/>
                <w:color w:val="000000" w:themeColor="text1"/>
              </w:rPr>
            </w:pPr>
            <w:r w:rsidRPr="007A6D3A">
              <w:rPr>
                <w:rStyle w:val="ExampletextCharChar"/>
                <w:i w:val="0"/>
                <w:color w:val="000000" w:themeColor="text1"/>
              </w:rPr>
              <w:t xml:space="preserve">Program 3.2 – </w:t>
            </w:r>
            <w:r w:rsidRPr="007A6D3A">
              <w:rPr>
                <w:rFonts w:eastAsia="SimSun"/>
                <w:color w:val="000000" w:themeColor="text1"/>
              </w:rPr>
              <w:t>International Police Assistance and External Territories</w:t>
            </w:r>
            <w:r w:rsidRPr="007A6D3A">
              <w:rPr>
                <w:rStyle w:val="ExampletextCharChar"/>
                <w:i w:val="0"/>
                <w:color w:val="000000" w:themeColor="text1"/>
              </w:rPr>
              <w:t xml:space="preserve">  </w:t>
            </w:r>
          </w:p>
        </w:tc>
      </w:tr>
      <w:tr w:rsidR="007A6D3A" w:rsidRPr="007A6D3A" w14:paraId="5FA13ED4" w14:textId="77777777" w:rsidTr="0026133E">
        <w:trPr>
          <w:trHeight w:val="113"/>
          <w:tblHeader/>
        </w:trPr>
        <w:tc>
          <w:tcPr>
            <w:tcW w:w="7700" w:type="dxa"/>
            <w:tcBorders>
              <w:bottom w:val="dotted" w:sz="4" w:space="0" w:color="auto"/>
            </w:tcBorders>
          </w:tcPr>
          <w:p w14:paraId="0B9EA15E" w14:textId="2E63FABC" w:rsidR="0026133E" w:rsidRPr="007A6D3A" w:rsidRDefault="0026133E" w:rsidP="00C53B7C">
            <w:pPr>
              <w:pStyle w:val="ExampleText0"/>
              <w:spacing w:before="60" w:after="60" w:line="240" w:lineRule="auto"/>
              <w:rPr>
                <w:color w:val="000000" w:themeColor="text1"/>
              </w:rPr>
            </w:pPr>
            <w:r w:rsidRPr="007A6D3A">
              <w:rPr>
                <w:rStyle w:val="ExampletextCharChar"/>
                <w:b/>
                <w:color w:val="000000" w:themeColor="text1"/>
              </w:rPr>
              <w:t xml:space="preserve">Australian Trade and Investment Commission </w:t>
            </w:r>
          </w:p>
        </w:tc>
      </w:tr>
      <w:tr w:rsidR="007A6D3A" w:rsidRPr="007A6D3A" w14:paraId="0CBCB45D" w14:textId="77777777" w:rsidTr="0026133E">
        <w:trPr>
          <w:trHeight w:val="113"/>
        </w:trPr>
        <w:tc>
          <w:tcPr>
            <w:tcW w:w="7700" w:type="dxa"/>
            <w:tcBorders>
              <w:top w:val="dotted" w:sz="4" w:space="0" w:color="auto"/>
              <w:bottom w:val="single" w:sz="4" w:space="0" w:color="auto"/>
            </w:tcBorders>
          </w:tcPr>
          <w:p w14:paraId="47F4473F" w14:textId="77777777" w:rsidR="0026133E" w:rsidRPr="007A6D3A" w:rsidRDefault="0026133E" w:rsidP="00C53B7C">
            <w:pPr>
              <w:spacing w:before="60" w:after="60" w:line="240" w:lineRule="auto"/>
              <w:rPr>
                <w:rStyle w:val="ExampletextCharChar"/>
                <w:b/>
                <w:i w:val="0"/>
                <w:color w:val="000000" w:themeColor="text1"/>
              </w:rPr>
            </w:pPr>
            <w:r w:rsidRPr="007A6D3A">
              <w:rPr>
                <w:rStyle w:val="ExampletextCharChar"/>
                <w:b/>
                <w:i w:val="0"/>
                <w:color w:val="000000" w:themeColor="text1"/>
              </w:rPr>
              <w:t>Programs</w:t>
            </w:r>
          </w:p>
          <w:p w14:paraId="015E1BE0" w14:textId="68BA46CD" w:rsidR="0026133E" w:rsidRPr="007A6D3A" w:rsidRDefault="0026133E" w:rsidP="00091F80">
            <w:pPr>
              <w:numPr>
                <w:ilvl w:val="0"/>
                <w:numId w:val="11"/>
              </w:numPr>
              <w:spacing w:before="60" w:after="60" w:line="240" w:lineRule="auto"/>
              <w:ind w:left="714" w:hanging="357"/>
              <w:jc w:val="left"/>
              <w:rPr>
                <w:rStyle w:val="ExampletextCharChar"/>
                <w:i w:val="0"/>
                <w:color w:val="000000" w:themeColor="text1"/>
              </w:rPr>
            </w:pPr>
            <w:r w:rsidRPr="007A6D3A">
              <w:rPr>
                <w:rStyle w:val="ExampletextCharChar"/>
                <w:i w:val="0"/>
                <w:color w:val="000000" w:themeColor="text1"/>
              </w:rPr>
              <w:t xml:space="preserve">Program 1.1 – </w:t>
            </w:r>
            <w:r w:rsidRPr="007A6D3A">
              <w:rPr>
                <w:rFonts w:eastAsia="SimSun"/>
                <w:color w:val="000000" w:themeColor="text1"/>
              </w:rPr>
              <w:t xml:space="preserve">Promotion of Australia’s Export and Other International Economic Interests </w:t>
            </w:r>
            <w:r w:rsidRPr="007A6D3A">
              <w:rPr>
                <w:rStyle w:val="ExampletextCharChar"/>
                <w:i w:val="0"/>
                <w:color w:val="000000" w:themeColor="text1"/>
              </w:rPr>
              <w:t xml:space="preserve"> </w:t>
            </w:r>
          </w:p>
          <w:p w14:paraId="0911D8F4" w14:textId="3221E91C" w:rsidR="0026133E" w:rsidRPr="007A6D3A" w:rsidRDefault="0026133E" w:rsidP="00091F80">
            <w:pPr>
              <w:numPr>
                <w:ilvl w:val="0"/>
                <w:numId w:val="11"/>
              </w:numPr>
              <w:spacing w:before="60" w:after="40" w:line="240" w:lineRule="auto"/>
              <w:ind w:left="714" w:hanging="357"/>
              <w:jc w:val="left"/>
              <w:rPr>
                <w:rStyle w:val="ExampletextCharChar"/>
                <w:color w:val="000000" w:themeColor="text1"/>
              </w:rPr>
            </w:pPr>
            <w:r w:rsidRPr="007A6D3A">
              <w:rPr>
                <w:rStyle w:val="ExampletextCharChar"/>
                <w:i w:val="0"/>
                <w:color w:val="000000" w:themeColor="text1"/>
              </w:rPr>
              <w:t xml:space="preserve">Program 1.2 – </w:t>
            </w:r>
            <w:r w:rsidRPr="007A6D3A">
              <w:rPr>
                <w:rFonts w:eastAsia="SimSun"/>
                <w:color w:val="000000" w:themeColor="text1"/>
              </w:rPr>
              <w:t xml:space="preserve">Programs </w:t>
            </w:r>
            <w:r w:rsidR="00C53B7C" w:rsidRPr="007A6D3A">
              <w:rPr>
                <w:rFonts w:eastAsia="SimSun"/>
                <w:color w:val="000000" w:themeColor="text1"/>
              </w:rPr>
              <w:t>to Promote Australia’s Exports and Other International</w:t>
            </w:r>
            <w:r w:rsidRPr="007A6D3A">
              <w:rPr>
                <w:rStyle w:val="ExampletextCharChar"/>
                <w:i w:val="0"/>
                <w:color w:val="000000" w:themeColor="text1"/>
              </w:rPr>
              <w:t xml:space="preserve"> </w:t>
            </w:r>
            <w:r w:rsidR="00C53B7C" w:rsidRPr="007A6D3A">
              <w:rPr>
                <w:rStyle w:val="ExampletextCharChar"/>
                <w:i w:val="0"/>
                <w:color w:val="000000" w:themeColor="text1"/>
              </w:rPr>
              <w:t xml:space="preserve">Economic Interests </w:t>
            </w:r>
          </w:p>
        </w:tc>
      </w:tr>
    </w:tbl>
    <w:p w14:paraId="202D156C" w14:textId="47F440E7" w:rsidR="00B86CCD" w:rsidRPr="00C53B7C" w:rsidRDefault="00C53B7C" w:rsidP="00C53B7C">
      <w:pPr>
        <w:pStyle w:val="ChartandTableFootnoteAlpha"/>
        <w:numPr>
          <w:ilvl w:val="0"/>
          <w:numId w:val="0"/>
        </w:numPr>
        <w:ind w:left="284" w:hanging="284"/>
      </w:pPr>
      <w:r w:rsidRPr="00C53B7C">
        <w:t xml:space="preserve">Table </w:t>
      </w:r>
      <w:proofErr w:type="gramStart"/>
      <w:r w:rsidRPr="00C53B7C">
        <w:t>continued on</w:t>
      </w:r>
      <w:proofErr w:type="gramEnd"/>
      <w:r w:rsidRPr="00C53B7C">
        <w:t xml:space="preserve"> the next page. </w:t>
      </w:r>
    </w:p>
    <w:p w14:paraId="3F42BFFC" w14:textId="77777777" w:rsidR="00F71634" w:rsidRPr="00B3104B" w:rsidRDefault="00F71634" w:rsidP="00AD42E2">
      <w:pPr>
        <w:pStyle w:val="SingleParagraph"/>
      </w:pPr>
    </w:p>
    <w:p w14:paraId="6566C553" w14:textId="214BDA4B" w:rsidR="00E26389" w:rsidRPr="005E6F2B" w:rsidRDefault="00C53B7C" w:rsidP="00E26389">
      <w:pPr>
        <w:pStyle w:val="Heading4"/>
      </w:pPr>
      <w:r>
        <w:rPr>
          <w:color w:val="FF0000"/>
        </w:rPr>
        <w:br w:type="page"/>
      </w:r>
      <w:r w:rsidR="00E26389" w:rsidRPr="005E6F2B">
        <w:t xml:space="preserve">Linked programs </w:t>
      </w:r>
      <w:r w:rsidR="00E26389">
        <w:t>(continued)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C53B7C" w:rsidRPr="00FF325A" w14:paraId="1FFEE65B" w14:textId="77777777" w:rsidTr="00C53B7C">
        <w:trPr>
          <w:trHeight w:val="113"/>
        </w:trPr>
        <w:tc>
          <w:tcPr>
            <w:tcW w:w="7705" w:type="dxa"/>
            <w:tcBorders>
              <w:top w:val="single" w:sz="4" w:space="0" w:color="auto"/>
              <w:left w:val="single" w:sz="4" w:space="0" w:color="auto"/>
              <w:bottom w:val="dotted" w:sz="4" w:space="0" w:color="auto"/>
              <w:right w:val="single" w:sz="4" w:space="0" w:color="auto"/>
            </w:tcBorders>
            <w:shd w:val="clear" w:color="auto" w:fill="auto"/>
            <w:hideMark/>
          </w:tcPr>
          <w:p w14:paraId="06810DE6" w14:textId="77777777" w:rsidR="00C53B7C" w:rsidRPr="00FF325A" w:rsidRDefault="00C53B7C" w:rsidP="00C53B7C">
            <w:pPr>
              <w:spacing w:before="60" w:after="60" w:line="240" w:lineRule="auto"/>
              <w:rPr>
                <w:rFonts w:eastAsia="SimSun"/>
                <w:i/>
                <w:color w:val="000000" w:themeColor="text1"/>
              </w:rPr>
            </w:pPr>
            <w:r w:rsidRPr="00FF325A">
              <w:rPr>
                <w:rFonts w:eastAsia="SimSun"/>
                <w:b/>
                <w:color w:val="000000" w:themeColor="text1"/>
              </w:rPr>
              <w:t xml:space="preserve">Department of Defence </w:t>
            </w:r>
          </w:p>
        </w:tc>
      </w:tr>
      <w:tr w:rsidR="00C53B7C" w:rsidRPr="00FF325A" w14:paraId="5123A60B" w14:textId="77777777" w:rsidTr="00C53B7C">
        <w:trPr>
          <w:trHeight w:val="113"/>
        </w:trPr>
        <w:tc>
          <w:tcPr>
            <w:tcW w:w="7705" w:type="dxa"/>
            <w:tcBorders>
              <w:top w:val="dotted" w:sz="4" w:space="0" w:color="auto"/>
              <w:left w:val="single" w:sz="4" w:space="0" w:color="auto"/>
              <w:bottom w:val="single" w:sz="4" w:space="0" w:color="auto"/>
              <w:right w:val="single" w:sz="4" w:space="0" w:color="auto"/>
            </w:tcBorders>
            <w:shd w:val="clear" w:color="auto" w:fill="auto"/>
            <w:hideMark/>
          </w:tcPr>
          <w:p w14:paraId="10D7F492" w14:textId="77777777" w:rsidR="00C53B7C" w:rsidRPr="00FF325A" w:rsidRDefault="00C53B7C" w:rsidP="00C53B7C">
            <w:pPr>
              <w:spacing w:before="60" w:after="60" w:line="240" w:lineRule="auto"/>
              <w:rPr>
                <w:rFonts w:eastAsia="SimSun"/>
                <w:b/>
                <w:color w:val="000000" w:themeColor="text1"/>
              </w:rPr>
            </w:pPr>
            <w:r w:rsidRPr="00FF325A">
              <w:rPr>
                <w:rFonts w:eastAsia="SimSun"/>
                <w:b/>
                <w:color w:val="000000" w:themeColor="text1"/>
              </w:rPr>
              <w:t>Programs</w:t>
            </w:r>
          </w:p>
          <w:p w14:paraId="47CE51C4" w14:textId="77777777" w:rsidR="00C53B7C" w:rsidRPr="00FF325A" w:rsidRDefault="00C53B7C" w:rsidP="00091F80">
            <w:pPr>
              <w:numPr>
                <w:ilvl w:val="0"/>
                <w:numId w:val="11"/>
              </w:numPr>
              <w:spacing w:before="60" w:after="60" w:line="240" w:lineRule="auto"/>
              <w:jc w:val="left"/>
              <w:rPr>
                <w:rFonts w:eastAsia="SimSun"/>
                <w:color w:val="000000" w:themeColor="text1"/>
              </w:rPr>
            </w:pPr>
            <w:r w:rsidRPr="00FF325A">
              <w:rPr>
                <w:rFonts w:eastAsia="SimSun"/>
                <w:color w:val="000000" w:themeColor="text1"/>
              </w:rPr>
              <w:t>Program 2.8 – Australian Defence Force Headquarters</w:t>
            </w:r>
          </w:p>
        </w:tc>
      </w:tr>
      <w:tr w:rsidR="00C53B7C" w:rsidRPr="00FF325A" w14:paraId="759D0A82" w14:textId="77777777" w:rsidTr="00C53B7C">
        <w:trPr>
          <w:trHeight w:val="113"/>
        </w:trPr>
        <w:tc>
          <w:tcPr>
            <w:tcW w:w="7705" w:type="dxa"/>
            <w:tcBorders>
              <w:top w:val="single" w:sz="4" w:space="0" w:color="auto"/>
              <w:left w:val="single" w:sz="4" w:space="0" w:color="auto"/>
              <w:bottom w:val="dotted" w:sz="4" w:space="0" w:color="auto"/>
              <w:right w:val="single" w:sz="4" w:space="0" w:color="auto"/>
            </w:tcBorders>
            <w:shd w:val="clear" w:color="auto" w:fill="FFFFFF" w:themeFill="background1"/>
          </w:tcPr>
          <w:p w14:paraId="5FA5C5AB" w14:textId="77777777" w:rsidR="00C53B7C" w:rsidRPr="006077FB" w:rsidRDefault="00C53B7C" w:rsidP="00C53B7C">
            <w:pPr>
              <w:spacing w:before="60" w:after="60" w:line="240" w:lineRule="auto"/>
              <w:rPr>
                <w:rFonts w:eastAsia="SimSun"/>
                <w:b/>
                <w:color w:val="000000" w:themeColor="text1"/>
              </w:rPr>
            </w:pPr>
            <w:r w:rsidRPr="006077FB">
              <w:rPr>
                <w:rFonts w:eastAsia="SimSun"/>
                <w:b/>
                <w:color w:val="000000" w:themeColor="text1"/>
              </w:rPr>
              <w:t>Department of Education, Skills and Employment</w:t>
            </w:r>
          </w:p>
        </w:tc>
      </w:tr>
      <w:tr w:rsidR="00C53B7C" w:rsidRPr="00FF325A" w14:paraId="4FC6C130" w14:textId="77777777" w:rsidTr="00C53B7C">
        <w:trPr>
          <w:trHeight w:val="113"/>
        </w:trPr>
        <w:tc>
          <w:tcPr>
            <w:tcW w:w="7705" w:type="dxa"/>
            <w:tcBorders>
              <w:top w:val="dotted" w:sz="4" w:space="0" w:color="auto"/>
              <w:left w:val="single" w:sz="4" w:space="0" w:color="auto"/>
              <w:bottom w:val="single" w:sz="4" w:space="0" w:color="auto"/>
              <w:right w:val="single" w:sz="4" w:space="0" w:color="auto"/>
            </w:tcBorders>
            <w:shd w:val="clear" w:color="auto" w:fill="FFFFFF" w:themeFill="background1"/>
          </w:tcPr>
          <w:p w14:paraId="24A911D1" w14:textId="77777777" w:rsidR="00C53B7C" w:rsidRPr="006077FB" w:rsidRDefault="00C53B7C" w:rsidP="00C53B7C">
            <w:pPr>
              <w:spacing w:before="60" w:after="60" w:line="240" w:lineRule="auto"/>
              <w:rPr>
                <w:rFonts w:eastAsia="SimSun"/>
                <w:b/>
                <w:color w:val="000000" w:themeColor="text1"/>
              </w:rPr>
            </w:pPr>
            <w:r w:rsidRPr="006077FB">
              <w:rPr>
                <w:rFonts w:eastAsia="SimSun"/>
                <w:b/>
                <w:color w:val="000000" w:themeColor="text1"/>
              </w:rPr>
              <w:t>Programs</w:t>
            </w:r>
            <w:r w:rsidRPr="006077FB">
              <w:rPr>
                <w:rFonts w:eastAsia="SimSun"/>
                <w:b/>
                <w:color w:val="000000" w:themeColor="text1"/>
              </w:rPr>
              <w:tab/>
            </w:r>
          </w:p>
          <w:p w14:paraId="051D4AAF" w14:textId="77777777" w:rsidR="00C53B7C" w:rsidRPr="006077FB" w:rsidRDefault="00C53B7C" w:rsidP="00091F80">
            <w:pPr>
              <w:numPr>
                <w:ilvl w:val="0"/>
                <w:numId w:val="11"/>
              </w:numPr>
              <w:shd w:val="clear" w:color="auto" w:fill="FFFFFF" w:themeFill="background1"/>
              <w:spacing w:before="60" w:after="60" w:line="240" w:lineRule="auto"/>
              <w:ind w:left="714" w:hanging="357"/>
              <w:rPr>
                <w:rFonts w:eastAsia="SimSun"/>
                <w:color w:val="000000" w:themeColor="text1"/>
              </w:rPr>
            </w:pPr>
            <w:r w:rsidRPr="006077FB">
              <w:rPr>
                <w:rFonts w:eastAsia="SimSun"/>
                <w:color w:val="000000" w:themeColor="text1"/>
              </w:rPr>
              <w:t>Program 2.7 – International Education Support</w:t>
            </w:r>
          </w:p>
        </w:tc>
      </w:tr>
      <w:tr w:rsidR="00C53B7C" w:rsidRPr="00FF325A" w14:paraId="4A9A314F" w14:textId="77777777" w:rsidTr="00C53B7C">
        <w:trPr>
          <w:trHeight w:val="113"/>
        </w:trPr>
        <w:tc>
          <w:tcPr>
            <w:tcW w:w="7705"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16EE2F53" w14:textId="77777777" w:rsidR="00C53B7C" w:rsidRPr="00FF325A" w:rsidRDefault="00C53B7C" w:rsidP="00C53B7C">
            <w:pPr>
              <w:spacing w:before="60" w:after="60" w:line="240" w:lineRule="auto"/>
              <w:rPr>
                <w:rFonts w:eastAsia="SimSun"/>
                <w:b/>
                <w:color w:val="000000" w:themeColor="text1"/>
              </w:rPr>
            </w:pPr>
            <w:r w:rsidRPr="00FF325A">
              <w:rPr>
                <w:rFonts w:eastAsia="SimSun"/>
                <w:b/>
                <w:color w:val="000000" w:themeColor="text1"/>
              </w:rPr>
              <w:t>Department of Home Affairs</w:t>
            </w:r>
          </w:p>
        </w:tc>
      </w:tr>
      <w:tr w:rsidR="00C53B7C" w:rsidRPr="00FF325A" w14:paraId="209AA5ED" w14:textId="77777777" w:rsidTr="00C53B7C">
        <w:trPr>
          <w:trHeight w:val="113"/>
        </w:trPr>
        <w:tc>
          <w:tcPr>
            <w:tcW w:w="7705"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18627958" w14:textId="77777777" w:rsidR="00C53B7C" w:rsidRPr="00FF325A" w:rsidRDefault="00C53B7C" w:rsidP="00C53B7C">
            <w:pPr>
              <w:spacing w:before="60" w:after="60" w:line="240" w:lineRule="auto"/>
              <w:rPr>
                <w:rFonts w:eastAsia="SimSun"/>
                <w:b/>
                <w:color w:val="000000" w:themeColor="text1"/>
              </w:rPr>
            </w:pPr>
            <w:r w:rsidRPr="00FF325A">
              <w:rPr>
                <w:rFonts w:eastAsia="SimSun"/>
                <w:b/>
                <w:color w:val="000000" w:themeColor="text1"/>
              </w:rPr>
              <w:t>Programs</w:t>
            </w:r>
            <w:r w:rsidRPr="00FF325A">
              <w:rPr>
                <w:rFonts w:eastAsia="SimSun"/>
                <w:b/>
                <w:color w:val="000000" w:themeColor="text1"/>
              </w:rPr>
              <w:tab/>
            </w:r>
          </w:p>
          <w:p w14:paraId="14D5F00D" w14:textId="77777777" w:rsidR="00C53B7C" w:rsidRPr="00FF325A" w:rsidRDefault="00C53B7C" w:rsidP="00091F80">
            <w:pPr>
              <w:numPr>
                <w:ilvl w:val="0"/>
                <w:numId w:val="11"/>
              </w:numPr>
              <w:shd w:val="clear" w:color="auto" w:fill="FFFFFF" w:themeFill="background1"/>
              <w:spacing w:before="60" w:after="60" w:line="240" w:lineRule="auto"/>
              <w:ind w:left="714" w:hanging="357"/>
              <w:rPr>
                <w:rFonts w:eastAsia="SimSun"/>
                <w:color w:val="000000" w:themeColor="text1"/>
              </w:rPr>
            </w:pPr>
            <w:r w:rsidRPr="00FF325A">
              <w:rPr>
                <w:rFonts w:eastAsia="SimSun"/>
                <w:color w:val="000000" w:themeColor="text1"/>
              </w:rPr>
              <w:t>Program 1.2 – National Security and Criminal Justice</w:t>
            </w:r>
          </w:p>
          <w:p w14:paraId="6E66D659" w14:textId="77777777" w:rsidR="00C53B7C" w:rsidRPr="00FF325A" w:rsidRDefault="00C53B7C" w:rsidP="00091F80">
            <w:pPr>
              <w:numPr>
                <w:ilvl w:val="0"/>
                <w:numId w:val="11"/>
              </w:numPr>
              <w:shd w:val="clear" w:color="auto" w:fill="FFFFFF" w:themeFill="background1"/>
              <w:spacing w:before="60" w:after="60" w:line="240" w:lineRule="auto"/>
              <w:rPr>
                <w:rFonts w:eastAsia="SimSun"/>
                <w:color w:val="000000" w:themeColor="text1"/>
              </w:rPr>
            </w:pPr>
            <w:r w:rsidRPr="00FF325A">
              <w:rPr>
                <w:rFonts w:eastAsia="SimSun"/>
                <w:color w:val="000000" w:themeColor="text1"/>
              </w:rPr>
              <w:t>Program 1.4 – Counter Terrorism</w:t>
            </w:r>
          </w:p>
          <w:p w14:paraId="7A39F3F0" w14:textId="77777777" w:rsidR="00C53B7C" w:rsidRPr="00FF325A" w:rsidRDefault="00C53B7C" w:rsidP="00091F80">
            <w:pPr>
              <w:numPr>
                <w:ilvl w:val="0"/>
                <w:numId w:val="11"/>
              </w:numPr>
              <w:spacing w:before="60" w:after="60" w:line="240" w:lineRule="auto"/>
              <w:ind w:left="714" w:hanging="357"/>
              <w:rPr>
                <w:rFonts w:eastAsia="SimSun"/>
                <w:color w:val="000000" w:themeColor="text1"/>
              </w:rPr>
            </w:pPr>
            <w:r w:rsidRPr="00FF325A">
              <w:rPr>
                <w:rFonts w:eastAsia="SimSun"/>
                <w:color w:val="000000" w:themeColor="text1"/>
              </w:rPr>
              <w:t>Program 1.5 – Regional Cooperation</w:t>
            </w:r>
          </w:p>
          <w:p w14:paraId="1C5035B3" w14:textId="77777777" w:rsidR="00C53B7C" w:rsidRPr="00FF325A" w:rsidRDefault="00C53B7C" w:rsidP="00091F80">
            <w:pPr>
              <w:numPr>
                <w:ilvl w:val="0"/>
                <w:numId w:val="11"/>
              </w:numPr>
              <w:spacing w:before="60" w:after="60" w:line="240" w:lineRule="auto"/>
              <w:ind w:left="714" w:hanging="357"/>
              <w:rPr>
                <w:rFonts w:eastAsia="SimSun"/>
                <w:color w:val="000000" w:themeColor="text1"/>
              </w:rPr>
            </w:pPr>
            <w:r w:rsidRPr="00FF325A">
              <w:rPr>
                <w:rFonts w:eastAsia="SimSun"/>
                <w:color w:val="000000" w:themeColor="text1"/>
              </w:rPr>
              <w:t>Program 2.2 – Visas</w:t>
            </w:r>
          </w:p>
          <w:p w14:paraId="4C28E314" w14:textId="77777777" w:rsidR="00C53B7C" w:rsidRPr="00FF325A" w:rsidRDefault="00C53B7C" w:rsidP="00091F80">
            <w:pPr>
              <w:numPr>
                <w:ilvl w:val="0"/>
                <w:numId w:val="11"/>
              </w:numPr>
              <w:spacing w:before="60" w:after="60" w:line="240" w:lineRule="auto"/>
              <w:ind w:left="714" w:hanging="357"/>
              <w:rPr>
                <w:rFonts w:eastAsia="SimSun"/>
                <w:color w:val="000000" w:themeColor="text1"/>
              </w:rPr>
            </w:pPr>
            <w:r w:rsidRPr="00FF325A">
              <w:rPr>
                <w:rFonts w:eastAsia="SimSun"/>
                <w:color w:val="000000" w:themeColor="text1"/>
              </w:rPr>
              <w:t>Program 3.1 – Trade Facilitation and Industry Engagement</w:t>
            </w:r>
          </w:p>
          <w:p w14:paraId="579C41F1" w14:textId="77777777" w:rsidR="00C53B7C" w:rsidRPr="00FF325A" w:rsidRDefault="00C53B7C" w:rsidP="00091F80">
            <w:pPr>
              <w:numPr>
                <w:ilvl w:val="0"/>
                <w:numId w:val="11"/>
              </w:numPr>
              <w:spacing w:before="60" w:after="60" w:line="240" w:lineRule="auto"/>
              <w:ind w:left="714" w:hanging="357"/>
              <w:rPr>
                <w:rFonts w:eastAsia="SimSun"/>
                <w:color w:val="000000" w:themeColor="text1"/>
              </w:rPr>
            </w:pPr>
            <w:r w:rsidRPr="00FF325A">
              <w:rPr>
                <w:rFonts w:eastAsia="SimSun"/>
                <w:color w:val="000000" w:themeColor="text1"/>
              </w:rPr>
              <w:t>Program 3.4 – Border Enforcement</w:t>
            </w:r>
          </w:p>
        </w:tc>
      </w:tr>
      <w:tr w:rsidR="0094311E" w:rsidRPr="00D72405" w14:paraId="3032E0C6" w14:textId="77777777" w:rsidTr="002F0659">
        <w:trPr>
          <w:trHeight w:val="113"/>
        </w:trPr>
        <w:tc>
          <w:tcPr>
            <w:tcW w:w="7705" w:type="dxa"/>
            <w:tcBorders>
              <w:top w:val="single" w:sz="4" w:space="0" w:color="auto"/>
              <w:left w:val="single" w:sz="4" w:space="0" w:color="auto"/>
              <w:bottom w:val="dotted" w:sz="4" w:space="0" w:color="auto"/>
              <w:right w:val="single" w:sz="4" w:space="0" w:color="auto"/>
            </w:tcBorders>
            <w:hideMark/>
          </w:tcPr>
          <w:p w14:paraId="590F04AA" w14:textId="77777777" w:rsidR="0094311E" w:rsidRPr="00D72405" w:rsidRDefault="0094311E" w:rsidP="002F0659">
            <w:pPr>
              <w:spacing w:before="60" w:after="60" w:line="240" w:lineRule="auto"/>
              <w:rPr>
                <w:rFonts w:eastAsia="SimSun"/>
                <w:b/>
                <w:color w:val="000000" w:themeColor="text1"/>
              </w:rPr>
            </w:pPr>
            <w:r w:rsidRPr="00D72405">
              <w:rPr>
                <w:rFonts w:eastAsia="SimSun"/>
                <w:b/>
                <w:color w:val="000000" w:themeColor="text1"/>
              </w:rPr>
              <w:t>Services Australia</w:t>
            </w:r>
          </w:p>
        </w:tc>
      </w:tr>
      <w:tr w:rsidR="0094311E" w:rsidRPr="00D72405" w14:paraId="32D27D97" w14:textId="77777777" w:rsidTr="002F0659">
        <w:trPr>
          <w:trHeight w:val="113"/>
        </w:trPr>
        <w:tc>
          <w:tcPr>
            <w:tcW w:w="7705" w:type="dxa"/>
            <w:tcBorders>
              <w:top w:val="dotted" w:sz="4" w:space="0" w:color="auto"/>
              <w:left w:val="single" w:sz="4" w:space="0" w:color="auto"/>
              <w:bottom w:val="single" w:sz="4" w:space="0" w:color="auto"/>
              <w:right w:val="single" w:sz="4" w:space="0" w:color="auto"/>
            </w:tcBorders>
            <w:hideMark/>
          </w:tcPr>
          <w:p w14:paraId="2AE5DECD" w14:textId="77777777" w:rsidR="0094311E" w:rsidRPr="00D72405" w:rsidRDefault="0094311E" w:rsidP="002F0659">
            <w:pPr>
              <w:spacing w:before="60" w:after="60" w:line="240" w:lineRule="auto"/>
              <w:rPr>
                <w:rFonts w:eastAsia="SimSun"/>
                <w:b/>
                <w:color w:val="000000" w:themeColor="text1"/>
              </w:rPr>
            </w:pPr>
            <w:r w:rsidRPr="00D72405">
              <w:rPr>
                <w:rFonts w:eastAsia="SimSun"/>
                <w:b/>
                <w:color w:val="000000" w:themeColor="text1"/>
              </w:rPr>
              <w:t>Programs</w:t>
            </w:r>
          </w:p>
          <w:p w14:paraId="4FA13444" w14:textId="77777777" w:rsidR="0094311E" w:rsidRDefault="0094311E" w:rsidP="002F0659">
            <w:pPr>
              <w:numPr>
                <w:ilvl w:val="0"/>
                <w:numId w:val="11"/>
              </w:numPr>
              <w:spacing w:before="60" w:after="60" w:line="240" w:lineRule="auto"/>
              <w:rPr>
                <w:rFonts w:eastAsia="SimSun"/>
                <w:color w:val="000000" w:themeColor="text1"/>
              </w:rPr>
            </w:pPr>
            <w:r>
              <w:rPr>
                <w:rFonts w:eastAsia="SimSun"/>
                <w:color w:val="000000" w:themeColor="text1"/>
              </w:rPr>
              <w:t xml:space="preserve">Program 1.2 – Customer Service Delivery </w:t>
            </w:r>
          </w:p>
          <w:p w14:paraId="765EEDB7" w14:textId="77777777" w:rsidR="0094311E" w:rsidRPr="00D72405" w:rsidRDefault="0094311E" w:rsidP="002F0659">
            <w:pPr>
              <w:numPr>
                <w:ilvl w:val="0"/>
                <w:numId w:val="11"/>
              </w:numPr>
              <w:spacing w:before="60" w:after="60" w:line="240" w:lineRule="auto"/>
              <w:jc w:val="left"/>
              <w:rPr>
                <w:rFonts w:eastAsia="SimSun"/>
                <w:color w:val="000000" w:themeColor="text1"/>
              </w:rPr>
            </w:pPr>
            <w:r>
              <w:rPr>
                <w:rFonts w:eastAsia="SimSun"/>
                <w:color w:val="000000" w:themeColor="text1"/>
              </w:rPr>
              <w:t>Program 1.3 – Technology and Transformation</w:t>
            </w:r>
          </w:p>
        </w:tc>
      </w:tr>
      <w:tr w:rsidR="00C53B7C" w:rsidRPr="00FF325A" w14:paraId="0CBD45B2" w14:textId="77777777" w:rsidTr="00C53B7C">
        <w:trPr>
          <w:trHeight w:val="113"/>
        </w:trPr>
        <w:tc>
          <w:tcPr>
            <w:tcW w:w="7705"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3C686A28" w14:textId="77777777" w:rsidR="00C53B7C" w:rsidRPr="00FF325A" w:rsidRDefault="00C53B7C" w:rsidP="00C53B7C">
            <w:pPr>
              <w:spacing w:before="60" w:after="60" w:line="240" w:lineRule="auto"/>
              <w:rPr>
                <w:rFonts w:eastAsia="SimSun"/>
                <w:i/>
                <w:color w:val="000000" w:themeColor="text1"/>
              </w:rPr>
            </w:pPr>
            <w:r w:rsidRPr="00FF325A">
              <w:rPr>
                <w:rFonts w:eastAsia="SimSun"/>
                <w:b/>
                <w:color w:val="000000" w:themeColor="text1"/>
              </w:rPr>
              <w:t xml:space="preserve">Tourism Australia </w:t>
            </w:r>
          </w:p>
        </w:tc>
      </w:tr>
      <w:tr w:rsidR="00C53B7C" w:rsidRPr="00FF325A" w14:paraId="6680BF7D" w14:textId="77777777" w:rsidTr="00C53B7C">
        <w:trPr>
          <w:trHeight w:val="113"/>
        </w:trPr>
        <w:tc>
          <w:tcPr>
            <w:tcW w:w="7705"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542763E0" w14:textId="77777777" w:rsidR="00C53B7C" w:rsidRPr="00FF325A" w:rsidRDefault="00C53B7C" w:rsidP="00C53B7C">
            <w:pPr>
              <w:spacing w:before="60" w:after="60" w:line="240" w:lineRule="auto"/>
              <w:rPr>
                <w:rFonts w:eastAsia="SimSun"/>
                <w:b/>
                <w:color w:val="000000" w:themeColor="text1"/>
              </w:rPr>
            </w:pPr>
            <w:r w:rsidRPr="00FF325A">
              <w:rPr>
                <w:rFonts w:eastAsia="SimSun"/>
                <w:b/>
                <w:color w:val="000000" w:themeColor="text1"/>
              </w:rPr>
              <w:t>Programs</w:t>
            </w:r>
          </w:p>
          <w:p w14:paraId="062F7AA5" w14:textId="77777777" w:rsidR="00C53B7C" w:rsidRPr="00FF325A" w:rsidRDefault="00C53B7C" w:rsidP="00091F80">
            <w:pPr>
              <w:numPr>
                <w:ilvl w:val="0"/>
                <w:numId w:val="11"/>
              </w:numPr>
              <w:spacing w:before="60" w:after="60" w:line="240" w:lineRule="auto"/>
              <w:ind w:left="714" w:hanging="357"/>
              <w:jc w:val="left"/>
              <w:rPr>
                <w:rFonts w:eastAsia="SimSun"/>
                <w:color w:val="000000" w:themeColor="text1"/>
              </w:rPr>
            </w:pPr>
            <w:r w:rsidRPr="00FF325A">
              <w:rPr>
                <w:rFonts w:eastAsia="SimSun"/>
                <w:color w:val="000000" w:themeColor="text1"/>
              </w:rPr>
              <w:t xml:space="preserve">Program 1.1 – Supporting Outcome 1 </w:t>
            </w:r>
          </w:p>
        </w:tc>
      </w:tr>
      <w:tr w:rsidR="00C53B7C" w:rsidRPr="00FF325A" w14:paraId="38B9E10B" w14:textId="77777777" w:rsidTr="00C53B7C">
        <w:trPr>
          <w:trHeight w:val="113"/>
        </w:trPr>
        <w:tc>
          <w:tcPr>
            <w:tcW w:w="7705" w:type="dxa"/>
            <w:tcBorders>
              <w:top w:val="single" w:sz="4" w:space="0" w:color="auto"/>
              <w:left w:val="single" w:sz="4" w:space="0" w:color="auto"/>
              <w:bottom w:val="single" w:sz="4" w:space="0" w:color="auto"/>
              <w:right w:val="single" w:sz="4" w:space="0" w:color="auto"/>
            </w:tcBorders>
            <w:shd w:val="clear" w:color="auto" w:fill="auto"/>
            <w:hideMark/>
          </w:tcPr>
          <w:p w14:paraId="743F1D69" w14:textId="77777777" w:rsidR="00C53B7C" w:rsidRPr="00FF325A" w:rsidRDefault="00C53B7C" w:rsidP="00C53B7C">
            <w:pPr>
              <w:spacing w:before="60" w:after="60" w:line="240" w:lineRule="auto"/>
              <w:rPr>
                <w:rFonts w:eastAsia="SimSun"/>
                <w:b/>
                <w:color w:val="000000" w:themeColor="text1"/>
              </w:rPr>
            </w:pPr>
            <w:r w:rsidRPr="00FF325A">
              <w:rPr>
                <w:rFonts w:eastAsia="SimSun"/>
                <w:b/>
                <w:color w:val="000000" w:themeColor="text1"/>
              </w:rPr>
              <w:t>Contribution to Outcome 1 made by linked programs</w:t>
            </w:r>
          </w:p>
          <w:p w14:paraId="345840C7" w14:textId="4FE99E4C" w:rsidR="00C53B7C" w:rsidRPr="00FF325A" w:rsidRDefault="00C53B7C" w:rsidP="00C53B7C">
            <w:pPr>
              <w:spacing w:before="60" w:after="60" w:line="240" w:lineRule="auto"/>
              <w:rPr>
                <w:rFonts w:eastAsia="SimSun"/>
                <w:i/>
                <w:color w:val="000000" w:themeColor="text1"/>
              </w:rPr>
            </w:pPr>
            <w:r w:rsidRPr="00FF325A">
              <w:rPr>
                <w:rFonts w:eastAsia="SimSun" w:cs="Arial"/>
                <w:color w:val="000000" w:themeColor="text1"/>
              </w:rPr>
              <w:t>Australia maintains a whole-of-government approach in the pursuit of foreign trade and investment, tourism, development and international security interests abroad. DFAT is supported by partner agencies in its associated leadership, advocacy and coordination roles at overseas missions.</w:t>
            </w:r>
          </w:p>
        </w:tc>
      </w:tr>
    </w:tbl>
    <w:p w14:paraId="7ECBF84A" w14:textId="4EA7F266" w:rsidR="005E54A3" w:rsidRPr="00C53B7C" w:rsidRDefault="005E54A3" w:rsidP="00B86CCD"/>
    <w:p w14:paraId="7201359A" w14:textId="20DEABCA" w:rsidR="00B86CCD" w:rsidRPr="00E26389" w:rsidRDefault="00F00984" w:rsidP="00F00984">
      <w:pPr>
        <w:pStyle w:val="Heading5"/>
        <w:rPr>
          <w:b/>
          <w:bCs w:val="0"/>
        </w:rPr>
      </w:pPr>
      <w:r>
        <w:br w:type="page"/>
      </w:r>
      <w:r w:rsidR="00B86CCD" w:rsidRPr="00E26389">
        <w:rPr>
          <w:b/>
          <w:bCs w:val="0"/>
        </w:rPr>
        <w:t xml:space="preserve">Budgeted expenses for Outcome </w:t>
      </w:r>
      <w:r w:rsidR="00C53B7C" w:rsidRPr="00E26389">
        <w:rPr>
          <w:b/>
          <w:bCs w:val="0"/>
        </w:rPr>
        <w:t>1</w:t>
      </w:r>
    </w:p>
    <w:p w14:paraId="33724590"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41E37F74" w14:textId="4237BBE8" w:rsidR="006E4DF1" w:rsidRPr="00C53B7C" w:rsidRDefault="006E4DF1" w:rsidP="00C53B7C">
      <w:pPr>
        <w:pStyle w:val="TableHeading"/>
        <w:rPr>
          <w:lang w:val="en-AU"/>
        </w:rPr>
      </w:pPr>
      <w:r w:rsidRPr="00C53B7C">
        <w:t>Table 2.</w:t>
      </w:r>
      <w:r w:rsidR="00C53B7C">
        <w:rPr>
          <w:lang w:val="en-AU"/>
        </w:rPr>
        <w:t>1</w:t>
      </w:r>
      <w:r w:rsidRPr="00C53B7C">
        <w:t xml:space="preserve">.1: Budgeted expenses for Outcome </w:t>
      </w:r>
      <w:r w:rsidR="00C53B7C">
        <w:rPr>
          <w:lang w:val="en-AU"/>
        </w:rPr>
        <w:t>1</w:t>
      </w:r>
    </w:p>
    <w:p w14:paraId="4F9D4C52" w14:textId="0FA53793" w:rsidR="00DF2C5D" w:rsidRDefault="00E34D7D" w:rsidP="00DF2C5D">
      <w:pPr>
        <w:pStyle w:val="TableHeading"/>
      </w:pPr>
      <w:r w:rsidRPr="00E34D7D">
        <w:rPr>
          <w:noProof/>
        </w:rPr>
        <w:drawing>
          <wp:inline distT="0" distB="0" distL="0" distR="0" wp14:anchorId="3655FEE0" wp14:editId="6A779DE6">
            <wp:extent cx="4895850" cy="4905375"/>
            <wp:effectExtent l="0" t="0" r="0"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95850" cy="4905375"/>
                    </a:xfrm>
                    <a:prstGeom prst="rect">
                      <a:avLst/>
                    </a:prstGeom>
                    <a:noFill/>
                    <a:ln>
                      <a:noFill/>
                    </a:ln>
                  </pic:spPr>
                </pic:pic>
              </a:graphicData>
            </a:graphic>
          </wp:inline>
        </w:drawing>
      </w:r>
    </w:p>
    <w:p w14:paraId="4F1F5006" w14:textId="77777777" w:rsidR="00C53B7C" w:rsidRPr="00C53B7C" w:rsidRDefault="00C53B7C" w:rsidP="00C354BB">
      <w:pPr>
        <w:pStyle w:val="Source"/>
      </w:pPr>
      <w:r w:rsidRPr="00C53B7C">
        <w:t xml:space="preserve">Table </w:t>
      </w:r>
      <w:proofErr w:type="gramStart"/>
      <w:r w:rsidRPr="00C53B7C">
        <w:t>continued on</w:t>
      </w:r>
      <w:proofErr w:type="gramEnd"/>
      <w:r w:rsidRPr="00C53B7C">
        <w:t xml:space="preserve"> the next page. </w:t>
      </w:r>
    </w:p>
    <w:p w14:paraId="094B702D" w14:textId="77777777" w:rsidR="00DF2C5D" w:rsidRDefault="00DF2C5D" w:rsidP="00DF2C5D"/>
    <w:p w14:paraId="2E1B2C04" w14:textId="2304B02B" w:rsidR="00DF2C5D" w:rsidRDefault="00C91347" w:rsidP="00AD42E2">
      <w:pPr>
        <w:pStyle w:val="TableHeading"/>
        <w:rPr>
          <w:lang w:val="en-AU"/>
        </w:rPr>
      </w:pPr>
      <w:r>
        <w:br w:type="page"/>
      </w:r>
      <w:r w:rsidR="00DF2C5D">
        <w:t>Table 2.</w:t>
      </w:r>
      <w:r w:rsidR="00C53B7C">
        <w:rPr>
          <w:lang w:val="en-AU"/>
        </w:rPr>
        <w:t>1</w:t>
      </w:r>
      <w:r w:rsidR="00DF2C5D">
        <w:t xml:space="preserve">.1: Budgeted expenses for Outcome </w:t>
      </w:r>
      <w:r w:rsidR="00C53B7C">
        <w:rPr>
          <w:lang w:val="en-AU"/>
        </w:rPr>
        <w:t>1</w:t>
      </w:r>
      <w:r>
        <w:rPr>
          <w:lang w:val="en-AU"/>
        </w:rPr>
        <w:t xml:space="preserve"> (continued)</w:t>
      </w:r>
    </w:p>
    <w:p w14:paraId="63745BBC" w14:textId="36976CD2" w:rsidR="00C91347" w:rsidRDefault="00E34D7D" w:rsidP="00B92B09">
      <w:pPr>
        <w:pStyle w:val="TableGraphic"/>
      </w:pPr>
      <w:r w:rsidRPr="00E34D7D">
        <w:rPr>
          <w:noProof/>
        </w:rPr>
        <w:drawing>
          <wp:inline distT="0" distB="0" distL="0" distR="0" wp14:anchorId="33DC234A" wp14:editId="0C3AC8D3">
            <wp:extent cx="4895850" cy="533527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95850" cy="5335270"/>
                    </a:xfrm>
                    <a:prstGeom prst="rect">
                      <a:avLst/>
                    </a:prstGeom>
                    <a:noFill/>
                    <a:ln>
                      <a:noFill/>
                    </a:ln>
                  </pic:spPr>
                </pic:pic>
              </a:graphicData>
            </a:graphic>
          </wp:inline>
        </w:drawing>
      </w:r>
    </w:p>
    <w:p w14:paraId="20EFAEA2" w14:textId="77777777" w:rsidR="00C53B7C" w:rsidRPr="00C53B7C" w:rsidRDefault="00C53B7C" w:rsidP="00C354BB">
      <w:pPr>
        <w:pStyle w:val="Source"/>
      </w:pPr>
      <w:r w:rsidRPr="00C53B7C">
        <w:t xml:space="preserve">Table </w:t>
      </w:r>
      <w:proofErr w:type="gramStart"/>
      <w:r w:rsidRPr="00C53B7C">
        <w:t>continued on</w:t>
      </w:r>
      <w:proofErr w:type="gramEnd"/>
      <w:r w:rsidRPr="00C53B7C">
        <w:t xml:space="preserve"> the next page. </w:t>
      </w:r>
    </w:p>
    <w:p w14:paraId="01F023AD" w14:textId="1CEF140D" w:rsidR="00AD42E2" w:rsidRDefault="00221972" w:rsidP="00221972">
      <w:pPr>
        <w:pStyle w:val="TableHeadingcontinued"/>
      </w:pPr>
      <w:r w:rsidRPr="00221972">
        <w:br w:type="page"/>
      </w:r>
      <w:r w:rsidR="00AD42E2" w:rsidRPr="00AD42E2">
        <w:t>Table 2.</w:t>
      </w:r>
      <w:r w:rsidR="00C53B7C">
        <w:t>1</w:t>
      </w:r>
      <w:r w:rsidR="00AD42E2" w:rsidRPr="00AD42E2">
        <w:t xml:space="preserve">.1: Budgeted expenses for Outcome </w:t>
      </w:r>
      <w:r w:rsidR="00C53B7C">
        <w:t>1</w:t>
      </w:r>
      <w:r w:rsidR="00C91347">
        <w:t xml:space="preserve"> (continued)</w:t>
      </w:r>
    </w:p>
    <w:p w14:paraId="7495584B" w14:textId="270BC543" w:rsidR="00C91347" w:rsidRDefault="00E34D7D" w:rsidP="00B92B09">
      <w:pPr>
        <w:pStyle w:val="TableGraphic"/>
      </w:pPr>
      <w:r w:rsidRPr="00E34D7D">
        <w:rPr>
          <w:noProof/>
        </w:rPr>
        <w:drawing>
          <wp:inline distT="0" distB="0" distL="0" distR="0" wp14:anchorId="41DB33DB" wp14:editId="061AC53C">
            <wp:extent cx="4895850" cy="3345180"/>
            <wp:effectExtent l="0" t="0" r="0" b="762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95850" cy="3345180"/>
                    </a:xfrm>
                    <a:prstGeom prst="rect">
                      <a:avLst/>
                    </a:prstGeom>
                    <a:noFill/>
                    <a:ln>
                      <a:noFill/>
                    </a:ln>
                  </pic:spPr>
                </pic:pic>
              </a:graphicData>
            </a:graphic>
          </wp:inline>
        </w:drawing>
      </w:r>
    </w:p>
    <w:p w14:paraId="29A2F8CC" w14:textId="77777777" w:rsidR="00DF6A20" w:rsidRDefault="00DF6A20" w:rsidP="00DF6A20">
      <w:pPr>
        <w:pStyle w:val="ChartandTableFootnoteAlpha"/>
        <w:numPr>
          <w:ilvl w:val="0"/>
          <w:numId w:val="7"/>
        </w:numPr>
      </w:pPr>
      <w:r w:rsidRPr="00950281">
        <w:t>E</w:t>
      </w:r>
      <w:r>
        <w:t>stimated e</w:t>
      </w:r>
      <w:r w:rsidRPr="00950281">
        <w:t xml:space="preserve">xpenses </w:t>
      </w:r>
      <w:r>
        <w:t>not requiring appropriation in the Budget year relate to the Export Finance Australia administrative fee.</w:t>
      </w:r>
    </w:p>
    <w:p w14:paraId="6C2F7DBA" w14:textId="77777777" w:rsidR="00DF6A20" w:rsidRPr="00950281" w:rsidRDefault="00DF6A20" w:rsidP="00DF6A20">
      <w:pPr>
        <w:pStyle w:val="ChartandTableFootnoteAlpha"/>
        <w:numPr>
          <w:ilvl w:val="0"/>
          <w:numId w:val="7"/>
        </w:numPr>
      </w:pPr>
      <w:r>
        <w:t xml:space="preserve">Departmental appropriation combines ordinary annual services (Appropriation Bill No. 1) and estimated receipts retained under section 74 of the </w:t>
      </w:r>
      <w:r w:rsidRPr="000C5E3E">
        <w:rPr>
          <w:i/>
          <w:iCs/>
        </w:rPr>
        <w:t>PGPA Act 2013</w:t>
      </w:r>
      <w:r>
        <w:t>.</w:t>
      </w:r>
    </w:p>
    <w:p w14:paraId="74F73DAE" w14:textId="77777777" w:rsidR="00DF6A20" w:rsidRDefault="00DF6A20" w:rsidP="00DF6A20">
      <w:pPr>
        <w:pStyle w:val="ChartandTableFootnoteAlpha"/>
      </w:pPr>
      <w:r w:rsidRPr="00950281">
        <w:t>Expenses not requiring appropriation in the Budget year are made up of depreciation expenses, amortisation expenses, make good expenses, audit fees</w:t>
      </w:r>
      <w:r>
        <w:t>, concessional costs for loans, finance costs and impairment of financial instruments</w:t>
      </w:r>
      <w:r w:rsidRPr="00950281">
        <w:t>.</w:t>
      </w:r>
    </w:p>
    <w:p w14:paraId="4C0638D1" w14:textId="77777777" w:rsidR="00DF6A20" w:rsidRPr="000C5E3E" w:rsidRDefault="00DF6A20" w:rsidP="00DF6A20">
      <w:pPr>
        <w:pStyle w:val="ChartandTableFootnoteAlpha"/>
      </w:pPr>
      <w:r>
        <w:t>Expenses not requiring appropriation in the Budget year relates to the concessional investment discount for the discounting of the investment component for the International Development Association and for new commitments to the International Development Association, the Asian Development Fund, the Global Environment Facility and the Montreal Protocol Multilateral Fund.</w:t>
      </w:r>
    </w:p>
    <w:p w14:paraId="54DEEAB1" w14:textId="77777777" w:rsidR="00B86CCD" w:rsidRPr="00446612" w:rsidRDefault="00B86CCD" w:rsidP="009763C1">
      <w:pPr>
        <w:pStyle w:val="ChartandTableFootnote"/>
      </w:pPr>
      <w:r w:rsidRPr="00446612">
        <w:t>Note: Departmental appropriation splits and totals are indicative estimates and may change in the course of the budget year as government priorities change.</w:t>
      </w:r>
    </w:p>
    <w:p w14:paraId="0D031F03" w14:textId="35FF0A71" w:rsidR="008E5BB7" w:rsidRPr="00C53B7C" w:rsidRDefault="00B166C6" w:rsidP="00B92B09">
      <w:pPr>
        <w:spacing w:after="0"/>
        <w:rPr>
          <w:b/>
        </w:rPr>
      </w:pPr>
      <w:r>
        <w:rPr>
          <w:highlight w:val="yellow"/>
        </w:rPr>
        <w:br w:type="page"/>
      </w:r>
      <w:r w:rsidR="00C854F5" w:rsidRPr="00B166C6">
        <w:rPr>
          <w:rStyle w:val="TableHeadingChar"/>
        </w:rPr>
        <w:t>Table 2.</w:t>
      </w:r>
      <w:r w:rsidR="00C53B7C">
        <w:rPr>
          <w:rStyle w:val="TableHeadingChar"/>
          <w:lang w:val="en-AU"/>
        </w:rPr>
        <w:t>1</w:t>
      </w:r>
      <w:r w:rsidR="00446612" w:rsidRPr="00B166C6">
        <w:rPr>
          <w:rStyle w:val="TableHeadingChar"/>
        </w:rPr>
        <w:t>.2</w:t>
      </w:r>
      <w:r w:rsidR="00210874" w:rsidRPr="00B166C6">
        <w:rPr>
          <w:rStyle w:val="TableHeadingChar"/>
        </w:rPr>
        <w:t xml:space="preserve">: </w:t>
      </w:r>
      <w:r w:rsidR="008E5BB7" w:rsidRPr="00B166C6">
        <w:rPr>
          <w:rStyle w:val="TableHeadingChar"/>
        </w:rPr>
        <w:t xml:space="preserve">Program components of Outcome </w:t>
      </w:r>
      <w:r w:rsidR="00C53B7C">
        <w:rPr>
          <w:rStyle w:val="TableHeadingChar"/>
          <w:lang w:val="en-AU"/>
        </w:rPr>
        <w:t>1</w:t>
      </w:r>
      <w:r w:rsidR="008E5BB7">
        <w:t xml:space="preserve"> </w:t>
      </w:r>
    </w:p>
    <w:p w14:paraId="4BC96EBC" w14:textId="79CB2843" w:rsidR="00C978F2" w:rsidRDefault="0022742C" w:rsidP="00B92B09">
      <w:pPr>
        <w:pStyle w:val="TableGraphic"/>
      </w:pPr>
      <w:r w:rsidRPr="0022742C">
        <w:rPr>
          <w:noProof/>
        </w:rPr>
        <w:drawing>
          <wp:inline distT="0" distB="0" distL="0" distR="0" wp14:anchorId="5706695A" wp14:editId="45C03557">
            <wp:extent cx="488632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86325" cy="6848475"/>
                    </a:xfrm>
                    <a:prstGeom prst="rect">
                      <a:avLst/>
                    </a:prstGeom>
                    <a:noFill/>
                    <a:ln>
                      <a:noFill/>
                    </a:ln>
                  </pic:spPr>
                </pic:pic>
              </a:graphicData>
            </a:graphic>
          </wp:inline>
        </w:drawing>
      </w:r>
    </w:p>
    <w:p w14:paraId="667235ED" w14:textId="77777777" w:rsidR="009D179D" w:rsidRPr="00C53B7C" w:rsidRDefault="009D179D" w:rsidP="009D179D">
      <w:pPr>
        <w:pStyle w:val="ChartandTableFootnoteAlpha"/>
        <w:numPr>
          <w:ilvl w:val="0"/>
          <w:numId w:val="0"/>
        </w:numPr>
        <w:ind w:left="284" w:hanging="284"/>
      </w:pPr>
      <w:r w:rsidRPr="00C53B7C">
        <w:t xml:space="preserve">Table </w:t>
      </w:r>
      <w:proofErr w:type="gramStart"/>
      <w:r w:rsidRPr="00C53B7C">
        <w:t>continued on</w:t>
      </w:r>
      <w:proofErr w:type="gramEnd"/>
      <w:r w:rsidRPr="00C53B7C">
        <w:t xml:space="preserve"> the next page. </w:t>
      </w:r>
    </w:p>
    <w:p w14:paraId="2E70C5D6" w14:textId="2534E330" w:rsidR="00353273" w:rsidRDefault="00353273">
      <w:pPr>
        <w:spacing w:after="0" w:line="240" w:lineRule="auto"/>
        <w:jc w:val="left"/>
      </w:pPr>
      <w:r>
        <w:br w:type="page"/>
      </w:r>
    </w:p>
    <w:p w14:paraId="7CFBB48A" w14:textId="4C7E853A" w:rsidR="00353273" w:rsidRPr="00353273" w:rsidRDefault="00353273" w:rsidP="00353273">
      <w:pPr>
        <w:spacing w:after="0"/>
        <w:rPr>
          <w:rStyle w:val="TableHeadingChar"/>
          <w:b w:val="0"/>
        </w:rPr>
      </w:pPr>
      <w:r w:rsidRPr="00B166C6">
        <w:rPr>
          <w:rStyle w:val="TableHeadingChar"/>
        </w:rPr>
        <w:t>Table 2.</w:t>
      </w:r>
      <w:r>
        <w:rPr>
          <w:rStyle w:val="TableHeadingChar"/>
          <w:lang w:val="en-AU"/>
        </w:rPr>
        <w:t>1</w:t>
      </w:r>
      <w:r w:rsidRPr="00B166C6">
        <w:rPr>
          <w:rStyle w:val="TableHeadingChar"/>
        </w:rPr>
        <w:t xml:space="preserve">.2: Program components of Outcome </w:t>
      </w:r>
      <w:r w:rsidRPr="00353273">
        <w:rPr>
          <w:rStyle w:val="TableHeadingChar"/>
        </w:rPr>
        <w:t>1 (continued)</w:t>
      </w:r>
    </w:p>
    <w:p w14:paraId="5F4A1C99" w14:textId="1761F807" w:rsidR="00353273" w:rsidRDefault="00E34D7D" w:rsidP="00353273">
      <w:pPr>
        <w:pStyle w:val="TableGraphic"/>
      </w:pPr>
      <w:r w:rsidRPr="00E34D7D">
        <w:rPr>
          <w:noProof/>
        </w:rPr>
        <w:drawing>
          <wp:inline distT="0" distB="0" distL="0" distR="0" wp14:anchorId="4DCE1263" wp14:editId="2BEBFD52">
            <wp:extent cx="4886325" cy="450532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86325" cy="4505325"/>
                    </a:xfrm>
                    <a:prstGeom prst="rect">
                      <a:avLst/>
                    </a:prstGeom>
                    <a:noFill/>
                    <a:ln>
                      <a:noFill/>
                    </a:ln>
                  </pic:spPr>
                </pic:pic>
              </a:graphicData>
            </a:graphic>
          </wp:inline>
        </w:drawing>
      </w:r>
    </w:p>
    <w:p w14:paraId="2BEF0F03" w14:textId="77777777" w:rsidR="009D179D" w:rsidRPr="00C53B7C" w:rsidRDefault="009D179D" w:rsidP="009D179D">
      <w:pPr>
        <w:pStyle w:val="ChartandTableFootnoteAlpha"/>
        <w:numPr>
          <w:ilvl w:val="0"/>
          <w:numId w:val="0"/>
        </w:numPr>
        <w:ind w:left="284" w:hanging="284"/>
      </w:pPr>
      <w:r w:rsidRPr="00C53B7C">
        <w:t xml:space="preserve">Table </w:t>
      </w:r>
      <w:proofErr w:type="gramStart"/>
      <w:r w:rsidRPr="00C53B7C">
        <w:t>continued on</w:t>
      </w:r>
      <w:proofErr w:type="gramEnd"/>
      <w:r w:rsidRPr="00C53B7C">
        <w:t xml:space="preserve"> the next page. </w:t>
      </w:r>
    </w:p>
    <w:p w14:paraId="211FB482" w14:textId="4C2E19DA" w:rsidR="00353273" w:rsidRDefault="00353273">
      <w:pPr>
        <w:spacing w:after="0" w:line="240" w:lineRule="auto"/>
        <w:jc w:val="left"/>
      </w:pPr>
      <w:r>
        <w:br w:type="page"/>
      </w:r>
    </w:p>
    <w:p w14:paraId="3FFBB7B4" w14:textId="37A38C48" w:rsidR="00353273" w:rsidRDefault="00353273" w:rsidP="00353273">
      <w:pPr>
        <w:spacing w:after="0"/>
        <w:rPr>
          <w:rStyle w:val="TableHeadingChar"/>
        </w:rPr>
      </w:pPr>
      <w:r w:rsidRPr="00B166C6">
        <w:rPr>
          <w:rStyle w:val="TableHeadingChar"/>
        </w:rPr>
        <w:t>Table 2.</w:t>
      </w:r>
      <w:r>
        <w:rPr>
          <w:rStyle w:val="TableHeadingChar"/>
          <w:lang w:val="en-AU"/>
        </w:rPr>
        <w:t>1</w:t>
      </w:r>
      <w:r w:rsidRPr="00B166C6">
        <w:rPr>
          <w:rStyle w:val="TableHeadingChar"/>
        </w:rPr>
        <w:t xml:space="preserve">.2: Program components of Outcome </w:t>
      </w:r>
      <w:r w:rsidRPr="00353273">
        <w:rPr>
          <w:rStyle w:val="TableHeadingChar"/>
        </w:rPr>
        <w:t>1 (continued)</w:t>
      </w:r>
    </w:p>
    <w:p w14:paraId="36C34E9B" w14:textId="656B0778" w:rsidR="00353273" w:rsidRDefault="00E34D7D" w:rsidP="00353273">
      <w:pPr>
        <w:pStyle w:val="TableGraphic"/>
      </w:pPr>
      <w:r w:rsidRPr="00E34D7D">
        <w:rPr>
          <w:noProof/>
        </w:rPr>
        <w:drawing>
          <wp:inline distT="0" distB="0" distL="0" distR="0" wp14:anchorId="203FAED6" wp14:editId="6CCF3D2E">
            <wp:extent cx="4886325" cy="545782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86325" cy="5457825"/>
                    </a:xfrm>
                    <a:prstGeom prst="rect">
                      <a:avLst/>
                    </a:prstGeom>
                    <a:noFill/>
                    <a:ln>
                      <a:noFill/>
                    </a:ln>
                  </pic:spPr>
                </pic:pic>
              </a:graphicData>
            </a:graphic>
          </wp:inline>
        </w:drawing>
      </w:r>
    </w:p>
    <w:p w14:paraId="53BE7D4B" w14:textId="48A140B8" w:rsidR="00755D03" w:rsidRDefault="00755D03" w:rsidP="00755D03">
      <w:pPr>
        <w:pStyle w:val="Source"/>
        <w:numPr>
          <w:ilvl w:val="0"/>
          <w:numId w:val="62"/>
        </w:numPr>
      </w:pPr>
      <w:r>
        <w:t xml:space="preserve">In addition to the </w:t>
      </w:r>
      <w:r w:rsidRPr="00755D03">
        <w:rPr>
          <w:i/>
          <w:iCs/>
        </w:rPr>
        <w:t>Australian support for India</w:t>
      </w:r>
      <w:r>
        <w:t>, emergency medical supplies were provided in assistance to India through the Department of Health.</w:t>
      </w:r>
    </w:p>
    <w:p w14:paraId="7D411175" w14:textId="02B0CD3E" w:rsidR="009D179D" w:rsidRPr="00C53B7C" w:rsidRDefault="009D179D" w:rsidP="00C354BB">
      <w:pPr>
        <w:pStyle w:val="Source"/>
      </w:pPr>
      <w:r w:rsidRPr="00C53B7C">
        <w:t xml:space="preserve">Table </w:t>
      </w:r>
      <w:proofErr w:type="gramStart"/>
      <w:r w:rsidRPr="00C53B7C">
        <w:t>continued on</w:t>
      </w:r>
      <w:proofErr w:type="gramEnd"/>
      <w:r w:rsidRPr="00C53B7C">
        <w:t xml:space="preserve"> the next page. </w:t>
      </w:r>
    </w:p>
    <w:p w14:paraId="1FA2ACD8" w14:textId="61279426" w:rsidR="00353273" w:rsidRDefault="00353273">
      <w:pPr>
        <w:spacing w:after="0" w:line="240" w:lineRule="auto"/>
        <w:jc w:val="left"/>
      </w:pPr>
      <w:r>
        <w:br w:type="page"/>
      </w:r>
    </w:p>
    <w:p w14:paraId="6BC258A2" w14:textId="03F980DB" w:rsidR="00353273" w:rsidRDefault="00353273" w:rsidP="00353273">
      <w:pPr>
        <w:spacing w:after="0"/>
        <w:rPr>
          <w:rStyle w:val="TableHeadingChar"/>
        </w:rPr>
      </w:pPr>
      <w:r w:rsidRPr="00B166C6">
        <w:rPr>
          <w:rStyle w:val="TableHeadingChar"/>
        </w:rPr>
        <w:t>Table 2.</w:t>
      </w:r>
      <w:r w:rsidRPr="003C05E3">
        <w:rPr>
          <w:rStyle w:val="TableHeadingChar"/>
        </w:rPr>
        <w:t>1</w:t>
      </w:r>
      <w:r w:rsidRPr="00B166C6">
        <w:rPr>
          <w:rStyle w:val="TableHeadingChar"/>
        </w:rPr>
        <w:t xml:space="preserve">.2: Program components of Outcome </w:t>
      </w:r>
      <w:r w:rsidRPr="00353273">
        <w:rPr>
          <w:rStyle w:val="TableHeadingChar"/>
        </w:rPr>
        <w:t>1 (continued)</w:t>
      </w:r>
    </w:p>
    <w:p w14:paraId="56A66B11" w14:textId="703B394D" w:rsidR="003C05E3" w:rsidRDefault="00E34D7D" w:rsidP="003C05E3">
      <w:pPr>
        <w:pStyle w:val="TableGraphic"/>
        <w:rPr>
          <w:b/>
        </w:rPr>
      </w:pPr>
      <w:r w:rsidRPr="00E34D7D">
        <w:rPr>
          <w:noProof/>
        </w:rPr>
        <w:drawing>
          <wp:inline distT="0" distB="0" distL="0" distR="0" wp14:anchorId="0DD76016" wp14:editId="2A8FF874">
            <wp:extent cx="4886325" cy="200977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86325" cy="2009775"/>
                    </a:xfrm>
                    <a:prstGeom prst="rect">
                      <a:avLst/>
                    </a:prstGeom>
                    <a:noFill/>
                    <a:ln>
                      <a:noFill/>
                    </a:ln>
                  </pic:spPr>
                </pic:pic>
              </a:graphicData>
            </a:graphic>
          </wp:inline>
        </w:drawing>
      </w:r>
    </w:p>
    <w:p w14:paraId="5A364D1A" w14:textId="77777777" w:rsidR="003C05E3" w:rsidRPr="003C05E3" w:rsidRDefault="003C05E3" w:rsidP="003C05E3"/>
    <w:p w14:paraId="19CF2A27" w14:textId="29AF632D" w:rsidR="00353273" w:rsidRDefault="00E34D7D" w:rsidP="00353273">
      <w:pPr>
        <w:pStyle w:val="TableGraphic"/>
      </w:pPr>
      <w:r w:rsidRPr="00E34D7D">
        <w:rPr>
          <w:noProof/>
        </w:rPr>
        <w:drawing>
          <wp:inline distT="0" distB="0" distL="0" distR="0" wp14:anchorId="6348F42B" wp14:editId="1D0A280E">
            <wp:extent cx="4886325" cy="172402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86325" cy="1724025"/>
                    </a:xfrm>
                    <a:prstGeom prst="rect">
                      <a:avLst/>
                    </a:prstGeom>
                    <a:noFill/>
                    <a:ln>
                      <a:noFill/>
                    </a:ln>
                  </pic:spPr>
                </pic:pic>
              </a:graphicData>
            </a:graphic>
          </wp:inline>
        </w:drawing>
      </w:r>
    </w:p>
    <w:p w14:paraId="51219F2C" w14:textId="7373D068" w:rsidR="0048324E" w:rsidRDefault="0048324E" w:rsidP="0048324E"/>
    <w:p w14:paraId="3D0F1F3E" w14:textId="518E6F6F" w:rsidR="003C05E3" w:rsidRDefault="003C05E3" w:rsidP="0048324E"/>
    <w:p w14:paraId="4BAEC80E" w14:textId="0498C79A" w:rsidR="003C05E3" w:rsidRPr="0048324E" w:rsidRDefault="003C05E3" w:rsidP="0048324E"/>
    <w:p w14:paraId="5B12072D" w14:textId="5EC83BA3" w:rsidR="00C854F5" w:rsidRPr="00C53B7C" w:rsidRDefault="00202925" w:rsidP="00E5444F">
      <w:pPr>
        <w:pStyle w:val="TableHeading"/>
        <w:rPr>
          <w:lang w:val="en-AU"/>
        </w:rPr>
      </w:pPr>
      <w:bookmarkStart w:id="97" w:name="_Toc190682315"/>
      <w:bookmarkStart w:id="98" w:name="_Toc190682532"/>
      <w:bookmarkEnd w:id="72"/>
      <w:bookmarkEnd w:id="73"/>
      <w:r>
        <w:rPr>
          <w:highlight w:val="yellow"/>
          <w:lang w:val="en-US"/>
        </w:rPr>
        <w:br w:type="page"/>
      </w:r>
      <w:r w:rsidR="008E5BB7" w:rsidRPr="00F71634">
        <w:t>Table 2.</w:t>
      </w:r>
      <w:r w:rsidR="00C53B7C">
        <w:rPr>
          <w:lang w:val="en-AU"/>
        </w:rPr>
        <w:t>1</w:t>
      </w:r>
      <w:r w:rsidR="008E5BB7" w:rsidRPr="00F71634">
        <w:t xml:space="preserve">.3: Performance </w:t>
      </w:r>
      <w:r w:rsidR="001A50DE">
        <w:rPr>
          <w:lang w:val="en-AU"/>
        </w:rPr>
        <w:t>measure</w:t>
      </w:r>
      <w:r w:rsidR="001A50DE" w:rsidRPr="00F71634">
        <w:t xml:space="preserve"> </w:t>
      </w:r>
      <w:r w:rsidR="008E5BB7" w:rsidRPr="00F71634">
        <w:t xml:space="preserve">for Outcome </w:t>
      </w:r>
      <w:r w:rsidR="00C53B7C">
        <w:rPr>
          <w:lang w:val="en-AU"/>
        </w:rPr>
        <w:t>1</w:t>
      </w:r>
    </w:p>
    <w:p w14:paraId="6536E189" w14:textId="23660A95" w:rsidR="00691E49" w:rsidRPr="00F71634" w:rsidRDefault="00E12264" w:rsidP="00FE0767">
      <w:r w:rsidRPr="001B2F81">
        <w:t>Table 2.</w:t>
      </w:r>
      <w:r w:rsidR="00C53B7C">
        <w:t>1</w:t>
      </w:r>
      <w:r w:rsidRPr="001B2F81">
        <w:t>.</w:t>
      </w:r>
      <w:r>
        <w:t>3</w:t>
      </w:r>
      <w:r w:rsidRPr="001B2F81">
        <w:t xml:space="preserve"> details the performance measures for each program associated with Outcome</w:t>
      </w:r>
      <w:r w:rsidR="003D7DC8">
        <w:t> </w:t>
      </w:r>
      <w:r w:rsidR="00C53B7C">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310FAE">
        <w:t>–</w:t>
      </w:r>
      <w:r>
        <w:t>23</w:t>
      </w:r>
      <w:r w:rsidRPr="001B2F81">
        <w:t xml:space="preserve"> Budget measures that have created new programs or materially changed existing programs </w:t>
      </w:r>
      <w:r>
        <w:t>are</w:t>
      </w:r>
      <w:r w:rsidRPr="001B2F81">
        <w:t xml:space="preserv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tblGrid>
      <w:tr w:rsidR="00E12264" w:rsidRPr="001B2F81" w14:paraId="38317F37" w14:textId="77777777" w:rsidTr="00AA75BF">
        <w:trPr>
          <w:trHeight w:val="569"/>
          <w:tblHeader/>
        </w:trPr>
        <w:tc>
          <w:tcPr>
            <w:tcW w:w="7796" w:type="dxa"/>
            <w:gridSpan w:val="2"/>
            <w:shd w:val="clear" w:color="auto" w:fill="F2F2F2"/>
          </w:tcPr>
          <w:bookmarkEnd w:id="97"/>
          <w:bookmarkEnd w:id="98"/>
          <w:p w14:paraId="71ED5061" w14:textId="3E84FF2D" w:rsidR="00E12264" w:rsidRPr="00C41058" w:rsidRDefault="00E12264" w:rsidP="00C41058">
            <w:pPr>
              <w:pStyle w:val="TableColumnHeadingLeft"/>
            </w:pPr>
            <w:r w:rsidRPr="00C41058">
              <w:rPr>
                <w:rStyle w:val="TableHeadingChar"/>
                <w:b/>
              </w:rPr>
              <w:t xml:space="preserve">Outcome </w:t>
            </w:r>
            <w:r w:rsidR="00C53B7C" w:rsidRPr="00EF57EA">
              <w:t>1 – The advancement of Australia’s international strategic, security and economic interests including through bilateral, regional and multilateral engagement on Australian Government foreign, trade and international development policy priorities</w:t>
            </w:r>
            <w:r w:rsidR="00C53B7C" w:rsidRPr="00C41058">
              <w:rPr>
                <w:rStyle w:val="TableHeadingChar"/>
                <w:b/>
              </w:rPr>
              <w:t xml:space="preserve"> </w:t>
            </w:r>
          </w:p>
        </w:tc>
      </w:tr>
      <w:tr w:rsidR="00E12264" w:rsidRPr="001B2F81" w14:paraId="5F1945BA" w14:textId="77777777" w:rsidTr="00AA75BF">
        <w:trPr>
          <w:trHeight w:val="522"/>
          <w:tblHeader/>
        </w:trPr>
        <w:tc>
          <w:tcPr>
            <w:tcW w:w="7796" w:type="dxa"/>
            <w:gridSpan w:val="2"/>
            <w:tcBorders>
              <w:bottom w:val="single" w:sz="4" w:space="0" w:color="auto"/>
            </w:tcBorders>
            <w:shd w:val="clear" w:color="auto" w:fill="F2F2F2"/>
          </w:tcPr>
          <w:p w14:paraId="7F1B8DBB" w14:textId="0C2585A0" w:rsidR="00E12264" w:rsidRPr="00A311FC" w:rsidRDefault="00E12264" w:rsidP="00C53B7C">
            <w:pPr>
              <w:pStyle w:val="TableTextLeft"/>
            </w:pPr>
            <w:r w:rsidRPr="00A311FC">
              <w:rPr>
                <w:b/>
              </w:rPr>
              <w:t xml:space="preserve">Program </w:t>
            </w:r>
            <w:r w:rsidR="00C53B7C" w:rsidRPr="00A311FC">
              <w:rPr>
                <w:b/>
              </w:rPr>
              <w:t>1</w:t>
            </w:r>
            <w:r w:rsidRPr="00A311FC">
              <w:rPr>
                <w:b/>
              </w:rPr>
              <w:t>.</w:t>
            </w:r>
            <w:r w:rsidR="00C53B7C" w:rsidRPr="00A311FC">
              <w:rPr>
                <w:b/>
              </w:rPr>
              <w:t xml:space="preserve">1 – Foreign Affairs and Trade Operations. </w:t>
            </w:r>
            <w:r w:rsidR="00C53B7C" w:rsidRPr="00A311FC">
              <w:rPr>
                <w:bCs/>
              </w:rPr>
              <w:t xml:space="preserve">The department will assist the government to meet its foreign, trade and investment, development and international security policy priorities. </w:t>
            </w:r>
          </w:p>
        </w:tc>
      </w:tr>
      <w:tr w:rsidR="00AA75BF" w14:paraId="0FCD0EF4" w14:textId="77777777" w:rsidTr="00AA75BF">
        <w:trPr>
          <w:trHeight w:val="694"/>
        </w:trPr>
        <w:tc>
          <w:tcPr>
            <w:tcW w:w="1701" w:type="dxa"/>
            <w:tcBorders>
              <w:top w:val="single" w:sz="4" w:space="0" w:color="auto"/>
              <w:left w:val="single" w:sz="4" w:space="0" w:color="auto"/>
              <w:bottom w:val="single" w:sz="4" w:space="0" w:color="auto"/>
              <w:right w:val="single" w:sz="4" w:space="0" w:color="auto"/>
            </w:tcBorders>
            <w:hideMark/>
          </w:tcPr>
          <w:p w14:paraId="1D380120" w14:textId="77777777" w:rsidR="00AA75BF" w:rsidRDefault="00AA75BF"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095" w:type="dxa"/>
            <w:tcBorders>
              <w:top w:val="single" w:sz="4" w:space="0" w:color="auto"/>
              <w:left w:val="single" w:sz="4" w:space="0" w:color="auto"/>
              <w:bottom w:val="single" w:sz="4" w:space="0" w:color="auto"/>
              <w:right w:val="single" w:sz="4" w:space="0" w:color="auto"/>
            </w:tcBorders>
            <w:hideMark/>
          </w:tcPr>
          <w:p w14:paraId="088FDFB3" w14:textId="77777777" w:rsidR="00AA75BF" w:rsidRDefault="00AA75BF" w:rsidP="00CB6D07">
            <w:pPr>
              <w:tabs>
                <w:tab w:val="left" w:pos="709"/>
              </w:tabs>
              <w:spacing w:before="60" w:after="60" w:line="240" w:lineRule="auto"/>
              <w:rPr>
                <w:rFonts w:ascii="Arial" w:hAnsi="Arial" w:cs="Arial"/>
                <w:i/>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12859CEA" w14:textId="77777777" w:rsidR="00AA75BF" w:rsidRDefault="00AA75BF" w:rsidP="00091F80">
            <w:pPr>
              <w:pStyle w:val="ListParagraph"/>
              <w:numPr>
                <w:ilvl w:val="0"/>
                <w:numId w:val="51"/>
              </w:numPr>
              <w:tabs>
                <w:tab w:val="left" w:pos="709"/>
              </w:tabs>
              <w:spacing w:before="60" w:after="60" w:line="240" w:lineRule="auto"/>
              <w:rPr>
                <w:rFonts w:ascii="Arial" w:eastAsiaTheme="minorHAnsi" w:hAnsi="Arial" w:cs="Arial"/>
                <w:i/>
                <w:color w:val="000000" w:themeColor="text1"/>
                <w:sz w:val="16"/>
                <w:szCs w:val="16"/>
              </w:rPr>
            </w:pPr>
            <w:r>
              <w:rPr>
                <w:rFonts w:ascii="Arial" w:hAnsi="Arial" w:cs="Arial"/>
                <w:sz w:val="16"/>
                <w:szCs w:val="16"/>
              </w:rPr>
              <w:t>Pursue relationships, programs and other initiatives that support Australia’s interests and influence in the Indo-Pacific, including by advancing the region’s recovery from the COVID-19 crisis.</w:t>
            </w:r>
          </w:p>
          <w:p w14:paraId="2AE16A0B"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Promote a shared agenda for security and prosperity with Pacific island countries and Timor-Leste through economic, security and development engagement.</w:t>
            </w:r>
          </w:p>
          <w:p w14:paraId="24ADE1D8"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Advocate and negotiate to open markets, resist protectionism and support the rules-based trading system.</w:t>
            </w:r>
          </w:p>
          <w:p w14:paraId="3DBDD7A3"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Support Australian businesses to secure opportunities globally, including through free trade agreements and advancing trade and investment collaboration in the region and more widely.</w:t>
            </w:r>
          </w:p>
          <w:p w14:paraId="37065C96"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Contribute to domestic economic policy that improves Australia’s international competitiveness.</w:t>
            </w:r>
          </w:p>
          <w:p w14:paraId="0A1AAE34"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Work with international and domestic partners to promote Australia’s security interests through effective international advocacy, cooperation and capacity building.</w:t>
            </w:r>
          </w:p>
          <w:p w14:paraId="3C99ADD9"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Strengthen intelligence capabilities.</w:t>
            </w:r>
          </w:p>
          <w:p w14:paraId="6EAF3712"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Promote international cooperation on people smuggling, human trafficking and other forms of modern slavery, particularly through the Bali Process.</w:t>
            </w:r>
          </w:p>
          <w:p w14:paraId="52E09431"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Further Australia’s interests, including promoting and protecting the rules, norms, standards and institutions that underpin sovereignty, stability and prosperity, and enable cooperation to tackle global challenges.</w:t>
            </w:r>
          </w:p>
          <w:p w14:paraId="0CA1EFF3" w14:textId="77777777" w:rsidR="00AA75BF" w:rsidRDefault="00AA75BF" w:rsidP="00091F80">
            <w:pPr>
              <w:pStyle w:val="ListParagraph"/>
              <w:numPr>
                <w:ilvl w:val="0"/>
                <w:numId w:val="51"/>
              </w:numPr>
              <w:tabs>
                <w:tab w:val="left" w:pos="709"/>
              </w:tabs>
              <w:spacing w:before="60" w:after="60" w:line="240" w:lineRule="auto"/>
              <w:rPr>
                <w:rFonts w:ascii="Arial" w:hAnsi="Arial" w:cs="Arial"/>
                <w:sz w:val="16"/>
                <w:szCs w:val="16"/>
              </w:rPr>
            </w:pPr>
            <w:r>
              <w:rPr>
                <w:rFonts w:ascii="Arial" w:hAnsi="Arial" w:cs="Arial"/>
                <w:sz w:val="16"/>
                <w:szCs w:val="16"/>
              </w:rPr>
              <w:t>Undertake effective protocol engagement with foreign services represented in Australia and ensure their security and dignity.</w:t>
            </w:r>
          </w:p>
          <w:p w14:paraId="3B7EF014" w14:textId="77777777" w:rsidR="00AA75BF" w:rsidRDefault="00AA75BF" w:rsidP="00091F80">
            <w:pPr>
              <w:pStyle w:val="ListParagraph"/>
              <w:numPr>
                <w:ilvl w:val="0"/>
                <w:numId w:val="51"/>
              </w:numPr>
              <w:tabs>
                <w:tab w:val="left" w:pos="709"/>
              </w:tabs>
              <w:spacing w:before="60" w:after="60" w:line="240" w:lineRule="auto"/>
              <w:rPr>
                <w:rFonts w:ascii="Arial" w:eastAsiaTheme="minorHAnsi" w:hAnsi="Arial" w:cs="Arial"/>
                <w:i/>
                <w:color w:val="000000" w:themeColor="text1"/>
                <w:sz w:val="16"/>
                <w:szCs w:val="16"/>
              </w:rPr>
            </w:pPr>
            <w:r>
              <w:rPr>
                <w:rFonts w:ascii="Arial" w:hAnsi="Arial" w:cs="Arial"/>
                <w:sz w:val="16"/>
                <w:szCs w:val="16"/>
              </w:rPr>
              <w:t>Closely liaise with federal, state and territory governments regarding DFAT’s management of the diplomatic and consular community.</w:t>
            </w:r>
          </w:p>
        </w:tc>
      </w:tr>
    </w:tbl>
    <w:p w14:paraId="45817C72" w14:textId="609B1583" w:rsidR="00C53B7C" w:rsidRDefault="00C53B7C" w:rsidP="00C354BB">
      <w:pPr>
        <w:pStyle w:val="Source"/>
      </w:pPr>
      <w:r w:rsidRPr="00C53B7C">
        <w:t xml:space="preserve">Table </w:t>
      </w:r>
      <w:proofErr w:type="gramStart"/>
      <w:r w:rsidRPr="00C53B7C">
        <w:t xml:space="preserve">continued </w:t>
      </w:r>
      <w:r w:rsidRPr="00C354BB">
        <w:rPr>
          <w:rFonts w:cs="Arial"/>
          <w:szCs w:val="16"/>
        </w:rPr>
        <w:t>on</w:t>
      </w:r>
      <w:proofErr w:type="gramEnd"/>
      <w:r w:rsidRPr="00C53B7C">
        <w:t xml:space="preserve"> the next page. </w:t>
      </w:r>
    </w:p>
    <w:p w14:paraId="737CB876" w14:textId="56024AB0" w:rsidR="00541087" w:rsidRDefault="00C53B7C" w:rsidP="00541087">
      <w:pPr>
        <w:pStyle w:val="TableHeadingcontinued"/>
      </w:pPr>
      <w:r>
        <w:br w:type="page"/>
      </w:r>
      <w:r w:rsidR="00541087" w:rsidRPr="00F71634">
        <w:t>Table 2.</w:t>
      </w:r>
      <w:r w:rsidR="00541087">
        <w:t>1</w:t>
      </w:r>
      <w:r w:rsidR="00541087" w:rsidRPr="00F71634">
        <w:t>.3: Pe</w:t>
      </w:r>
      <w:r w:rsidR="00541087">
        <w:t>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118"/>
      </w:tblGrid>
      <w:tr w:rsidR="00541087" w:rsidRPr="00F71634" w14:paraId="095E6D09" w14:textId="77777777" w:rsidTr="00AA75BF">
        <w:tc>
          <w:tcPr>
            <w:tcW w:w="7796" w:type="dxa"/>
            <w:gridSpan w:val="3"/>
            <w:tcBorders>
              <w:bottom w:val="single" w:sz="4" w:space="0" w:color="auto"/>
            </w:tcBorders>
            <w:shd w:val="clear" w:color="auto" w:fill="F2F2F2"/>
          </w:tcPr>
          <w:p w14:paraId="12BD75D7" w14:textId="77777777" w:rsidR="00541087" w:rsidRPr="00A311FC" w:rsidRDefault="00541087" w:rsidP="00F93CED">
            <w:pPr>
              <w:tabs>
                <w:tab w:val="left" w:pos="709"/>
              </w:tabs>
              <w:spacing w:before="60" w:after="60" w:line="240" w:lineRule="auto"/>
              <w:jc w:val="left"/>
              <w:rPr>
                <w:rFonts w:ascii="Arial" w:hAnsi="Arial" w:cs="Arial"/>
                <w:b/>
                <w:sz w:val="18"/>
                <w:szCs w:val="18"/>
              </w:rPr>
            </w:pPr>
            <w:r w:rsidRPr="00A311FC">
              <w:rPr>
                <w:rFonts w:ascii="Arial" w:hAnsi="Arial" w:cs="Arial"/>
                <w:b/>
                <w:sz w:val="18"/>
                <w:szCs w:val="18"/>
              </w:rPr>
              <w:t xml:space="preserve">Program 1.1 (continued) – Foreign Affairs and Trade Operations. </w:t>
            </w:r>
            <w:r w:rsidRPr="00A311FC">
              <w:rPr>
                <w:rFonts w:ascii="Arial" w:hAnsi="Arial" w:cs="Arial"/>
                <w:sz w:val="18"/>
                <w:szCs w:val="18"/>
              </w:rPr>
              <w:t>The department will assist the government to meet its foreign, trade and investment, development and international security policy priorities.</w:t>
            </w:r>
          </w:p>
        </w:tc>
      </w:tr>
      <w:tr w:rsidR="00AA75BF" w:rsidRPr="00AA75BF" w14:paraId="66F84277" w14:textId="77777777" w:rsidTr="00C578EB">
        <w:trPr>
          <w:trHeight w:val="258"/>
        </w:trPr>
        <w:tc>
          <w:tcPr>
            <w:tcW w:w="1418" w:type="dxa"/>
            <w:tcBorders>
              <w:top w:val="double" w:sz="4" w:space="0" w:color="auto"/>
              <w:bottom w:val="single" w:sz="4" w:space="0" w:color="auto"/>
              <w:right w:val="single" w:sz="4" w:space="0" w:color="auto"/>
            </w:tcBorders>
          </w:tcPr>
          <w:p w14:paraId="790B7AC8" w14:textId="7FB1E905" w:rsidR="00AA75BF" w:rsidRPr="00AA75BF" w:rsidRDefault="00AA75BF" w:rsidP="00CB6D07">
            <w:pPr>
              <w:pStyle w:val="TableTextBase"/>
              <w:rPr>
                <w:b/>
                <w:sz w:val="16"/>
                <w:szCs w:val="16"/>
              </w:rPr>
            </w:pPr>
            <w:r w:rsidRPr="00AA75BF">
              <w:rPr>
                <w:b/>
                <w:sz w:val="16"/>
                <w:szCs w:val="16"/>
              </w:rPr>
              <w:t>Year</w:t>
            </w:r>
          </w:p>
        </w:tc>
        <w:tc>
          <w:tcPr>
            <w:tcW w:w="3260" w:type="dxa"/>
            <w:tcBorders>
              <w:top w:val="double" w:sz="4" w:space="0" w:color="auto"/>
              <w:left w:val="single" w:sz="4" w:space="0" w:color="auto"/>
              <w:bottom w:val="single" w:sz="4" w:space="0" w:color="auto"/>
              <w:right w:val="single" w:sz="4" w:space="0" w:color="auto"/>
            </w:tcBorders>
          </w:tcPr>
          <w:p w14:paraId="487232E2" w14:textId="77777777" w:rsidR="00AA75BF" w:rsidRPr="00AA75BF" w:rsidRDefault="00AA75BF"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6016D50D" w14:textId="77777777" w:rsidR="00AA75BF" w:rsidRPr="00AA75BF" w:rsidRDefault="00AA75BF" w:rsidP="00CB6D07">
            <w:pPr>
              <w:pStyle w:val="TableTextBase"/>
              <w:rPr>
                <w:rFonts w:cs="Arial"/>
                <w:b/>
                <w:sz w:val="16"/>
                <w:szCs w:val="16"/>
              </w:rPr>
            </w:pPr>
            <w:r w:rsidRPr="00AA75BF">
              <w:rPr>
                <w:rFonts w:cs="Arial"/>
                <w:b/>
                <w:sz w:val="16"/>
                <w:szCs w:val="16"/>
              </w:rPr>
              <w:t>Expected Performance Results</w:t>
            </w:r>
          </w:p>
        </w:tc>
      </w:tr>
      <w:tr w:rsidR="00AA75BF" w14:paraId="1256FF05" w14:textId="77777777" w:rsidTr="00C578EB">
        <w:trPr>
          <w:trHeight w:val="642"/>
        </w:trPr>
        <w:tc>
          <w:tcPr>
            <w:tcW w:w="1418" w:type="dxa"/>
            <w:vMerge w:val="restart"/>
            <w:tcBorders>
              <w:top w:val="single" w:sz="4" w:space="0" w:color="auto"/>
              <w:left w:val="single" w:sz="4" w:space="0" w:color="auto"/>
              <w:right w:val="single" w:sz="4" w:space="0" w:color="auto"/>
            </w:tcBorders>
            <w:hideMark/>
          </w:tcPr>
          <w:p w14:paraId="2412EEDA" w14:textId="77777777" w:rsidR="00AA75BF" w:rsidRDefault="00AA75BF"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Current year </w:t>
            </w:r>
          </w:p>
          <w:p w14:paraId="0561F6B1" w14:textId="77777777" w:rsidR="00AA75BF" w:rsidRDefault="00AA75BF"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2021-22</w:t>
            </w:r>
          </w:p>
        </w:tc>
        <w:tc>
          <w:tcPr>
            <w:tcW w:w="3260" w:type="dxa"/>
            <w:tcBorders>
              <w:top w:val="single" w:sz="4" w:space="0" w:color="auto"/>
              <w:left w:val="single" w:sz="4" w:space="0" w:color="auto"/>
              <w:bottom w:val="dotted" w:sz="4" w:space="0" w:color="auto"/>
              <w:right w:val="single" w:sz="4" w:space="0" w:color="auto"/>
            </w:tcBorders>
            <w:hideMark/>
          </w:tcPr>
          <w:p w14:paraId="1A41A172" w14:textId="77777777" w:rsidR="00AA75BF" w:rsidRDefault="00AA75BF" w:rsidP="00C578EB">
            <w:pPr>
              <w:tabs>
                <w:tab w:val="left" w:pos="709"/>
              </w:tabs>
              <w:spacing w:before="60" w:after="60" w:line="240" w:lineRule="auto"/>
              <w:jc w:val="left"/>
              <w:rPr>
                <w:rFonts w:ascii="Arial" w:hAnsi="Arial" w:cs="Arial"/>
                <w:color w:val="000000" w:themeColor="text1"/>
                <w:sz w:val="16"/>
                <w:szCs w:val="16"/>
              </w:rPr>
            </w:pPr>
            <w:r>
              <w:rPr>
                <w:rFonts w:ascii="Arial" w:hAnsi="Arial" w:cs="Arial"/>
                <w:sz w:val="16"/>
                <w:szCs w:val="16"/>
              </w:rPr>
              <w:t>Our diplomatic efforts in the Indo-Pacific bolster partnerships and rules and norms that contribute to regional resilience, stability and prosperity and a regional balance favourable to our interests.</w:t>
            </w:r>
          </w:p>
        </w:tc>
        <w:tc>
          <w:tcPr>
            <w:tcW w:w="3118" w:type="dxa"/>
            <w:tcBorders>
              <w:top w:val="single" w:sz="4" w:space="0" w:color="auto"/>
              <w:left w:val="single" w:sz="4" w:space="0" w:color="auto"/>
              <w:bottom w:val="dotted" w:sz="4" w:space="0" w:color="auto"/>
              <w:right w:val="single" w:sz="4" w:space="0" w:color="auto"/>
            </w:tcBorders>
            <w:hideMark/>
          </w:tcPr>
          <w:p w14:paraId="62DB4E48" w14:textId="77777777" w:rsidR="00AA75BF" w:rsidRDefault="00AA75BF" w:rsidP="00CB6D07">
            <w:pPr>
              <w:tabs>
                <w:tab w:val="left" w:pos="709"/>
              </w:tabs>
              <w:spacing w:before="60" w:after="60" w:line="240" w:lineRule="auto"/>
              <w:jc w:val="center"/>
              <w:rPr>
                <w:rFonts w:ascii="Arial" w:hAnsi="Arial" w:cs="Arial"/>
                <w:i/>
                <w:color w:val="000000" w:themeColor="text1"/>
                <w:sz w:val="16"/>
                <w:szCs w:val="16"/>
              </w:rPr>
            </w:pPr>
            <w:r>
              <w:rPr>
                <w:rFonts w:ascii="Arial" w:hAnsi="Arial" w:cs="Arial"/>
                <w:iCs/>
                <w:sz w:val="16"/>
                <w:szCs w:val="16"/>
              </w:rPr>
              <w:t>On track</w:t>
            </w:r>
          </w:p>
        </w:tc>
      </w:tr>
      <w:tr w:rsidR="00AA75BF" w14:paraId="7B645E9A" w14:textId="77777777" w:rsidTr="00C578EB">
        <w:trPr>
          <w:trHeight w:val="642"/>
        </w:trPr>
        <w:tc>
          <w:tcPr>
            <w:tcW w:w="1418" w:type="dxa"/>
            <w:vMerge/>
            <w:tcBorders>
              <w:left w:val="single" w:sz="4" w:space="0" w:color="auto"/>
              <w:right w:val="single" w:sz="4" w:space="0" w:color="auto"/>
            </w:tcBorders>
            <w:vAlign w:val="center"/>
            <w:hideMark/>
          </w:tcPr>
          <w:p w14:paraId="2E8214A5" w14:textId="77777777" w:rsidR="00AA75BF" w:rsidRDefault="00AA75BF" w:rsidP="00CB6D07">
            <w:pPr>
              <w:spacing w:after="0"/>
              <w:rPr>
                <w:rFonts w:ascii="Arial" w:hAnsi="Arial" w:cs="Arial"/>
                <w:color w:val="000000" w:themeColor="text1"/>
                <w:sz w:val="16"/>
                <w:szCs w:val="16"/>
              </w:rPr>
            </w:pPr>
          </w:p>
        </w:tc>
        <w:tc>
          <w:tcPr>
            <w:tcW w:w="3260" w:type="dxa"/>
            <w:tcBorders>
              <w:top w:val="single" w:sz="4" w:space="0" w:color="auto"/>
              <w:left w:val="single" w:sz="4" w:space="0" w:color="auto"/>
              <w:bottom w:val="single" w:sz="4" w:space="0" w:color="auto"/>
              <w:right w:val="single" w:sz="4" w:space="0" w:color="auto"/>
            </w:tcBorders>
            <w:hideMark/>
          </w:tcPr>
          <w:p w14:paraId="4F5ECFC3" w14:textId="77777777" w:rsidR="00AA75BF" w:rsidRDefault="00AA75BF" w:rsidP="00C578EB">
            <w:pPr>
              <w:tabs>
                <w:tab w:val="left" w:pos="709"/>
              </w:tabs>
              <w:spacing w:before="60" w:after="60" w:line="240" w:lineRule="auto"/>
              <w:jc w:val="left"/>
              <w:rPr>
                <w:rFonts w:ascii="Arial" w:hAnsi="Arial" w:cs="Arial"/>
                <w:sz w:val="16"/>
                <w:szCs w:val="16"/>
              </w:rPr>
            </w:pPr>
            <w:r>
              <w:rPr>
                <w:rFonts w:ascii="Arial" w:hAnsi="Arial" w:cs="Arial"/>
                <w:sz w:val="16"/>
                <w:szCs w:val="16"/>
              </w:rPr>
              <w:t>High level of satisfaction of ministers and key stakeholders with the quality and timeliness of advice, briefing and support provided by the department.</w:t>
            </w:r>
          </w:p>
        </w:tc>
        <w:tc>
          <w:tcPr>
            <w:tcW w:w="3118" w:type="dxa"/>
            <w:tcBorders>
              <w:top w:val="single" w:sz="4" w:space="0" w:color="auto"/>
              <w:left w:val="single" w:sz="4" w:space="0" w:color="auto"/>
              <w:bottom w:val="single" w:sz="4" w:space="0" w:color="auto"/>
              <w:right w:val="single" w:sz="4" w:space="0" w:color="auto"/>
            </w:tcBorders>
            <w:hideMark/>
          </w:tcPr>
          <w:p w14:paraId="0355532C" w14:textId="77777777" w:rsidR="00AA75BF" w:rsidRDefault="00AA75BF" w:rsidP="00CB6D07">
            <w:pPr>
              <w:tabs>
                <w:tab w:val="left" w:pos="709"/>
              </w:tabs>
              <w:spacing w:before="60" w:after="60" w:line="240" w:lineRule="auto"/>
              <w:jc w:val="center"/>
              <w:rPr>
                <w:rFonts w:ascii="Arial" w:eastAsia="Arial" w:hAnsi="Arial" w:cs="Arial"/>
                <w:color w:val="000000" w:themeColor="text1"/>
                <w:sz w:val="16"/>
                <w:szCs w:val="16"/>
              </w:rPr>
            </w:pPr>
            <w:r>
              <w:rPr>
                <w:rFonts w:ascii="Arial" w:hAnsi="Arial" w:cs="Arial"/>
                <w:iCs/>
                <w:sz w:val="16"/>
                <w:szCs w:val="16"/>
              </w:rPr>
              <w:t>On track</w:t>
            </w:r>
          </w:p>
        </w:tc>
      </w:tr>
      <w:tr w:rsidR="00AA75BF" w14:paraId="431546D5" w14:textId="77777777" w:rsidTr="00C578EB">
        <w:trPr>
          <w:trHeight w:val="642"/>
        </w:trPr>
        <w:tc>
          <w:tcPr>
            <w:tcW w:w="1418" w:type="dxa"/>
            <w:vMerge/>
            <w:tcBorders>
              <w:left w:val="single" w:sz="4" w:space="0" w:color="auto"/>
              <w:right w:val="single" w:sz="4" w:space="0" w:color="auto"/>
            </w:tcBorders>
            <w:vAlign w:val="center"/>
            <w:hideMark/>
          </w:tcPr>
          <w:p w14:paraId="548E2CD0" w14:textId="77777777" w:rsidR="00AA75BF" w:rsidRDefault="00AA75BF" w:rsidP="00CB6D07">
            <w:pPr>
              <w:spacing w:after="0"/>
              <w:rPr>
                <w:rFonts w:ascii="Arial" w:hAnsi="Arial" w:cs="Arial"/>
                <w:color w:val="000000" w:themeColor="text1"/>
                <w:sz w:val="16"/>
                <w:szCs w:val="16"/>
              </w:rPr>
            </w:pPr>
          </w:p>
        </w:tc>
        <w:tc>
          <w:tcPr>
            <w:tcW w:w="3260" w:type="dxa"/>
            <w:tcBorders>
              <w:top w:val="single" w:sz="4" w:space="0" w:color="auto"/>
              <w:left w:val="single" w:sz="4" w:space="0" w:color="auto"/>
              <w:bottom w:val="single" w:sz="4" w:space="0" w:color="auto"/>
              <w:right w:val="single" w:sz="4" w:space="0" w:color="auto"/>
            </w:tcBorders>
            <w:hideMark/>
          </w:tcPr>
          <w:p w14:paraId="6D5A037F" w14:textId="77777777" w:rsidR="00AA75BF" w:rsidRDefault="00AA75BF" w:rsidP="00C578EB">
            <w:pPr>
              <w:tabs>
                <w:tab w:val="left" w:pos="709"/>
              </w:tabs>
              <w:spacing w:before="60" w:after="60" w:line="240" w:lineRule="auto"/>
              <w:jc w:val="left"/>
              <w:rPr>
                <w:rFonts w:ascii="Arial" w:hAnsi="Arial" w:cs="Arial"/>
                <w:sz w:val="16"/>
                <w:szCs w:val="16"/>
              </w:rPr>
            </w:pPr>
            <w:r>
              <w:rPr>
                <w:rFonts w:ascii="Arial" w:hAnsi="Arial" w:cs="Arial"/>
                <w:sz w:val="16"/>
                <w:szCs w:val="16"/>
              </w:rPr>
              <w:t>Australia’s Step-up in Pacific and Timor-Leste engagement supports stronger and more resilient economies, development outcomes and regional security.</w:t>
            </w:r>
          </w:p>
        </w:tc>
        <w:tc>
          <w:tcPr>
            <w:tcW w:w="3118" w:type="dxa"/>
            <w:tcBorders>
              <w:top w:val="single" w:sz="4" w:space="0" w:color="auto"/>
              <w:left w:val="single" w:sz="4" w:space="0" w:color="auto"/>
              <w:bottom w:val="single" w:sz="4" w:space="0" w:color="auto"/>
              <w:right w:val="single" w:sz="4" w:space="0" w:color="auto"/>
            </w:tcBorders>
            <w:hideMark/>
          </w:tcPr>
          <w:p w14:paraId="31451A78" w14:textId="77777777" w:rsidR="00AA75BF" w:rsidRDefault="00AA75BF" w:rsidP="00CB6D07">
            <w:pPr>
              <w:tabs>
                <w:tab w:val="left" w:pos="709"/>
              </w:tabs>
              <w:spacing w:before="60" w:after="60" w:line="240" w:lineRule="auto"/>
              <w:jc w:val="center"/>
              <w:rPr>
                <w:rFonts w:ascii="Arial" w:eastAsia="Arial" w:hAnsi="Arial" w:cs="Arial"/>
                <w:color w:val="000000" w:themeColor="text1"/>
                <w:sz w:val="16"/>
                <w:szCs w:val="16"/>
              </w:rPr>
            </w:pPr>
            <w:r>
              <w:rPr>
                <w:rFonts w:ascii="Arial" w:hAnsi="Arial" w:cs="Arial"/>
                <w:iCs/>
                <w:sz w:val="16"/>
                <w:szCs w:val="16"/>
              </w:rPr>
              <w:t>On track</w:t>
            </w:r>
          </w:p>
        </w:tc>
      </w:tr>
      <w:tr w:rsidR="00AA75BF" w14:paraId="4CCA8E5E" w14:textId="77777777" w:rsidTr="00C578EB">
        <w:trPr>
          <w:trHeight w:val="379"/>
        </w:trPr>
        <w:tc>
          <w:tcPr>
            <w:tcW w:w="1418" w:type="dxa"/>
            <w:vMerge/>
            <w:tcBorders>
              <w:left w:val="single" w:sz="4" w:space="0" w:color="auto"/>
              <w:right w:val="single" w:sz="4" w:space="0" w:color="auto"/>
            </w:tcBorders>
            <w:vAlign w:val="center"/>
            <w:hideMark/>
          </w:tcPr>
          <w:p w14:paraId="224B4008" w14:textId="77777777" w:rsidR="00AA75BF" w:rsidRDefault="00AA75BF" w:rsidP="00CB6D07">
            <w:pPr>
              <w:spacing w:after="0"/>
              <w:rPr>
                <w:rFonts w:ascii="Arial" w:hAnsi="Arial" w:cs="Arial"/>
                <w:color w:val="000000" w:themeColor="text1"/>
                <w:sz w:val="16"/>
                <w:szCs w:val="16"/>
              </w:rPr>
            </w:pPr>
          </w:p>
        </w:tc>
        <w:tc>
          <w:tcPr>
            <w:tcW w:w="3260" w:type="dxa"/>
            <w:tcBorders>
              <w:top w:val="single" w:sz="4" w:space="0" w:color="auto"/>
              <w:left w:val="single" w:sz="4" w:space="0" w:color="auto"/>
              <w:bottom w:val="dotted" w:sz="4" w:space="0" w:color="auto"/>
              <w:right w:val="single" w:sz="4" w:space="0" w:color="auto"/>
            </w:tcBorders>
            <w:hideMark/>
          </w:tcPr>
          <w:p w14:paraId="3BE446E7" w14:textId="77777777" w:rsidR="00AA75BF" w:rsidRDefault="00AA75BF" w:rsidP="00C578EB">
            <w:pPr>
              <w:tabs>
                <w:tab w:val="left" w:pos="709"/>
              </w:tabs>
              <w:spacing w:before="60" w:after="60" w:line="240" w:lineRule="auto"/>
              <w:jc w:val="left"/>
              <w:rPr>
                <w:rFonts w:ascii="Arial" w:hAnsi="Arial" w:cs="Arial"/>
                <w:color w:val="FF0000"/>
                <w:sz w:val="16"/>
                <w:szCs w:val="16"/>
              </w:rPr>
            </w:pPr>
            <w:r>
              <w:rPr>
                <w:rFonts w:ascii="Arial" w:hAnsi="Arial" w:cs="Arial"/>
                <w:sz w:val="16"/>
                <w:szCs w:val="16"/>
              </w:rPr>
              <w:t>Global rules-based trading system reflects Australian interests.</w:t>
            </w:r>
          </w:p>
        </w:tc>
        <w:tc>
          <w:tcPr>
            <w:tcW w:w="3118" w:type="dxa"/>
            <w:tcBorders>
              <w:top w:val="single" w:sz="4" w:space="0" w:color="auto"/>
              <w:left w:val="single" w:sz="4" w:space="0" w:color="auto"/>
              <w:bottom w:val="dotted" w:sz="4" w:space="0" w:color="auto"/>
              <w:right w:val="single" w:sz="4" w:space="0" w:color="auto"/>
            </w:tcBorders>
            <w:hideMark/>
          </w:tcPr>
          <w:p w14:paraId="3F80D725" w14:textId="77777777" w:rsidR="00AA75BF" w:rsidRDefault="00AA75BF" w:rsidP="00CB6D07">
            <w:pPr>
              <w:tabs>
                <w:tab w:val="left" w:pos="709"/>
              </w:tabs>
              <w:spacing w:before="60" w:after="60" w:line="240" w:lineRule="auto"/>
              <w:jc w:val="center"/>
              <w:rPr>
                <w:rFonts w:ascii="Arial" w:hAnsi="Arial" w:cs="Arial"/>
                <w:iCs/>
                <w:sz w:val="16"/>
                <w:szCs w:val="16"/>
              </w:rPr>
            </w:pPr>
            <w:r>
              <w:rPr>
                <w:rFonts w:ascii="Arial" w:hAnsi="Arial" w:cs="Arial"/>
                <w:iCs/>
                <w:sz w:val="16"/>
                <w:szCs w:val="16"/>
              </w:rPr>
              <w:t>Partially on track</w:t>
            </w:r>
          </w:p>
        </w:tc>
      </w:tr>
      <w:tr w:rsidR="00AA75BF" w:rsidRPr="00AA75BF" w14:paraId="6B96E0DF" w14:textId="77777777" w:rsidTr="00C578EB">
        <w:trPr>
          <w:trHeight w:val="443"/>
        </w:trPr>
        <w:tc>
          <w:tcPr>
            <w:tcW w:w="1418" w:type="dxa"/>
            <w:vMerge/>
            <w:tcBorders>
              <w:left w:val="single" w:sz="4" w:space="0" w:color="auto"/>
              <w:right w:val="single" w:sz="4" w:space="0" w:color="auto"/>
            </w:tcBorders>
          </w:tcPr>
          <w:p w14:paraId="4DE87715"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6A2D3A9E" w14:textId="7A9B6779" w:rsidR="00AA75BF" w:rsidRPr="00AA75BF" w:rsidRDefault="00AA75BF" w:rsidP="00AA75BF">
            <w:pPr>
              <w:pStyle w:val="TableTextBase"/>
              <w:rPr>
                <w:i/>
                <w:sz w:val="16"/>
                <w:szCs w:val="16"/>
              </w:rPr>
            </w:pPr>
            <w:r>
              <w:rPr>
                <w:rFonts w:cs="Arial"/>
                <w:sz w:val="16"/>
                <w:szCs w:val="16"/>
              </w:rPr>
              <w:t>Increased market opening and opportunities for Australian businesses.</w:t>
            </w:r>
          </w:p>
        </w:tc>
        <w:tc>
          <w:tcPr>
            <w:tcW w:w="3118" w:type="dxa"/>
            <w:tcBorders>
              <w:top w:val="single" w:sz="4" w:space="0" w:color="auto"/>
              <w:left w:val="single" w:sz="4" w:space="0" w:color="auto"/>
              <w:bottom w:val="single" w:sz="4" w:space="0" w:color="auto"/>
            </w:tcBorders>
          </w:tcPr>
          <w:p w14:paraId="642E9F01" w14:textId="36DD8405" w:rsidR="00AA75BF" w:rsidRPr="00AA75BF" w:rsidRDefault="00AA75BF" w:rsidP="00AA75BF">
            <w:pPr>
              <w:pStyle w:val="TableTextBase"/>
              <w:jc w:val="center"/>
              <w:rPr>
                <w:i/>
                <w:sz w:val="16"/>
                <w:szCs w:val="16"/>
              </w:rPr>
            </w:pPr>
            <w:r>
              <w:rPr>
                <w:rFonts w:cs="Arial"/>
                <w:iCs/>
                <w:sz w:val="16"/>
                <w:szCs w:val="16"/>
              </w:rPr>
              <w:t>Partially on track</w:t>
            </w:r>
          </w:p>
        </w:tc>
      </w:tr>
      <w:tr w:rsidR="00AA75BF" w:rsidRPr="00AA75BF" w14:paraId="2703EAEB" w14:textId="77777777" w:rsidTr="00C578EB">
        <w:trPr>
          <w:trHeight w:val="507"/>
        </w:trPr>
        <w:tc>
          <w:tcPr>
            <w:tcW w:w="1418" w:type="dxa"/>
            <w:vMerge/>
            <w:tcBorders>
              <w:left w:val="single" w:sz="4" w:space="0" w:color="auto"/>
              <w:right w:val="single" w:sz="4" w:space="0" w:color="auto"/>
            </w:tcBorders>
          </w:tcPr>
          <w:p w14:paraId="77854439"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E974008" w14:textId="6B1E7F6B" w:rsidR="00AA75BF" w:rsidRPr="00AA75BF" w:rsidRDefault="00AA75BF" w:rsidP="00AA75BF">
            <w:pPr>
              <w:pStyle w:val="TableTextBase"/>
              <w:rPr>
                <w:i/>
                <w:sz w:val="16"/>
                <w:szCs w:val="16"/>
              </w:rPr>
            </w:pPr>
            <w:r>
              <w:rPr>
                <w:rFonts w:cs="Arial"/>
                <w:sz w:val="16"/>
                <w:szCs w:val="16"/>
              </w:rPr>
              <w:t xml:space="preserve">Trade and investment </w:t>
            </w:r>
            <w:proofErr w:type="gramStart"/>
            <w:r>
              <w:rPr>
                <w:rFonts w:cs="Arial"/>
                <w:sz w:val="16"/>
                <w:szCs w:val="16"/>
              </w:rPr>
              <w:t>is</w:t>
            </w:r>
            <w:proofErr w:type="gramEnd"/>
            <w:r>
              <w:rPr>
                <w:rFonts w:cs="Arial"/>
                <w:sz w:val="16"/>
                <w:szCs w:val="16"/>
              </w:rPr>
              <w:t xml:space="preserve"> factored into Australia’s economic policy settings.</w:t>
            </w:r>
          </w:p>
        </w:tc>
        <w:tc>
          <w:tcPr>
            <w:tcW w:w="3118" w:type="dxa"/>
            <w:tcBorders>
              <w:top w:val="single" w:sz="4" w:space="0" w:color="auto"/>
              <w:left w:val="single" w:sz="4" w:space="0" w:color="auto"/>
              <w:bottom w:val="single" w:sz="4" w:space="0" w:color="auto"/>
            </w:tcBorders>
          </w:tcPr>
          <w:p w14:paraId="1B806087" w14:textId="0C0B1047" w:rsidR="00AA75BF" w:rsidRPr="00AA75BF" w:rsidRDefault="00AA75BF" w:rsidP="00AA75BF">
            <w:pPr>
              <w:pStyle w:val="TableTextBase"/>
              <w:jc w:val="center"/>
              <w:rPr>
                <w:i/>
                <w:sz w:val="16"/>
                <w:szCs w:val="16"/>
              </w:rPr>
            </w:pPr>
            <w:r>
              <w:rPr>
                <w:rFonts w:cs="Arial"/>
                <w:iCs/>
                <w:sz w:val="16"/>
                <w:szCs w:val="16"/>
              </w:rPr>
              <w:t>On track</w:t>
            </w:r>
          </w:p>
        </w:tc>
      </w:tr>
      <w:tr w:rsidR="00AA75BF" w:rsidRPr="00AA75BF" w14:paraId="7477DBCB" w14:textId="77777777" w:rsidTr="00C578EB">
        <w:trPr>
          <w:trHeight w:val="642"/>
        </w:trPr>
        <w:tc>
          <w:tcPr>
            <w:tcW w:w="1418" w:type="dxa"/>
            <w:vMerge/>
            <w:tcBorders>
              <w:left w:val="single" w:sz="4" w:space="0" w:color="auto"/>
              <w:right w:val="single" w:sz="4" w:space="0" w:color="auto"/>
            </w:tcBorders>
          </w:tcPr>
          <w:p w14:paraId="11CFBDC7"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69B02B2C" w14:textId="1F7C368E" w:rsidR="00AA75BF" w:rsidRPr="00AA75BF" w:rsidRDefault="00AA75BF" w:rsidP="00AA75BF">
            <w:pPr>
              <w:pStyle w:val="TableTextBase"/>
              <w:rPr>
                <w:i/>
                <w:sz w:val="16"/>
                <w:szCs w:val="16"/>
              </w:rPr>
            </w:pPr>
            <w:r>
              <w:rPr>
                <w:rFonts w:cs="Arial"/>
                <w:sz w:val="16"/>
                <w:szCs w:val="16"/>
              </w:rPr>
              <w:t>Positive trade and investment outcomes supported by the department’s economic and commercial diplomacy, and domestic advocacy efforts.</w:t>
            </w:r>
          </w:p>
        </w:tc>
        <w:tc>
          <w:tcPr>
            <w:tcW w:w="3118" w:type="dxa"/>
            <w:tcBorders>
              <w:top w:val="single" w:sz="4" w:space="0" w:color="auto"/>
              <w:left w:val="single" w:sz="4" w:space="0" w:color="auto"/>
              <w:bottom w:val="single" w:sz="4" w:space="0" w:color="auto"/>
            </w:tcBorders>
          </w:tcPr>
          <w:p w14:paraId="26751373" w14:textId="7B45B95A" w:rsidR="00AA75BF" w:rsidRPr="00AA75BF" w:rsidRDefault="00AA75BF" w:rsidP="00AA75BF">
            <w:pPr>
              <w:pStyle w:val="TableTextBase"/>
              <w:jc w:val="center"/>
              <w:rPr>
                <w:i/>
                <w:sz w:val="16"/>
                <w:szCs w:val="16"/>
              </w:rPr>
            </w:pPr>
            <w:r>
              <w:rPr>
                <w:rFonts w:cs="Arial"/>
                <w:iCs/>
                <w:sz w:val="16"/>
                <w:szCs w:val="16"/>
              </w:rPr>
              <w:t>On track</w:t>
            </w:r>
          </w:p>
        </w:tc>
      </w:tr>
      <w:tr w:rsidR="00AA75BF" w:rsidRPr="00AA75BF" w14:paraId="6FECA598" w14:textId="77777777" w:rsidTr="00C578EB">
        <w:trPr>
          <w:trHeight w:val="399"/>
        </w:trPr>
        <w:tc>
          <w:tcPr>
            <w:tcW w:w="1418" w:type="dxa"/>
            <w:vMerge/>
            <w:tcBorders>
              <w:left w:val="single" w:sz="4" w:space="0" w:color="auto"/>
              <w:right w:val="single" w:sz="4" w:space="0" w:color="auto"/>
            </w:tcBorders>
          </w:tcPr>
          <w:p w14:paraId="19605007"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1EEACC0D" w14:textId="3CE4B4BF" w:rsidR="00AA75BF" w:rsidRPr="00AA75BF" w:rsidRDefault="00AA75BF" w:rsidP="00AA75BF">
            <w:pPr>
              <w:pStyle w:val="TableTextBase"/>
              <w:rPr>
                <w:i/>
                <w:sz w:val="16"/>
                <w:szCs w:val="16"/>
              </w:rPr>
            </w:pPr>
            <w:r>
              <w:rPr>
                <w:rFonts w:cs="Arial"/>
                <w:sz w:val="16"/>
                <w:szCs w:val="16"/>
              </w:rPr>
              <w:t>Security outcomes that reflect Australia’s interests.</w:t>
            </w:r>
          </w:p>
        </w:tc>
        <w:tc>
          <w:tcPr>
            <w:tcW w:w="3118" w:type="dxa"/>
            <w:tcBorders>
              <w:top w:val="single" w:sz="4" w:space="0" w:color="auto"/>
              <w:left w:val="single" w:sz="4" w:space="0" w:color="auto"/>
              <w:bottom w:val="single" w:sz="4" w:space="0" w:color="auto"/>
            </w:tcBorders>
          </w:tcPr>
          <w:p w14:paraId="30A2C858" w14:textId="2CF6D163" w:rsidR="00AA75BF" w:rsidRPr="00AA75BF" w:rsidRDefault="00AA75BF" w:rsidP="00AA75BF">
            <w:pPr>
              <w:pStyle w:val="TableTextBase"/>
              <w:jc w:val="center"/>
              <w:rPr>
                <w:i/>
                <w:sz w:val="16"/>
                <w:szCs w:val="16"/>
              </w:rPr>
            </w:pPr>
            <w:r>
              <w:rPr>
                <w:rFonts w:cs="Arial"/>
                <w:iCs/>
                <w:sz w:val="16"/>
                <w:szCs w:val="16"/>
              </w:rPr>
              <w:t>On track</w:t>
            </w:r>
          </w:p>
        </w:tc>
      </w:tr>
      <w:tr w:rsidR="00AA75BF" w:rsidRPr="00AA75BF" w14:paraId="5B18DA00" w14:textId="77777777" w:rsidTr="00C578EB">
        <w:trPr>
          <w:trHeight w:val="642"/>
        </w:trPr>
        <w:tc>
          <w:tcPr>
            <w:tcW w:w="1418" w:type="dxa"/>
            <w:vMerge/>
            <w:tcBorders>
              <w:left w:val="single" w:sz="4" w:space="0" w:color="auto"/>
              <w:right w:val="single" w:sz="4" w:space="0" w:color="auto"/>
            </w:tcBorders>
          </w:tcPr>
          <w:p w14:paraId="237E1E96"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86818B1" w14:textId="13CBA02E" w:rsidR="00AA75BF" w:rsidRPr="00AA75BF" w:rsidRDefault="00AA75BF" w:rsidP="00AA75BF">
            <w:pPr>
              <w:pStyle w:val="TableTextBase"/>
              <w:rPr>
                <w:i/>
                <w:sz w:val="16"/>
                <w:szCs w:val="16"/>
              </w:rPr>
            </w:pPr>
            <w:r>
              <w:rPr>
                <w:rFonts w:cs="Arial"/>
                <w:sz w:val="16"/>
                <w:szCs w:val="16"/>
              </w:rPr>
              <w:t>Full and active engagement with the National Intelligence Community – (NIC) including through Office of National Intelligence-led prioritisation, coordination and evaluation process – to support Australia’s foreign policy interests.</w:t>
            </w:r>
          </w:p>
        </w:tc>
        <w:tc>
          <w:tcPr>
            <w:tcW w:w="3118" w:type="dxa"/>
            <w:tcBorders>
              <w:top w:val="single" w:sz="4" w:space="0" w:color="auto"/>
              <w:left w:val="single" w:sz="4" w:space="0" w:color="auto"/>
              <w:bottom w:val="single" w:sz="4" w:space="0" w:color="auto"/>
            </w:tcBorders>
          </w:tcPr>
          <w:p w14:paraId="0C8811A0" w14:textId="05CCB6B1" w:rsidR="00AA75BF" w:rsidRPr="00AA75BF" w:rsidRDefault="00AA75BF" w:rsidP="00AA75BF">
            <w:pPr>
              <w:pStyle w:val="TableTextBase"/>
              <w:jc w:val="center"/>
              <w:rPr>
                <w:i/>
                <w:sz w:val="16"/>
                <w:szCs w:val="16"/>
              </w:rPr>
            </w:pPr>
            <w:r>
              <w:rPr>
                <w:rFonts w:cs="Arial"/>
                <w:iCs/>
                <w:sz w:val="16"/>
                <w:szCs w:val="16"/>
              </w:rPr>
              <w:t>On track</w:t>
            </w:r>
          </w:p>
        </w:tc>
      </w:tr>
      <w:tr w:rsidR="00AA75BF" w:rsidRPr="00AA75BF" w14:paraId="2A692B6F" w14:textId="77777777" w:rsidTr="00C578EB">
        <w:trPr>
          <w:trHeight w:val="642"/>
        </w:trPr>
        <w:tc>
          <w:tcPr>
            <w:tcW w:w="1418" w:type="dxa"/>
            <w:vMerge/>
            <w:tcBorders>
              <w:left w:val="single" w:sz="4" w:space="0" w:color="auto"/>
              <w:right w:val="single" w:sz="4" w:space="0" w:color="auto"/>
            </w:tcBorders>
          </w:tcPr>
          <w:p w14:paraId="20B78009"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AB78E65" w14:textId="2E374A41" w:rsidR="00AA75BF" w:rsidRPr="00AA75BF" w:rsidRDefault="00AA75BF" w:rsidP="00AA75BF">
            <w:pPr>
              <w:pStyle w:val="TableTextBase"/>
              <w:rPr>
                <w:i/>
                <w:sz w:val="16"/>
                <w:szCs w:val="16"/>
              </w:rPr>
            </w:pPr>
            <w:r>
              <w:rPr>
                <w:rFonts w:cs="Arial"/>
                <w:sz w:val="16"/>
                <w:szCs w:val="16"/>
              </w:rPr>
              <w:t>Our relationships with Europe, the Middle East, Latin America and Africa advance Australia’s interests.</w:t>
            </w:r>
          </w:p>
        </w:tc>
        <w:tc>
          <w:tcPr>
            <w:tcW w:w="3118" w:type="dxa"/>
            <w:tcBorders>
              <w:top w:val="single" w:sz="4" w:space="0" w:color="auto"/>
              <w:left w:val="single" w:sz="4" w:space="0" w:color="auto"/>
              <w:bottom w:val="single" w:sz="4" w:space="0" w:color="auto"/>
            </w:tcBorders>
          </w:tcPr>
          <w:p w14:paraId="2EDE8A37" w14:textId="1A2859E9" w:rsidR="00AA75BF" w:rsidRPr="00AA75BF" w:rsidRDefault="00AA75BF" w:rsidP="00AA75BF">
            <w:pPr>
              <w:pStyle w:val="TableTextBase"/>
              <w:jc w:val="center"/>
              <w:rPr>
                <w:i/>
                <w:sz w:val="16"/>
                <w:szCs w:val="16"/>
              </w:rPr>
            </w:pPr>
            <w:r>
              <w:rPr>
                <w:rFonts w:cs="Arial"/>
                <w:iCs/>
                <w:sz w:val="16"/>
                <w:szCs w:val="16"/>
              </w:rPr>
              <w:t>On track</w:t>
            </w:r>
          </w:p>
        </w:tc>
      </w:tr>
      <w:tr w:rsidR="00AA75BF" w:rsidRPr="00AA75BF" w14:paraId="66AE0854" w14:textId="77777777" w:rsidTr="00C578EB">
        <w:trPr>
          <w:trHeight w:val="642"/>
        </w:trPr>
        <w:tc>
          <w:tcPr>
            <w:tcW w:w="1418" w:type="dxa"/>
            <w:vMerge/>
            <w:tcBorders>
              <w:left w:val="single" w:sz="4" w:space="0" w:color="auto"/>
              <w:right w:val="single" w:sz="4" w:space="0" w:color="auto"/>
            </w:tcBorders>
          </w:tcPr>
          <w:p w14:paraId="6DBB0B25"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BA77EE1" w14:textId="190DFF43" w:rsidR="00AA75BF" w:rsidRPr="00AA75BF" w:rsidRDefault="00AA75BF" w:rsidP="00AA75BF">
            <w:pPr>
              <w:pStyle w:val="TableTextBase"/>
              <w:rPr>
                <w:i/>
                <w:sz w:val="16"/>
                <w:szCs w:val="16"/>
              </w:rPr>
            </w:pPr>
            <w:r>
              <w:rPr>
                <w:rFonts w:cs="Arial"/>
                <w:sz w:val="16"/>
                <w:szCs w:val="16"/>
              </w:rPr>
              <w:t>The diplomatic and consular corps posted or accredited to Australia are satisfied with the delivery of protocol services.</w:t>
            </w:r>
          </w:p>
        </w:tc>
        <w:tc>
          <w:tcPr>
            <w:tcW w:w="3118" w:type="dxa"/>
            <w:tcBorders>
              <w:top w:val="single" w:sz="4" w:space="0" w:color="auto"/>
              <w:left w:val="single" w:sz="4" w:space="0" w:color="auto"/>
              <w:bottom w:val="single" w:sz="4" w:space="0" w:color="auto"/>
            </w:tcBorders>
          </w:tcPr>
          <w:p w14:paraId="23BB6212" w14:textId="490668FC" w:rsidR="00AA75BF" w:rsidRPr="00AA75BF" w:rsidRDefault="00AA75BF" w:rsidP="00AA75BF">
            <w:pPr>
              <w:pStyle w:val="TableTextBase"/>
              <w:jc w:val="center"/>
              <w:rPr>
                <w:i/>
                <w:sz w:val="16"/>
                <w:szCs w:val="16"/>
              </w:rPr>
            </w:pPr>
            <w:r>
              <w:rPr>
                <w:rFonts w:cs="Arial"/>
                <w:iCs/>
                <w:sz w:val="16"/>
                <w:szCs w:val="16"/>
              </w:rPr>
              <w:t>Achieved</w:t>
            </w:r>
          </w:p>
        </w:tc>
      </w:tr>
      <w:tr w:rsidR="00AA75BF" w:rsidRPr="00AA75BF" w14:paraId="48FBB61D" w14:textId="77777777" w:rsidTr="00C578EB">
        <w:trPr>
          <w:trHeight w:val="642"/>
        </w:trPr>
        <w:tc>
          <w:tcPr>
            <w:tcW w:w="1418" w:type="dxa"/>
            <w:vMerge/>
            <w:tcBorders>
              <w:left w:val="single" w:sz="4" w:space="0" w:color="auto"/>
              <w:bottom w:val="single" w:sz="4" w:space="0" w:color="auto"/>
              <w:right w:val="single" w:sz="4" w:space="0" w:color="auto"/>
            </w:tcBorders>
          </w:tcPr>
          <w:p w14:paraId="0AADEF6D" w14:textId="77777777" w:rsidR="00AA75BF" w:rsidRPr="00AA75BF" w:rsidRDefault="00AA75BF" w:rsidP="00AA75BF">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DC6CD76" w14:textId="15F65581" w:rsidR="00AA75BF" w:rsidRPr="00AA75BF" w:rsidRDefault="00AA75BF" w:rsidP="00AA75BF">
            <w:pPr>
              <w:pStyle w:val="TableTextBase"/>
              <w:rPr>
                <w:i/>
                <w:sz w:val="16"/>
                <w:szCs w:val="16"/>
              </w:rPr>
            </w:pPr>
            <w:r>
              <w:rPr>
                <w:rFonts w:cs="Arial"/>
                <w:sz w:val="16"/>
                <w:szCs w:val="16"/>
              </w:rPr>
              <w:t>Federal and state/territory governments support the department’s approach and processes, and foreign diplomats’ cooperation with Australia’s health and other requirements is strengthened.</w:t>
            </w:r>
          </w:p>
        </w:tc>
        <w:tc>
          <w:tcPr>
            <w:tcW w:w="3118" w:type="dxa"/>
            <w:tcBorders>
              <w:top w:val="single" w:sz="4" w:space="0" w:color="auto"/>
              <w:left w:val="single" w:sz="4" w:space="0" w:color="auto"/>
              <w:bottom w:val="single" w:sz="4" w:space="0" w:color="auto"/>
            </w:tcBorders>
          </w:tcPr>
          <w:p w14:paraId="5EC50FCB" w14:textId="263AF40E" w:rsidR="00AA75BF" w:rsidRPr="00AA75BF" w:rsidRDefault="00AA75BF" w:rsidP="00AA75BF">
            <w:pPr>
              <w:pStyle w:val="TableTextBase"/>
              <w:jc w:val="center"/>
              <w:rPr>
                <w:i/>
                <w:sz w:val="16"/>
                <w:szCs w:val="16"/>
              </w:rPr>
            </w:pPr>
            <w:r>
              <w:rPr>
                <w:rFonts w:cs="Arial"/>
                <w:iCs/>
                <w:sz w:val="16"/>
                <w:szCs w:val="16"/>
              </w:rPr>
              <w:t>Achieved</w:t>
            </w:r>
          </w:p>
        </w:tc>
      </w:tr>
    </w:tbl>
    <w:p w14:paraId="5A1D75D0" w14:textId="504ABC22" w:rsidR="00AA75BF" w:rsidRDefault="00AA75BF" w:rsidP="00AA75BF">
      <w:pPr>
        <w:pStyle w:val="ChartandTableFootnoteAlpha"/>
        <w:numPr>
          <w:ilvl w:val="0"/>
          <w:numId w:val="0"/>
        </w:numPr>
        <w:ind w:left="284" w:hanging="284"/>
      </w:pPr>
      <w:r w:rsidRPr="00C53B7C">
        <w:t xml:space="preserve">Table </w:t>
      </w:r>
      <w:proofErr w:type="gramStart"/>
      <w:r w:rsidRPr="00C53B7C">
        <w:t>continued on</w:t>
      </w:r>
      <w:proofErr w:type="gramEnd"/>
      <w:r w:rsidRPr="00C53B7C">
        <w:t xml:space="preserve"> the next page. </w:t>
      </w:r>
    </w:p>
    <w:p w14:paraId="2804BB42" w14:textId="77777777" w:rsidR="00AA75BF" w:rsidRDefault="00AA75BF" w:rsidP="00AA75BF">
      <w:pPr>
        <w:pStyle w:val="TableHeadingcontinued"/>
      </w:pPr>
      <w:r w:rsidRPr="00F71634">
        <w:t>Table 2.</w:t>
      </w:r>
      <w:r>
        <w:t>1</w:t>
      </w:r>
      <w:r w:rsidRPr="00F71634">
        <w:t>.3: Pe</w:t>
      </w:r>
      <w:r>
        <w:t>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A75BF" w:rsidRPr="00F71634" w14:paraId="3F87F384" w14:textId="77777777" w:rsidTr="00A311FC">
        <w:tc>
          <w:tcPr>
            <w:tcW w:w="7796" w:type="dxa"/>
            <w:gridSpan w:val="3"/>
            <w:tcBorders>
              <w:bottom w:val="double" w:sz="4" w:space="0" w:color="auto"/>
            </w:tcBorders>
            <w:shd w:val="clear" w:color="auto" w:fill="F2F2F2"/>
          </w:tcPr>
          <w:p w14:paraId="5890A147" w14:textId="77777777" w:rsidR="00AA75BF" w:rsidRPr="00A311FC" w:rsidRDefault="00AA75BF" w:rsidP="00CB6D07">
            <w:pPr>
              <w:tabs>
                <w:tab w:val="left" w:pos="709"/>
              </w:tabs>
              <w:spacing w:before="60" w:after="60" w:line="240" w:lineRule="auto"/>
              <w:jc w:val="left"/>
              <w:rPr>
                <w:rFonts w:ascii="Arial" w:hAnsi="Arial" w:cs="Arial"/>
                <w:b/>
                <w:sz w:val="18"/>
                <w:szCs w:val="18"/>
              </w:rPr>
            </w:pPr>
            <w:r w:rsidRPr="00A311FC">
              <w:rPr>
                <w:rFonts w:ascii="Arial" w:hAnsi="Arial" w:cs="Arial"/>
                <w:b/>
                <w:sz w:val="18"/>
                <w:szCs w:val="18"/>
              </w:rPr>
              <w:t xml:space="preserve">Program 1.1 (continued) – Foreign Affairs and Trade Operations. </w:t>
            </w:r>
            <w:r w:rsidRPr="00A311FC">
              <w:rPr>
                <w:rFonts w:ascii="Arial" w:hAnsi="Arial" w:cs="Arial"/>
                <w:sz w:val="18"/>
                <w:szCs w:val="18"/>
              </w:rPr>
              <w:t>The department will assist the government to meet its foreign, trade and investment, development and international security policy priorities.</w:t>
            </w:r>
          </w:p>
        </w:tc>
      </w:tr>
      <w:tr w:rsidR="00AA75BF" w:rsidRPr="00AA75BF" w14:paraId="287720DF" w14:textId="77777777" w:rsidTr="00A311FC">
        <w:trPr>
          <w:trHeight w:val="258"/>
        </w:trPr>
        <w:tc>
          <w:tcPr>
            <w:tcW w:w="1560" w:type="dxa"/>
            <w:tcBorders>
              <w:top w:val="double" w:sz="4" w:space="0" w:color="auto"/>
              <w:bottom w:val="single" w:sz="4" w:space="0" w:color="auto"/>
              <w:right w:val="single" w:sz="4" w:space="0" w:color="auto"/>
            </w:tcBorders>
          </w:tcPr>
          <w:p w14:paraId="585EA474" w14:textId="27A28F3B" w:rsidR="00AA75BF" w:rsidRPr="00AA75BF" w:rsidRDefault="00AA75BF"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41D7ED80" w14:textId="77777777" w:rsidR="00AA75BF" w:rsidRPr="00AA75BF" w:rsidRDefault="00AA75BF"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13BF2EE7" w14:textId="6162F450" w:rsidR="00AA75BF" w:rsidRPr="00AA75BF" w:rsidRDefault="008809BE" w:rsidP="00CB6D07">
            <w:pPr>
              <w:pStyle w:val="TableTextBase"/>
              <w:rPr>
                <w:rFonts w:cs="Arial"/>
                <w:b/>
                <w:sz w:val="16"/>
                <w:szCs w:val="16"/>
              </w:rPr>
            </w:pPr>
            <w:r>
              <w:rPr>
                <w:rFonts w:cs="Arial"/>
                <w:b/>
                <w:sz w:val="16"/>
                <w:szCs w:val="16"/>
              </w:rPr>
              <w:t>Planned</w:t>
            </w:r>
            <w:r w:rsidR="00AA75BF" w:rsidRPr="00AA75BF">
              <w:rPr>
                <w:rFonts w:cs="Arial"/>
                <w:b/>
                <w:sz w:val="16"/>
                <w:szCs w:val="16"/>
              </w:rPr>
              <w:t xml:space="preserve"> Performance Results</w:t>
            </w:r>
          </w:p>
        </w:tc>
      </w:tr>
      <w:tr w:rsidR="00F62425" w:rsidRPr="00AA75BF" w14:paraId="1B5DB485" w14:textId="77777777" w:rsidTr="00A311FC">
        <w:trPr>
          <w:trHeight w:val="258"/>
        </w:trPr>
        <w:tc>
          <w:tcPr>
            <w:tcW w:w="1560" w:type="dxa"/>
            <w:vMerge w:val="restart"/>
            <w:tcBorders>
              <w:top w:val="single" w:sz="4" w:space="0" w:color="auto"/>
              <w:right w:val="single" w:sz="4" w:space="0" w:color="auto"/>
            </w:tcBorders>
          </w:tcPr>
          <w:p w14:paraId="3A9797E4" w14:textId="77777777" w:rsidR="00DD66AC" w:rsidRDefault="00F62425" w:rsidP="00F62425">
            <w:pPr>
              <w:pStyle w:val="TableTextBase"/>
              <w:rPr>
                <w:bCs/>
                <w:sz w:val="16"/>
                <w:szCs w:val="16"/>
              </w:rPr>
            </w:pPr>
            <w:r w:rsidRPr="00F62425">
              <w:rPr>
                <w:bCs/>
                <w:sz w:val="16"/>
                <w:szCs w:val="16"/>
              </w:rPr>
              <w:t xml:space="preserve">Budget Year </w:t>
            </w:r>
          </w:p>
          <w:p w14:paraId="36691BC3" w14:textId="4B84A415" w:rsidR="00F62425" w:rsidRPr="00F62425" w:rsidRDefault="00F62425" w:rsidP="00F62425">
            <w:pPr>
              <w:pStyle w:val="TableTextBase"/>
              <w:rPr>
                <w:bCs/>
                <w:sz w:val="16"/>
                <w:szCs w:val="16"/>
              </w:rPr>
            </w:pPr>
            <w:r w:rsidRPr="00F62425">
              <w:rPr>
                <w:bCs/>
                <w:sz w:val="16"/>
                <w:szCs w:val="16"/>
              </w:rPr>
              <w:t>2022-23</w:t>
            </w:r>
          </w:p>
        </w:tc>
        <w:tc>
          <w:tcPr>
            <w:tcW w:w="3118" w:type="dxa"/>
            <w:tcBorders>
              <w:top w:val="single" w:sz="4" w:space="0" w:color="auto"/>
              <w:left w:val="single" w:sz="4" w:space="0" w:color="auto"/>
              <w:bottom w:val="single" w:sz="4" w:space="0" w:color="auto"/>
              <w:right w:val="single" w:sz="4" w:space="0" w:color="auto"/>
            </w:tcBorders>
          </w:tcPr>
          <w:p w14:paraId="795AD96F" w14:textId="0D10B3A7" w:rsidR="00F62425" w:rsidRPr="00AA75BF" w:rsidRDefault="00F62425" w:rsidP="00F62425">
            <w:pPr>
              <w:pStyle w:val="TableTextBase"/>
              <w:rPr>
                <w:rFonts w:cs="Arial"/>
                <w:b/>
                <w:sz w:val="16"/>
                <w:szCs w:val="16"/>
              </w:rPr>
            </w:pPr>
            <w:r>
              <w:rPr>
                <w:rFonts w:cs="Arial"/>
                <w:sz w:val="16"/>
                <w:szCs w:val="16"/>
              </w:rPr>
              <w:t>Our diplomatic efforts in the Indo-Pacific bolster partnerships and rules and norms that contribute to regional resilience, stability and prosperity and a regional balance favourable to our interests.</w:t>
            </w:r>
          </w:p>
        </w:tc>
        <w:tc>
          <w:tcPr>
            <w:tcW w:w="3118" w:type="dxa"/>
            <w:tcBorders>
              <w:top w:val="single" w:sz="4" w:space="0" w:color="auto"/>
              <w:left w:val="single" w:sz="4" w:space="0" w:color="auto"/>
              <w:bottom w:val="single" w:sz="4" w:space="0" w:color="auto"/>
            </w:tcBorders>
          </w:tcPr>
          <w:p w14:paraId="2D54701C" w14:textId="54C8C710" w:rsidR="00F62425" w:rsidRDefault="00F62425" w:rsidP="00091F80">
            <w:pPr>
              <w:pStyle w:val="ListParagraph"/>
              <w:numPr>
                <w:ilvl w:val="0"/>
                <w:numId w:val="52"/>
              </w:numPr>
              <w:tabs>
                <w:tab w:val="clear" w:pos="720"/>
                <w:tab w:val="left" w:pos="455"/>
              </w:tabs>
              <w:spacing w:before="60" w:after="60" w:line="240" w:lineRule="auto"/>
              <w:ind w:left="313" w:hanging="283"/>
              <w:rPr>
                <w:rFonts w:cs="Arial"/>
                <w:b/>
                <w:sz w:val="16"/>
                <w:szCs w:val="16"/>
              </w:rPr>
            </w:pPr>
            <w:r>
              <w:rPr>
                <w:rFonts w:ascii="Arial" w:hAnsi="Arial" w:cs="Arial"/>
                <w:sz w:val="16"/>
                <w:szCs w:val="16"/>
              </w:rPr>
              <w:t>Agreements, decisions, meeting outcomes and public statements by other governments align with our interests.</w:t>
            </w:r>
          </w:p>
        </w:tc>
      </w:tr>
      <w:tr w:rsidR="00F62425" w:rsidRPr="00AA75BF" w14:paraId="55875FE7" w14:textId="77777777" w:rsidTr="00CB6D07">
        <w:trPr>
          <w:trHeight w:val="258"/>
        </w:trPr>
        <w:tc>
          <w:tcPr>
            <w:tcW w:w="1560" w:type="dxa"/>
            <w:vMerge/>
            <w:tcBorders>
              <w:right w:val="single" w:sz="4" w:space="0" w:color="auto"/>
            </w:tcBorders>
          </w:tcPr>
          <w:p w14:paraId="7A321528" w14:textId="77777777" w:rsidR="00F62425" w:rsidRPr="00AA75BF" w:rsidRDefault="00F62425" w:rsidP="00F6242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E62AA5F" w14:textId="35898FE6" w:rsidR="00F62425" w:rsidRPr="00AA75BF" w:rsidRDefault="00F62425" w:rsidP="00F62425">
            <w:pPr>
              <w:pStyle w:val="TableTextBase"/>
              <w:rPr>
                <w:rFonts w:cs="Arial"/>
                <w:b/>
                <w:sz w:val="16"/>
                <w:szCs w:val="16"/>
              </w:rPr>
            </w:pPr>
            <w:r>
              <w:rPr>
                <w:rFonts w:cs="Arial"/>
                <w:sz w:val="16"/>
                <w:szCs w:val="16"/>
              </w:rPr>
              <w:t>High level of satisfaction of ministers and key stakeholders with the quality and timeliness of advice, briefing and support provided by the department.</w:t>
            </w:r>
          </w:p>
        </w:tc>
        <w:tc>
          <w:tcPr>
            <w:tcW w:w="3118" w:type="dxa"/>
            <w:tcBorders>
              <w:top w:val="single" w:sz="4" w:space="0" w:color="auto"/>
              <w:left w:val="single" w:sz="4" w:space="0" w:color="auto"/>
              <w:bottom w:val="single" w:sz="4" w:space="0" w:color="auto"/>
            </w:tcBorders>
          </w:tcPr>
          <w:p w14:paraId="5A2EEEAE" w14:textId="79623149" w:rsidR="00F62425" w:rsidRDefault="00F62425" w:rsidP="00091F80">
            <w:pPr>
              <w:pStyle w:val="ListParagraph"/>
              <w:numPr>
                <w:ilvl w:val="0"/>
                <w:numId w:val="52"/>
              </w:numPr>
              <w:tabs>
                <w:tab w:val="clear" w:pos="720"/>
                <w:tab w:val="left" w:pos="455"/>
              </w:tabs>
              <w:spacing w:before="60" w:after="60" w:line="240" w:lineRule="auto"/>
              <w:ind w:left="313" w:hanging="283"/>
              <w:rPr>
                <w:rFonts w:cs="Arial"/>
                <w:b/>
                <w:sz w:val="16"/>
                <w:szCs w:val="16"/>
              </w:rPr>
            </w:pPr>
            <w:r>
              <w:rPr>
                <w:rFonts w:ascii="Arial" w:hAnsi="Arial" w:cs="Arial"/>
                <w:sz w:val="16"/>
                <w:szCs w:val="16"/>
              </w:rPr>
              <w:t>Baseline to be established.</w:t>
            </w:r>
          </w:p>
        </w:tc>
      </w:tr>
      <w:tr w:rsidR="00F62425" w:rsidRPr="00AA75BF" w14:paraId="4E5A981C" w14:textId="77777777" w:rsidTr="00CB6D07">
        <w:trPr>
          <w:trHeight w:val="258"/>
        </w:trPr>
        <w:tc>
          <w:tcPr>
            <w:tcW w:w="1560" w:type="dxa"/>
            <w:vMerge/>
            <w:tcBorders>
              <w:right w:val="single" w:sz="4" w:space="0" w:color="auto"/>
            </w:tcBorders>
          </w:tcPr>
          <w:p w14:paraId="7D0701C6" w14:textId="77777777" w:rsidR="00F62425" w:rsidRPr="00AA75BF" w:rsidRDefault="00F62425" w:rsidP="00F6242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0DC0EC1" w14:textId="4709A957" w:rsidR="00F62425" w:rsidRPr="00AA75BF" w:rsidRDefault="00F62425" w:rsidP="00F62425">
            <w:pPr>
              <w:pStyle w:val="TableTextBase"/>
              <w:rPr>
                <w:rFonts w:cs="Arial"/>
                <w:b/>
                <w:sz w:val="16"/>
                <w:szCs w:val="16"/>
              </w:rPr>
            </w:pPr>
            <w:r>
              <w:rPr>
                <w:rFonts w:cs="Arial"/>
                <w:sz w:val="16"/>
                <w:szCs w:val="16"/>
              </w:rPr>
              <w:t>Australia’s Step-up in Pacific and Timor-Leste engagement supports stronger and more resilient economies, development outcomes and regional security.</w:t>
            </w:r>
          </w:p>
        </w:tc>
        <w:tc>
          <w:tcPr>
            <w:tcW w:w="3118" w:type="dxa"/>
            <w:tcBorders>
              <w:top w:val="single" w:sz="4" w:space="0" w:color="auto"/>
              <w:left w:val="single" w:sz="4" w:space="0" w:color="auto"/>
              <w:bottom w:val="single" w:sz="4" w:space="0" w:color="auto"/>
            </w:tcBorders>
          </w:tcPr>
          <w:p w14:paraId="58B25721" w14:textId="1402DFD4" w:rsidR="00F62425" w:rsidRDefault="00F624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Our strong and close partnerships with Pacific island countries and Timor-Leste are maintained and strengthened, created through our bilateral and regional engagement and delivery against the three pillars of the Pacific Step-up: economic prosperity, shared security and people-to-people connections</w:t>
            </w:r>
            <w:r w:rsidR="009741A3">
              <w:rPr>
                <w:rFonts w:ascii="Arial" w:hAnsi="Arial" w:cs="Arial"/>
                <w:sz w:val="16"/>
                <w:szCs w:val="16"/>
              </w:rPr>
              <w:t>.</w:t>
            </w:r>
          </w:p>
          <w:p w14:paraId="652EC579" w14:textId="4CC575BD" w:rsidR="00F62425" w:rsidRDefault="00F62425" w:rsidP="00091F80">
            <w:pPr>
              <w:pStyle w:val="ListParagraph"/>
              <w:numPr>
                <w:ilvl w:val="0"/>
                <w:numId w:val="52"/>
              </w:numPr>
              <w:tabs>
                <w:tab w:val="clear" w:pos="720"/>
                <w:tab w:val="left" w:pos="455"/>
              </w:tabs>
              <w:spacing w:before="60" w:after="60" w:line="240" w:lineRule="auto"/>
              <w:ind w:left="313" w:hanging="283"/>
              <w:rPr>
                <w:rFonts w:cs="Arial"/>
                <w:b/>
                <w:sz w:val="16"/>
                <w:szCs w:val="16"/>
              </w:rPr>
            </w:pPr>
            <w:r>
              <w:rPr>
                <w:rFonts w:ascii="Arial" w:hAnsi="Arial" w:cs="Arial"/>
                <w:sz w:val="16"/>
                <w:szCs w:val="16"/>
              </w:rPr>
              <w:t>We respond to the evolving priorities of the Pacific and Timor-Leste in support of regional COVID-19 recovery.</w:t>
            </w:r>
          </w:p>
        </w:tc>
      </w:tr>
      <w:tr w:rsidR="00F62425" w:rsidRPr="00AA75BF" w14:paraId="6C57D012" w14:textId="77777777" w:rsidTr="00CB6D07">
        <w:trPr>
          <w:trHeight w:val="258"/>
        </w:trPr>
        <w:tc>
          <w:tcPr>
            <w:tcW w:w="1560" w:type="dxa"/>
            <w:vMerge/>
            <w:tcBorders>
              <w:right w:val="single" w:sz="4" w:space="0" w:color="auto"/>
            </w:tcBorders>
          </w:tcPr>
          <w:p w14:paraId="3449DF7E" w14:textId="77777777" w:rsidR="00F62425" w:rsidRPr="00AA75BF" w:rsidRDefault="00F62425" w:rsidP="00F6242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10FAD88" w14:textId="4E42AAF3" w:rsidR="00F62425" w:rsidRPr="00AA75BF" w:rsidRDefault="00F62425" w:rsidP="00F62425">
            <w:pPr>
              <w:pStyle w:val="TableTextBase"/>
              <w:rPr>
                <w:rFonts w:cs="Arial"/>
                <w:b/>
                <w:sz w:val="16"/>
                <w:szCs w:val="16"/>
              </w:rPr>
            </w:pPr>
            <w:r>
              <w:rPr>
                <w:rFonts w:cs="Arial"/>
                <w:sz w:val="16"/>
                <w:szCs w:val="16"/>
              </w:rPr>
              <w:t>Global rules-based trading system reflects Australian interests.</w:t>
            </w:r>
          </w:p>
        </w:tc>
        <w:tc>
          <w:tcPr>
            <w:tcW w:w="3118" w:type="dxa"/>
            <w:tcBorders>
              <w:top w:val="single" w:sz="4" w:space="0" w:color="auto"/>
              <w:left w:val="single" w:sz="4" w:space="0" w:color="auto"/>
              <w:bottom w:val="single" w:sz="4" w:space="0" w:color="auto"/>
            </w:tcBorders>
          </w:tcPr>
          <w:p w14:paraId="2180FC32" w14:textId="6EA51D91" w:rsidR="00F62425" w:rsidRPr="00F62425" w:rsidRDefault="00F624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Outcomes in WTO, APEC, G20 and OECD promote economic recovery through trade and investment.</w:t>
            </w:r>
          </w:p>
        </w:tc>
      </w:tr>
      <w:tr w:rsidR="00F62425" w:rsidRPr="00AA75BF" w14:paraId="02E68ADD" w14:textId="77777777" w:rsidTr="00CB6D07">
        <w:trPr>
          <w:trHeight w:val="258"/>
        </w:trPr>
        <w:tc>
          <w:tcPr>
            <w:tcW w:w="1560" w:type="dxa"/>
            <w:vMerge/>
            <w:tcBorders>
              <w:right w:val="single" w:sz="4" w:space="0" w:color="auto"/>
            </w:tcBorders>
          </w:tcPr>
          <w:p w14:paraId="09EAC377" w14:textId="77777777" w:rsidR="00F62425" w:rsidRPr="00AA75BF" w:rsidRDefault="00F62425" w:rsidP="00F6242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E595A51" w14:textId="4F6C3617" w:rsidR="00F62425" w:rsidRPr="00AA75BF" w:rsidRDefault="00F62425" w:rsidP="00F62425">
            <w:pPr>
              <w:pStyle w:val="TableTextBase"/>
              <w:rPr>
                <w:rFonts w:cs="Arial"/>
                <w:b/>
                <w:sz w:val="16"/>
                <w:szCs w:val="16"/>
              </w:rPr>
            </w:pPr>
            <w:r>
              <w:rPr>
                <w:rFonts w:cs="Arial"/>
                <w:sz w:val="16"/>
                <w:szCs w:val="16"/>
              </w:rPr>
              <w:t>Increased market opening and opportunities for Australian businesses.</w:t>
            </w:r>
          </w:p>
        </w:tc>
        <w:tc>
          <w:tcPr>
            <w:tcW w:w="3118" w:type="dxa"/>
            <w:tcBorders>
              <w:top w:val="single" w:sz="4" w:space="0" w:color="auto"/>
              <w:left w:val="single" w:sz="4" w:space="0" w:color="auto"/>
              <w:bottom w:val="single" w:sz="4" w:space="0" w:color="auto"/>
            </w:tcBorders>
          </w:tcPr>
          <w:p w14:paraId="14EA7DBD" w14:textId="0563F849" w:rsidR="00F62425" w:rsidRPr="00F62425" w:rsidRDefault="00F624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Increased compared to previous year.</w:t>
            </w:r>
          </w:p>
        </w:tc>
      </w:tr>
      <w:tr w:rsidR="00F62425" w:rsidRPr="00AA75BF" w14:paraId="460FE7BB" w14:textId="77777777" w:rsidTr="00CB6D07">
        <w:trPr>
          <w:trHeight w:val="258"/>
        </w:trPr>
        <w:tc>
          <w:tcPr>
            <w:tcW w:w="1560" w:type="dxa"/>
            <w:vMerge/>
            <w:tcBorders>
              <w:right w:val="single" w:sz="4" w:space="0" w:color="auto"/>
            </w:tcBorders>
          </w:tcPr>
          <w:p w14:paraId="17CD8EEA" w14:textId="77777777" w:rsidR="00F62425" w:rsidRPr="00AA75BF" w:rsidRDefault="00F62425" w:rsidP="00F6242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3F05816" w14:textId="6738B985" w:rsidR="00F62425" w:rsidRPr="00AA75BF" w:rsidRDefault="00F62425" w:rsidP="00F62425">
            <w:pPr>
              <w:pStyle w:val="TableTextBase"/>
              <w:rPr>
                <w:rFonts w:cs="Arial"/>
                <w:b/>
                <w:sz w:val="16"/>
                <w:szCs w:val="16"/>
              </w:rPr>
            </w:pPr>
            <w:r>
              <w:rPr>
                <w:rFonts w:cs="Arial"/>
                <w:sz w:val="16"/>
                <w:szCs w:val="16"/>
              </w:rPr>
              <w:t xml:space="preserve">Trade and investment </w:t>
            </w:r>
            <w:proofErr w:type="gramStart"/>
            <w:r>
              <w:rPr>
                <w:rFonts w:cs="Arial"/>
                <w:sz w:val="16"/>
                <w:szCs w:val="16"/>
              </w:rPr>
              <w:t>is</w:t>
            </w:r>
            <w:proofErr w:type="gramEnd"/>
            <w:r>
              <w:rPr>
                <w:rFonts w:cs="Arial"/>
                <w:sz w:val="16"/>
                <w:szCs w:val="16"/>
              </w:rPr>
              <w:t xml:space="preserve"> factored into Australia’s economic policy settings.</w:t>
            </w:r>
          </w:p>
        </w:tc>
        <w:tc>
          <w:tcPr>
            <w:tcW w:w="3118" w:type="dxa"/>
            <w:tcBorders>
              <w:top w:val="single" w:sz="4" w:space="0" w:color="auto"/>
              <w:left w:val="single" w:sz="4" w:space="0" w:color="auto"/>
              <w:bottom w:val="single" w:sz="4" w:space="0" w:color="auto"/>
            </w:tcBorders>
          </w:tcPr>
          <w:p w14:paraId="76701CDB" w14:textId="06321B95" w:rsidR="00F62425" w:rsidRPr="00F62425" w:rsidRDefault="00F624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Economic policy </w:t>
            </w:r>
            <w:proofErr w:type="gramStart"/>
            <w:r>
              <w:rPr>
                <w:rFonts w:ascii="Arial" w:hAnsi="Arial" w:cs="Arial"/>
                <w:sz w:val="16"/>
                <w:szCs w:val="16"/>
              </w:rPr>
              <w:t>takes into account</w:t>
            </w:r>
            <w:proofErr w:type="gramEnd"/>
            <w:r>
              <w:rPr>
                <w:rFonts w:ascii="Arial" w:hAnsi="Arial" w:cs="Arial"/>
                <w:sz w:val="16"/>
                <w:szCs w:val="16"/>
              </w:rPr>
              <w:t xml:space="preserve"> Australia’s trade and investment interests and is consistent with our international trade law obligations.</w:t>
            </w:r>
          </w:p>
        </w:tc>
      </w:tr>
      <w:tr w:rsidR="00F62425" w:rsidRPr="00AA75BF" w14:paraId="50A51332" w14:textId="77777777" w:rsidTr="00CB6D07">
        <w:trPr>
          <w:trHeight w:val="258"/>
        </w:trPr>
        <w:tc>
          <w:tcPr>
            <w:tcW w:w="1560" w:type="dxa"/>
            <w:vMerge/>
            <w:tcBorders>
              <w:bottom w:val="single" w:sz="4" w:space="0" w:color="auto"/>
              <w:right w:val="single" w:sz="4" w:space="0" w:color="auto"/>
            </w:tcBorders>
          </w:tcPr>
          <w:p w14:paraId="2260A86D" w14:textId="77777777" w:rsidR="00F62425" w:rsidRPr="00AA75BF" w:rsidRDefault="00F62425" w:rsidP="00F6242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12A1711" w14:textId="4B58C4B2" w:rsidR="00F62425" w:rsidRPr="00AA75BF" w:rsidRDefault="00F62425" w:rsidP="00F62425">
            <w:pPr>
              <w:pStyle w:val="TableTextBase"/>
              <w:rPr>
                <w:rFonts w:cs="Arial"/>
                <w:b/>
                <w:sz w:val="16"/>
                <w:szCs w:val="16"/>
              </w:rPr>
            </w:pPr>
            <w:r>
              <w:rPr>
                <w:rFonts w:cs="Arial"/>
                <w:sz w:val="16"/>
                <w:szCs w:val="16"/>
              </w:rPr>
              <w:t>Positive trade and investment outcomes supported by the department’s economic and commercial diplomacy, and domestic advocacy efforts.</w:t>
            </w:r>
          </w:p>
        </w:tc>
        <w:tc>
          <w:tcPr>
            <w:tcW w:w="3118" w:type="dxa"/>
            <w:tcBorders>
              <w:top w:val="single" w:sz="4" w:space="0" w:color="auto"/>
              <w:left w:val="single" w:sz="4" w:space="0" w:color="auto"/>
              <w:bottom w:val="single" w:sz="4" w:space="0" w:color="auto"/>
            </w:tcBorders>
          </w:tcPr>
          <w:p w14:paraId="277EC8E4" w14:textId="77777777" w:rsidR="00F62425" w:rsidRDefault="00F624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Effective support to Australian business in overseas markets.</w:t>
            </w:r>
          </w:p>
          <w:p w14:paraId="76C3CD3A" w14:textId="45ED9FB4" w:rsidR="00F62425" w:rsidRPr="00F62425" w:rsidRDefault="00F62425" w:rsidP="00091F80">
            <w:pPr>
              <w:pStyle w:val="ListParagraph"/>
              <w:numPr>
                <w:ilvl w:val="0"/>
                <w:numId w:val="52"/>
              </w:numPr>
              <w:tabs>
                <w:tab w:val="clear" w:pos="720"/>
                <w:tab w:val="left" w:pos="455"/>
              </w:tabs>
              <w:spacing w:before="60" w:after="60" w:line="240" w:lineRule="auto"/>
              <w:ind w:left="313" w:hanging="283"/>
              <w:rPr>
                <w:rFonts w:cs="Arial"/>
                <w:sz w:val="16"/>
                <w:szCs w:val="16"/>
              </w:rPr>
            </w:pPr>
            <w:r w:rsidRPr="00F62425">
              <w:rPr>
                <w:rFonts w:ascii="Arial" w:hAnsi="Arial" w:cs="Arial"/>
                <w:sz w:val="16"/>
                <w:szCs w:val="16"/>
              </w:rPr>
              <w:t>Increased public stakeholder understanding of the benefits of trade and investment.</w:t>
            </w:r>
          </w:p>
        </w:tc>
      </w:tr>
    </w:tbl>
    <w:p w14:paraId="5782779F" w14:textId="77777777" w:rsidR="009D179D" w:rsidRPr="00C53B7C" w:rsidRDefault="009D179D" w:rsidP="009D179D">
      <w:pPr>
        <w:pStyle w:val="ChartandTableFootnoteAlpha"/>
        <w:numPr>
          <w:ilvl w:val="0"/>
          <w:numId w:val="0"/>
        </w:numPr>
        <w:ind w:left="284" w:hanging="284"/>
      </w:pPr>
      <w:r w:rsidRPr="00C53B7C">
        <w:t xml:space="preserve">Table </w:t>
      </w:r>
      <w:proofErr w:type="gramStart"/>
      <w:r w:rsidRPr="00C53B7C">
        <w:t>continued on</w:t>
      </w:r>
      <w:proofErr w:type="gramEnd"/>
      <w:r w:rsidRPr="00C53B7C">
        <w:t xml:space="preserve"> the next page. </w:t>
      </w:r>
    </w:p>
    <w:p w14:paraId="5FC6FE8E" w14:textId="31928A2A" w:rsidR="00BF7AE6" w:rsidRDefault="00BF7AE6"/>
    <w:p w14:paraId="5DCB3CAE" w14:textId="77777777" w:rsidR="00BF7AE6" w:rsidRDefault="00BF7AE6">
      <w:pPr>
        <w:spacing w:after="0" w:line="240" w:lineRule="auto"/>
        <w:jc w:val="left"/>
      </w:pPr>
      <w:r>
        <w:br w:type="page"/>
      </w:r>
    </w:p>
    <w:p w14:paraId="3B3A1B99" w14:textId="77777777" w:rsidR="00BF7AE6" w:rsidRDefault="00BF7AE6" w:rsidP="00BF7AE6">
      <w:pPr>
        <w:pStyle w:val="TableHeadingcontinued"/>
      </w:pPr>
      <w:r w:rsidRPr="00F71634">
        <w:t>Table 2.</w:t>
      </w:r>
      <w:r>
        <w:t>1</w:t>
      </w:r>
      <w:r w:rsidRPr="00F71634">
        <w:t>.3: Pe</w:t>
      </w:r>
      <w:r>
        <w:t>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BF7AE6" w:rsidRPr="00F71634" w14:paraId="4F322191" w14:textId="77777777" w:rsidTr="00A311FC">
        <w:tc>
          <w:tcPr>
            <w:tcW w:w="7796" w:type="dxa"/>
            <w:gridSpan w:val="3"/>
            <w:tcBorders>
              <w:bottom w:val="double" w:sz="4" w:space="0" w:color="auto"/>
            </w:tcBorders>
            <w:shd w:val="clear" w:color="auto" w:fill="F2F2F2"/>
          </w:tcPr>
          <w:p w14:paraId="3F418257" w14:textId="77777777" w:rsidR="00BF7AE6" w:rsidRPr="00A311FC" w:rsidRDefault="00BF7AE6" w:rsidP="00CB6D07">
            <w:pPr>
              <w:tabs>
                <w:tab w:val="left" w:pos="709"/>
              </w:tabs>
              <w:spacing w:before="60" w:after="60" w:line="240" w:lineRule="auto"/>
              <w:jc w:val="left"/>
              <w:rPr>
                <w:rFonts w:ascii="Arial" w:hAnsi="Arial" w:cs="Arial"/>
                <w:b/>
                <w:sz w:val="18"/>
                <w:szCs w:val="18"/>
              </w:rPr>
            </w:pPr>
            <w:r w:rsidRPr="00A311FC">
              <w:rPr>
                <w:rFonts w:ascii="Arial" w:hAnsi="Arial" w:cs="Arial"/>
                <w:b/>
                <w:sz w:val="18"/>
                <w:szCs w:val="18"/>
              </w:rPr>
              <w:t xml:space="preserve">Program 1.1 (continued) – Foreign Affairs and Trade Operations. </w:t>
            </w:r>
            <w:r w:rsidRPr="00A311FC">
              <w:rPr>
                <w:rFonts w:ascii="Arial" w:hAnsi="Arial" w:cs="Arial"/>
                <w:sz w:val="18"/>
                <w:szCs w:val="18"/>
              </w:rPr>
              <w:t>The department will assist the government to meet its foreign, trade and investment, development and international security policy priorities.</w:t>
            </w:r>
          </w:p>
        </w:tc>
      </w:tr>
      <w:tr w:rsidR="00BF7AE6" w:rsidRPr="00AA75BF" w14:paraId="7FD54F65" w14:textId="77777777" w:rsidTr="00A311FC">
        <w:trPr>
          <w:trHeight w:val="258"/>
        </w:trPr>
        <w:tc>
          <w:tcPr>
            <w:tcW w:w="1560" w:type="dxa"/>
            <w:tcBorders>
              <w:top w:val="double" w:sz="4" w:space="0" w:color="auto"/>
              <w:bottom w:val="single" w:sz="4" w:space="0" w:color="auto"/>
              <w:right w:val="single" w:sz="4" w:space="0" w:color="auto"/>
            </w:tcBorders>
          </w:tcPr>
          <w:p w14:paraId="6719955E" w14:textId="42E9C951" w:rsidR="00BF7AE6" w:rsidRPr="00AA75BF" w:rsidRDefault="00BF7AE6"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B8419FA" w14:textId="77777777" w:rsidR="00BF7AE6" w:rsidRPr="00AA75BF" w:rsidRDefault="00BF7AE6"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5E57C0F" w14:textId="77777777" w:rsidR="00BF7AE6" w:rsidRPr="00AA75BF" w:rsidRDefault="00BF7AE6" w:rsidP="00CB6D07">
            <w:pPr>
              <w:pStyle w:val="TableTextBase"/>
              <w:rPr>
                <w:rFonts w:cs="Arial"/>
                <w:b/>
                <w:sz w:val="16"/>
                <w:szCs w:val="16"/>
              </w:rPr>
            </w:pPr>
            <w:r>
              <w:rPr>
                <w:rFonts w:cs="Arial"/>
                <w:b/>
                <w:sz w:val="16"/>
                <w:szCs w:val="16"/>
              </w:rPr>
              <w:t>Planned</w:t>
            </w:r>
            <w:r w:rsidRPr="00AA75BF">
              <w:rPr>
                <w:rFonts w:cs="Arial"/>
                <w:b/>
                <w:sz w:val="16"/>
                <w:szCs w:val="16"/>
              </w:rPr>
              <w:t xml:space="preserve"> Performance Results</w:t>
            </w:r>
          </w:p>
        </w:tc>
      </w:tr>
      <w:tr w:rsidR="00141481" w:rsidRPr="00AA75BF" w14:paraId="02D1F18E" w14:textId="77777777" w:rsidTr="00A311FC">
        <w:trPr>
          <w:trHeight w:val="258"/>
        </w:trPr>
        <w:tc>
          <w:tcPr>
            <w:tcW w:w="1560" w:type="dxa"/>
            <w:vMerge w:val="restart"/>
            <w:tcBorders>
              <w:top w:val="single" w:sz="4" w:space="0" w:color="auto"/>
              <w:right w:val="single" w:sz="4" w:space="0" w:color="auto"/>
            </w:tcBorders>
          </w:tcPr>
          <w:p w14:paraId="06A9E744" w14:textId="77777777" w:rsidR="00DD66AC" w:rsidRDefault="00141481" w:rsidP="00F62425">
            <w:pPr>
              <w:pStyle w:val="TableTextBase"/>
              <w:rPr>
                <w:bCs/>
                <w:sz w:val="16"/>
                <w:szCs w:val="16"/>
              </w:rPr>
            </w:pPr>
            <w:r w:rsidRPr="00723F3F">
              <w:rPr>
                <w:bCs/>
                <w:sz w:val="16"/>
                <w:szCs w:val="16"/>
              </w:rPr>
              <w:t xml:space="preserve">Budget Year </w:t>
            </w:r>
          </w:p>
          <w:p w14:paraId="177D0788" w14:textId="0C8B7FF7" w:rsidR="00141481" w:rsidRPr="00723F3F" w:rsidRDefault="00141481" w:rsidP="00F62425">
            <w:pPr>
              <w:pStyle w:val="TableTextBase"/>
              <w:rPr>
                <w:bCs/>
                <w:sz w:val="16"/>
                <w:szCs w:val="16"/>
              </w:rPr>
            </w:pPr>
            <w:r w:rsidRPr="00723F3F">
              <w:rPr>
                <w:bCs/>
                <w:sz w:val="16"/>
                <w:szCs w:val="16"/>
              </w:rPr>
              <w:t>2022-23 (continued)</w:t>
            </w:r>
          </w:p>
        </w:tc>
        <w:tc>
          <w:tcPr>
            <w:tcW w:w="3118" w:type="dxa"/>
            <w:tcBorders>
              <w:top w:val="single" w:sz="4" w:space="0" w:color="auto"/>
              <w:left w:val="single" w:sz="4" w:space="0" w:color="auto"/>
              <w:bottom w:val="single" w:sz="4" w:space="0" w:color="auto"/>
              <w:right w:val="single" w:sz="4" w:space="0" w:color="auto"/>
            </w:tcBorders>
          </w:tcPr>
          <w:p w14:paraId="3296BC81" w14:textId="4814A42B" w:rsidR="00141481" w:rsidRPr="00AA75BF" w:rsidRDefault="00141481" w:rsidP="00F62425">
            <w:pPr>
              <w:pStyle w:val="TableTextBase"/>
              <w:rPr>
                <w:rFonts w:cs="Arial"/>
                <w:b/>
                <w:sz w:val="16"/>
                <w:szCs w:val="16"/>
              </w:rPr>
            </w:pPr>
            <w:r>
              <w:rPr>
                <w:rFonts w:cs="Arial"/>
                <w:sz w:val="16"/>
                <w:szCs w:val="16"/>
              </w:rPr>
              <w:t>Security outcomes that reflect Australia’s interests.</w:t>
            </w:r>
          </w:p>
        </w:tc>
        <w:tc>
          <w:tcPr>
            <w:tcW w:w="3118" w:type="dxa"/>
            <w:tcBorders>
              <w:top w:val="single" w:sz="4" w:space="0" w:color="auto"/>
              <w:left w:val="single" w:sz="4" w:space="0" w:color="auto"/>
              <w:bottom w:val="single" w:sz="4" w:space="0" w:color="auto"/>
            </w:tcBorders>
          </w:tcPr>
          <w:p w14:paraId="5BCA815F" w14:textId="07AEBF68" w:rsidR="00141481" w:rsidRPr="009741A3" w:rsidRDefault="009741A3" w:rsidP="009741A3">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Effective implementation of key strategies, particularly those targeting people smuggling and human trafficking, terrorism and cyber. </w:t>
            </w:r>
          </w:p>
        </w:tc>
      </w:tr>
      <w:tr w:rsidR="00141481" w:rsidRPr="00AA75BF" w14:paraId="70E301AD" w14:textId="77777777" w:rsidTr="00CB6D07">
        <w:trPr>
          <w:trHeight w:val="258"/>
        </w:trPr>
        <w:tc>
          <w:tcPr>
            <w:tcW w:w="1560" w:type="dxa"/>
            <w:vMerge/>
            <w:tcBorders>
              <w:right w:val="single" w:sz="4" w:space="0" w:color="auto"/>
            </w:tcBorders>
          </w:tcPr>
          <w:p w14:paraId="639F7127" w14:textId="77777777" w:rsidR="00141481" w:rsidRPr="00AA75BF" w:rsidRDefault="00141481" w:rsidP="00723F3F">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C4DBA0" w14:textId="20C18A66" w:rsidR="00141481" w:rsidRPr="00AA75BF" w:rsidRDefault="00141481" w:rsidP="00723F3F">
            <w:pPr>
              <w:pStyle w:val="TableTextBase"/>
              <w:rPr>
                <w:rFonts w:cs="Arial"/>
                <w:b/>
                <w:sz w:val="16"/>
                <w:szCs w:val="16"/>
              </w:rPr>
            </w:pPr>
            <w:r>
              <w:rPr>
                <w:rFonts w:cs="Arial"/>
                <w:sz w:val="16"/>
                <w:szCs w:val="16"/>
              </w:rPr>
              <w:t>Full and active engagement with the National Intelligence Community</w:t>
            </w:r>
            <w:r w:rsidR="00503DA5">
              <w:rPr>
                <w:rFonts w:cs="Arial"/>
                <w:sz w:val="16"/>
                <w:szCs w:val="16"/>
              </w:rPr>
              <w:t xml:space="preserve"> (NIC)</w:t>
            </w:r>
            <w:r>
              <w:rPr>
                <w:rFonts w:cs="Arial"/>
                <w:sz w:val="16"/>
                <w:szCs w:val="16"/>
              </w:rPr>
              <w:t xml:space="preserve"> – including through Office of National Intelligence-led prioritisation, coordination and evaluation process – to support Australia’s foreign policy interests.</w:t>
            </w:r>
          </w:p>
        </w:tc>
        <w:tc>
          <w:tcPr>
            <w:tcW w:w="3118" w:type="dxa"/>
            <w:tcBorders>
              <w:top w:val="single" w:sz="4" w:space="0" w:color="auto"/>
              <w:left w:val="single" w:sz="4" w:space="0" w:color="auto"/>
              <w:bottom w:val="single" w:sz="4" w:space="0" w:color="auto"/>
            </w:tcBorders>
          </w:tcPr>
          <w:p w14:paraId="644D6D95" w14:textId="77777777" w:rsidR="00141481" w:rsidRDefault="00141481"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DFAT contributes to NIC understanding of developments affecting Australia’s foreign policy interests.</w:t>
            </w:r>
          </w:p>
          <w:p w14:paraId="792A8FFE" w14:textId="0971E3E5" w:rsidR="00141481" w:rsidRPr="00F62425" w:rsidRDefault="00141481"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DFAT’s prosecution of Australia’s foreign policy interests </w:t>
            </w:r>
            <w:proofErr w:type="gramStart"/>
            <w:r>
              <w:rPr>
                <w:rFonts w:ascii="Arial" w:hAnsi="Arial" w:cs="Arial"/>
                <w:sz w:val="16"/>
                <w:szCs w:val="16"/>
              </w:rPr>
              <w:t>is</w:t>
            </w:r>
            <w:proofErr w:type="gramEnd"/>
            <w:r>
              <w:rPr>
                <w:rFonts w:ascii="Arial" w:hAnsi="Arial" w:cs="Arial"/>
                <w:sz w:val="16"/>
                <w:szCs w:val="16"/>
              </w:rPr>
              <w:t xml:space="preserve"> better targeted through this engagement with NIC agencies.</w:t>
            </w:r>
          </w:p>
        </w:tc>
      </w:tr>
      <w:tr w:rsidR="00141481" w:rsidRPr="00AA75BF" w14:paraId="1D10A800" w14:textId="77777777" w:rsidTr="00CB6D07">
        <w:trPr>
          <w:trHeight w:val="258"/>
        </w:trPr>
        <w:tc>
          <w:tcPr>
            <w:tcW w:w="1560" w:type="dxa"/>
            <w:vMerge/>
            <w:tcBorders>
              <w:right w:val="single" w:sz="4" w:space="0" w:color="auto"/>
            </w:tcBorders>
          </w:tcPr>
          <w:p w14:paraId="7097C63A" w14:textId="77777777" w:rsidR="00141481" w:rsidRPr="00AA75BF" w:rsidRDefault="00141481" w:rsidP="00723F3F">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99C9E4D" w14:textId="714077D8" w:rsidR="00141481" w:rsidRPr="00AA75BF" w:rsidRDefault="00141481" w:rsidP="00723F3F">
            <w:pPr>
              <w:pStyle w:val="TableTextBase"/>
              <w:rPr>
                <w:rFonts w:cs="Arial"/>
                <w:b/>
                <w:sz w:val="16"/>
                <w:szCs w:val="16"/>
              </w:rPr>
            </w:pPr>
            <w:r>
              <w:rPr>
                <w:rFonts w:cs="Arial"/>
                <w:sz w:val="16"/>
                <w:szCs w:val="16"/>
              </w:rPr>
              <w:t>Our relationships with Europe, the Middle East, Latin America and Africa advance Australia’s interests.</w:t>
            </w:r>
          </w:p>
        </w:tc>
        <w:tc>
          <w:tcPr>
            <w:tcW w:w="3118" w:type="dxa"/>
            <w:tcBorders>
              <w:top w:val="single" w:sz="4" w:space="0" w:color="auto"/>
              <w:left w:val="single" w:sz="4" w:space="0" w:color="auto"/>
              <w:bottom w:val="single" w:sz="4" w:space="0" w:color="auto"/>
            </w:tcBorders>
          </w:tcPr>
          <w:p w14:paraId="5871B3EE" w14:textId="51428763" w:rsidR="00141481" w:rsidRPr="00F62425" w:rsidRDefault="00141481"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Positive regard for Australian interests increasingly identified in countries of Europe, the Middle East, Latin America and Africa.</w:t>
            </w:r>
          </w:p>
        </w:tc>
      </w:tr>
      <w:tr w:rsidR="00141481" w:rsidRPr="00AA75BF" w14:paraId="5D8744FE" w14:textId="77777777" w:rsidTr="00CB6D07">
        <w:trPr>
          <w:trHeight w:val="258"/>
        </w:trPr>
        <w:tc>
          <w:tcPr>
            <w:tcW w:w="1560" w:type="dxa"/>
            <w:vMerge/>
            <w:tcBorders>
              <w:right w:val="single" w:sz="4" w:space="0" w:color="auto"/>
            </w:tcBorders>
          </w:tcPr>
          <w:p w14:paraId="5EBC246B" w14:textId="77777777" w:rsidR="00141481" w:rsidRPr="00AA75BF" w:rsidRDefault="00141481" w:rsidP="00723F3F">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2CDFB5A" w14:textId="0050CCCA" w:rsidR="00141481" w:rsidRPr="00AA75BF" w:rsidRDefault="00141481" w:rsidP="00723F3F">
            <w:pPr>
              <w:pStyle w:val="TableTextBase"/>
              <w:rPr>
                <w:rFonts w:cs="Arial"/>
                <w:b/>
                <w:sz w:val="16"/>
                <w:szCs w:val="16"/>
              </w:rPr>
            </w:pPr>
            <w:r>
              <w:rPr>
                <w:rFonts w:cs="Arial"/>
                <w:sz w:val="16"/>
                <w:szCs w:val="16"/>
              </w:rPr>
              <w:t>The diplomatic and consular corps posted or accredited to Australia are satisfied with the delivery of protocol services.</w:t>
            </w:r>
          </w:p>
        </w:tc>
        <w:tc>
          <w:tcPr>
            <w:tcW w:w="3118" w:type="dxa"/>
            <w:tcBorders>
              <w:top w:val="single" w:sz="4" w:space="0" w:color="auto"/>
              <w:left w:val="single" w:sz="4" w:space="0" w:color="auto"/>
              <w:bottom w:val="single" w:sz="4" w:space="0" w:color="auto"/>
            </w:tcBorders>
          </w:tcPr>
          <w:p w14:paraId="6330ADC5" w14:textId="36CD2378" w:rsidR="00141481" w:rsidRPr="00F62425" w:rsidRDefault="00141481" w:rsidP="00091F80">
            <w:pPr>
              <w:pStyle w:val="ListParagraph"/>
              <w:numPr>
                <w:ilvl w:val="0"/>
                <w:numId w:val="52"/>
              </w:numPr>
              <w:tabs>
                <w:tab w:val="clear" w:pos="720"/>
                <w:tab w:val="left" w:pos="455"/>
              </w:tabs>
              <w:spacing w:before="60" w:after="60" w:line="240" w:lineRule="auto"/>
              <w:ind w:left="313" w:hanging="283"/>
              <w:rPr>
                <w:rFonts w:cs="Arial"/>
                <w:sz w:val="16"/>
                <w:szCs w:val="16"/>
              </w:rPr>
            </w:pPr>
            <w:r>
              <w:rPr>
                <w:rFonts w:ascii="Arial" w:hAnsi="Arial" w:cs="Arial"/>
                <w:sz w:val="16"/>
                <w:szCs w:val="16"/>
              </w:rPr>
              <w:t>Maintain satisfaction levels above 85 per cent.</w:t>
            </w:r>
          </w:p>
        </w:tc>
      </w:tr>
      <w:tr w:rsidR="00141481" w:rsidRPr="00AA75BF" w14:paraId="27EABDEF" w14:textId="77777777" w:rsidTr="00A311FC">
        <w:trPr>
          <w:trHeight w:val="258"/>
        </w:trPr>
        <w:tc>
          <w:tcPr>
            <w:tcW w:w="1560" w:type="dxa"/>
            <w:vMerge/>
            <w:tcBorders>
              <w:bottom w:val="dotted" w:sz="4" w:space="0" w:color="auto"/>
              <w:right w:val="single" w:sz="4" w:space="0" w:color="auto"/>
            </w:tcBorders>
          </w:tcPr>
          <w:p w14:paraId="08CBE2DF" w14:textId="77777777" w:rsidR="00141481" w:rsidRPr="00AA75BF" w:rsidRDefault="00141481" w:rsidP="00141481">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10CB47A0" w14:textId="15CD4E97" w:rsidR="00141481" w:rsidRPr="00AA75BF" w:rsidRDefault="00141481" w:rsidP="00141481">
            <w:pPr>
              <w:pStyle w:val="TableTextBase"/>
              <w:rPr>
                <w:rFonts w:cs="Arial"/>
                <w:b/>
                <w:sz w:val="16"/>
                <w:szCs w:val="16"/>
              </w:rPr>
            </w:pPr>
            <w:r>
              <w:rPr>
                <w:rFonts w:cs="Arial"/>
                <w:sz w:val="16"/>
                <w:szCs w:val="16"/>
              </w:rPr>
              <w:t>Federal and state/territory governments support the department’s approach and processes, and foreign diplomats’ cooperation with Australia’s health and other requirements is strengthened.</w:t>
            </w:r>
          </w:p>
        </w:tc>
        <w:tc>
          <w:tcPr>
            <w:tcW w:w="3118" w:type="dxa"/>
            <w:tcBorders>
              <w:top w:val="single" w:sz="4" w:space="0" w:color="auto"/>
              <w:left w:val="single" w:sz="4" w:space="0" w:color="auto"/>
              <w:bottom w:val="dotted" w:sz="4" w:space="0" w:color="auto"/>
            </w:tcBorders>
          </w:tcPr>
          <w:p w14:paraId="004CC2C3" w14:textId="77777777" w:rsidR="00141481" w:rsidRDefault="00141481"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No target.</w:t>
            </w:r>
          </w:p>
          <w:p w14:paraId="61878AF5" w14:textId="1BD86665" w:rsidR="00141481" w:rsidRPr="00F62425" w:rsidRDefault="00141481"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sidRPr="00141481">
              <w:rPr>
                <w:rFonts w:ascii="Arial" w:hAnsi="Arial" w:cs="Arial"/>
                <w:sz w:val="16"/>
                <w:szCs w:val="16"/>
              </w:rPr>
              <w:t>Rationale: Our engagement pertains to supporting coordination of quarantine arrangements for diplomats with relevant agencies. We are unable to set applicable annual targets during the COVID-19 response.</w:t>
            </w:r>
          </w:p>
        </w:tc>
      </w:tr>
      <w:tr w:rsidR="00141481" w:rsidRPr="00AA75BF" w14:paraId="2223DF14" w14:textId="77777777" w:rsidTr="00A311FC">
        <w:trPr>
          <w:trHeight w:val="258"/>
        </w:trPr>
        <w:tc>
          <w:tcPr>
            <w:tcW w:w="1560" w:type="dxa"/>
            <w:tcBorders>
              <w:top w:val="dotted" w:sz="4" w:space="0" w:color="auto"/>
              <w:bottom w:val="single" w:sz="4" w:space="0" w:color="auto"/>
              <w:right w:val="single" w:sz="4" w:space="0" w:color="auto"/>
            </w:tcBorders>
          </w:tcPr>
          <w:p w14:paraId="021DB06F" w14:textId="77777777" w:rsidR="00141481" w:rsidRDefault="00141481" w:rsidP="00141481">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Forward Estimates </w:t>
            </w:r>
          </w:p>
          <w:p w14:paraId="4476679E" w14:textId="4806328B" w:rsidR="00141481" w:rsidRPr="00AA75BF" w:rsidRDefault="00141481" w:rsidP="00141481">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0D71E7C0" w14:textId="30CDDC63" w:rsidR="00141481" w:rsidRPr="00AA75BF" w:rsidRDefault="00141481" w:rsidP="00141481">
            <w:pPr>
              <w:pStyle w:val="TableTextBase"/>
              <w:rPr>
                <w:rFonts w:cs="Arial"/>
                <w:b/>
                <w:sz w:val="16"/>
                <w:szCs w:val="16"/>
              </w:rPr>
            </w:pPr>
            <w:r>
              <w:rPr>
                <w:rFonts w:cs="Arial"/>
                <w:i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65D471F0" w14:textId="648C7CEE" w:rsidR="00141481" w:rsidRPr="00141481" w:rsidRDefault="00141481" w:rsidP="00141481">
            <w:pPr>
              <w:tabs>
                <w:tab w:val="left" w:pos="455"/>
              </w:tabs>
              <w:spacing w:before="60" w:after="60" w:line="240" w:lineRule="auto"/>
              <w:rPr>
                <w:rFonts w:ascii="Arial" w:hAnsi="Arial" w:cs="Arial"/>
                <w:sz w:val="16"/>
                <w:szCs w:val="16"/>
              </w:rPr>
            </w:pPr>
            <w:r w:rsidRPr="00141481">
              <w:rPr>
                <w:rFonts w:ascii="Arial" w:hAnsi="Arial" w:cs="Arial"/>
                <w:iCs/>
                <w:color w:val="000000" w:themeColor="text1"/>
                <w:sz w:val="16"/>
                <w:szCs w:val="16"/>
              </w:rPr>
              <w:t>As per 2022-23</w:t>
            </w:r>
          </w:p>
        </w:tc>
      </w:tr>
    </w:tbl>
    <w:p w14:paraId="5E203AD1" w14:textId="5674D607" w:rsidR="00AA75BF" w:rsidRPr="00B37085" w:rsidRDefault="00B37085" w:rsidP="003173C2">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177AC9B4" w14:textId="3127A395" w:rsidR="00B37085" w:rsidRPr="00C53B7C" w:rsidRDefault="00B37085" w:rsidP="00B37085">
      <w:pPr>
        <w:pStyle w:val="TableHeading"/>
        <w:rPr>
          <w:lang w:val="en-AU"/>
        </w:rPr>
      </w:pPr>
      <w:r w:rsidRPr="00F71634">
        <w:t>Table 2.</w:t>
      </w:r>
      <w:r>
        <w:rPr>
          <w:lang w:val="en-AU"/>
        </w:rPr>
        <w:t>1</w:t>
      </w:r>
      <w:r w:rsidRPr="00F71634">
        <w:t xml:space="preserve">.3: Performance </w:t>
      </w:r>
      <w:r>
        <w:rPr>
          <w:lang w:val="en-AU"/>
        </w:rPr>
        <w:t>measure</w:t>
      </w:r>
      <w:r w:rsidRPr="00F71634">
        <w:t xml:space="preserve"> for Outcome </w:t>
      </w:r>
      <w:r>
        <w:rPr>
          <w:lang w:val="en-AU"/>
        </w:rPr>
        <w:t>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B37085" w:rsidRPr="001B2F81" w14:paraId="3D942CC0" w14:textId="77777777" w:rsidTr="00CB6D07">
        <w:trPr>
          <w:trHeight w:val="569"/>
          <w:tblHeader/>
        </w:trPr>
        <w:tc>
          <w:tcPr>
            <w:tcW w:w="7796" w:type="dxa"/>
            <w:gridSpan w:val="3"/>
            <w:shd w:val="clear" w:color="auto" w:fill="F2F2F2"/>
          </w:tcPr>
          <w:p w14:paraId="6B1FC9F8" w14:textId="77777777" w:rsidR="00B37085" w:rsidRPr="00C41058" w:rsidRDefault="00B37085" w:rsidP="00CB6D07">
            <w:pPr>
              <w:pStyle w:val="TableColumnHeadingLeft"/>
            </w:pPr>
            <w:r w:rsidRPr="00C41058">
              <w:rPr>
                <w:rStyle w:val="TableHeadingChar"/>
                <w:b/>
              </w:rPr>
              <w:t xml:space="preserve">Outcome </w:t>
            </w:r>
            <w:r w:rsidRPr="00EF57EA">
              <w:t>1 – The advancement of Australia’s international strategic, security and economic interests including through bilateral, regional and multilateral engagement on Australian Government foreign, trade and international development policy priorities</w:t>
            </w:r>
            <w:r w:rsidRPr="00C41058">
              <w:rPr>
                <w:rStyle w:val="TableHeadingChar"/>
                <w:b/>
              </w:rPr>
              <w:t xml:space="preserve"> </w:t>
            </w:r>
          </w:p>
        </w:tc>
      </w:tr>
      <w:tr w:rsidR="00B37085" w:rsidRPr="001B2F81" w14:paraId="36759B22" w14:textId="77777777" w:rsidTr="00CB6D07">
        <w:trPr>
          <w:trHeight w:val="522"/>
          <w:tblHeader/>
        </w:trPr>
        <w:tc>
          <w:tcPr>
            <w:tcW w:w="7796" w:type="dxa"/>
            <w:gridSpan w:val="3"/>
            <w:tcBorders>
              <w:bottom w:val="single" w:sz="4" w:space="0" w:color="auto"/>
            </w:tcBorders>
            <w:shd w:val="clear" w:color="auto" w:fill="F2F2F2"/>
          </w:tcPr>
          <w:p w14:paraId="78858CC0" w14:textId="1ACF4097" w:rsidR="00B37085" w:rsidRPr="00A311FC" w:rsidRDefault="00B37085" w:rsidP="00CB6D07">
            <w:pPr>
              <w:pStyle w:val="TableTextLeft"/>
            </w:pPr>
            <w:r w:rsidRPr="00A311FC">
              <w:rPr>
                <w:b/>
              </w:rPr>
              <w:t xml:space="preserve">Program 1.2 – Official Development Assistance </w:t>
            </w:r>
            <w:r w:rsidRPr="00A311FC">
              <w:rPr>
                <w:bCs/>
              </w:rPr>
              <w:t xml:space="preserve">promotes Australia’s national interests by contributing to sustainable and inclusive economic growth and poverty reduction. </w:t>
            </w:r>
          </w:p>
        </w:tc>
      </w:tr>
      <w:tr w:rsidR="00B37085" w14:paraId="6111339A" w14:textId="77777777" w:rsidTr="00A311FC">
        <w:trPr>
          <w:trHeight w:val="694"/>
        </w:trPr>
        <w:tc>
          <w:tcPr>
            <w:tcW w:w="1560" w:type="dxa"/>
            <w:tcBorders>
              <w:top w:val="single" w:sz="4" w:space="0" w:color="auto"/>
              <w:left w:val="single" w:sz="4" w:space="0" w:color="auto"/>
              <w:bottom w:val="double" w:sz="4" w:space="0" w:color="auto"/>
              <w:right w:val="single" w:sz="4" w:space="0" w:color="auto"/>
            </w:tcBorders>
            <w:hideMark/>
          </w:tcPr>
          <w:p w14:paraId="58CD4B14" w14:textId="77777777" w:rsidR="00B37085" w:rsidRDefault="00B37085"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56C63567" w14:textId="77777777" w:rsidR="00B37085" w:rsidRDefault="00B37085" w:rsidP="00CB6D07">
            <w:pPr>
              <w:tabs>
                <w:tab w:val="left" w:pos="709"/>
              </w:tabs>
              <w:spacing w:before="60" w:after="60" w:line="240" w:lineRule="auto"/>
              <w:rPr>
                <w:rFonts w:ascii="Arial" w:hAnsi="Arial" w:cs="Arial"/>
                <w:i/>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0B8AAF95" w14:textId="77777777" w:rsidR="004F73F3" w:rsidRDefault="004F73F3" w:rsidP="00091F80">
            <w:pPr>
              <w:pStyle w:val="ListParagraph"/>
              <w:numPr>
                <w:ilvl w:val="0"/>
                <w:numId w:val="53"/>
              </w:numPr>
              <w:tabs>
                <w:tab w:val="left" w:pos="709"/>
              </w:tabs>
              <w:spacing w:before="60" w:after="60" w:line="240" w:lineRule="auto"/>
              <w:rPr>
                <w:rFonts w:ascii="Arial" w:hAnsi="Arial" w:cs="Arial"/>
                <w:sz w:val="16"/>
                <w:szCs w:val="16"/>
              </w:rPr>
            </w:pPr>
            <w:r>
              <w:rPr>
                <w:rFonts w:ascii="Arial" w:hAnsi="Arial" w:cs="Arial"/>
                <w:sz w:val="16"/>
                <w:szCs w:val="16"/>
              </w:rPr>
              <w:t xml:space="preserve">Strengthen economic and commercial diplomacy to support Australian </w:t>
            </w:r>
            <w:proofErr w:type="gramStart"/>
            <w:r>
              <w:rPr>
                <w:rFonts w:ascii="Arial" w:hAnsi="Arial" w:cs="Arial"/>
                <w:sz w:val="16"/>
                <w:szCs w:val="16"/>
              </w:rPr>
              <w:t>businesses, and</w:t>
            </w:r>
            <w:proofErr w:type="gramEnd"/>
            <w:r>
              <w:rPr>
                <w:rFonts w:ascii="Arial" w:hAnsi="Arial" w:cs="Arial"/>
                <w:sz w:val="16"/>
                <w:szCs w:val="16"/>
              </w:rPr>
              <w:t xml:space="preserve"> build domestic support for trade and investment.</w:t>
            </w:r>
          </w:p>
          <w:p w14:paraId="627E9AAE" w14:textId="77777777" w:rsidR="004F73F3" w:rsidRDefault="004F73F3" w:rsidP="00091F80">
            <w:pPr>
              <w:pStyle w:val="ListParagraph"/>
              <w:numPr>
                <w:ilvl w:val="0"/>
                <w:numId w:val="53"/>
              </w:numPr>
              <w:tabs>
                <w:tab w:val="left" w:pos="709"/>
              </w:tabs>
              <w:spacing w:before="60" w:after="60" w:line="240" w:lineRule="auto"/>
              <w:rPr>
                <w:rFonts w:ascii="Arial" w:hAnsi="Arial" w:cs="Arial"/>
                <w:sz w:val="16"/>
                <w:szCs w:val="16"/>
              </w:rPr>
            </w:pPr>
            <w:r>
              <w:rPr>
                <w:rFonts w:ascii="Arial" w:hAnsi="Arial" w:cs="Arial"/>
                <w:sz w:val="16"/>
                <w:szCs w:val="16"/>
              </w:rPr>
              <w:t>Focus Australia’s development program predominantly on the Indo-Pacific to promote Australia’s national interest in a stable, prosperous and resilient region in the context of COVID-19, including by:</w:t>
            </w:r>
          </w:p>
          <w:p w14:paraId="2E00DDDA" w14:textId="77777777" w:rsidR="004F73F3" w:rsidRDefault="004F73F3" w:rsidP="004F73F3">
            <w:pPr>
              <w:pStyle w:val="tablebodybullets"/>
              <w:spacing w:line="254" w:lineRule="auto"/>
              <w:rPr>
                <w:rFonts w:ascii="Arial" w:hAnsi="Arial" w:cs="Arial"/>
                <w:color w:val="auto"/>
                <w:szCs w:val="16"/>
                <w:lang w:eastAsia="en-US"/>
              </w:rPr>
            </w:pPr>
            <w:r>
              <w:rPr>
                <w:rFonts w:ascii="Arial" w:hAnsi="Arial" w:cs="Arial"/>
                <w:color w:val="auto"/>
                <w:szCs w:val="16"/>
                <w:lang w:eastAsia="en-US"/>
              </w:rPr>
              <w:t xml:space="preserve">delivering assistance to neighbours through the </w:t>
            </w:r>
            <w:r>
              <w:rPr>
                <w:rFonts w:ascii="Arial" w:hAnsi="Arial" w:cs="Arial"/>
                <w:i/>
                <w:iCs/>
                <w:color w:val="auto"/>
                <w:szCs w:val="16"/>
                <w:lang w:eastAsia="en-US"/>
              </w:rPr>
              <w:t>Partnerships for Recovery</w:t>
            </w:r>
            <w:r>
              <w:rPr>
                <w:rFonts w:ascii="Arial" w:hAnsi="Arial" w:cs="Arial"/>
                <w:color w:val="auto"/>
                <w:szCs w:val="16"/>
                <w:lang w:eastAsia="en-US"/>
              </w:rPr>
              <w:t xml:space="preserve"> strategy, prioritising health security, stability and economic recovery, and</w:t>
            </w:r>
          </w:p>
          <w:p w14:paraId="724BC976" w14:textId="77777777" w:rsidR="004F73F3" w:rsidRDefault="004F73F3" w:rsidP="004F73F3">
            <w:pPr>
              <w:pStyle w:val="tablebodybullets"/>
              <w:spacing w:line="254" w:lineRule="auto"/>
              <w:rPr>
                <w:rFonts w:ascii="Arial" w:hAnsi="Arial" w:cs="Arial"/>
                <w:color w:val="auto"/>
                <w:szCs w:val="16"/>
                <w:lang w:eastAsia="en-US"/>
              </w:rPr>
            </w:pPr>
            <w:r>
              <w:rPr>
                <w:rFonts w:ascii="Arial" w:hAnsi="Arial" w:cs="Arial"/>
                <w:color w:val="auto"/>
                <w:szCs w:val="16"/>
                <w:lang w:eastAsia="en-US"/>
              </w:rPr>
              <w:t>supporting Pacific and Southeast Asian partners to access and roll out safe and effective COVID-19 vaccines.</w:t>
            </w:r>
          </w:p>
          <w:p w14:paraId="607CA8D4" w14:textId="77777777" w:rsidR="004F73F3" w:rsidRDefault="004F73F3" w:rsidP="00091F80">
            <w:pPr>
              <w:pStyle w:val="ListParagraph"/>
              <w:numPr>
                <w:ilvl w:val="0"/>
                <w:numId w:val="53"/>
              </w:numPr>
              <w:tabs>
                <w:tab w:val="left" w:pos="709"/>
              </w:tabs>
              <w:spacing w:before="60" w:after="60" w:line="240" w:lineRule="auto"/>
              <w:rPr>
                <w:rFonts w:ascii="Arial" w:hAnsi="Arial" w:cs="Arial"/>
                <w:sz w:val="16"/>
                <w:szCs w:val="16"/>
              </w:rPr>
            </w:pPr>
            <w:r>
              <w:rPr>
                <w:rFonts w:ascii="Arial" w:hAnsi="Arial" w:cs="Arial"/>
                <w:sz w:val="16"/>
                <w:szCs w:val="16"/>
              </w:rPr>
              <w:t>Manage the development program effectively, efficiently and transparently to deliver results and value for money in line with the Australian development program’s performance framework.</w:t>
            </w:r>
          </w:p>
          <w:p w14:paraId="178B9649" w14:textId="7D9811B3" w:rsidR="00B37085" w:rsidRPr="004F73F3" w:rsidRDefault="004F73F3" w:rsidP="00091F80">
            <w:pPr>
              <w:pStyle w:val="ListParagraph"/>
              <w:numPr>
                <w:ilvl w:val="0"/>
                <w:numId w:val="51"/>
              </w:numPr>
              <w:tabs>
                <w:tab w:val="left" w:pos="709"/>
              </w:tabs>
              <w:spacing w:before="60" w:after="60" w:line="240" w:lineRule="auto"/>
              <w:rPr>
                <w:rFonts w:ascii="Arial" w:eastAsiaTheme="minorHAnsi" w:hAnsi="Arial" w:cs="Arial"/>
                <w:i/>
                <w:color w:val="000000" w:themeColor="text1"/>
                <w:sz w:val="16"/>
                <w:szCs w:val="16"/>
              </w:rPr>
            </w:pPr>
            <w:r>
              <w:rPr>
                <w:rFonts w:ascii="Arial" w:hAnsi="Arial" w:cs="Arial"/>
                <w:sz w:val="16"/>
                <w:szCs w:val="16"/>
              </w:rPr>
              <w:t>Lead the Australian Government’s response to humanitarian crises and conflicts, including an enhanced ability by Indo-Pacific countries to prepare for, respond to and recover from crises.</w:t>
            </w:r>
          </w:p>
        </w:tc>
      </w:tr>
      <w:tr w:rsidR="004F73F3" w:rsidRPr="00AA75BF" w14:paraId="61A72F54" w14:textId="77777777" w:rsidTr="00A311FC">
        <w:trPr>
          <w:trHeight w:val="258"/>
        </w:trPr>
        <w:tc>
          <w:tcPr>
            <w:tcW w:w="1560" w:type="dxa"/>
            <w:tcBorders>
              <w:top w:val="double" w:sz="4" w:space="0" w:color="auto"/>
              <w:bottom w:val="single" w:sz="4" w:space="0" w:color="auto"/>
              <w:right w:val="single" w:sz="4" w:space="0" w:color="auto"/>
            </w:tcBorders>
          </w:tcPr>
          <w:p w14:paraId="473053C4" w14:textId="27CC49D6" w:rsidR="004F73F3" w:rsidRPr="00AA75BF" w:rsidRDefault="004F73F3"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40A4F09" w14:textId="77777777" w:rsidR="004F73F3" w:rsidRPr="00AA75BF" w:rsidRDefault="004F73F3"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3A86D507" w14:textId="2A7E07D4" w:rsidR="004F73F3" w:rsidRPr="00AA75BF" w:rsidRDefault="004F73F3"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E2437F" w:rsidRPr="00F62425" w14:paraId="40087221" w14:textId="77777777" w:rsidTr="00A311FC">
        <w:trPr>
          <w:trHeight w:val="258"/>
        </w:trPr>
        <w:tc>
          <w:tcPr>
            <w:tcW w:w="1560" w:type="dxa"/>
            <w:vMerge w:val="restart"/>
            <w:tcBorders>
              <w:top w:val="single" w:sz="4" w:space="0" w:color="auto"/>
              <w:right w:val="single" w:sz="4" w:space="0" w:color="auto"/>
            </w:tcBorders>
          </w:tcPr>
          <w:p w14:paraId="4F1FC966" w14:textId="77777777" w:rsidR="00AB1869" w:rsidRDefault="00E2437F" w:rsidP="00E2437F">
            <w:pPr>
              <w:pStyle w:val="TableTextBase"/>
              <w:rPr>
                <w:bCs/>
                <w:sz w:val="16"/>
                <w:szCs w:val="16"/>
              </w:rPr>
            </w:pPr>
            <w:r>
              <w:rPr>
                <w:bCs/>
                <w:sz w:val="16"/>
                <w:szCs w:val="16"/>
              </w:rPr>
              <w:t xml:space="preserve">Current year </w:t>
            </w:r>
          </w:p>
          <w:p w14:paraId="65CF95C9" w14:textId="7B39793E" w:rsidR="00E2437F" w:rsidRPr="00723F3F" w:rsidRDefault="00E2437F" w:rsidP="00E2437F">
            <w:pPr>
              <w:pStyle w:val="TableTextBase"/>
              <w:rPr>
                <w:bCs/>
                <w:sz w:val="16"/>
                <w:szCs w:val="16"/>
              </w:rPr>
            </w:pPr>
            <w:r>
              <w:rPr>
                <w:bCs/>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67B22BEA" w14:textId="091D729A" w:rsidR="00E2437F" w:rsidRPr="00AA75BF" w:rsidRDefault="00E2437F" w:rsidP="00E2437F">
            <w:pPr>
              <w:pStyle w:val="TableTextBase"/>
              <w:rPr>
                <w:rFonts w:cs="Arial"/>
                <w:b/>
                <w:sz w:val="16"/>
                <w:szCs w:val="16"/>
              </w:rPr>
            </w:pPr>
            <w:r>
              <w:rPr>
                <w:rFonts w:cs="Arial"/>
                <w:sz w:val="16"/>
                <w:szCs w:val="16"/>
              </w:rPr>
              <w:t>Australia’s development program investments promote health security, stability and economic recovery.</w:t>
            </w:r>
          </w:p>
        </w:tc>
        <w:tc>
          <w:tcPr>
            <w:tcW w:w="3118" w:type="dxa"/>
            <w:tcBorders>
              <w:top w:val="single" w:sz="4" w:space="0" w:color="auto"/>
              <w:left w:val="single" w:sz="4" w:space="0" w:color="auto"/>
              <w:bottom w:val="single" w:sz="4" w:space="0" w:color="auto"/>
            </w:tcBorders>
          </w:tcPr>
          <w:p w14:paraId="780DAF3B" w14:textId="39031883" w:rsidR="00E2437F" w:rsidRPr="00E2437F" w:rsidRDefault="00E2437F" w:rsidP="00783F55">
            <w:pPr>
              <w:tabs>
                <w:tab w:val="left" w:pos="455"/>
              </w:tabs>
              <w:spacing w:before="60" w:after="60" w:line="240" w:lineRule="auto"/>
              <w:jc w:val="center"/>
              <w:rPr>
                <w:rFonts w:ascii="Arial" w:hAnsi="Arial" w:cs="Arial"/>
                <w:sz w:val="16"/>
                <w:szCs w:val="16"/>
              </w:rPr>
            </w:pPr>
            <w:r w:rsidRPr="00E2437F">
              <w:rPr>
                <w:rFonts w:ascii="Arial" w:hAnsi="Arial" w:cs="Arial"/>
                <w:iCs/>
                <w:sz w:val="16"/>
                <w:szCs w:val="16"/>
              </w:rPr>
              <w:t>On track</w:t>
            </w:r>
          </w:p>
        </w:tc>
      </w:tr>
      <w:tr w:rsidR="00E2437F" w:rsidRPr="00F62425" w14:paraId="7FD35BEB" w14:textId="77777777" w:rsidTr="00CB6D07">
        <w:trPr>
          <w:trHeight w:val="258"/>
        </w:trPr>
        <w:tc>
          <w:tcPr>
            <w:tcW w:w="1560" w:type="dxa"/>
            <w:vMerge/>
            <w:tcBorders>
              <w:right w:val="single" w:sz="4" w:space="0" w:color="auto"/>
            </w:tcBorders>
          </w:tcPr>
          <w:p w14:paraId="1F0F3408" w14:textId="77777777" w:rsidR="00E2437F" w:rsidRPr="00AA75BF" w:rsidRDefault="00E2437F" w:rsidP="00E2437F">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54BDACB" w14:textId="3B26E215" w:rsidR="00E2437F" w:rsidRPr="00AA75BF" w:rsidRDefault="00E2437F" w:rsidP="00E2437F">
            <w:pPr>
              <w:pStyle w:val="TableTextBase"/>
              <w:rPr>
                <w:rFonts w:cs="Arial"/>
                <w:b/>
                <w:sz w:val="16"/>
                <w:szCs w:val="16"/>
              </w:rPr>
            </w:pPr>
            <w:r>
              <w:rPr>
                <w:rFonts w:cs="Arial"/>
                <w:sz w:val="16"/>
                <w:szCs w:val="16"/>
              </w:rPr>
              <w:t>Timely and effective responses to humanitarian emergencies, including an enhanced Indo-Pacific ability to prepare for, respond to and recover from crises.</w:t>
            </w:r>
          </w:p>
        </w:tc>
        <w:tc>
          <w:tcPr>
            <w:tcW w:w="3118" w:type="dxa"/>
            <w:tcBorders>
              <w:top w:val="single" w:sz="4" w:space="0" w:color="auto"/>
              <w:left w:val="single" w:sz="4" w:space="0" w:color="auto"/>
              <w:bottom w:val="single" w:sz="4" w:space="0" w:color="auto"/>
            </w:tcBorders>
          </w:tcPr>
          <w:p w14:paraId="521B63E0" w14:textId="151597AA" w:rsidR="00E2437F" w:rsidRPr="00E2437F" w:rsidRDefault="00E2437F" w:rsidP="00783F55">
            <w:pPr>
              <w:tabs>
                <w:tab w:val="left" w:pos="455"/>
              </w:tabs>
              <w:spacing w:before="60" w:after="60" w:line="240" w:lineRule="auto"/>
              <w:jc w:val="center"/>
              <w:rPr>
                <w:rFonts w:ascii="Arial" w:hAnsi="Arial" w:cs="Arial"/>
                <w:sz w:val="16"/>
                <w:szCs w:val="16"/>
              </w:rPr>
            </w:pPr>
            <w:r w:rsidRPr="00E2437F">
              <w:rPr>
                <w:rFonts w:ascii="Arial" w:hAnsi="Arial" w:cs="Arial"/>
                <w:iCs/>
                <w:sz w:val="16"/>
                <w:szCs w:val="16"/>
              </w:rPr>
              <w:t>On track</w:t>
            </w:r>
          </w:p>
        </w:tc>
      </w:tr>
      <w:tr w:rsidR="00E2437F" w:rsidRPr="00F62425" w14:paraId="4291C789" w14:textId="77777777" w:rsidTr="00CB6D07">
        <w:trPr>
          <w:trHeight w:val="258"/>
        </w:trPr>
        <w:tc>
          <w:tcPr>
            <w:tcW w:w="1560" w:type="dxa"/>
            <w:vMerge/>
            <w:tcBorders>
              <w:right w:val="single" w:sz="4" w:space="0" w:color="auto"/>
            </w:tcBorders>
          </w:tcPr>
          <w:p w14:paraId="6A7A3483" w14:textId="77777777" w:rsidR="00E2437F" w:rsidRPr="00AA75BF" w:rsidRDefault="00E2437F" w:rsidP="00E2437F">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D3D8664" w14:textId="4B192B92" w:rsidR="00E2437F" w:rsidRPr="00AA75BF" w:rsidRDefault="00E2437F" w:rsidP="00E2437F">
            <w:pPr>
              <w:pStyle w:val="TableTextBase"/>
              <w:rPr>
                <w:rFonts w:cs="Arial"/>
                <w:b/>
                <w:sz w:val="16"/>
                <w:szCs w:val="16"/>
              </w:rPr>
            </w:pPr>
            <w:r>
              <w:rPr>
                <w:rFonts w:cs="Arial"/>
                <w:sz w:val="16"/>
                <w:szCs w:val="16"/>
              </w:rPr>
              <w:t>Effective operational and organisational management of the development program, including in its planning, implementation and responsiveness.</w:t>
            </w:r>
          </w:p>
        </w:tc>
        <w:tc>
          <w:tcPr>
            <w:tcW w:w="3118" w:type="dxa"/>
            <w:tcBorders>
              <w:top w:val="single" w:sz="4" w:space="0" w:color="auto"/>
              <w:left w:val="single" w:sz="4" w:space="0" w:color="auto"/>
              <w:bottom w:val="single" w:sz="4" w:space="0" w:color="auto"/>
            </w:tcBorders>
          </w:tcPr>
          <w:p w14:paraId="6C598D62" w14:textId="3F8AD72B" w:rsidR="00E2437F" w:rsidRPr="00E2437F" w:rsidRDefault="00E2437F" w:rsidP="00783F55">
            <w:pPr>
              <w:tabs>
                <w:tab w:val="left" w:pos="455"/>
              </w:tabs>
              <w:spacing w:before="60" w:after="60" w:line="240" w:lineRule="auto"/>
              <w:jc w:val="center"/>
              <w:rPr>
                <w:rFonts w:ascii="Arial" w:hAnsi="Arial" w:cs="Arial"/>
                <w:sz w:val="16"/>
                <w:szCs w:val="16"/>
              </w:rPr>
            </w:pPr>
            <w:r w:rsidRPr="00E2437F">
              <w:rPr>
                <w:rFonts w:ascii="Arial" w:hAnsi="Arial" w:cs="Arial"/>
                <w:iCs/>
                <w:sz w:val="16"/>
                <w:szCs w:val="16"/>
              </w:rPr>
              <w:t>On track</w:t>
            </w:r>
          </w:p>
        </w:tc>
      </w:tr>
    </w:tbl>
    <w:p w14:paraId="045A4A4E" w14:textId="597DCE67" w:rsidR="00E2437F" w:rsidRDefault="00E2437F" w:rsidP="00C354BB">
      <w:pPr>
        <w:pStyle w:val="Source"/>
        <w:rPr>
          <w:rFonts w:cs="Arial"/>
          <w:szCs w:val="16"/>
        </w:rPr>
      </w:pPr>
      <w:r w:rsidRPr="00E2437F">
        <w:rPr>
          <w:rFonts w:cs="Arial"/>
          <w:szCs w:val="16"/>
        </w:rPr>
        <w:t xml:space="preserve">Table </w:t>
      </w:r>
      <w:proofErr w:type="gramStart"/>
      <w:r w:rsidRPr="00C354BB">
        <w:t>continued</w:t>
      </w:r>
      <w:r w:rsidRPr="00E2437F">
        <w:rPr>
          <w:rFonts w:cs="Arial"/>
          <w:szCs w:val="16"/>
        </w:rPr>
        <w:t xml:space="preserve"> on</w:t>
      </w:r>
      <w:proofErr w:type="gramEnd"/>
      <w:r w:rsidRPr="00E2437F">
        <w:rPr>
          <w:rFonts w:cs="Arial"/>
          <w:szCs w:val="16"/>
        </w:rPr>
        <w:t xml:space="preserve"> the next page. </w:t>
      </w:r>
    </w:p>
    <w:p w14:paraId="4A641A89" w14:textId="73A27981" w:rsidR="000B2170" w:rsidRDefault="00E2437F">
      <w:pPr>
        <w:spacing w:after="0" w:line="240" w:lineRule="auto"/>
        <w:jc w:val="left"/>
        <w:rPr>
          <w:rFonts w:ascii="Arial" w:hAnsi="Arial" w:cs="Arial"/>
          <w:sz w:val="16"/>
          <w:szCs w:val="16"/>
        </w:rPr>
      </w:pPr>
      <w:r>
        <w:rPr>
          <w:rFonts w:ascii="Arial" w:hAnsi="Arial" w:cs="Arial"/>
          <w:sz w:val="16"/>
          <w:szCs w:val="16"/>
        </w:rPr>
        <w:br w:type="page"/>
      </w:r>
    </w:p>
    <w:p w14:paraId="4E76D59A" w14:textId="6DB83908" w:rsidR="00E2437F" w:rsidRPr="000B2170" w:rsidRDefault="000B2170" w:rsidP="000B2170">
      <w:pPr>
        <w:pStyle w:val="TableHeading"/>
        <w:rPr>
          <w:lang w:val="en-AU"/>
        </w:rPr>
      </w:pPr>
      <w:r w:rsidRPr="00F71634">
        <w:t>Table 2.</w:t>
      </w:r>
      <w:r>
        <w:rPr>
          <w:lang w:val="en-AU"/>
        </w:rPr>
        <w:t>1</w:t>
      </w:r>
      <w:r w:rsidRPr="00F71634">
        <w:t xml:space="preserve">.3: Performance </w:t>
      </w:r>
      <w:r>
        <w:rPr>
          <w:lang w:val="en-AU"/>
        </w:rPr>
        <w:t>measure</w:t>
      </w:r>
      <w:r w:rsidRPr="00F71634">
        <w:t xml:space="preserve"> for Outcome </w:t>
      </w:r>
      <w:r>
        <w:rPr>
          <w:lang w:val="en-AU"/>
        </w:rPr>
        <w:t>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2437F" w:rsidRPr="00F71634" w14:paraId="7A71737D" w14:textId="77777777" w:rsidTr="00A311FC">
        <w:tc>
          <w:tcPr>
            <w:tcW w:w="7796" w:type="dxa"/>
            <w:gridSpan w:val="3"/>
            <w:tcBorders>
              <w:bottom w:val="double" w:sz="4" w:space="0" w:color="auto"/>
            </w:tcBorders>
            <w:shd w:val="clear" w:color="auto" w:fill="F2F2F2"/>
          </w:tcPr>
          <w:p w14:paraId="5625927C" w14:textId="5ACF6FF7" w:rsidR="00E2437F" w:rsidRPr="00A311FC" w:rsidRDefault="00E2437F" w:rsidP="00E2437F">
            <w:pPr>
              <w:tabs>
                <w:tab w:val="left" w:pos="709"/>
              </w:tabs>
              <w:spacing w:before="60" w:after="60" w:line="240" w:lineRule="auto"/>
              <w:jc w:val="left"/>
              <w:rPr>
                <w:rFonts w:ascii="Arial" w:hAnsi="Arial" w:cs="Arial"/>
                <w:b/>
                <w:sz w:val="18"/>
              </w:rPr>
            </w:pPr>
            <w:r w:rsidRPr="00A311FC">
              <w:rPr>
                <w:rFonts w:ascii="Arial" w:hAnsi="Arial" w:cs="Arial"/>
                <w:b/>
                <w:sz w:val="18"/>
              </w:rPr>
              <w:t xml:space="preserve">Program 1.2 – Official Development Assistance </w:t>
            </w:r>
            <w:r w:rsidRPr="00A311FC">
              <w:rPr>
                <w:rFonts w:ascii="Arial" w:hAnsi="Arial" w:cs="Arial"/>
                <w:bCs/>
                <w:sz w:val="18"/>
              </w:rPr>
              <w:t xml:space="preserve">promotes Australia’s national interests by contributing to sustainable and inclusive economic growth and poverty reduction. </w:t>
            </w:r>
          </w:p>
        </w:tc>
      </w:tr>
      <w:tr w:rsidR="00E2437F" w:rsidRPr="00AA75BF" w14:paraId="7295CC30" w14:textId="77777777" w:rsidTr="00A311FC">
        <w:trPr>
          <w:trHeight w:val="258"/>
        </w:trPr>
        <w:tc>
          <w:tcPr>
            <w:tcW w:w="1560" w:type="dxa"/>
            <w:tcBorders>
              <w:top w:val="double" w:sz="4" w:space="0" w:color="auto"/>
              <w:bottom w:val="single" w:sz="4" w:space="0" w:color="auto"/>
              <w:right w:val="single" w:sz="4" w:space="0" w:color="auto"/>
            </w:tcBorders>
          </w:tcPr>
          <w:p w14:paraId="5BBB4620" w14:textId="64921A4B" w:rsidR="00E2437F" w:rsidRPr="00AA75BF" w:rsidRDefault="00E2437F"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A7E2140" w14:textId="77777777" w:rsidR="00E2437F" w:rsidRPr="00AA75BF" w:rsidRDefault="00E2437F"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13CE761C" w14:textId="77777777" w:rsidR="00E2437F" w:rsidRPr="00AA75BF" w:rsidRDefault="00E2437F" w:rsidP="00CB6D07">
            <w:pPr>
              <w:pStyle w:val="TableTextBase"/>
              <w:rPr>
                <w:rFonts w:cs="Arial"/>
                <w:b/>
                <w:sz w:val="16"/>
                <w:szCs w:val="16"/>
              </w:rPr>
            </w:pPr>
            <w:r>
              <w:rPr>
                <w:rFonts w:cs="Arial"/>
                <w:b/>
                <w:sz w:val="16"/>
                <w:szCs w:val="16"/>
              </w:rPr>
              <w:t>Planned</w:t>
            </w:r>
            <w:r w:rsidRPr="00AA75BF">
              <w:rPr>
                <w:rFonts w:cs="Arial"/>
                <w:b/>
                <w:sz w:val="16"/>
                <w:szCs w:val="16"/>
              </w:rPr>
              <w:t xml:space="preserve"> Performance Results</w:t>
            </w:r>
          </w:p>
        </w:tc>
      </w:tr>
      <w:tr w:rsidR="00C84F25" w:rsidRPr="00AA75BF" w14:paraId="54354CA0" w14:textId="77777777" w:rsidTr="00A311FC">
        <w:trPr>
          <w:trHeight w:val="258"/>
        </w:trPr>
        <w:tc>
          <w:tcPr>
            <w:tcW w:w="1560" w:type="dxa"/>
            <w:vMerge w:val="restart"/>
            <w:tcBorders>
              <w:top w:val="single" w:sz="4" w:space="0" w:color="auto"/>
              <w:right w:val="single" w:sz="4" w:space="0" w:color="auto"/>
            </w:tcBorders>
          </w:tcPr>
          <w:p w14:paraId="5EC47477" w14:textId="77777777" w:rsidR="00DD66AC" w:rsidRDefault="00C84F25" w:rsidP="00C84F25">
            <w:pPr>
              <w:pStyle w:val="TableTextBase"/>
              <w:rPr>
                <w:bCs/>
                <w:sz w:val="16"/>
                <w:szCs w:val="16"/>
              </w:rPr>
            </w:pPr>
            <w:r w:rsidRPr="00723F3F">
              <w:rPr>
                <w:bCs/>
                <w:sz w:val="16"/>
                <w:szCs w:val="16"/>
              </w:rPr>
              <w:t xml:space="preserve">Budget Year </w:t>
            </w:r>
          </w:p>
          <w:p w14:paraId="77C73A3B" w14:textId="54BC8198" w:rsidR="00C84F25" w:rsidRPr="00723F3F" w:rsidRDefault="00C84F25" w:rsidP="00C84F25">
            <w:pPr>
              <w:pStyle w:val="TableTextBase"/>
              <w:rPr>
                <w:bCs/>
                <w:sz w:val="16"/>
                <w:szCs w:val="16"/>
              </w:rPr>
            </w:pPr>
            <w:r w:rsidRPr="00723F3F">
              <w:rPr>
                <w:bCs/>
                <w:sz w:val="16"/>
                <w:szCs w:val="16"/>
              </w:rPr>
              <w:t xml:space="preserve">2022-23 </w:t>
            </w:r>
          </w:p>
        </w:tc>
        <w:tc>
          <w:tcPr>
            <w:tcW w:w="3118" w:type="dxa"/>
            <w:tcBorders>
              <w:top w:val="single" w:sz="4" w:space="0" w:color="auto"/>
              <w:left w:val="single" w:sz="4" w:space="0" w:color="auto"/>
              <w:bottom w:val="single" w:sz="4" w:space="0" w:color="auto"/>
              <w:right w:val="single" w:sz="4" w:space="0" w:color="auto"/>
            </w:tcBorders>
          </w:tcPr>
          <w:p w14:paraId="3111DFBF" w14:textId="47444926" w:rsidR="00C84F25" w:rsidRPr="00AA75BF" w:rsidRDefault="00C84F25" w:rsidP="00C84F25">
            <w:pPr>
              <w:pStyle w:val="TableTextBase"/>
              <w:rPr>
                <w:rFonts w:cs="Arial"/>
                <w:b/>
                <w:sz w:val="16"/>
                <w:szCs w:val="16"/>
              </w:rPr>
            </w:pPr>
            <w:r>
              <w:rPr>
                <w:rFonts w:cs="Arial"/>
                <w:sz w:val="16"/>
                <w:szCs w:val="16"/>
              </w:rPr>
              <w:t>Australia’s development program investments promote health security, stability and economic recovery.</w:t>
            </w:r>
          </w:p>
        </w:tc>
        <w:tc>
          <w:tcPr>
            <w:tcW w:w="3118" w:type="dxa"/>
            <w:tcBorders>
              <w:top w:val="single" w:sz="4" w:space="0" w:color="auto"/>
              <w:left w:val="single" w:sz="4" w:space="0" w:color="auto"/>
              <w:bottom w:val="single" w:sz="4" w:space="0" w:color="auto"/>
            </w:tcBorders>
          </w:tcPr>
          <w:p w14:paraId="05BBCA7D" w14:textId="77777777" w:rsidR="00C84F25" w:rsidRDefault="00C84F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Ongoing development program is responsive to evolving needs and risks in the Indo-Pacific region and Australian Government priorities.</w:t>
            </w:r>
          </w:p>
          <w:p w14:paraId="4B31E544" w14:textId="1053DE00" w:rsidR="00C84F25" w:rsidRPr="00F62425" w:rsidRDefault="00C84F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Effective implementation of temporary, targeted and supplementary COVID-19 measures.</w:t>
            </w:r>
          </w:p>
        </w:tc>
      </w:tr>
      <w:tr w:rsidR="00C84F25" w:rsidRPr="00AA75BF" w14:paraId="28EBBF5C" w14:textId="77777777" w:rsidTr="00CB6D07">
        <w:trPr>
          <w:trHeight w:val="258"/>
        </w:trPr>
        <w:tc>
          <w:tcPr>
            <w:tcW w:w="1560" w:type="dxa"/>
            <w:vMerge/>
            <w:tcBorders>
              <w:right w:val="single" w:sz="4" w:space="0" w:color="auto"/>
            </w:tcBorders>
          </w:tcPr>
          <w:p w14:paraId="1BC977AF" w14:textId="77777777" w:rsidR="00C84F25" w:rsidRPr="00AA75BF" w:rsidRDefault="00C84F25" w:rsidP="00C84F2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B013B16" w14:textId="335A88F9" w:rsidR="00C84F25" w:rsidRPr="00AA75BF" w:rsidRDefault="00C84F25" w:rsidP="00C84F25">
            <w:pPr>
              <w:pStyle w:val="TableTextBase"/>
              <w:rPr>
                <w:rFonts w:cs="Arial"/>
                <w:b/>
                <w:sz w:val="16"/>
                <w:szCs w:val="16"/>
              </w:rPr>
            </w:pPr>
            <w:r>
              <w:rPr>
                <w:rFonts w:cs="Arial"/>
                <w:sz w:val="16"/>
                <w:szCs w:val="16"/>
              </w:rPr>
              <w:t>Timely and effective responses to humanitarian emergencies, including an enhanced Indo-Pacific ability to prepare for, respond to and recover from crises.</w:t>
            </w:r>
          </w:p>
        </w:tc>
        <w:tc>
          <w:tcPr>
            <w:tcW w:w="3118" w:type="dxa"/>
            <w:tcBorders>
              <w:top w:val="single" w:sz="4" w:space="0" w:color="auto"/>
              <w:left w:val="single" w:sz="4" w:space="0" w:color="auto"/>
              <w:bottom w:val="single" w:sz="4" w:space="0" w:color="auto"/>
            </w:tcBorders>
          </w:tcPr>
          <w:p w14:paraId="0BA0669A" w14:textId="77777777" w:rsidR="00C84F25" w:rsidRDefault="00C84F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Australia responds within 48 hours of a request from a country in the Indo-Pacific. </w:t>
            </w:r>
          </w:p>
          <w:p w14:paraId="238CC7C9" w14:textId="0EF899C9" w:rsidR="00C84F25" w:rsidRDefault="00C84F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Effective Australian Government responses to humanitarian crises, displacement and conflict measured through end</w:t>
            </w:r>
            <w:r w:rsidR="0094311E">
              <w:rPr>
                <w:rFonts w:ascii="Arial" w:hAnsi="Arial" w:cs="Arial"/>
                <w:sz w:val="16"/>
                <w:szCs w:val="16"/>
              </w:rPr>
              <w:t>-</w:t>
            </w:r>
            <w:r>
              <w:rPr>
                <w:rFonts w:ascii="Arial" w:hAnsi="Arial" w:cs="Arial"/>
                <w:sz w:val="16"/>
                <w:szCs w:val="16"/>
              </w:rPr>
              <w:t>of</w:t>
            </w:r>
            <w:r w:rsidR="0094311E">
              <w:rPr>
                <w:rFonts w:ascii="Arial" w:hAnsi="Arial" w:cs="Arial"/>
                <w:sz w:val="16"/>
                <w:szCs w:val="16"/>
              </w:rPr>
              <w:t>-</w:t>
            </w:r>
            <w:r>
              <w:rPr>
                <w:rFonts w:ascii="Arial" w:hAnsi="Arial" w:cs="Arial"/>
                <w:sz w:val="16"/>
                <w:szCs w:val="16"/>
              </w:rPr>
              <w:t>program reviews of protracted crises response packages and strategic partnership frameworks.</w:t>
            </w:r>
          </w:p>
          <w:p w14:paraId="6AD93971" w14:textId="77777777" w:rsidR="00C84F25" w:rsidRDefault="00C84F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Australian support builds the capacity of Pacific governments and communities to better prepare for respond to and recover from climate change and disasters.</w:t>
            </w:r>
          </w:p>
          <w:p w14:paraId="70DEA84F" w14:textId="2A7D9292" w:rsidR="00C84F25" w:rsidRPr="00F62425" w:rsidRDefault="00C84F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Progress against strategic partnership framework implementation and renewals</w:t>
            </w:r>
          </w:p>
        </w:tc>
      </w:tr>
      <w:tr w:rsidR="00C84F25" w:rsidRPr="00AA75BF" w14:paraId="08106C17" w14:textId="77777777" w:rsidTr="00A311FC">
        <w:trPr>
          <w:trHeight w:val="258"/>
        </w:trPr>
        <w:tc>
          <w:tcPr>
            <w:tcW w:w="1560" w:type="dxa"/>
            <w:vMerge/>
            <w:tcBorders>
              <w:bottom w:val="dotted" w:sz="4" w:space="0" w:color="auto"/>
              <w:right w:val="single" w:sz="4" w:space="0" w:color="auto"/>
            </w:tcBorders>
          </w:tcPr>
          <w:p w14:paraId="7718EC2F" w14:textId="77777777" w:rsidR="00C84F25" w:rsidRPr="00AA75BF" w:rsidRDefault="00C84F25" w:rsidP="00C84F25">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1229B705" w14:textId="1D56C296" w:rsidR="00C84F25" w:rsidRPr="00AA75BF" w:rsidRDefault="00C84F25" w:rsidP="00C84F25">
            <w:pPr>
              <w:pStyle w:val="TableTextBase"/>
              <w:rPr>
                <w:rFonts w:cs="Arial"/>
                <w:b/>
                <w:sz w:val="16"/>
                <w:szCs w:val="16"/>
              </w:rPr>
            </w:pPr>
            <w:r>
              <w:rPr>
                <w:rFonts w:cs="Arial"/>
                <w:sz w:val="16"/>
                <w:szCs w:val="16"/>
              </w:rPr>
              <w:t>Effective operational and organisational management of the development program, including in its planning, implementation and responsiveness.</w:t>
            </w:r>
          </w:p>
        </w:tc>
        <w:tc>
          <w:tcPr>
            <w:tcW w:w="3118" w:type="dxa"/>
            <w:tcBorders>
              <w:top w:val="single" w:sz="4" w:space="0" w:color="auto"/>
              <w:left w:val="single" w:sz="4" w:space="0" w:color="auto"/>
              <w:bottom w:val="dotted" w:sz="4" w:space="0" w:color="auto"/>
            </w:tcBorders>
          </w:tcPr>
          <w:p w14:paraId="655EFCAD" w14:textId="05A353E3" w:rsidR="00C84F25" w:rsidRPr="00F62425" w:rsidRDefault="00C84F25"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Ongoing effective and efficient implementation of investments.</w:t>
            </w:r>
          </w:p>
        </w:tc>
      </w:tr>
      <w:tr w:rsidR="00E2437F" w:rsidRPr="00AA75BF" w14:paraId="2C62E8F5" w14:textId="77777777" w:rsidTr="00A311FC">
        <w:trPr>
          <w:trHeight w:val="258"/>
        </w:trPr>
        <w:tc>
          <w:tcPr>
            <w:tcW w:w="1560" w:type="dxa"/>
            <w:tcBorders>
              <w:top w:val="dotted" w:sz="4" w:space="0" w:color="auto"/>
              <w:bottom w:val="single" w:sz="4" w:space="0" w:color="auto"/>
              <w:right w:val="single" w:sz="4" w:space="0" w:color="auto"/>
            </w:tcBorders>
          </w:tcPr>
          <w:p w14:paraId="7B56E1D8" w14:textId="77777777" w:rsidR="00E2437F" w:rsidRDefault="00E2437F"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Forward Estimates </w:t>
            </w:r>
          </w:p>
          <w:p w14:paraId="4F23191F" w14:textId="77777777" w:rsidR="00E2437F" w:rsidRPr="00AA75BF" w:rsidRDefault="00E2437F"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1087ABA2" w14:textId="77777777" w:rsidR="00E2437F" w:rsidRPr="00AA75BF" w:rsidRDefault="00E2437F" w:rsidP="00CB6D07">
            <w:pPr>
              <w:pStyle w:val="TableTextBase"/>
              <w:rPr>
                <w:rFonts w:cs="Arial"/>
                <w:b/>
                <w:sz w:val="16"/>
                <w:szCs w:val="16"/>
              </w:rPr>
            </w:pPr>
            <w:r>
              <w:rPr>
                <w:rFonts w:cs="Arial"/>
                <w:i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3FD01282" w14:textId="77777777" w:rsidR="00E2437F" w:rsidRPr="00141481" w:rsidRDefault="00E2437F" w:rsidP="00CB6D07">
            <w:pPr>
              <w:tabs>
                <w:tab w:val="left" w:pos="455"/>
              </w:tabs>
              <w:spacing w:before="60" w:after="60" w:line="240" w:lineRule="auto"/>
              <w:rPr>
                <w:rFonts w:ascii="Arial" w:hAnsi="Arial" w:cs="Arial"/>
                <w:sz w:val="16"/>
                <w:szCs w:val="16"/>
              </w:rPr>
            </w:pPr>
            <w:r w:rsidRPr="00141481">
              <w:rPr>
                <w:rFonts w:ascii="Arial" w:hAnsi="Arial" w:cs="Arial"/>
                <w:iCs/>
                <w:color w:val="000000" w:themeColor="text1"/>
                <w:sz w:val="16"/>
                <w:szCs w:val="16"/>
              </w:rPr>
              <w:t>As per 2022-23</w:t>
            </w:r>
          </w:p>
        </w:tc>
      </w:tr>
    </w:tbl>
    <w:p w14:paraId="59284A22" w14:textId="77777777" w:rsidR="009A6821" w:rsidRPr="00B37085" w:rsidRDefault="009A6821" w:rsidP="003173C2">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38951995" w14:textId="0A5BAA1C" w:rsidR="00541087" w:rsidRDefault="00541087">
      <w:pPr>
        <w:spacing w:after="0" w:line="240" w:lineRule="auto"/>
        <w:jc w:val="left"/>
        <w:rPr>
          <w:rFonts w:ascii="Arial" w:hAnsi="Arial"/>
          <w:sz w:val="16"/>
        </w:rPr>
      </w:pPr>
      <w:r>
        <w:rPr>
          <w:rFonts w:ascii="Arial" w:hAnsi="Arial"/>
          <w:sz w:val="16"/>
        </w:rPr>
        <w:br w:type="page"/>
      </w:r>
    </w:p>
    <w:p w14:paraId="779DC7F3" w14:textId="015860BD" w:rsidR="00541087" w:rsidRDefault="00541087" w:rsidP="00541087">
      <w:pPr>
        <w:pStyle w:val="TableHeadingcontinued"/>
      </w:pPr>
      <w:r w:rsidRPr="00F71634">
        <w:t>Table 2.</w:t>
      </w:r>
      <w:r>
        <w:t>1</w:t>
      </w:r>
      <w:r w:rsidRPr="00F71634">
        <w:t>.3: Pe</w:t>
      </w:r>
      <w:r>
        <w:t>rformance criteria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5AC8" w:rsidRPr="001B2F81" w14:paraId="43483DE3" w14:textId="77777777" w:rsidTr="00CB6D07">
        <w:trPr>
          <w:trHeight w:val="569"/>
          <w:tblHeader/>
        </w:trPr>
        <w:tc>
          <w:tcPr>
            <w:tcW w:w="7796" w:type="dxa"/>
            <w:gridSpan w:val="3"/>
            <w:shd w:val="clear" w:color="auto" w:fill="F2F2F2"/>
          </w:tcPr>
          <w:p w14:paraId="39065719" w14:textId="77777777" w:rsidR="00E55AC8" w:rsidRPr="00C41058" w:rsidRDefault="00E55AC8" w:rsidP="00CB6D07">
            <w:pPr>
              <w:pStyle w:val="TableColumnHeadingLeft"/>
            </w:pPr>
            <w:r w:rsidRPr="00C41058">
              <w:rPr>
                <w:rStyle w:val="TableHeadingChar"/>
                <w:b/>
              </w:rPr>
              <w:t xml:space="preserve">Outcome </w:t>
            </w:r>
            <w:r w:rsidRPr="00EF57EA">
              <w:t>1 – The advancement of Australia’s international strategic, security and economic interests including through bilateral, regional and multilateral engagement on Australian Government foreign, trade and international development policy priorities</w:t>
            </w:r>
            <w:r w:rsidRPr="00C41058">
              <w:rPr>
                <w:rStyle w:val="TableHeadingChar"/>
                <w:b/>
              </w:rPr>
              <w:t xml:space="preserve"> </w:t>
            </w:r>
          </w:p>
        </w:tc>
      </w:tr>
      <w:tr w:rsidR="00E55AC8" w:rsidRPr="001B2F81" w14:paraId="1B8390A2" w14:textId="77777777" w:rsidTr="00CB6D07">
        <w:trPr>
          <w:trHeight w:val="522"/>
          <w:tblHeader/>
        </w:trPr>
        <w:tc>
          <w:tcPr>
            <w:tcW w:w="7796" w:type="dxa"/>
            <w:gridSpan w:val="3"/>
            <w:tcBorders>
              <w:bottom w:val="single" w:sz="4" w:space="0" w:color="auto"/>
            </w:tcBorders>
            <w:shd w:val="clear" w:color="auto" w:fill="F2F2F2"/>
          </w:tcPr>
          <w:p w14:paraId="457B0535" w14:textId="2CB07205" w:rsidR="00E55AC8" w:rsidRPr="00A311FC" w:rsidRDefault="00C25058" w:rsidP="00C25058">
            <w:pPr>
              <w:tabs>
                <w:tab w:val="left" w:pos="709"/>
              </w:tabs>
              <w:spacing w:before="60" w:after="60" w:line="240" w:lineRule="auto"/>
              <w:jc w:val="left"/>
              <w:rPr>
                <w:rFonts w:ascii="Arial" w:hAnsi="Arial" w:cs="Arial"/>
                <w:iCs/>
                <w:color w:val="000000" w:themeColor="text1"/>
                <w:sz w:val="18"/>
                <w:szCs w:val="18"/>
              </w:rPr>
            </w:pPr>
            <w:r w:rsidRPr="00A311FC">
              <w:rPr>
                <w:rFonts w:ascii="Arial" w:hAnsi="Arial" w:cs="Arial"/>
                <w:b/>
                <w:sz w:val="18"/>
                <w:szCs w:val="18"/>
              </w:rPr>
              <w:t>Program 1.3 – Official Development Assistance – Multilateral Replenishments</w:t>
            </w:r>
            <w:r w:rsidRPr="00A311FC">
              <w:rPr>
                <w:rFonts w:ascii="Arial" w:hAnsi="Arial" w:cs="Arial"/>
                <w:sz w:val="18"/>
                <w:szCs w:val="18"/>
              </w:rPr>
              <w:t xml:space="preserve"> assists developing countries by contributing to sustainable and inclusive economic growth and poverty reduction through contributions to multilateral organisations.</w:t>
            </w:r>
          </w:p>
        </w:tc>
      </w:tr>
      <w:tr w:rsidR="00E55AC8" w14:paraId="6B5686AD" w14:textId="77777777" w:rsidTr="0019492F">
        <w:trPr>
          <w:trHeight w:val="694"/>
        </w:trPr>
        <w:tc>
          <w:tcPr>
            <w:tcW w:w="1560" w:type="dxa"/>
            <w:tcBorders>
              <w:top w:val="single" w:sz="4" w:space="0" w:color="auto"/>
              <w:left w:val="single" w:sz="4" w:space="0" w:color="auto"/>
              <w:bottom w:val="double" w:sz="4" w:space="0" w:color="auto"/>
              <w:right w:val="single" w:sz="4" w:space="0" w:color="auto"/>
            </w:tcBorders>
            <w:hideMark/>
          </w:tcPr>
          <w:p w14:paraId="21504A2E" w14:textId="77777777" w:rsidR="00E55AC8" w:rsidRDefault="00E55AC8"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585D5C0F" w14:textId="77777777" w:rsidR="00C25058" w:rsidRDefault="00C25058" w:rsidP="00C25058">
            <w:pPr>
              <w:tabs>
                <w:tab w:val="left" w:pos="709"/>
              </w:tabs>
              <w:spacing w:before="60" w:after="60" w:line="240" w:lineRule="auto"/>
              <w:jc w:val="left"/>
              <w:rPr>
                <w:rFonts w:ascii="Arial" w:hAnsi="Arial" w:cs="Arial"/>
                <w:bCs/>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4C6C21B9" w14:textId="12414DB4" w:rsidR="00E55AC8" w:rsidRPr="00C25058" w:rsidRDefault="00C25058" w:rsidP="00091F80">
            <w:pPr>
              <w:pStyle w:val="ListParagraph"/>
              <w:numPr>
                <w:ilvl w:val="0"/>
                <w:numId w:val="51"/>
              </w:numPr>
              <w:tabs>
                <w:tab w:val="left" w:pos="709"/>
              </w:tabs>
              <w:spacing w:before="60" w:after="60" w:line="240" w:lineRule="auto"/>
              <w:rPr>
                <w:rFonts w:ascii="Arial" w:eastAsiaTheme="minorHAnsi" w:hAnsi="Arial" w:cs="Arial"/>
                <w:iCs/>
                <w:color w:val="000000" w:themeColor="text1"/>
                <w:sz w:val="16"/>
                <w:szCs w:val="16"/>
              </w:rPr>
            </w:pPr>
            <w:r w:rsidRPr="00C25058">
              <w:rPr>
                <w:rFonts w:ascii="Arial" w:eastAsiaTheme="minorHAnsi" w:hAnsi="Arial" w:cs="Arial"/>
                <w:iCs/>
                <w:color w:val="000000" w:themeColor="text1"/>
                <w:sz w:val="16"/>
                <w:szCs w:val="16"/>
              </w:rPr>
              <w:t>Further Australia’s interests, including promoting and protecting the rules, norms, standards and institutions that underpin sovereignty, stability and prosperity, and enable cooperation to tackle global challenges.</w:t>
            </w:r>
          </w:p>
        </w:tc>
      </w:tr>
      <w:tr w:rsidR="00E55AC8" w:rsidRPr="00AA75BF" w14:paraId="5A142EE7" w14:textId="77777777" w:rsidTr="0019492F">
        <w:trPr>
          <w:trHeight w:val="258"/>
        </w:trPr>
        <w:tc>
          <w:tcPr>
            <w:tcW w:w="1560" w:type="dxa"/>
            <w:tcBorders>
              <w:top w:val="double" w:sz="4" w:space="0" w:color="auto"/>
              <w:bottom w:val="single" w:sz="4" w:space="0" w:color="auto"/>
              <w:right w:val="single" w:sz="4" w:space="0" w:color="auto"/>
            </w:tcBorders>
          </w:tcPr>
          <w:p w14:paraId="61B6CE09" w14:textId="1F00FA69" w:rsidR="00E55AC8" w:rsidRPr="00AA75BF" w:rsidRDefault="00E55AC8"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D0B226F" w14:textId="77777777" w:rsidR="00E55AC8" w:rsidRPr="00AA75BF" w:rsidRDefault="00E55AC8"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6F34DD21" w14:textId="77777777" w:rsidR="00E55AC8" w:rsidRPr="00AA75BF" w:rsidRDefault="00E55AC8"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F81C16" w:rsidRPr="00F62425" w14:paraId="298BB077" w14:textId="77777777" w:rsidTr="0019492F">
        <w:trPr>
          <w:trHeight w:val="258"/>
        </w:trPr>
        <w:tc>
          <w:tcPr>
            <w:tcW w:w="1560" w:type="dxa"/>
            <w:tcBorders>
              <w:top w:val="single" w:sz="4" w:space="0" w:color="auto"/>
              <w:right w:val="single" w:sz="4" w:space="0" w:color="auto"/>
            </w:tcBorders>
          </w:tcPr>
          <w:p w14:paraId="2AB60146" w14:textId="77777777" w:rsidR="00F81C16" w:rsidRDefault="00F81C16" w:rsidP="00F81C16">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Current year </w:t>
            </w:r>
          </w:p>
          <w:p w14:paraId="53582DC2" w14:textId="235BAD87" w:rsidR="00F81C16" w:rsidRPr="00723F3F" w:rsidRDefault="00F81C16" w:rsidP="00F81C16">
            <w:pPr>
              <w:pStyle w:val="TableTextBase"/>
              <w:rPr>
                <w:bCs/>
                <w:sz w:val="16"/>
                <w:szCs w:val="16"/>
              </w:rPr>
            </w:pPr>
            <w:r>
              <w:rPr>
                <w:rFonts w:cs="Arial"/>
                <w:color w:val="000000" w:themeColor="text1"/>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78E03D25" w14:textId="60A5CDE3" w:rsidR="00F81C16" w:rsidRPr="00AA75BF" w:rsidRDefault="00F81C16" w:rsidP="00F81C16">
            <w:pPr>
              <w:pStyle w:val="TableTextBase"/>
              <w:rPr>
                <w:rFonts w:cs="Arial"/>
                <w:b/>
                <w:sz w:val="16"/>
                <w:szCs w:val="16"/>
              </w:rPr>
            </w:pPr>
            <w:r>
              <w:rPr>
                <w:rFonts w:cs="Arial"/>
                <w:sz w:val="16"/>
                <w:szCs w:val="16"/>
              </w:rPr>
              <w:t>Australia’s diplomatic and geostrategic efforts and financial contributions help shape institutions, rules, norms and standards in line with our national interests and values.</w:t>
            </w:r>
          </w:p>
        </w:tc>
        <w:tc>
          <w:tcPr>
            <w:tcW w:w="3118" w:type="dxa"/>
            <w:tcBorders>
              <w:top w:val="single" w:sz="4" w:space="0" w:color="auto"/>
              <w:left w:val="single" w:sz="4" w:space="0" w:color="auto"/>
              <w:bottom w:val="single" w:sz="4" w:space="0" w:color="auto"/>
            </w:tcBorders>
          </w:tcPr>
          <w:p w14:paraId="4D96B432" w14:textId="324E86D2" w:rsidR="00F81C16" w:rsidRPr="00E2437F" w:rsidRDefault="00F81C16" w:rsidP="00783F55">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F81C16" w:rsidRPr="00F62425" w14:paraId="5FEE838F" w14:textId="77777777" w:rsidTr="00CB6D07">
        <w:trPr>
          <w:trHeight w:val="258"/>
        </w:trPr>
        <w:tc>
          <w:tcPr>
            <w:tcW w:w="1560" w:type="dxa"/>
            <w:tcBorders>
              <w:right w:val="single" w:sz="4" w:space="0" w:color="auto"/>
            </w:tcBorders>
          </w:tcPr>
          <w:p w14:paraId="6EFD97F3" w14:textId="34A96801" w:rsidR="00F81C16" w:rsidRPr="00F81C16" w:rsidRDefault="00F81C16" w:rsidP="00F81C16">
            <w:pPr>
              <w:pStyle w:val="TableTextBase"/>
              <w:rPr>
                <w:rFonts w:cs="Arial"/>
                <w:b/>
                <w:sz w:val="16"/>
                <w:szCs w:val="16"/>
              </w:rPr>
            </w:pPr>
            <w:r w:rsidRPr="00F81C16">
              <w:rPr>
                <w:rFonts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11BB3380" w14:textId="303FC5BF" w:rsidR="00F81C16" w:rsidRPr="00F81C16" w:rsidRDefault="00F81C16" w:rsidP="00F81C16">
            <w:pPr>
              <w:pStyle w:val="TableTextBase"/>
              <w:rPr>
                <w:rFonts w:cs="Arial"/>
                <w:b/>
                <w:sz w:val="16"/>
                <w:szCs w:val="16"/>
              </w:rPr>
            </w:pPr>
            <w:r w:rsidRPr="00F81C16">
              <w:rPr>
                <w:rFonts w:cs="Arial"/>
                <w:b/>
                <w:sz w:val="16"/>
                <w:szCs w:val="16"/>
              </w:rPr>
              <w:t>Performance measures</w:t>
            </w:r>
          </w:p>
        </w:tc>
        <w:tc>
          <w:tcPr>
            <w:tcW w:w="3118" w:type="dxa"/>
            <w:tcBorders>
              <w:top w:val="single" w:sz="4" w:space="0" w:color="auto"/>
              <w:left w:val="single" w:sz="4" w:space="0" w:color="auto"/>
              <w:bottom w:val="single" w:sz="4" w:space="0" w:color="auto"/>
            </w:tcBorders>
          </w:tcPr>
          <w:p w14:paraId="55B37078" w14:textId="4DC88308" w:rsidR="00F81C16" w:rsidRPr="00F81C16" w:rsidRDefault="00F81C16" w:rsidP="00F81C16">
            <w:pPr>
              <w:tabs>
                <w:tab w:val="left" w:pos="455"/>
              </w:tabs>
              <w:spacing w:before="60" w:after="60" w:line="240" w:lineRule="auto"/>
              <w:rPr>
                <w:rFonts w:ascii="Arial" w:hAnsi="Arial" w:cs="Arial"/>
                <w:sz w:val="16"/>
                <w:szCs w:val="16"/>
              </w:rPr>
            </w:pPr>
            <w:r>
              <w:rPr>
                <w:rFonts w:ascii="Arial" w:hAnsi="Arial" w:cs="Arial"/>
                <w:b/>
                <w:sz w:val="16"/>
                <w:szCs w:val="16"/>
              </w:rPr>
              <w:t xml:space="preserve">Planned </w:t>
            </w:r>
            <w:r w:rsidRPr="00F81C16">
              <w:rPr>
                <w:rFonts w:ascii="Arial" w:hAnsi="Arial" w:cs="Arial"/>
                <w:b/>
                <w:sz w:val="16"/>
                <w:szCs w:val="16"/>
              </w:rPr>
              <w:t>Performance Results</w:t>
            </w:r>
          </w:p>
        </w:tc>
      </w:tr>
      <w:tr w:rsidR="003638EB" w:rsidRPr="00F62425" w14:paraId="1169DF19" w14:textId="77777777" w:rsidTr="00A311FC">
        <w:trPr>
          <w:trHeight w:val="258"/>
        </w:trPr>
        <w:tc>
          <w:tcPr>
            <w:tcW w:w="1560" w:type="dxa"/>
            <w:tcBorders>
              <w:bottom w:val="dotted" w:sz="4" w:space="0" w:color="auto"/>
              <w:right w:val="single" w:sz="4" w:space="0" w:color="auto"/>
            </w:tcBorders>
          </w:tcPr>
          <w:p w14:paraId="3076B94E" w14:textId="77777777" w:rsidR="00DD66AC" w:rsidRDefault="003638EB" w:rsidP="003638EB">
            <w:pPr>
              <w:pStyle w:val="TableTextBase"/>
              <w:rPr>
                <w:rFonts w:cs="Arial"/>
                <w:color w:val="000000" w:themeColor="text1"/>
                <w:sz w:val="16"/>
                <w:szCs w:val="16"/>
              </w:rPr>
            </w:pPr>
            <w:r>
              <w:rPr>
                <w:rFonts w:cs="Arial"/>
                <w:color w:val="000000" w:themeColor="text1"/>
                <w:sz w:val="16"/>
                <w:szCs w:val="16"/>
              </w:rPr>
              <w:t xml:space="preserve">Budget Year    </w:t>
            </w:r>
          </w:p>
          <w:p w14:paraId="5C39E83A" w14:textId="74886AD1" w:rsidR="003638EB" w:rsidRPr="00AA75BF" w:rsidRDefault="003638EB" w:rsidP="003638EB">
            <w:pPr>
              <w:pStyle w:val="TableTextBase"/>
              <w:rPr>
                <w:b/>
                <w:sz w:val="16"/>
                <w:szCs w:val="16"/>
              </w:rPr>
            </w:pPr>
            <w:r>
              <w:rPr>
                <w:rFonts w:cs="Arial"/>
                <w:color w:val="000000" w:themeColor="text1"/>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348EECC3" w14:textId="59A7D3B2" w:rsidR="003638EB" w:rsidRPr="00AA75BF" w:rsidRDefault="003638EB" w:rsidP="003638EB">
            <w:pPr>
              <w:pStyle w:val="TableTextBase"/>
              <w:rPr>
                <w:rFonts w:cs="Arial"/>
                <w:b/>
                <w:sz w:val="16"/>
                <w:szCs w:val="16"/>
              </w:rPr>
            </w:pPr>
            <w:r>
              <w:rPr>
                <w:rFonts w:cs="Arial"/>
                <w:sz w:val="16"/>
                <w:szCs w:val="16"/>
              </w:rPr>
              <w:t>Australia’s diplomatic and geostrategic efforts and financial contributions help shape institutions, rules, norms and standards in line with our national interests and values.</w:t>
            </w:r>
          </w:p>
        </w:tc>
        <w:tc>
          <w:tcPr>
            <w:tcW w:w="3118" w:type="dxa"/>
            <w:tcBorders>
              <w:top w:val="single" w:sz="4" w:space="0" w:color="auto"/>
              <w:left w:val="single" w:sz="4" w:space="0" w:color="auto"/>
              <w:bottom w:val="dotted" w:sz="4" w:space="0" w:color="auto"/>
            </w:tcBorders>
          </w:tcPr>
          <w:p w14:paraId="6A1DB9B2" w14:textId="16714123" w:rsidR="003638EB" w:rsidRPr="00E2437F" w:rsidRDefault="003638EB"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Alignment between statements from governments and multilateral institutions, and existing global rules, norms and values.</w:t>
            </w:r>
          </w:p>
        </w:tc>
      </w:tr>
      <w:tr w:rsidR="003638EB" w:rsidRPr="00F62425" w14:paraId="27EA5378" w14:textId="77777777" w:rsidTr="00A311FC">
        <w:trPr>
          <w:trHeight w:val="344"/>
        </w:trPr>
        <w:tc>
          <w:tcPr>
            <w:tcW w:w="1560" w:type="dxa"/>
            <w:tcBorders>
              <w:top w:val="dotted" w:sz="4" w:space="0" w:color="auto"/>
              <w:right w:val="single" w:sz="4" w:space="0" w:color="auto"/>
            </w:tcBorders>
          </w:tcPr>
          <w:p w14:paraId="11DC9DA8" w14:textId="77777777" w:rsidR="003638EB" w:rsidRDefault="003638EB" w:rsidP="003638EB">
            <w:pPr>
              <w:tabs>
                <w:tab w:val="left" w:pos="709"/>
              </w:tabs>
              <w:spacing w:before="60" w:after="60" w:line="240" w:lineRule="auto"/>
              <w:rPr>
                <w:rFonts w:ascii="Arial" w:eastAsiaTheme="minorHAnsi" w:hAnsi="Arial" w:cs="Arial"/>
                <w:color w:val="000000" w:themeColor="text1"/>
                <w:sz w:val="16"/>
                <w:szCs w:val="16"/>
                <w:lang w:eastAsia="en-US"/>
              </w:rPr>
            </w:pPr>
            <w:r>
              <w:rPr>
                <w:rFonts w:ascii="Arial" w:hAnsi="Arial" w:cs="Arial"/>
                <w:color w:val="000000" w:themeColor="text1"/>
                <w:sz w:val="16"/>
                <w:szCs w:val="16"/>
              </w:rPr>
              <w:t xml:space="preserve">Forward Estimates </w:t>
            </w:r>
          </w:p>
          <w:p w14:paraId="3A796794" w14:textId="5798E383" w:rsidR="003638EB" w:rsidRPr="00AA75BF" w:rsidRDefault="003638EB" w:rsidP="003638EB">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5E877C45" w14:textId="1F5CFC3F" w:rsidR="003638EB" w:rsidRPr="00AA75BF" w:rsidRDefault="003638EB" w:rsidP="003638EB">
            <w:pPr>
              <w:pStyle w:val="TableTextBase"/>
              <w:rPr>
                <w:rFonts w:cs="Arial"/>
                <w:b/>
                <w:sz w:val="16"/>
                <w:szCs w:val="16"/>
              </w:rPr>
            </w:pPr>
            <w:r>
              <w:rPr>
                <w:rFonts w:cs="Arial"/>
                <w:b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0EB7454D" w14:textId="4D45C6B1" w:rsidR="003638EB" w:rsidRPr="00E2437F" w:rsidRDefault="003638EB" w:rsidP="003638EB">
            <w:pPr>
              <w:tabs>
                <w:tab w:val="left" w:pos="455"/>
              </w:tabs>
              <w:spacing w:before="60" w:after="60" w:line="240" w:lineRule="auto"/>
              <w:rPr>
                <w:rFonts w:ascii="Arial" w:hAnsi="Arial" w:cs="Arial"/>
                <w:sz w:val="16"/>
                <w:szCs w:val="16"/>
              </w:rPr>
            </w:pPr>
            <w:r>
              <w:rPr>
                <w:rFonts w:ascii="Arial" w:hAnsi="Arial" w:cs="Arial"/>
                <w:bCs/>
                <w:color w:val="000000" w:themeColor="text1"/>
                <w:sz w:val="16"/>
                <w:szCs w:val="16"/>
              </w:rPr>
              <w:t>As per 2022-23</w:t>
            </w:r>
          </w:p>
        </w:tc>
      </w:tr>
    </w:tbl>
    <w:p w14:paraId="43A8D2B3" w14:textId="732D6190" w:rsidR="009A6821" w:rsidRDefault="003638EB" w:rsidP="003173C2">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2F04BF02" w14:textId="77777777" w:rsidR="003638EB" w:rsidRPr="003638EB" w:rsidRDefault="003638EB" w:rsidP="009A6821">
      <w:pPr>
        <w:rPr>
          <w:rFonts w:ascii="Arial" w:hAnsi="Arial" w:cs="Arial"/>
          <w:sz w:val="16"/>
          <w:szCs w:val="16"/>
        </w:rPr>
      </w:pPr>
    </w:p>
    <w:p w14:paraId="73FC51FC" w14:textId="6183341E" w:rsidR="003638EB" w:rsidRDefault="003638EB">
      <w:pPr>
        <w:spacing w:after="0" w:line="240" w:lineRule="auto"/>
        <w:jc w:val="left"/>
      </w:pPr>
      <w:r>
        <w:br w:type="page"/>
      </w:r>
    </w:p>
    <w:p w14:paraId="317EAE75" w14:textId="77777777" w:rsidR="003638EB" w:rsidRDefault="003638EB" w:rsidP="003638EB">
      <w:pPr>
        <w:pStyle w:val="TableHeadingcontinued"/>
      </w:pPr>
      <w:r w:rsidRPr="00F71634">
        <w:t>Table 2.</w:t>
      </w:r>
      <w:r>
        <w:t>1</w:t>
      </w:r>
      <w:r w:rsidRPr="00F71634">
        <w:t>.3: Pe</w:t>
      </w:r>
      <w:r>
        <w:t>rformance criteria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3638EB" w:rsidRPr="001B2F81" w14:paraId="2B3220F1" w14:textId="77777777" w:rsidTr="00CB6D07">
        <w:trPr>
          <w:trHeight w:val="569"/>
          <w:tblHeader/>
        </w:trPr>
        <w:tc>
          <w:tcPr>
            <w:tcW w:w="7796" w:type="dxa"/>
            <w:gridSpan w:val="3"/>
            <w:shd w:val="clear" w:color="auto" w:fill="F2F2F2"/>
          </w:tcPr>
          <w:p w14:paraId="63F78EE7" w14:textId="77777777" w:rsidR="003638EB" w:rsidRPr="00C41058" w:rsidRDefault="003638EB" w:rsidP="00CB6D07">
            <w:pPr>
              <w:pStyle w:val="TableColumnHeadingLeft"/>
            </w:pPr>
            <w:r w:rsidRPr="00C41058">
              <w:rPr>
                <w:rStyle w:val="TableHeadingChar"/>
                <w:b/>
              </w:rPr>
              <w:t xml:space="preserve">Outcome </w:t>
            </w:r>
            <w:r w:rsidRPr="00EF57EA">
              <w:t>1 – The advancement of Australia’s international strategic, security and economic interests including through bilateral, regional and multilateral engagement on Australian Government foreign, trade and international development policy priorities</w:t>
            </w:r>
            <w:r w:rsidRPr="00C41058">
              <w:rPr>
                <w:rStyle w:val="TableHeadingChar"/>
                <w:b/>
              </w:rPr>
              <w:t xml:space="preserve"> </w:t>
            </w:r>
          </w:p>
        </w:tc>
      </w:tr>
      <w:tr w:rsidR="003638EB" w:rsidRPr="001B2F81" w14:paraId="08717835" w14:textId="77777777" w:rsidTr="00CB6D07">
        <w:trPr>
          <w:trHeight w:val="522"/>
          <w:tblHeader/>
        </w:trPr>
        <w:tc>
          <w:tcPr>
            <w:tcW w:w="7796" w:type="dxa"/>
            <w:gridSpan w:val="3"/>
            <w:tcBorders>
              <w:bottom w:val="single" w:sz="4" w:space="0" w:color="auto"/>
            </w:tcBorders>
            <w:shd w:val="clear" w:color="auto" w:fill="F2F2F2"/>
          </w:tcPr>
          <w:p w14:paraId="3D267C0B" w14:textId="3410D603" w:rsidR="003638EB" w:rsidRPr="00A311FC" w:rsidRDefault="006A4671" w:rsidP="00CB6D07">
            <w:pPr>
              <w:tabs>
                <w:tab w:val="left" w:pos="709"/>
              </w:tabs>
              <w:spacing w:before="60" w:after="60" w:line="240" w:lineRule="auto"/>
              <w:jc w:val="left"/>
              <w:rPr>
                <w:rFonts w:ascii="Arial" w:hAnsi="Arial" w:cs="Arial"/>
                <w:iCs/>
                <w:color w:val="000000" w:themeColor="text1"/>
                <w:sz w:val="18"/>
                <w:szCs w:val="18"/>
              </w:rPr>
            </w:pPr>
            <w:r w:rsidRPr="00A311FC">
              <w:rPr>
                <w:rFonts w:ascii="Arial" w:hAnsi="Arial" w:cs="Arial"/>
                <w:b/>
                <w:sz w:val="18"/>
                <w:szCs w:val="18"/>
              </w:rPr>
              <w:t>Program 1.4 – Payments to International Organisations</w:t>
            </w:r>
            <w:r w:rsidRPr="00A311FC">
              <w:rPr>
                <w:rFonts w:ascii="Arial" w:hAnsi="Arial" w:cs="Arial"/>
                <w:i/>
                <w:sz w:val="18"/>
                <w:szCs w:val="18"/>
              </w:rPr>
              <w:t xml:space="preserve"> </w:t>
            </w:r>
            <w:r w:rsidRPr="00A311FC">
              <w:rPr>
                <w:rFonts w:ascii="Arial" w:hAnsi="Arial" w:cs="Arial"/>
                <w:sz w:val="18"/>
                <w:szCs w:val="18"/>
              </w:rPr>
              <w:t>advances Australia’s foreign, trade and investment, development and international security interests</w:t>
            </w:r>
            <w:r w:rsidR="003638EB" w:rsidRPr="00A311FC">
              <w:rPr>
                <w:rFonts w:ascii="Arial" w:hAnsi="Arial" w:cs="Arial"/>
                <w:sz w:val="18"/>
                <w:szCs w:val="18"/>
              </w:rPr>
              <w:t>.</w:t>
            </w:r>
          </w:p>
        </w:tc>
      </w:tr>
      <w:tr w:rsidR="003638EB" w14:paraId="616E27E1" w14:textId="77777777" w:rsidTr="0019492F">
        <w:trPr>
          <w:trHeight w:val="694"/>
        </w:trPr>
        <w:tc>
          <w:tcPr>
            <w:tcW w:w="1560" w:type="dxa"/>
            <w:tcBorders>
              <w:top w:val="single" w:sz="4" w:space="0" w:color="auto"/>
              <w:left w:val="single" w:sz="4" w:space="0" w:color="auto"/>
              <w:bottom w:val="double" w:sz="4" w:space="0" w:color="auto"/>
              <w:right w:val="single" w:sz="4" w:space="0" w:color="auto"/>
            </w:tcBorders>
            <w:hideMark/>
          </w:tcPr>
          <w:p w14:paraId="041D444D" w14:textId="77777777" w:rsidR="003638EB" w:rsidRDefault="003638EB"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71D1F68A" w14:textId="77777777" w:rsidR="003638EB" w:rsidRDefault="003638EB" w:rsidP="00CB6D07">
            <w:pPr>
              <w:tabs>
                <w:tab w:val="left" w:pos="709"/>
              </w:tabs>
              <w:spacing w:before="60" w:after="60" w:line="240" w:lineRule="auto"/>
              <w:jc w:val="left"/>
              <w:rPr>
                <w:rFonts w:ascii="Arial" w:hAnsi="Arial" w:cs="Arial"/>
                <w:bCs/>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1EEC11A8" w14:textId="77777777" w:rsidR="003638EB" w:rsidRPr="00C25058" w:rsidRDefault="003638EB" w:rsidP="00091F80">
            <w:pPr>
              <w:pStyle w:val="ListParagraph"/>
              <w:numPr>
                <w:ilvl w:val="0"/>
                <w:numId w:val="51"/>
              </w:numPr>
              <w:tabs>
                <w:tab w:val="left" w:pos="709"/>
              </w:tabs>
              <w:spacing w:before="60" w:after="60" w:line="240" w:lineRule="auto"/>
              <w:rPr>
                <w:rFonts w:ascii="Arial" w:eastAsiaTheme="minorHAnsi" w:hAnsi="Arial" w:cs="Arial"/>
                <w:iCs/>
                <w:color w:val="000000" w:themeColor="text1"/>
                <w:sz w:val="16"/>
                <w:szCs w:val="16"/>
              </w:rPr>
            </w:pPr>
            <w:r w:rsidRPr="00C25058">
              <w:rPr>
                <w:rFonts w:ascii="Arial" w:eastAsiaTheme="minorHAnsi" w:hAnsi="Arial" w:cs="Arial"/>
                <w:iCs/>
                <w:color w:val="000000" w:themeColor="text1"/>
                <w:sz w:val="16"/>
                <w:szCs w:val="16"/>
              </w:rPr>
              <w:t>Further Australia’s interests, including promoting and protecting the rules, norms, standards and institutions that underpin sovereignty, stability and prosperity, and enable cooperation to tackle global challenges.</w:t>
            </w:r>
          </w:p>
        </w:tc>
      </w:tr>
      <w:tr w:rsidR="003638EB" w:rsidRPr="00AA75BF" w14:paraId="1F21ED80" w14:textId="77777777" w:rsidTr="0019492F">
        <w:trPr>
          <w:trHeight w:val="258"/>
        </w:trPr>
        <w:tc>
          <w:tcPr>
            <w:tcW w:w="1560" w:type="dxa"/>
            <w:tcBorders>
              <w:top w:val="double" w:sz="4" w:space="0" w:color="auto"/>
              <w:bottom w:val="single" w:sz="4" w:space="0" w:color="auto"/>
              <w:right w:val="single" w:sz="4" w:space="0" w:color="auto"/>
            </w:tcBorders>
          </w:tcPr>
          <w:p w14:paraId="5405BB75" w14:textId="1298D111" w:rsidR="003638EB" w:rsidRPr="00AA75BF" w:rsidRDefault="003638EB"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AF55682" w14:textId="77777777" w:rsidR="003638EB" w:rsidRPr="00AA75BF" w:rsidRDefault="003638EB"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3104C5B8" w14:textId="77777777" w:rsidR="003638EB" w:rsidRPr="00AA75BF" w:rsidRDefault="003638EB"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3638EB" w:rsidRPr="00F62425" w14:paraId="5A104A1E" w14:textId="77777777" w:rsidTr="0019492F">
        <w:trPr>
          <w:trHeight w:val="258"/>
        </w:trPr>
        <w:tc>
          <w:tcPr>
            <w:tcW w:w="1560" w:type="dxa"/>
            <w:tcBorders>
              <w:top w:val="single" w:sz="4" w:space="0" w:color="auto"/>
              <w:right w:val="single" w:sz="4" w:space="0" w:color="auto"/>
            </w:tcBorders>
          </w:tcPr>
          <w:p w14:paraId="73A1102D" w14:textId="77777777" w:rsidR="003638EB" w:rsidRDefault="003638EB"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Current year </w:t>
            </w:r>
          </w:p>
          <w:p w14:paraId="04F695E6" w14:textId="77777777" w:rsidR="003638EB" w:rsidRPr="00723F3F" w:rsidRDefault="003638EB" w:rsidP="00CB6D07">
            <w:pPr>
              <w:pStyle w:val="TableTextBase"/>
              <w:rPr>
                <w:bCs/>
                <w:sz w:val="16"/>
                <w:szCs w:val="16"/>
              </w:rPr>
            </w:pPr>
            <w:r>
              <w:rPr>
                <w:rFonts w:cs="Arial"/>
                <w:color w:val="000000" w:themeColor="text1"/>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02E13C4D" w14:textId="7FC7CA05" w:rsidR="003638EB" w:rsidRPr="00AA75BF" w:rsidRDefault="0019492F" w:rsidP="00CB6D07">
            <w:pPr>
              <w:pStyle w:val="TableTextBase"/>
              <w:rPr>
                <w:rFonts w:cs="Arial"/>
                <w:b/>
                <w:sz w:val="16"/>
                <w:szCs w:val="16"/>
              </w:rPr>
            </w:pPr>
            <w:r>
              <w:rPr>
                <w:rFonts w:cs="Arial"/>
                <w:sz w:val="16"/>
                <w:szCs w:val="16"/>
              </w:rPr>
              <w:t>Australia’s diplomatic and geostrategic efforts and financial contributions help shape institutions, rules, norms and standards in line with our national interests and values</w:t>
            </w:r>
            <w:r w:rsidR="003638EB">
              <w:rPr>
                <w:rFonts w:cs="Arial"/>
                <w:sz w:val="16"/>
                <w:szCs w:val="16"/>
              </w:rPr>
              <w:t>.</w:t>
            </w:r>
          </w:p>
        </w:tc>
        <w:tc>
          <w:tcPr>
            <w:tcW w:w="3118" w:type="dxa"/>
            <w:tcBorders>
              <w:top w:val="single" w:sz="4" w:space="0" w:color="auto"/>
              <w:left w:val="single" w:sz="4" w:space="0" w:color="auto"/>
              <w:bottom w:val="single" w:sz="4" w:space="0" w:color="auto"/>
            </w:tcBorders>
          </w:tcPr>
          <w:p w14:paraId="15D2FBBD" w14:textId="77777777" w:rsidR="003638EB" w:rsidRPr="00E2437F" w:rsidRDefault="003638EB" w:rsidP="00783F55">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3638EB" w:rsidRPr="00F62425" w14:paraId="48EB2E5D" w14:textId="77777777" w:rsidTr="00CB6D07">
        <w:trPr>
          <w:trHeight w:val="258"/>
        </w:trPr>
        <w:tc>
          <w:tcPr>
            <w:tcW w:w="1560" w:type="dxa"/>
            <w:tcBorders>
              <w:right w:val="single" w:sz="4" w:space="0" w:color="auto"/>
            </w:tcBorders>
          </w:tcPr>
          <w:p w14:paraId="785C6609" w14:textId="25516D14" w:rsidR="003638EB" w:rsidRPr="00F81C16" w:rsidRDefault="003638EB" w:rsidP="00CB6D07">
            <w:pPr>
              <w:pStyle w:val="TableTextBase"/>
              <w:rPr>
                <w:rFonts w:cs="Arial"/>
                <w:b/>
                <w:sz w:val="16"/>
                <w:szCs w:val="16"/>
              </w:rPr>
            </w:pPr>
            <w:r w:rsidRPr="00F81C16">
              <w:rPr>
                <w:rFonts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0BC3527F" w14:textId="77777777" w:rsidR="003638EB" w:rsidRPr="00F81C16" w:rsidRDefault="003638EB" w:rsidP="00CB6D07">
            <w:pPr>
              <w:pStyle w:val="TableTextBase"/>
              <w:rPr>
                <w:rFonts w:cs="Arial"/>
                <w:b/>
                <w:sz w:val="16"/>
                <w:szCs w:val="16"/>
              </w:rPr>
            </w:pPr>
            <w:r w:rsidRPr="00F81C16">
              <w:rPr>
                <w:rFonts w:cs="Arial"/>
                <w:b/>
                <w:sz w:val="16"/>
                <w:szCs w:val="16"/>
              </w:rPr>
              <w:t>Performance measures</w:t>
            </w:r>
          </w:p>
        </w:tc>
        <w:tc>
          <w:tcPr>
            <w:tcW w:w="3118" w:type="dxa"/>
            <w:tcBorders>
              <w:top w:val="single" w:sz="4" w:space="0" w:color="auto"/>
              <w:left w:val="single" w:sz="4" w:space="0" w:color="auto"/>
              <w:bottom w:val="single" w:sz="4" w:space="0" w:color="auto"/>
            </w:tcBorders>
          </w:tcPr>
          <w:p w14:paraId="5F4082EA" w14:textId="77777777" w:rsidR="003638EB" w:rsidRPr="00F81C16" w:rsidRDefault="003638EB" w:rsidP="00CB6D07">
            <w:pPr>
              <w:tabs>
                <w:tab w:val="left" w:pos="455"/>
              </w:tabs>
              <w:spacing w:before="60" w:after="60" w:line="240" w:lineRule="auto"/>
              <w:rPr>
                <w:rFonts w:ascii="Arial" w:hAnsi="Arial" w:cs="Arial"/>
                <w:sz w:val="16"/>
                <w:szCs w:val="16"/>
              </w:rPr>
            </w:pPr>
            <w:r>
              <w:rPr>
                <w:rFonts w:ascii="Arial" w:hAnsi="Arial" w:cs="Arial"/>
                <w:b/>
                <w:sz w:val="16"/>
                <w:szCs w:val="16"/>
              </w:rPr>
              <w:t xml:space="preserve">Planned </w:t>
            </w:r>
            <w:r w:rsidRPr="00F81C16">
              <w:rPr>
                <w:rFonts w:ascii="Arial" w:hAnsi="Arial" w:cs="Arial"/>
                <w:b/>
                <w:sz w:val="16"/>
                <w:szCs w:val="16"/>
              </w:rPr>
              <w:t>Performance Results</w:t>
            </w:r>
          </w:p>
        </w:tc>
      </w:tr>
      <w:tr w:rsidR="003638EB" w:rsidRPr="00F62425" w14:paraId="6D8B9638" w14:textId="77777777" w:rsidTr="00A311FC">
        <w:trPr>
          <w:trHeight w:val="258"/>
        </w:trPr>
        <w:tc>
          <w:tcPr>
            <w:tcW w:w="1560" w:type="dxa"/>
            <w:tcBorders>
              <w:bottom w:val="dotted" w:sz="4" w:space="0" w:color="auto"/>
              <w:right w:val="single" w:sz="4" w:space="0" w:color="auto"/>
            </w:tcBorders>
          </w:tcPr>
          <w:p w14:paraId="227B3CBA" w14:textId="77777777" w:rsidR="00DD66AC" w:rsidRDefault="003638EB" w:rsidP="00CB6D07">
            <w:pPr>
              <w:pStyle w:val="TableTextBase"/>
              <w:rPr>
                <w:rFonts w:cs="Arial"/>
                <w:color w:val="000000" w:themeColor="text1"/>
                <w:sz w:val="16"/>
                <w:szCs w:val="16"/>
              </w:rPr>
            </w:pPr>
            <w:r>
              <w:rPr>
                <w:rFonts w:cs="Arial"/>
                <w:color w:val="000000" w:themeColor="text1"/>
                <w:sz w:val="16"/>
                <w:szCs w:val="16"/>
              </w:rPr>
              <w:t xml:space="preserve">Budget Year    </w:t>
            </w:r>
          </w:p>
          <w:p w14:paraId="015E7A15" w14:textId="462F5FCE" w:rsidR="003638EB" w:rsidRPr="00AA75BF" w:rsidRDefault="003638EB" w:rsidP="00CB6D07">
            <w:pPr>
              <w:pStyle w:val="TableTextBase"/>
              <w:rPr>
                <w:b/>
                <w:sz w:val="16"/>
                <w:szCs w:val="16"/>
              </w:rPr>
            </w:pPr>
            <w:r>
              <w:rPr>
                <w:rFonts w:cs="Arial"/>
                <w:color w:val="000000" w:themeColor="text1"/>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207E385F" w14:textId="77777777" w:rsidR="003638EB" w:rsidRPr="00AA75BF" w:rsidRDefault="003638EB" w:rsidP="00CB6D07">
            <w:pPr>
              <w:pStyle w:val="TableTextBase"/>
              <w:rPr>
                <w:rFonts w:cs="Arial"/>
                <w:b/>
                <w:sz w:val="16"/>
                <w:szCs w:val="16"/>
              </w:rPr>
            </w:pPr>
            <w:r>
              <w:rPr>
                <w:rFonts w:cs="Arial"/>
                <w:sz w:val="16"/>
                <w:szCs w:val="16"/>
              </w:rPr>
              <w:t>Australia’s diplomatic and geostrategic efforts and financial contributions help shape institutions, rules, norms and standards in line with our national interests and values.</w:t>
            </w:r>
          </w:p>
        </w:tc>
        <w:tc>
          <w:tcPr>
            <w:tcW w:w="3118" w:type="dxa"/>
            <w:tcBorders>
              <w:top w:val="single" w:sz="4" w:space="0" w:color="auto"/>
              <w:left w:val="single" w:sz="4" w:space="0" w:color="auto"/>
              <w:bottom w:val="dotted" w:sz="4" w:space="0" w:color="auto"/>
            </w:tcBorders>
          </w:tcPr>
          <w:p w14:paraId="25454598" w14:textId="77777777" w:rsidR="003638EB" w:rsidRPr="00E2437F" w:rsidRDefault="003638EB"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Alignment between statements from governments and multilateral institutions, and existing global rules, norms and values.</w:t>
            </w:r>
          </w:p>
        </w:tc>
      </w:tr>
      <w:tr w:rsidR="003638EB" w:rsidRPr="00F62425" w14:paraId="68313173" w14:textId="77777777" w:rsidTr="00A311FC">
        <w:trPr>
          <w:trHeight w:val="258"/>
        </w:trPr>
        <w:tc>
          <w:tcPr>
            <w:tcW w:w="1560" w:type="dxa"/>
            <w:tcBorders>
              <w:top w:val="dotted" w:sz="4" w:space="0" w:color="auto"/>
              <w:right w:val="single" w:sz="4" w:space="0" w:color="auto"/>
            </w:tcBorders>
          </w:tcPr>
          <w:p w14:paraId="1F0EDB2B" w14:textId="77777777" w:rsidR="003638EB" w:rsidRDefault="003638EB" w:rsidP="00CB6D07">
            <w:pPr>
              <w:tabs>
                <w:tab w:val="left" w:pos="709"/>
              </w:tabs>
              <w:spacing w:before="60" w:after="60" w:line="240" w:lineRule="auto"/>
              <w:rPr>
                <w:rFonts w:ascii="Arial" w:eastAsiaTheme="minorHAnsi" w:hAnsi="Arial" w:cs="Arial"/>
                <w:color w:val="000000" w:themeColor="text1"/>
                <w:sz w:val="16"/>
                <w:szCs w:val="16"/>
                <w:lang w:eastAsia="en-US"/>
              </w:rPr>
            </w:pPr>
            <w:r>
              <w:rPr>
                <w:rFonts w:ascii="Arial" w:hAnsi="Arial" w:cs="Arial"/>
                <w:color w:val="000000" w:themeColor="text1"/>
                <w:sz w:val="16"/>
                <w:szCs w:val="16"/>
              </w:rPr>
              <w:t xml:space="preserve">Forward Estimates </w:t>
            </w:r>
          </w:p>
          <w:p w14:paraId="17FAC363" w14:textId="77777777" w:rsidR="003638EB" w:rsidRPr="00AA75BF" w:rsidRDefault="003638EB"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0A265A60" w14:textId="77777777" w:rsidR="003638EB" w:rsidRPr="00AA75BF" w:rsidRDefault="003638EB" w:rsidP="00CB6D07">
            <w:pPr>
              <w:pStyle w:val="TableTextBase"/>
              <w:rPr>
                <w:rFonts w:cs="Arial"/>
                <w:b/>
                <w:sz w:val="16"/>
                <w:szCs w:val="16"/>
              </w:rPr>
            </w:pPr>
            <w:r>
              <w:rPr>
                <w:rFonts w:cs="Arial"/>
                <w:b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7C65CB32" w14:textId="77777777" w:rsidR="003638EB" w:rsidRPr="00E2437F" w:rsidRDefault="003638EB" w:rsidP="00CB6D07">
            <w:pPr>
              <w:tabs>
                <w:tab w:val="left" w:pos="455"/>
              </w:tabs>
              <w:spacing w:before="60" w:after="60" w:line="240" w:lineRule="auto"/>
              <w:rPr>
                <w:rFonts w:ascii="Arial" w:hAnsi="Arial" w:cs="Arial"/>
                <w:sz w:val="16"/>
                <w:szCs w:val="16"/>
              </w:rPr>
            </w:pPr>
            <w:r>
              <w:rPr>
                <w:rFonts w:ascii="Arial" w:hAnsi="Arial" w:cs="Arial"/>
                <w:bCs/>
                <w:color w:val="000000" w:themeColor="text1"/>
                <w:sz w:val="16"/>
                <w:szCs w:val="16"/>
              </w:rPr>
              <w:t>As per 2022-23</w:t>
            </w:r>
          </w:p>
        </w:tc>
      </w:tr>
    </w:tbl>
    <w:p w14:paraId="42430562" w14:textId="77777777" w:rsidR="003638EB" w:rsidRPr="00B37085" w:rsidRDefault="003638EB" w:rsidP="003173C2">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017359BD" w14:textId="441A322A" w:rsidR="005F6E5C" w:rsidRDefault="005F6E5C">
      <w:pPr>
        <w:spacing w:after="0" w:line="240" w:lineRule="auto"/>
        <w:jc w:val="left"/>
      </w:pPr>
      <w:r>
        <w:br w:type="page"/>
      </w:r>
    </w:p>
    <w:p w14:paraId="56BCB9A4" w14:textId="77777777" w:rsidR="005F6E5C" w:rsidRDefault="005F6E5C" w:rsidP="005F6E5C">
      <w:pPr>
        <w:pStyle w:val="TableHeadingcontinued"/>
      </w:pPr>
      <w:r w:rsidRPr="00F71634">
        <w:t>Table 2.</w:t>
      </w:r>
      <w:r>
        <w:t>1</w:t>
      </w:r>
      <w:r w:rsidRPr="00F71634">
        <w:t>.3: Pe</w:t>
      </w:r>
      <w:r>
        <w:t>rformance criteria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5F6E5C" w:rsidRPr="001B2F81" w14:paraId="7A83619A" w14:textId="77777777" w:rsidTr="00CB6D07">
        <w:trPr>
          <w:trHeight w:val="569"/>
          <w:tblHeader/>
        </w:trPr>
        <w:tc>
          <w:tcPr>
            <w:tcW w:w="7796" w:type="dxa"/>
            <w:gridSpan w:val="3"/>
            <w:shd w:val="clear" w:color="auto" w:fill="F2F2F2"/>
          </w:tcPr>
          <w:p w14:paraId="212A9ADA" w14:textId="77777777" w:rsidR="005F6E5C" w:rsidRPr="00C41058" w:rsidRDefault="005F6E5C" w:rsidP="00CB6D07">
            <w:pPr>
              <w:pStyle w:val="TableColumnHeadingLeft"/>
            </w:pPr>
            <w:r w:rsidRPr="00C41058">
              <w:rPr>
                <w:rStyle w:val="TableHeadingChar"/>
                <w:b/>
              </w:rPr>
              <w:t xml:space="preserve">Outcome </w:t>
            </w:r>
            <w:r w:rsidRPr="00EF57EA">
              <w:t>1 – The advancement of Australia’s international strategic, security and economic interests including through bilateral, regional and multilateral engagement on Australian Government foreign, trade and international development policy priorities</w:t>
            </w:r>
            <w:r w:rsidRPr="00C41058">
              <w:rPr>
                <w:rStyle w:val="TableHeadingChar"/>
                <w:b/>
              </w:rPr>
              <w:t xml:space="preserve"> </w:t>
            </w:r>
          </w:p>
        </w:tc>
      </w:tr>
      <w:tr w:rsidR="005F6E5C" w:rsidRPr="001B2F81" w14:paraId="5FFB5B35" w14:textId="77777777" w:rsidTr="00CB6D07">
        <w:trPr>
          <w:trHeight w:val="522"/>
          <w:tblHeader/>
        </w:trPr>
        <w:tc>
          <w:tcPr>
            <w:tcW w:w="7796" w:type="dxa"/>
            <w:gridSpan w:val="3"/>
            <w:tcBorders>
              <w:bottom w:val="single" w:sz="4" w:space="0" w:color="auto"/>
            </w:tcBorders>
            <w:shd w:val="clear" w:color="auto" w:fill="F2F2F2"/>
          </w:tcPr>
          <w:p w14:paraId="1D444AEE" w14:textId="3E8106B6" w:rsidR="005F6E5C" w:rsidRPr="00A311FC" w:rsidRDefault="005F6E5C" w:rsidP="00CB6D07">
            <w:pPr>
              <w:tabs>
                <w:tab w:val="left" w:pos="709"/>
              </w:tabs>
              <w:spacing w:before="60" w:after="60" w:line="240" w:lineRule="auto"/>
              <w:jc w:val="left"/>
              <w:rPr>
                <w:rFonts w:ascii="Arial" w:hAnsi="Arial" w:cs="Arial"/>
                <w:iCs/>
                <w:color w:val="000000" w:themeColor="text1"/>
                <w:sz w:val="18"/>
                <w:szCs w:val="18"/>
              </w:rPr>
            </w:pPr>
            <w:r w:rsidRPr="00A311FC">
              <w:rPr>
                <w:rFonts w:ascii="Arial" w:hAnsi="Arial" w:cs="Arial"/>
                <w:b/>
                <w:sz w:val="18"/>
                <w:szCs w:val="18"/>
              </w:rPr>
              <w:t xml:space="preserve">Program </w:t>
            </w:r>
            <w:r w:rsidR="00075D6B" w:rsidRPr="00A311FC">
              <w:rPr>
                <w:rFonts w:ascii="Arial" w:hAnsi="Arial" w:cs="Arial"/>
                <w:b/>
                <w:sz w:val="18"/>
                <w:szCs w:val="18"/>
              </w:rPr>
              <w:t>1.5 – New Colombo Plan – Transforming Regional Relationships</w:t>
            </w:r>
            <w:r w:rsidR="00075D6B" w:rsidRPr="00A311FC">
              <w:rPr>
                <w:rFonts w:ascii="Arial" w:hAnsi="Arial" w:cs="Arial"/>
                <w:sz w:val="18"/>
                <w:szCs w:val="18"/>
              </w:rPr>
              <w:t xml:space="preserve"> advances Australia’s interests and bilateral relationships through enduring people-to-people, institutional and business links with the Indo-Pacific region</w:t>
            </w:r>
            <w:r w:rsidRPr="00A311FC">
              <w:rPr>
                <w:rFonts w:ascii="Arial" w:hAnsi="Arial" w:cs="Arial"/>
                <w:sz w:val="18"/>
                <w:szCs w:val="18"/>
              </w:rPr>
              <w:t>.</w:t>
            </w:r>
          </w:p>
        </w:tc>
      </w:tr>
      <w:tr w:rsidR="005F6E5C" w14:paraId="75DF4BF2" w14:textId="77777777" w:rsidTr="00CB6D07">
        <w:trPr>
          <w:trHeight w:val="694"/>
        </w:trPr>
        <w:tc>
          <w:tcPr>
            <w:tcW w:w="1560" w:type="dxa"/>
            <w:tcBorders>
              <w:top w:val="single" w:sz="4" w:space="0" w:color="auto"/>
              <w:left w:val="single" w:sz="4" w:space="0" w:color="auto"/>
              <w:bottom w:val="double" w:sz="4" w:space="0" w:color="auto"/>
              <w:right w:val="single" w:sz="4" w:space="0" w:color="auto"/>
            </w:tcBorders>
            <w:hideMark/>
          </w:tcPr>
          <w:p w14:paraId="48E6FCC9" w14:textId="77777777" w:rsidR="005F6E5C" w:rsidRDefault="005F6E5C"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607C8083" w14:textId="77777777" w:rsidR="005F6E5C" w:rsidRDefault="005F6E5C" w:rsidP="00CB6D07">
            <w:pPr>
              <w:tabs>
                <w:tab w:val="left" w:pos="709"/>
              </w:tabs>
              <w:spacing w:before="60" w:after="60" w:line="240" w:lineRule="auto"/>
              <w:jc w:val="left"/>
              <w:rPr>
                <w:rFonts w:ascii="Arial" w:hAnsi="Arial" w:cs="Arial"/>
                <w:bCs/>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235B0519" w14:textId="15666E2A" w:rsidR="005F6E5C" w:rsidRPr="00C25058" w:rsidRDefault="00075D6B" w:rsidP="00091F80">
            <w:pPr>
              <w:pStyle w:val="ListParagraph"/>
              <w:numPr>
                <w:ilvl w:val="0"/>
                <w:numId w:val="51"/>
              </w:numPr>
              <w:tabs>
                <w:tab w:val="left" w:pos="709"/>
              </w:tabs>
              <w:spacing w:before="60" w:after="60" w:line="240" w:lineRule="auto"/>
              <w:rPr>
                <w:rFonts w:ascii="Arial" w:eastAsiaTheme="minorHAnsi" w:hAnsi="Arial" w:cs="Arial"/>
                <w:iCs/>
                <w:color w:val="000000" w:themeColor="text1"/>
                <w:sz w:val="16"/>
                <w:szCs w:val="16"/>
              </w:rPr>
            </w:pPr>
            <w:r>
              <w:rPr>
                <w:rFonts w:ascii="Arial" w:eastAsiaTheme="minorHAnsi" w:hAnsi="Arial" w:cs="Arial"/>
                <w:iCs/>
                <w:color w:val="000000" w:themeColor="text1"/>
                <w:sz w:val="16"/>
                <w:szCs w:val="16"/>
              </w:rPr>
              <w:t xml:space="preserve">Increase Australia’s engagement </w:t>
            </w:r>
            <w:r w:rsidR="004A0968">
              <w:rPr>
                <w:rFonts w:ascii="Arial" w:eastAsiaTheme="minorHAnsi" w:hAnsi="Arial" w:cs="Arial"/>
                <w:iCs/>
                <w:color w:val="000000" w:themeColor="text1"/>
                <w:sz w:val="16"/>
                <w:szCs w:val="16"/>
              </w:rPr>
              <w:t>with the Indo-Pacific through the New Colombo Plan (NCP)</w:t>
            </w:r>
            <w:r w:rsidR="005F6E5C" w:rsidRPr="00C25058">
              <w:rPr>
                <w:rFonts w:ascii="Arial" w:eastAsiaTheme="minorHAnsi" w:hAnsi="Arial" w:cs="Arial"/>
                <w:iCs/>
                <w:color w:val="000000" w:themeColor="text1"/>
                <w:sz w:val="16"/>
                <w:szCs w:val="16"/>
              </w:rPr>
              <w:t>.</w:t>
            </w:r>
          </w:p>
        </w:tc>
      </w:tr>
      <w:tr w:rsidR="005F6E5C" w:rsidRPr="00AA75BF" w14:paraId="60326A51" w14:textId="77777777" w:rsidTr="00CB6D07">
        <w:trPr>
          <w:trHeight w:val="258"/>
        </w:trPr>
        <w:tc>
          <w:tcPr>
            <w:tcW w:w="1560" w:type="dxa"/>
            <w:tcBorders>
              <w:top w:val="double" w:sz="4" w:space="0" w:color="auto"/>
              <w:bottom w:val="single" w:sz="4" w:space="0" w:color="auto"/>
              <w:right w:val="single" w:sz="4" w:space="0" w:color="auto"/>
            </w:tcBorders>
          </w:tcPr>
          <w:p w14:paraId="28807F0F" w14:textId="4C378FF2" w:rsidR="005F6E5C" w:rsidRPr="00AA75BF" w:rsidRDefault="005F6E5C"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4971BD8" w14:textId="77777777" w:rsidR="005F6E5C" w:rsidRPr="00AA75BF" w:rsidRDefault="005F6E5C"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14140C8E" w14:textId="77777777" w:rsidR="005F6E5C" w:rsidRPr="00AA75BF" w:rsidRDefault="005F6E5C"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5F6E5C" w:rsidRPr="00F62425" w14:paraId="4F6F853C" w14:textId="77777777" w:rsidTr="00CB6D07">
        <w:trPr>
          <w:trHeight w:val="258"/>
        </w:trPr>
        <w:tc>
          <w:tcPr>
            <w:tcW w:w="1560" w:type="dxa"/>
            <w:tcBorders>
              <w:top w:val="single" w:sz="4" w:space="0" w:color="auto"/>
              <w:right w:val="single" w:sz="4" w:space="0" w:color="auto"/>
            </w:tcBorders>
          </w:tcPr>
          <w:p w14:paraId="09259140" w14:textId="77777777" w:rsidR="005F6E5C" w:rsidRDefault="005F6E5C"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Current year </w:t>
            </w:r>
          </w:p>
          <w:p w14:paraId="01420657" w14:textId="77777777" w:rsidR="005F6E5C" w:rsidRPr="00723F3F" w:rsidRDefault="005F6E5C" w:rsidP="00CB6D07">
            <w:pPr>
              <w:pStyle w:val="TableTextBase"/>
              <w:rPr>
                <w:bCs/>
                <w:sz w:val="16"/>
                <w:szCs w:val="16"/>
              </w:rPr>
            </w:pPr>
            <w:r>
              <w:rPr>
                <w:rFonts w:cs="Arial"/>
                <w:color w:val="000000" w:themeColor="text1"/>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5CF9F306" w14:textId="50D79370" w:rsidR="005F6E5C" w:rsidRPr="00AA75BF" w:rsidRDefault="00550B50" w:rsidP="00CB6D07">
            <w:pPr>
              <w:pStyle w:val="TableTextBase"/>
              <w:rPr>
                <w:rFonts w:cs="Arial"/>
                <w:b/>
                <w:sz w:val="16"/>
                <w:szCs w:val="16"/>
              </w:rPr>
            </w:pPr>
            <w:r>
              <w:rPr>
                <w:rFonts w:cs="Arial"/>
                <w:sz w:val="16"/>
                <w:szCs w:val="16"/>
              </w:rPr>
              <w:t>The New Colombo Plan delivers improved people-to-people, institutional and business links</w:t>
            </w:r>
            <w:r w:rsidR="005F6E5C">
              <w:rPr>
                <w:rFonts w:cs="Arial"/>
                <w:sz w:val="16"/>
                <w:szCs w:val="16"/>
              </w:rPr>
              <w:t>.</w:t>
            </w:r>
          </w:p>
        </w:tc>
        <w:tc>
          <w:tcPr>
            <w:tcW w:w="3118" w:type="dxa"/>
            <w:tcBorders>
              <w:top w:val="single" w:sz="4" w:space="0" w:color="auto"/>
              <w:left w:val="single" w:sz="4" w:space="0" w:color="auto"/>
              <w:bottom w:val="single" w:sz="4" w:space="0" w:color="auto"/>
            </w:tcBorders>
          </w:tcPr>
          <w:p w14:paraId="7BED0897" w14:textId="77777777" w:rsidR="005F6E5C" w:rsidRPr="00E2437F" w:rsidRDefault="005F6E5C" w:rsidP="00783F55">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5F6E5C" w:rsidRPr="00F62425" w14:paraId="5B1787A9" w14:textId="77777777" w:rsidTr="00CB6D07">
        <w:trPr>
          <w:trHeight w:val="258"/>
        </w:trPr>
        <w:tc>
          <w:tcPr>
            <w:tcW w:w="1560" w:type="dxa"/>
            <w:tcBorders>
              <w:right w:val="single" w:sz="4" w:space="0" w:color="auto"/>
            </w:tcBorders>
          </w:tcPr>
          <w:p w14:paraId="21C1243B" w14:textId="6E44B8FD" w:rsidR="005F6E5C" w:rsidRPr="00F81C16" w:rsidRDefault="005F6E5C" w:rsidP="00CB6D07">
            <w:pPr>
              <w:pStyle w:val="TableTextBase"/>
              <w:rPr>
                <w:rFonts w:cs="Arial"/>
                <w:b/>
                <w:sz w:val="16"/>
                <w:szCs w:val="16"/>
              </w:rPr>
            </w:pPr>
            <w:r w:rsidRPr="00F81C16">
              <w:rPr>
                <w:rFonts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0997A68E" w14:textId="77777777" w:rsidR="005F6E5C" w:rsidRPr="00F81C16" w:rsidRDefault="005F6E5C" w:rsidP="00CB6D07">
            <w:pPr>
              <w:pStyle w:val="TableTextBase"/>
              <w:rPr>
                <w:rFonts w:cs="Arial"/>
                <w:b/>
                <w:sz w:val="16"/>
                <w:szCs w:val="16"/>
              </w:rPr>
            </w:pPr>
            <w:r w:rsidRPr="00F81C16">
              <w:rPr>
                <w:rFonts w:cs="Arial"/>
                <w:b/>
                <w:sz w:val="16"/>
                <w:szCs w:val="16"/>
              </w:rPr>
              <w:t>Performance measures</w:t>
            </w:r>
          </w:p>
        </w:tc>
        <w:tc>
          <w:tcPr>
            <w:tcW w:w="3118" w:type="dxa"/>
            <w:tcBorders>
              <w:top w:val="single" w:sz="4" w:space="0" w:color="auto"/>
              <w:left w:val="single" w:sz="4" w:space="0" w:color="auto"/>
              <w:bottom w:val="single" w:sz="4" w:space="0" w:color="auto"/>
            </w:tcBorders>
          </w:tcPr>
          <w:p w14:paraId="19DD5521" w14:textId="77777777" w:rsidR="005F6E5C" w:rsidRPr="00F81C16" w:rsidRDefault="005F6E5C" w:rsidP="00CB6D07">
            <w:pPr>
              <w:tabs>
                <w:tab w:val="left" w:pos="455"/>
              </w:tabs>
              <w:spacing w:before="60" w:after="60" w:line="240" w:lineRule="auto"/>
              <w:rPr>
                <w:rFonts w:ascii="Arial" w:hAnsi="Arial" w:cs="Arial"/>
                <w:sz w:val="16"/>
                <w:szCs w:val="16"/>
              </w:rPr>
            </w:pPr>
            <w:r>
              <w:rPr>
                <w:rFonts w:ascii="Arial" w:hAnsi="Arial" w:cs="Arial"/>
                <w:b/>
                <w:sz w:val="16"/>
                <w:szCs w:val="16"/>
              </w:rPr>
              <w:t xml:space="preserve">Planned </w:t>
            </w:r>
            <w:r w:rsidRPr="00F81C16">
              <w:rPr>
                <w:rFonts w:ascii="Arial" w:hAnsi="Arial" w:cs="Arial"/>
                <w:b/>
                <w:sz w:val="16"/>
                <w:szCs w:val="16"/>
              </w:rPr>
              <w:t>Performance Results</w:t>
            </w:r>
          </w:p>
        </w:tc>
      </w:tr>
      <w:tr w:rsidR="005F6E5C" w:rsidRPr="00F62425" w14:paraId="12106CC2" w14:textId="77777777" w:rsidTr="00A311FC">
        <w:trPr>
          <w:trHeight w:val="258"/>
        </w:trPr>
        <w:tc>
          <w:tcPr>
            <w:tcW w:w="1560" w:type="dxa"/>
            <w:tcBorders>
              <w:bottom w:val="dotted" w:sz="4" w:space="0" w:color="auto"/>
              <w:right w:val="single" w:sz="4" w:space="0" w:color="auto"/>
            </w:tcBorders>
          </w:tcPr>
          <w:p w14:paraId="131E621B" w14:textId="77777777" w:rsidR="00DD66AC" w:rsidRDefault="005F6E5C" w:rsidP="00CB6D07">
            <w:pPr>
              <w:pStyle w:val="TableTextBase"/>
              <w:rPr>
                <w:rFonts w:cs="Arial"/>
                <w:color w:val="000000" w:themeColor="text1"/>
                <w:sz w:val="16"/>
                <w:szCs w:val="16"/>
              </w:rPr>
            </w:pPr>
            <w:r>
              <w:rPr>
                <w:rFonts w:cs="Arial"/>
                <w:color w:val="000000" w:themeColor="text1"/>
                <w:sz w:val="16"/>
                <w:szCs w:val="16"/>
              </w:rPr>
              <w:t xml:space="preserve">Budget Year    </w:t>
            </w:r>
          </w:p>
          <w:p w14:paraId="30BC52D6" w14:textId="55F0D4BE" w:rsidR="005F6E5C" w:rsidRPr="00AA75BF" w:rsidRDefault="005F6E5C" w:rsidP="00CB6D07">
            <w:pPr>
              <w:pStyle w:val="TableTextBase"/>
              <w:rPr>
                <w:b/>
                <w:sz w:val="16"/>
                <w:szCs w:val="16"/>
              </w:rPr>
            </w:pPr>
            <w:r>
              <w:rPr>
                <w:rFonts w:cs="Arial"/>
                <w:color w:val="000000" w:themeColor="text1"/>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43C2998F" w14:textId="20ECFDF7" w:rsidR="005F6E5C" w:rsidRPr="00AA75BF" w:rsidRDefault="00550B50" w:rsidP="00CB6D07">
            <w:pPr>
              <w:pStyle w:val="TableTextBase"/>
              <w:rPr>
                <w:rFonts w:cs="Arial"/>
                <w:b/>
                <w:sz w:val="16"/>
                <w:szCs w:val="16"/>
              </w:rPr>
            </w:pPr>
            <w:r>
              <w:rPr>
                <w:rFonts w:cs="Arial"/>
                <w:sz w:val="16"/>
                <w:szCs w:val="16"/>
              </w:rPr>
              <w:t>The New Colombo Plan delivers improved people-to-people, institutional and business links</w:t>
            </w:r>
            <w:r w:rsidR="005F6E5C">
              <w:rPr>
                <w:rFonts w:cs="Arial"/>
                <w:sz w:val="16"/>
                <w:szCs w:val="16"/>
              </w:rPr>
              <w:t>.</w:t>
            </w:r>
          </w:p>
        </w:tc>
        <w:tc>
          <w:tcPr>
            <w:tcW w:w="3118" w:type="dxa"/>
            <w:tcBorders>
              <w:top w:val="single" w:sz="4" w:space="0" w:color="auto"/>
              <w:left w:val="single" w:sz="4" w:space="0" w:color="auto"/>
              <w:bottom w:val="dotted" w:sz="4" w:space="0" w:color="auto"/>
            </w:tcBorders>
          </w:tcPr>
          <w:p w14:paraId="1B89D72C" w14:textId="0324F12C" w:rsidR="005F6E5C" w:rsidRPr="00E2437F" w:rsidRDefault="00550B50"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High-quality engagement with Australian universities, businesses, alumni and other stakeholders in the New Colombo Plan</w:t>
            </w:r>
            <w:r w:rsidR="005F6E5C">
              <w:rPr>
                <w:rFonts w:ascii="Arial" w:hAnsi="Arial" w:cs="Arial"/>
                <w:sz w:val="16"/>
                <w:szCs w:val="16"/>
              </w:rPr>
              <w:t>.</w:t>
            </w:r>
          </w:p>
        </w:tc>
      </w:tr>
      <w:tr w:rsidR="005F6E5C" w:rsidRPr="00F62425" w14:paraId="7D8B6C62" w14:textId="77777777" w:rsidTr="00A311FC">
        <w:trPr>
          <w:trHeight w:val="258"/>
        </w:trPr>
        <w:tc>
          <w:tcPr>
            <w:tcW w:w="1560" w:type="dxa"/>
            <w:tcBorders>
              <w:top w:val="dotted" w:sz="4" w:space="0" w:color="auto"/>
              <w:right w:val="single" w:sz="4" w:space="0" w:color="auto"/>
            </w:tcBorders>
          </w:tcPr>
          <w:p w14:paraId="1B2903AE" w14:textId="77777777" w:rsidR="005F6E5C" w:rsidRDefault="005F6E5C" w:rsidP="00CB6D07">
            <w:pPr>
              <w:tabs>
                <w:tab w:val="left" w:pos="709"/>
              </w:tabs>
              <w:spacing w:before="60" w:after="60" w:line="240" w:lineRule="auto"/>
              <w:rPr>
                <w:rFonts w:ascii="Arial" w:eastAsiaTheme="minorHAnsi" w:hAnsi="Arial" w:cs="Arial"/>
                <w:color w:val="000000" w:themeColor="text1"/>
                <w:sz w:val="16"/>
                <w:szCs w:val="16"/>
                <w:lang w:eastAsia="en-US"/>
              </w:rPr>
            </w:pPr>
            <w:r>
              <w:rPr>
                <w:rFonts w:ascii="Arial" w:hAnsi="Arial" w:cs="Arial"/>
                <w:color w:val="000000" w:themeColor="text1"/>
                <w:sz w:val="16"/>
                <w:szCs w:val="16"/>
              </w:rPr>
              <w:t xml:space="preserve">Forward Estimates </w:t>
            </w:r>
          </w:p>
          <w:p w14:paraId="0F7EDC57" w14:textId="77777777" w:rsidR="005F6E5C" w:rsidRPr="00AA75BF" w:rsidRDefault="005F6E5C"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10D7BCF1" w14:textId="77777777" w:rsidR="005F6E5C" w:rsidRPr="00AA75BF" w:rsidRDefault="005F6E5C" w:rsidP="00CB6D07">
            <w:pPr>
              <w:pStyle w:val="TableTextBase"/>
              <w:rPr>
                <w:rFonts w:cs="Arial"/>
                <w:b/>
                <w:sz w:val="16"/>
                <w:szCs w:val="16"/>
              </w:rPr>
            </w:pPr>
            <w:r>
              <w:rPr>
                <w:rFonts w:cs="Arial"/>
                <w:b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3F781A08" w14:textId="77777777" w:rsidR="005F6E5C" w:rsidRPr="00E2437F" w:rsidRDefault="005F6E5C" w:rsidP="00CB6D07">
            <w:pPr>
              <w:tabs>
                <w:tab w:val="left" w:pos="455"/>
              </w:tabs>
              <w:spacing w:before="60" w:after="60" w:line="240" w:lineRule="auto"/>
              <w:rPr>
                <w:rFonts w:ascii="Arial" w:hAnsi="Arial" w:cs="Arial"/>
                <w:sz w:val="16"/>
                <w:szCs w:val="16"/>
              </w:rPr>
            </w:pPr>
            <w:r>
              <w:rPr>
                <w:rFonts w:ascii="Arial" w:hAnsi="Arial" w:cs="Arial"/>
                <w:bCs/>
                <w:color w:val="000000" w:themeColor="text1"/>
                <w:sz w:val="16"/>
                <w:szCs w:val="16"/>
              </w:rPr>
              <w:t>As per 2022-23</w:t>
            </w:r>
          </w:p>
        </w:tc>
      </w:tr>
    </w:tbl>
    <w:p w14:paraId="68C9F6BE" w14:textId="77777777" w:rsidR="005F6E5C" w:rsidRPr="00B37085" w:rsidRDefault="005F6E5C" w:rsidP="003173C2">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3C035D1C" w14:textId="76D0831B" w:rsidR="00A53DBB" w:rsidRDefault="00A53DBB">
      <w:pPr>
        <w:spacing w:after="0" w:line="240" w:lineRule="auto"/>
        <w:jc w:val="left"/>
      </w:pPr>
      <w:r>
        <w:br w:type="page"/>
      </w:r>
    </w:p>
    <w:p w14:paraId="37631B1A" w14:textId="77777777" w:rsidR="00A53DBB" w:rsidRDefault="00A53DBB" w:rsidP="00A53DBB">
      <w:pPr>
        <w:pStyle w:val="TableHeadingcontinued"/>
      </w:pPr>
      <w:r w:rsidRPr="00F71634">
        <w:t>Table 2.</w:t>
      </w:r>
      <w:r>
        <w:t>1</w:t>
      </w:r>
      <w:r w:rsidRPr="00F71634">
        <w:t>.3: Pe</w:t>
      </w:r>
      <w:r>
        <w:t>rformance criteria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53DBB" w:rsidRPr="001B2F81" w14:paraId="3840C3F6" w14:textId="77777777" w:rsidTr="00CB6D07">
        <w:trPr>
          <w:trHeight w:val="569"/>
          <w:tblHeader/>
        </w:trPr>
        <w:tc>
          <w:tcPr>
            <w:tcW w:w="7796" w:type="dxa"/>
            <w:gridSpan w:val="3"/>
            <w:shd w:val="clear" w:color="auto" w:fill="F2F2F2"/>
          </w:tcPr>
          <w:p w14:paraId="70138777" w14:textId="77777777" w:rsidR="00A53DBB" w:rsidRPr="00C41058" w:rsidRDefault="00A53DBB" w:rsidP="00CB6D07">
            <w:pPr>
              <w:pStyle w:val="TableColumnHeadingLeft"/>
            </w:pPr>
            <w:r w:rsidRPr="00C41058">
              <w:rPr>
                <w:rStyle w:val="TableHeadingChar"/>
                <w:b/>
              </w:rPr>
              <w:t xml:space="preserve">Outcome </w:t>
            </w:r>
            <w:r w:rsidRPr="00EF57EA">
              <w:t>1 – The advancement of Australia’s international strategic, security and economic interests including through bilateral, regional and multilateral engagement on Australian Government foreign, trade and international development policy priorities</w:t>
            </w:r>
            <w:r w:rsidRPr="00C41058">
              <w:rPr>
                <w:rStyle w:val="TableHeadingChar"/>
                <w:b/>
              </w:rPr>
              <w:t xml:space="preserve"> </w:t>
            </w:r>
          </w:p>
        </w:tc>
      </w:tr>
      <w:tr w:rsidR="00A53DBB" w:rsidRPr="001B2F81" w14:paraId="53C56872" w14:textId="77777777" w:rsidTr="00CB6D07">
        <w:trPr>
          <w:trHeight w:val="522"/>
          <w:tblHeader/>
        </w:trPr>
        <w:tc>
          <w:tcPr>
            <w:tcW w:w="7796" w:type="dxa"/>
            <w:gridSpan w:val="3"/>
            <w:tcBorders>
              <w:bottom w:val="single" w:sz="4" w:space="0" w:color="auto"/>
            </w:tcBorders>
            <w:shd w:val="clear" w:color="auto" w:fill="F2F2F2"/>
          </w:tcPr>
          <w:p w14:paraId="27AA8537" w14:textId="27694E4F" w:rsidR="00A53DBB" w:rsidRPr="00A311FC" w:rsidRDefault="00A53DBB" w:rsidP="00CB6D07">
            <w:pPr>
              <w:tabs>
                <w:tab w:val="left" w:pos="709"/>
              </w:tabs>
              <w:spacing w:before="60" w:after="60" w:line="240" w:lineRule="auto"/>
              <w:jc w:val="left"/>
              <w:rPr>
                <w:rFonts w:ascii="Arial" w:hAnsi="Arial" w:cs="Arial"/>
                <w:iCs/>
                <w:color w:val="000000" w:themeColor="text1"/>
                <w:sz w:val="18"/>
                <w:szCs w:val="18"/>
              </w:rPr>
            </w:pPr>
            <w:r w:rsidRPr="00A311FC">
              <w:rPr>
                <w:rFonts w:ascii="Arial" w:hAnsi="Arial" w:cs="Arial"/>
                <w:b/>
                <w:sz w:val="18"/>
                <w:szCs w:val="18"/>
              </w:rPr>
              <w:t>Program 1.</w:t>
            </w:r>
            <w:r w:rsidR="00625CBB" w:rsidRPr="00A311FC">
              <w:rPr>
                <w:rFonts w:ascii="Arial" w:hAnsi="Arial" w:cs="Arial"/>
                <w:b/>
                <w:sz w:val="18"/>
                <w:szCs w:val="18"/>
              </w:rPr>
              <w:t>6</w:t>
            </w:r>
            <w:r w:rsidRPr="00A311FC">
              <w:rPr>
                <w:rFonts w:ascii="Arial" w:hAnsi="Arial" w:cs="Arial"/>
                <w:b/>
                <w:sz w:val="18"/>
                <w:szCs w:val="18"/>
              </w:rPr>
              <w:t xml:space="preserve"> – </w:t>
            </w:r>
            <w:r w:rsidR="00625CBB" w:rsidRPr="00A311FC">
              <w:rPr>
                <w:rFonts w:ascii="Arial" w:hAnsi="Arial" w:cs="Arial"/>
                <w:b/>
                <w:sz w:val="18"/>
                <w:szCs w:val="18"/>
              </w:rPr>
              <w:t>Public Information Services and Public Diplomacy</w:t>
            </w:r>
            <w:r w:rsidR="00625CBB" w:rsidRPr="00A311FC">
              <w:rPr>
                <w:rFonts w:ascii="Arial" w:hAnsi="Arial" w:cs="Arial"/>
                <w:sz w:val="18"/>
                <w:szCs w:val="18"/>
              </w:rPr>
              <w:t xml:space="preserve"> projects a positive and contemporary image of Australia and promotes a clear understanding of government policies and objectives and engagement with the Indo-Pacific region through the department’s soft power activities</w:t>
            </w:r>
            <w:r w:rsidRPr="00A311FC">
              <w:rPr>
                <w:rFonts w:ascii="Arial" w:hAnsi="Arial" w:cs="Arial"/>
                <w:sz w:val="18"/>
                <w:szCs w:val="18"/>
              </w:rPr>
              <w:t>.</w:t>
            </w:r>
          </w:p>
        </w:tc>
      </w:tr>
      <w:tr w:rsidR="00A53DBB" w14:paraId="03C72B4E" w14:textId="77777777" w:rsidTr="00CB6D07">
        <w:trPr>
          <w:trHeight w:val="694"/>
        </w:trPr>
        <w:tc>
          <w:tcPr>
            <w:tcW w:w="1560" w:type="dxa"/>
            <w:tcBorders>
              <w:top w:val="single" w:sz="4" w:space="0" w:color="auto"/>
              <w:left w:val="single" w:sz="4" w:space="0" w:color="auto"/>
              <w:bottom w:val="double" w:sz="4" w:space="0" w:color="auto"/>
              <w:right w:val="single" w:sz="4" w:space="0" w:color="auto"/>
            </w:tcBorders>
            <w:hideMark/>
          </w:tcPr>
          <w:p w14:paraId="5744B29B" w14:textId="77777777" w:rsidR="00A53DBB" w:rsidRDefault="00A53DBB"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0184D24F" w14:textId="77777777" w:rsidR="00A53DBB" w:rsidRDefault="00A53DBB" w:rsidP="00CB6D07">
            <w:pPr>
              <w:tabs>
                <w:tab w:val="left" w:pos="709"/>
              </w:tabs>
              <w:spacing w:before="60" w:after="60" w:line="240" w:lineRule="auto"/>
              <w:jc w:val="left"/>
              <w:rPr>
                <w:rFonts w:ascii="Arial" w:hAnsi="Arial" w:cs="Arial"/>
                <w:bCs/>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5F84C6B0" w14:textId="664E6C9D" w:rsidR="00A53DBB" w:rsidRPr="00C25058" w:rsidRDefault="00625CBB" w:rsidP="00091F80">
            <w:pPr>
              <w:pStyle w:val="ListParagraph"/>
              <w:numPr>
                <w:ilvl w:val="0"/>
                <w:numId w:val="51"/>
              </w:numPr>
              <w:tabs>
                <w:tab w:val="left" w:pos="709"/>
              </w:tabs>
              <w:spacing w:before="60" w:after="60" w:line="240" w:lineRule="auto"/>
              <w:rPr>
                <w:rFonts w:ascii="Arial" w:eastAsiaTheme="minorHAnsi" w:hAnsi="Arial" w:cs="Arial"/>
                <w:iCs/>
                <w:color w:val="000000" w:themeColor="text1"/>
                <w:sz w:val="16"/>
                <w:szCs w:val="16"/>
              </w:rPr>
            </w:pPr>
            <w:r>
              <w:rPr>
                <w:rFonts w:ascii="Arial" w:hAnsi="Arial" w:cs="Arial"/>
                <w:sz w:val="16"/>
                <w:szCs w:val="16"/>
              </w:rPr>
              <w:t>Project a positive and contemporary image of Australia, and promote a clear understanding of Australian policies, objectives and engagement with the Indo-Pacific region through the department’s communications delivered throughout our diplomatic network</w:t>
            </w:r>
            <w:r w:rsidR="00A53DBB" w:rsidRPr="00C25058">
              <w:rPr>
                <w:rFonts w:ascii="Arial" w:eastAsiaTheme="minorHAnsi" w:hAnsi="Arial" w:cs="Arial"/>
                <w:iCs/>
                <w:color w:val="000000" w:themeColor="text1"/>
                <w:sz w:val="16"/>
                <w:szCs w:val="16"/>
              </w:rPr>
              <w:t>.</w:t>
            </w:r>
          </w:p>
        </w:tc>
      </w:tr>
      <w:tr w:rsidR="00A53DBB" w:rsidRPr="00AA75BF" w14:paraId="6F1AEC4B" w14:textId="77777777" w:rsidTr="00CB6D07">
        <w:trPr>
          <w:trHeight w:val="258"/>
        </w:trPr>
        <w:tc>
          <w:tcPr>
            <w:tcW w:w="1560" w:type="dxa"/>
            <w:tcBorders>
              <w:top w:val="double" w:sz="4" w:space="0" w:color="auto"/>
              <w:bottom w:val="single" w:sz="4" w:space="0" w:color="auto"/>
              <w:right w:val="single" w:sz="4" w:space="0" w:color="auto"/>
            </w:tcBorders>
          </w:tcPr>
          <w:p w14:paraId="26AEF032" w14:textId="06D37141" w:rsidR="00A53DBB" w:rsidRPr="00AA75BF" w:rsidRDefault="00A53DBB"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0417D4A" w14:textId="77777777" w:rsidR="00A53DBB" w:rsidRPr="00AA75BF" w:rsidRDefault="00A53DBB"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0B705288" w14:textId="77777777" w:rsidR="00A53DBB" w:rsidRPr="00AA75BF" w:rsidRDefault="00A53DBB"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A53DBB" w:rsidRPr="00F62425" w14:paraId="6599C693" w14:textId="77777777" w:rsidTr="00CB6D07">
        <w:trPr>
          <w:trHeight w:val="258"/>
        </w:trPr>
        <w:tc>
          <w:tcPr>
            <w:tcW w:w="1560" w:type="dxa"/>
            <w:tcBorders>
              <w:top w:val="single" w:sz="4" w:space="0" w:color="auto"/>
              <w:right w:val="single" w:sz="4" w:space="0" w:color="auto"/>
            </w:tcBorders>
          </w:tcPr>
          <w:p w14:paraId="76E7DE9F" w14:textId="77777777" w:rsidR="00A53DBB" w:rsidRDefault="00A53DBB"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Current year </w:t>
            </w:r>
          </w:p>
          <w:p w14:paraId="385470D3" w14:textId="77777777" w:rsidR="00A53DBB" w:rsidRPr="00723F3F" w:rsidRDefault="00A53DBB" w:rsidP="00CB6D07">
            <w:pPr>
              <w:pStyle w:val="TableTextBase"/>
              <w:rPr>
                <w:bCs/>
                <w:sz w:val="16"/>
                <w:szCs w:val="16"/>
              </w:rPr>
            </w:pPr>
            <w:r>
              <w:rPr>
                <w:rFonts w:cs="Arial"/>
                <w:color w:val="000000" w:themeColor="text1"/>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1A791A42" w14:textId="0E8D374D" w:rsidR="00A53DBB" w:rsidRPr="00AA75BF" w:rsidRDefault="00625CBB" w:rsidP="00CB6D07">
            <w:pPr>
              <w:pStyle w:val="TableTextBase"/>
              <w:rPr>
                <w:rFonts w:cs="Arial"/>
                <w:b/>
                <w:sz w:val="16"/>
                <w:szCs w:val="16"/>
              </w:rPr>
            </w:pPr>
            <w:r>
              <w:rPr>
                <w:rFonts w:cs="Arial"/>
                <w:sz w:val="16"/>
                <w:szCs w:val="16"/>
              </w:rPr>
              <w:t xml:space="preserve">Strategic communications and global initiatives reflect Australian interests. </w:t>
            </w:r>
          </w:p>
        </w:tc>
        <w:tc>
          <w:tcPr>
            <w:tcW w:w="3118" w:type="dxa"/>
            <w:tcBorders>
              <w:top w:val="single" w:sz="4" w:space="0" w:color="auto"/>
              <w:left w:val="single" w:sz="4" w:space="0" w:color="auto"/>
              <w:bottom w:val="single" w:sz="4" w:space="0" w:color="auto"/>
            </w:tcBorders>
          </w:tcPr>
          <w:p w14:paraId="32F11405" w14:textId="77777777" w:rsidR="00A53DBB" w:rsidRPr="00E2437F" w:rsidRDefault="00A53DBB" w:rsidP="00625CBB">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A53DBB" w:rsidRPr="00F62425" w14:paraId="20BD0A5B" w14:textId="77777777" w:rsidTr="00CB6D07">
        <w:trPr>
          <w:trHeight w:val="258"/>
        </w:trPr>
        <w:tc>
          <w:tcPr>
            <w:tcW w:w="1560" w:type="dxa"/>
            <w:tcBorders>
              <w:right w:val="single" w:sz="4" w:space="0" w:color="auto"/>
            </w:tcBorders>
          </w:tcPr>
          <w:p w14:paraId="2FE93775" w14:textId="67437FC1" w:rsidR="00A53DBB" w:rsidRPr="00F81C16" w:rsidRDefault="00A53DBB" w:rsidP="00CB6D07">
            <w:pPr>
              <w:pStyle w:val="TableTextBase"/>
              <w:rPr>
                <w:rFonts w:cs="Arial"/>
                <w:b/>
                <w:sz w:val="16"/>
                <w:szCs w:val="16"/>
              </w:rPr>
            </w:pPr>
            <w:r w:rsidRPr="00F81C16">
              <w:rPr>
                <w:rFonts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2101516E" w14:textId="77777777" w:rsidR="00A53DBB" w:rsidRPr="00F81C16" w:rsidRDefault="00A53DBB" w:rsidP="00CB6D07">
            <w:pPr>
              <w:pStyle w:val="TableTextBase"/>
              <w:rPr>
                <w:rFonts w:cs="Arial"/>
                <w:b/>
                <w:sz w:val="16"/>
                <w:szCs w:val="16"/>
              </w:rPr>
            </w:pPr>
            <w:r w:rsidRPr="00F81C16">
              <w:rPr>
                <w:rFonts w:cs="Arial"/>
                <w:b/>
                <w:sz w:val="16"/>
                <w:szCs w:val="16"/>
              </w:rPr>
              <w:t>Performance measures</w:t>
            </w:r>
          </w:p>
        </w:tc>
        <w:tc>
          <w:tcPr>
            <w:tcW w:w="3118" w:type="dxa"/>
            <w:tcBorders>
              <w:top w:val="single" w:sz="4" w:space="0" w:color="auto"/>
              <w:left w:val="single" w:sz="4" w:space="0" w:color="auto"/>
              <w:bottom w:val="single" w:sz="4" w:space="0" w:color="auto"/>
            </w:tcBorders>
          </w:tcPr>
          <w:p w14:paraId="4A9DBF34" w14:textId="77777777" w:rsidR="00A53DBB" w:rsidRPr="00F81C16" w:rsidRDefault="00A53DBB" w:rsidP="00CB6D07">
            <w:pPr>
              <w:tabs>
                <w:tab w:val="left" w:pos="455"/>
              </w:tabs>
              <w:spacing w:before="60" w:after="60" w:line="240" w:lineRule="auto"/>
              <w:rPr>
                <w:rFonts w:ascii="Arial" w:hAnsi="Arial" w:cs="Arial"/>
                <w:sz w:val="16"/>
                <w:szCs w:val="16"/>
              </w:rPr>
            </w:pPr>
            <w:r>
              <w:rPr>
                <w:rFonts w:ascii="Arial" w:hAnsi="Arial" w:cs="Arial"/>
                <w:b/>
                <w:sz w:val="16"/>
                <w:szCs w:val="16"/>
              </w:rPr>
              <w:t xml:space="preserve">Planned </w:t>
            </w:r>
            <w:r w:rsidRPr="00F81C16">
              <w:rPr>
                <w:rFonts w:ascii="Arial" w:hAnsi="Arial" w:cs="Arial"/>
                <w:b/>
                <w:sz w:val="16"/>
                <w:szCs w:val="16"/>
              </w:rPr>
              <w:t>Performance Results</w:t>
            </w:r>
          </w:p>
        </w:tc>
      </w:tr>
      <w:tr w:rsidR="00A53DBB" w:rsidRPr="00F62425" w14:paraId="2DA14D48" w14:textId="77777777" w:rsidTr="00A311FC">
        <w:trPr>
          <w:trHeight w:val="258"/>
        </w:trPr>
        <w:tc>
          <w:tcPr>
            <w:tcW w:w="1560" w:type="dxa"/>
            <w:tcBorders>
              <w:bottom w:val="dotted" w:sz="4" w:space="0" w:color="auto"/>
              <w:right w:val="single" w:sz="4" w:space="0" w:color="auto"/>
            </w:tcBorders>
          </w:tcPr>
          <w:p w14:paraId="0AA851FD" w14:textId="77777777" w:rsidR="00DD66AC" w:rsidRDefault="00A53DBB" w:rsidP="00CB6D07">
            <w:pPr>
              <w:pStyle w:val="TableTextBase"/>
              <w:rPr>
                <w:rFonts w:cs="Arial"/>
                <w:color w:val="000000" w:themeColor="text1"/>
                <w:sz w:val="16"/>
                <w:szCs w:val="16"/>
              </w:rPr>
            </w:pPr>
            <w:r>
              <w:rPr>
                <w:rFonts w:cs="Arial"/>
                <w:color w:val="000000" w:themeColor="text1"/>
                <w:sz w:val="16"/>
                <w:szCs w:val="16"/>
              </w:rPr>
              <w:t xml:space="preserve">Budget Year    </w:t>
            </w:r>
          </w:p>
          <w:p w14:paraId="0F42FE15" w14:textId="6E3537BD" w:rsidR="00A53DBB" w:rsidRPr="00AA75BF" w:rsidRDefault="00A53DBB" w:rsidP="00CB6D07">
            <w:pPr>
              <w:pStyle w:val="TableTextBase"/>
              <w:rPr>
                <w:b/>
                <w:sz w:val="16"/>
                <w:szCs w:val="16"/>
              </w:rPr>
            </w:pPr>
            <w:r>
              <w:rPr>
                <w:rFonts w:cs="Arial"/>
                <w:color w:val="000000" w:themeColor="text1"/>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181A27E0" w14:textId="3648F1C6" w:rsidR="00A53DBB" w:rsidRPr="00AA75BF" w:rsidRDefault="00625CBB" w:rsidP="00CB6D07">
            <w:pPr>
              <w:pStyle w:val="TableTextBase"/>
              <w:rPr>
                <w:rFonts w:cs="Arial"/>
                <w:b/>
                <w:sz w:val="16"/>
                <w:szCs w:val="16"/>
              </w:rPr>
            </w:pPr>
            <w:r>
              <w:rPr>
                <w:rFonts w:cs="Arial"/>
                <w:sz w:val="16"/>
                <w:szCs w:val="16"/>
              </w:rPr>
              <w:t>Strategic communications and global initiatives reflect Australian interests</w:t>
            </w:r>
            <w:r w:rsidR="00A53DBB">
              <w:rPr>
                <w:rFonts w:cs="Arial"/>
                <w:sz w:val="16"/>
                <w:szCs w:val="16"/>
              </w:rPr>
              <w:t>.</w:t>
            </w:r>
          </w:p>
        </w:tc>
        <w:tc>
          <w:tcPr>
            <w:tcW w:w="3118" w:type="dxa"/>
            <w:tcBorders>
              <w:top w:val="single" w:sz="4" w:space="0" w:color="auto"/>
              <w:left w:val="single" w:sz="4" w:space="0" w:color="auto"/>
              <w:bottom w:val="dotted" w:sz="4" w:space="0" w:color="auto"/>
            </w:tcBorders>
          </w:tcPr>
          <w:p w14:paraId="3E78715A" w14:textId="0C780D2D" w:rsidR="00A53DBB" w:rsidRPr="00E2437F" w:rsidRDefault="00625CBB"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Maintained or increased compared to previous year. </w:t>
            </w:r>
          </w:p>
        </w:tc>
      </w:tr>
      <w:tr w:rsidR="00A53DBB" w:rsidRPr="00F62425" w14:paraId="125817C7" w14:textId="77777777" w:rsidTr="00A311FC">
        <w:trPr>
          <w:trHeight w:val="258"/>
        </w:trPr>
        <w:tc>
          <w:tcPr>
            <w:tcW w:w="1560" w:type="dxa"/>
            <w:tcBorders>
              <w:top w:val="dotted" w:sz="4" w:space="0" w:color="auto"/>
              <w:right w:val="single" w:sz="4" w:space="0" w:color="auto"/>
            </w:tcBorders>
          </w:tcPr>
          <w:p w14:paraId="201E96DA" w14:textId="77777777" w:rsidR="00A53DBB" w:rsidRDefault="00A53DBB" w:rsidP="00CB6D07">
            <w:pPr>
              <w:tabs>
                <w:tab w:val="left" w:pos="709"/>
              </w:tabs>
              <w:spacing w:before="60" w:after="60" w:line="240" w:lineRule="auto"/>
              <w:rPr>
                <w:rFonts w:ascii="Arial" w:eastAsiaTheme="minorHAnsi" w:hAnsi="Arial" w:cs="Arial"/>
                <w:color w:val="000000" w:themeColor="text1"/>
                <w:sz w:val="16"/>
                <w:szCs w:val="16"/>
                <w:lang w:eastAsia="en-US"/>
              </w:rPr>
            </w:pPr>
            <w:r>
              <w:rPr>
                <w:rFonts w:ascii="Arial" w:hAnsi="Arial" w:cs="Arial"/>
                <w:color w:val="000000" w:themeColor="text1"/>
                <w:sz w:val="16"/>
                <w:szCs w:val="16"/>
              </w:rPr>
              <w:t xml:space="preserve">Forward Estimates </w:t>
            </w:r>
          </w:p>
          <w:p w14:paraId="508DFEEA" w14:textId="77777777" w:rsidR="00A53DBB" w:rsidRPr="00AA75BF" w:rsidRDefault="00A53DBB"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7279290D" w14:textId="77777777" w:rsidR="00A53DBB" w:rsidRPr="00AA75BF" w:rsidRDefault="00A53DBB" w:rsidP="00CB6D07">
            <w:pPr>
              <w:pStyle w:val="TableTextBase"/>
              <w:rPr>
                <w:rFonts w:cs="Arial"/>
                <w:b/>
                <w:sz w:val="16"/>
                <w:szCs w:val="16"/>
              </w:rPr>
            </w:pPr>
            <w:r>
              <w:rPr>
                <w:rFonts w:cs="Arial"/>
                <w:b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2D28D3F5" w14:textId="77777777" w:rsidR="00A53DBB" w:rsidRPr="00E2437F" w:rsidRDefault="00A53DBB" w:rsidP="00CB6D07">
            <w:pPr>
              <w:tabs>
                <w:tab w:val="left" w:pos="455"/>
              </w:tabs>
              <w:spacing w:before="60" w:after="60" w:line="240" w:lineRule="auto"/>
              <w:rPr>
                <w:rFonts w:ascii="Arial" w:hAnsi="Arial" w:cs="Arial"/>
                <w:sz w:val="16"/>
                <w:szCs w:val="16"/>
              </w:rPr>
            </w:pPr>
            <w:r>
              <w:rPr>
                <w:rFonts w:ascii="Arial" w:hAnsi="Arial" w:cs="Arial"/>
                <w:bCs/>
                <w:color w:val="000000" w:themeColor="text1"/>
                <w:sz w:val="16"/>
                <w:szCs w:val="16"/>
              </w:rPr>
              <w:t>As per 2022-23</w:t>
            </w:r>
          </w:p>
        </w:tc>
      </w:tr>
    </w:tbl>
    <w:p w14:paraId="5894E27E" w14:textId="77777777" w:rsidR="00A53DBB" w:rsidRPr="00B37085" w:rsidRDefault="00A53DBB" w:rsidP="003173C2">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384295E6" w14:textId="2C84F066" w:rsidR="00625CBB" w:rsidRDefault="00625CBB">
      <w:pPr>
        <w:spacing w:after="0" w:line="240" w:lineRule="auto"/>
        <w:jc w:val="left"/>
      </w:pPr>
      <w:r>
        <w:br w:type="page"/>
      </w:r>
    </w:p>
    <w:p w14:paraId="13D459CF" w14:textId="77777777" w:rsidR="00625CBB" w:rsidRDefault="00625CBB" w:rsidP="00625CBB">
      <w:pPr>
        <w:pStyle w:val="TableHeadingcontinued"/>
      </w:pPr>
      <w:r w:rsidRPr="00F71634">
        <w:t>Table 2.</w:t>
      </w:r>
      <w:r>
        <w:t>1</w:t>
      </w:r>
      <w:r w:rsidRPr="00F71634">
        <w:t>.3: Pe</w:t>
      </w:r>
      <w:r>
        <w:t>rformance criteria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625CBB" w:rsidRPr="001B2F81" w14:paraId="34EA217B" w14:textId="77777777" w:rsidTr="00CB6D07">
        <w:trPr>
          <w:trHeight w:val="569"/>
          <w:tblHeader/>
        </w:trPr>
        <w:tc>
          <w:tcPr>
            <w:tcW w:w="7796" w:type="dxa"/>
            <w:gridSpan w:val="3"/>
            <w:shd w:val="clear" w:color="auto" w:fill="F2F2F2"/>
          </w:tcPr>
          <w:p w14:paraId="548607E8" w14:textId="77777777" w:rsidR="00625CBB" w:rsidRPr="00C41058" w:rsidRDefault="00625CBB" w:rsidP="00CB6D07">
            <w:pPr>
              <w:pStyle w:val="TableColumnHeadingLeft"/>
            </w:pPr>
            <w:r w:rsidRPr="00C41058">
              <w:rPr>
                <w:rStyle w:val="TableHeadingChar"/>
                <w:b/>
              </w:rPr>
              <w:t xml:space="preserve">Outcome </w:t>
            </w:r>
            <w:r w:rsidRPr="00EF57EA">
              <w:t>1 – The advancement of Australia’s international strategic, security and economic interests including through bilateral, regional and multilateral engagement on Australian Government foreign, trade and international development policy priorities</w:t>
            </w:r>
            <w:r w:rsidRPr="00C41058">
              <w:rPr>
                <w:rStyle w:val="TableHeadingChar"/>
                <w:b/>
              </w:rPr>
              <w:t xml:space="preserve"> </w:t>
            </w:r>
          </w:p>
        </w:tc>
      </w:tr>
      <w:tr w:rsidR="00625CBB" w:rsidRPr="001B2F81" w14:paraId="1B1D885E" w14:textId="77777777" w:rsidTr="00CB6D07">
        <w:trPr>
          <w:trHeight w:val="522"/>
          <w:tblHeader/>
        </w:trPr>
        <w:tc>
          <w:tcPr>
            <w:tcW w:w="7796" w:type="dxa"/>
            <w:gridSpan w:val="3"/>
            <w:tcBorders>
              <w:bottom w:val="single" w:sz="4" w:space="0" w:color="auto"/>
            </w:tcBorders>
            <w:shd w:val="clear" w:color="auto" w:fill="F2F2F2"/>
          </w:tcPr>
          <w:p w14:paraId="15132921" w14:textId="2FCD6193" w:rsidR="00625CBB" w:rsidRPr="00A311FC" w:rsidRDefault="00625CBB" w:rsidP="00CB6D07">
            <w:pPr>
              <w:tabs>
                <w:tab w:val="left" w:pos="709"/>
              </w:tabs>
              <w:spacing w:before="60" w:after="60" w:line="240" w:lineRule="auto"/>
              <w:jc w:val="left"/>
              <w:rPr>
                <w:rFonts w:ascii="Arial" w:hAnsi="Arial" w:cs="Arial"/>
                <w:iCs/>
                <w:color w:val="000000" w:themeColor="text1"/>
                <w:sz w:val="18"/>
                <w:szCs w:val="18"/>
              </w:rPr>
            </w:pPr>
            <w:r w:rsidRPr="00A311FC">
              <w:rPr>
                <w:rFonts w:ascii="Arial" w:hAnsi="Arial" w:cs="Arial"/>
                <w:b/>
                <w:sz w:val="18"/>
                <w:szCs w:val="18"/>
              </w:rPr>
              <w:t xml:space="preserve">Program 1.7 – Program to Promote </w:t>
            </w:r>
            <w:r w:rsidR="00ED2EF9" w:rsidRPr="00A311FC">
              <w:rPr>
                <w:rFonts w:ascii="Arial" w:hAnsi="Arial" w:cs="Arial"/>
                <w:b/>
                <w:sz w:val="18"/>
                <w:szCs w:val="18"/>
              </w:rPr>
              <w:t>Australia’s International Tourism Interests</w:t>
            </w:r>
          </w:p>
        </w:tc>
      </w:tr>
      <w:tr w:rsidR="00625CBB" w14:paraId="1EF0AC86" w14:textId="77777777" w:rsidTr="00CB6D07">
        <w:trPr>
          <w:trHeight w:val="694"/>
        </w:trPr>
        <w:tc>
          <w:tcPr>
            <w:tcW w:w="1560" w:type="dxa"/>
            <w:tcBorders>
              <w:top w:val="single" w:sz="4" w:space="0" w:color="auto"/>
              <w:left w:val="single" w:sz="4" w:space="0" w:color="auto"/>
              <w:bottom w:val="double" w:sz="4" w:space="0" w:color="auto"/>
              <w:right w:val="single" w:sz="4" w:space="0" w:color="auto"/>
            </w:tcBorders>
            <w:hideMark/>
          </w:tcPr>
          <w:p w14:paraId="57054C86" w14:textId="77777777" w:rsidR="00625CBB" w:rsidRDefault="00625CBB"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49AA223F" w14:textId="37A101B5" w:rsidR="00625CBB" w:rsidRPr="00ED2EF9" w:rsidRDefault="00ED2EF9" w:rsidP="00ED2EF9">
            <w:pPr>
              <w:tabs>
                <w:tab w:val="left" w:pos="709"/>
              </w:tabs>
              <w:spacing w:before="60" w:after="60" w:line="240" w:lineRule="auto"/>
              <w:jc w:val="left"/>
              <w:rPr>
                <w:rFonts w:ascii="Arial" w:hAnsi="Arial" w:cs="Arial"/>
                <w:bCs/>
                <w:color w:val="000000" w:themeColor="text1"/>
                <w:sz w:val="16"/>
                <w:szCs w:val="16"/>
              </w:rPr>
            </w:pPr>
            <w:r>
              <w:rPr>
                <w:rFonts w:ascii="Arial" w:hAnsi="Arial" w:cs="Arial"/>
                <w:bCs/>
                <w:color w:val="000000" w:themeColor="text1"/>
                <w:sz w:val="16"/>
                <w:szCs w:val="16"/>
              </w:rPr>
              <w:t>The delivery of this program is the responsibility of Austrade and Tourism Australia</w:t>
            </w:r>
            <w:r w:rsidR="00625CBB">
              <w:rPr>
                <w:rFonts w:ascii="Arial" w:hAnsi="Arial" w:cs="Arial"/>
                <w:bCs/>
                <w:color w:val="000000" w:themeColor="text1"/>
                <w:sz w:val="16"/>
                <w:szCs w:val="16"/>
              </w:rPr>
              <w:t>.</w:t>
            </w:r>
          </w:p>
        </w:tc>
      </w:tr>
      <w:tr w:rsidR="00625CBB" w:rsidRPr="00AA75BF" w14:paraId="4B34F2ED" w14:textId="77777777" w:rsidTr="00CB6D07">
        <w:trPr>
          <w:trHeight w:val="258"/>
        </w:trPr>
        <w:tc>
          <w:tcPr>
            <w:tcW w:w="1560" w:type="dxa"/>
            <w:tcBorders>
              <w:top w:val="double" w:sz="4" w:space="0" w:color="auto"/>
              <w:bottom w:val="single" w:sz="4" w:space="0" w:color="auto"/>
              <w:right w:val="single" w:sz="4" w:space="0" w:color="auto"/>
            </w:tcBorders>
          </w:tcPr>
          <w:p w14:paraId="217C05C2" w14:textId="27CF2AD4" w:rsidR="00625CBB" w:rsidRPr="00AA75BF" w:rsidRDefault="00625CBB"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DF5A198" w14:textId="77777777" w:rsidR="00625CBB" w:rsidRPr="00AA75BF" w:rsidRDefault="00625CBB"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43450DF3" w14:textId="77777777" w:rsidR="00625CBB" w:rsidRPr="00AA75BF" w:rsidRDefault="00625CBB"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ED2EF9" w:rsidRPr="00F62425" w14:paraId="195CC694" w14:textId="77777777" w:rsidTr="00CB6D07">
        <w:trPr>
          <w:trHeight w:val="258"/>
        </w:trPr>
        <w:tc>
          <w:tcPr>
            <w:tcW w:w="1560" w:type="dxa"/>
            <w:tcBorders>
              <w:top w:val="single" w:sz="4" w:space="0" w:color="auto"/>
              <w:right w:val="single" w:sz="4" w:space="0" w:color="auto"/>
            </w:tcBorders>
          </w:tcPr>
          <w:p w14:paraId="49584B29" w14:textId="77777777" w:rsidR="00ED2EF9" w:rsidRDefault="00ED2EF9"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Current year </w:t>
            </w:r>
          </w:p>
          <w:p w14:paraId="5B482E4C" w14:textId="77777777" w:rsidR="00ED2EF9" w:rsidRPr="00723F3F" w:rsidRDefault="00ED2EF9" w:rsidP="00CB6D07">
            <w:pPr>
              <w:pStyle w:val="TableTextBase"/>
              <w:rPr>
                <w:bCs/>
                <w:sz w:val="16"/>
                <w:szCs w:val="16"/>
              </w:rPr>
            </w:pPr>
            <w:r>
              <w:rPr>
                <w:rFonts w:cs="Arial"/>
                <w:color w:val="000000" w:themeColor="text1"/>
                <w:sz w:val="16"/>
                <w:szCs w:val="16"/>
              </w:rPr>
              <w:t>2021-22</w:t>
            </w:r>
          </w:p>
        </w:tc>
        <w:tc>
          <w:tcPr>
            <w:tcW w:w="6236" w:type="dxa"/>
            <w:gridSpan w:val="2"/>
            <w:tcBorders>
              <w:top w:val="single" w:sz="4" w:space="0" w:color="auto"/>
              <w:left w:val="single" w:sz="4" w:space="0" w:color="auto"/>
              <w:bottom w:val="single" w:sz="4" w:space="0" w:color="auto"/>
            </w:tcBorders>
          </w:tcPr>
          <w:p w14:paraId="1FA85EBE" w14:textId="77777777" w:rsidR="00A06A3A" w:rsidRDefault="00A06A3A" w:rsidP="00C82E62">
            <w:pPr>
              <w:tabs>
                <w:tab w:val="left" w:pos="709"/>
              </w:tabs>
              <w:spacing w:before="60" w:after="60" w:line="240" w:lineRule="auto"/>
              <w:jc w:val="left"/>
              <w:rPr>
                <w:rFonts w:ascii="Arial" w:hAnsi="Arial" w:cs="Arial"/>
                <w:sz w:val="16"/>
                <w:szCs w:val="16"/>
              </w:rPr>
            </w:pPr>
            <w:r>
              <w:rPr>
                <w:rFonts w:ascii="Arial" w:hAnsi="Arial" w:cs="Arial"/>
                <w:sz w:val="16"/>
                <w:szCs w:val="16"/>
              </w:rPr>
              <w:t>Refer to Austrade’s Outcomes and planned performance section.</w:t>
            </w:r>
          </w:p>
          <w:p w14:paraId="55BB9C01" w14:textId="5D1F2B95" w:rsidR="00ED2EF9" w:rsidRPr="00E2437F" w:rsidRDefault="00A06A3A" w:rsidP="00C82E62">
            <w:pPr>
              <w:tabs>
                <w:tab w:val="left" w:pos="455"/>
              </w:tabs>
              <w:spacing w:before="60" w:after="60" w:line="240" w:lineRule="auto"/>
              <w:jc w:val="left"/>
              <w:rPr>
                <w:rFonts w:ascii="Arial" w:hAnsi="Arial" w:cs="Arial"/>
                <w:sz w:val="16"/>
                <w:szCs w:val="16"/>
              </w:rPr>
            </w:pPr>
            <w:r>
              <w:rPr>
                <w:rFonts w:ascii="Arial" w:hAnsi="Arial" w:cs="Arial"/>
                <w:iCs/>
                <w:color w:val="000000" w:themeColor="text1"/>
                <w:sz w:val="16"/>
                <w:szCs w:val="16"/>
              </w:rPr>
              <w:t>Refer to Tourism Australia’s Outcomes and planned performance section.</w:t>
            </w:r>
          </w:p>
        </w:tc>
      </w:tr>
      <w:tr w:rsidR="00625CBB" w:rsidRPr="00F62425" w14:paraId="32919037" w14:textId="77777777" w:rsidTr="00CB6D07">
        <w:trPr>
          <w:trHeight w:val="258"/>
        </w:trPr>
        <w:tc>
          <w:tcPr>
            <w:tcW w:w="1560" w:type="dxa"/>
            <w:tcBorders>
              <w:right w:val="single" w:sz="4" w:space="0" w:color="auto"/>
            </w:tcBorders>
          </w:tcPr>
          <w:p w14:paraId="4A57BF37" w14:textId="52D3CD9D" w:rsidR="00625CBB" w:rsidRPr="00F81C16" w:rsidRDefault="00625CBB" w:rsidP="00CB6D07">
            <w:pPr>
              <w:pStyle w:val="TableTextBase"/>
              <w:rPr>
                <w:rFonts w:cs="Arial"/>
                <w:b/>
                <w:sz w:val="16"/>
                <w:szCs w:val="16"/>
              </w:rPr>
            </w:pPr>
            <w:r w:rsidRPr="00F81C16">
              <w:rPr>
                <w:rFonts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234F7FFE" w14:textId="77777777" w:rsidR="00625CBB" w:rsidRPr="00F81C16" w:rsidRDefault="00625CBB" w:rsidP="00CB6D07">
            <w:pPr>
              <w:pStyle w:val="TableTextBase"/>
              <w:rPr>
                <w:rFonts w:cs="Arial"/>
                <w:b/>
                <w:sz w:val="16"/>
                <w:szCs w:val="16"/>
              </w:rPr>
            </w:pPr>
            <w:r w:rsidRPr="00F81C16">
              <w:rPr>
                <w:rFonts w:cs="Arial"/>
                <w:b/>
                <w:sz w:val="16"/>
                <w:szCs w:val="16"/>
              </w:rPr>
              <w:t>Performance measures</w:t>
            </w:r>
          </w:p>
        </w:tc>
        <w:tc>
          <w:tcPr>
            <w:tcW w:w="3118" w:type="dxa"/>
            <w:tcBorders>
              <w:top w:val="single" w:sz="4" w:space="0" w:color="auto"/>
              <w:left w:val="single" w:sz="4" w:space="0" w:color="auto"/>
              <w:bottom w:val="single" w:sz="4" w:space="0" w:color="auto"/>
            </w:tcBorders>
          </w:tcPr>
          <w:p w14:paraId="3BEDF30A" w14:textId="77777777" w:rsidR="00625CBB" w:rsidRPr="00F81C16" w:rsidRDefault="00625CBB" w:rsidP="00CB6D07">
            <w:pPr>
              <w:tabs>
                <w:tab w:val="left" w:pos="455"/>
              </w:tabs>
              <w:spacing w:before="60" w:after="60" w:line="240" w:lineRule="auto"/>
              <w:rPr>
                <w:rFonts w:ascii="Arial" w:hAnsi="Arial" w:cs="Arial"/>
                <w:sz w:val="16"/>
                <w:szCs w:val="16"/>
              </w:rPr>
            </w:pPr>
            <w:r>
              <w:rPr>
                <w:rFonts w:ascii="Arial" w:hAnsi="Arial" w:cs="Arial"/>
                <w:b/>
                <w:sz w:val="16"/>
                <w:szCs w:val="16"/>
              </w:rPr>
              <w:t xml:space="preserve">Planned </w:t>
            </w:r>
            <w:r w:rsidRPr="00F81C16">
              <w:rPr>
                <w:rFonts w:ascii="Arial" w:hAnsi="Arial" w:cs="Arial"/>
                <w:b/>
                <w:sz w:val="16"/>
                <w:szCs w:val="16"/>
              </w:rPr>
              <w:t>Performance Results</w:t>
            </w:r>
          </w:p>
        </w:tc>
      </w:tr>
      <w:tr w:rsidR="00ED2EF9" w:rsidRPr="00F62425" w14:paraId="0612716A" w14:textId="77777777" w:rsidTr="00A311FC">
        <w:trPr>
          <w:trHeight w:val="258"/>
        </w:trPr>
        <w:tc>
          <w:tcPr>
            <w:tcW w:w="1560" w:type="dxa"/>
            <w:tcBorders>
              <w:bottom w:val="dotted" w:sz="4" w:space="0" w:color="auto"/>
              <w:right w:val="single" w:sz="4" w:space="0" w:color="auto"/>
            </w:tcBorders>
          </w:tcPr>
          <w:p w14:paraId="683BF8BE" w14:textId="77777777" w:rsidR="00DD66AC" w:rsidRDefault="00ED2EF9" w:rsidP="00CB6D07">
            <w:pPr>
              <w:pStyle w:val="TableTextBase"/>
              <w:rPr>
                <w:rFonts w:cs="Arial"/>
                <w:color w:val="000000" w:themeColor="text1"/>
                <w:sz w:val="16"/>
                <w:szCs w:val="16"/>
              </w:rPr>
            </w:pPr>
            <w:r>
              <w:rPr>
                <w:rFonts w:cs="Arial"/>
                <w:color w:val="000000" w:themeColor="text1"/>
                <w:sz w:val="16"/>
                <w:szCs w:val="16"/>
              </w:rPr>
              <w:t xml:space="preserve">Budget Year    </w:t>
            </w:r>
          </w:p>
          <w:p w14:paraId="15564FB2" w14:textId="658CDE60" w:rsidR="00ED2EF9" w:rsidRPr="00AA75BF" w:rsidRDefault="00ED2EF9" w:rsidP="00CB6D07">
            <w:pPr>
              <w:pStyle w:val="TableTextBase"/>
              <w:rPr>
                <w:b/>
                <w:sz w:val="16"/>
                <w:szCs w:val="16"/>
              </w:rPr>
            </w:pPr>
            <w:r>
              <w:rPr>
                <w:rFonts w:cs="Arial"/>
                <w:color w:val="000000" w:themeColor="text1"/>
                <w:sz w:val="16"/>
                <w:szCs w:val="16"/>
              </w:rPr>
              <w:t>2022-23</w:t>
            </w:r>
          </w:p>
        </w:tc>
        <w:tc>
          <w:tcPr>
            <w:tcW w:w="6236" w:type="dxa"/>
            <w:gridSpan w:val="2"/>
            <w:tcBorders>
              <w:top w:val="single" w:sz="4" w:space="0" w:color="auto"/>
              <w:left w:val="single" w:sz="4" w:space="0" w:color="auto"/>
              <w:bottom w:val="dotted" w:sz="4" w:space="0" w:color="auto"/>
            </w:tcBorders>
            <w:vAlign w:val="center"/>
          </w:tcPr>
          <w:p w14:paraId="534F7AD1" w14:textId="77777777" w:rsidR="00A06A3A" w:rsidRDefault="00A06A3A" w:rsidP="00C82E62">
            <w:pPr>
              <w:tabs>
                <w:tab w:val="left" w:pos="709"/>
              </w:tabs>
              <w:spacing w:before="60" w:after="60" w:line="240" w:lineRule="auto"/>
              <w:jc w:val="left"/>
              <w:rPr>
                <w:rFonts w:ascii="Arial" w:hAnsi="Arial" w:cs="Arial"/>
                <w:sz w:val="16"/>
                <w:szCs w:val="16"/>
              </w:rPr>
            </w:pPr>
            <w:r>
              <w:rPr>
                <w:rFonts w:ascii="Arial" w:hAnsi="Arial" w:cs="Arial"/>
                <w:sz w:val="16"/>
                <w:szCs w:val="16"/>
              </w:rPr>
              <w:t>Refer to Austrade’s Outcomes and planned performance section.</w:t>
            </w:r>
          </w:p>
          <w:p w14:paraId="3C6EE9F7" w14:textId="446FD106" w:rsidR="00ED2EF9" w:rsidRPr="00A06A3A" w:rsidRDefault="00A06A3A" w:rsidP="00C82E62">
            <w:pPr>
              <w:tabs>
                <w:tab w:val="left" w:pos="455"/>
              </w:tabs>
              <w:spacing w:before="60" w:after="60" w:line="240" w:lineRule="auto"/>
              <w:jc w:val="left"/>
              <w:rPr>
                <w:rFonts w:ascii="Arial" w:hAnsi="Arial" w:cs="Arial"/>
                <w:sz w:val="16"/>
                <w:szCs w:val="16"/>
              </w:rPr>
            </w:pPr>
            <w:r>
              <w:rPr>
                <w:rFonts w:ascii="Arial" w:hAnsi="Arial" w:cs="Arial"/>
                <w:iCs/>
                <w:color w:val="000000" w:themeColor="text1"/>
                <w:sz w:val="16"/>
                <w:szCs w:val="16"/>
              </w:rPr>
              <w:t>Refer to Tourism Australia’s Outcomes and planned performance section.</w:t>
            </w:r>
          </w:p>
        </w:tc>
      </w:tr>
      <w:tr w:rsidR="00ED2EF9" w:rsidRPr="00F62425" w14:paraId="222434BF" w14:textId="77777777" w:rsidTr="00A311FC">
        <w:trPr>
          <w:trHeight w:val="258"/>
        </w:trPr>
        <w:tc>
          <w:tcPr>
            <w:tcW w:w="1560" w:type="dxa"/>
            <w:tcBorders>
              <w:top w:val="dotted" w:sz="4" w:space="0" w:color="auto"/>
              <w:right w:val="single" w:sz="4" w:space="0" w:color="auto"/>
            </w:tcBorders>
          </w:tcPr>
          <w:p w14:paraId="0C95AA54" w14:textId="77777777" w:rsidR="00ED2EF9" w:rsidRDefault="00ED2EF9" w:rsidP="00CB6D07">
            <w:pPr>
              <w:tabs>
                <w:tab w:val="left" w:pos="709"/>
              </w:tabs>
              <w:spacing w:before="60" w:after="60" w:line="240" w:lineRule="auto"/>
              <w:rPr>
                <w:rFonts w:ascii="Arial" w:eastAsiaTheme="minorHAnsi" w:hAnsi="Arial" w:cs="Arial"/>
                <w:color w:val="000000" w:themeColor="text1"/>
                <w:sz w:val="16"/>
                <w:szCs w:val="16"/>
                <w:lang w:eastAsia="en-US"/>
              </w:rPr>
            </w:pPr>
            <w:r>
              <w:rPr>
                <w:rFonts w:ascii="Arial" w:hAnsi="Arial" w:cs="Arial"/>
                <w:color w:val="000000" w:themeColor="text1"/>
                <w:sz w:val="16"/>
                <w:szCs w:val="16"/>
              </w:rPr>
              <w:t xml:space="preserve">Forward Estimates </w:t>
            </w:r>
          </w:p>
          <w:p w14:paraId="64B4228B" w14:textId="77777777" w:rsidR="00ED2EF9" w:rsidRPr="00AA75BF" w:rsidRDefault="00ED2EF9" w:rsidP="00CB6D07">
            <w:pPr>
              <w:pStyle w:val="TableTextBase"/>
              <w:rPr>
                <w:b/>
                <w:sz w:val="16"/>
                <w:szCs w:val="16"/>
              </w:rPr>
            </w:pPr>
            <w:r>
              <w:rPr>
                <w:rFonts w:cs="Arial"/>
                <w:color w:val="000000" w:themeColor="text1"/>
                <w:sz w:val="16"/>
                <w:szCs w:val="16"/>
              </w:rPr>
              <w:t>2023-26</w:t>
            </w:r>
          </w:p>
        </w:tc>
        <w:tc>
          <w:tcPr>
            <w:tcW w:w="6236" w:type="dxa"/>
            <w:gridSpan w:val="2"/>
            <w:tcBorders>
              <w:top w:val="dotted" w:sz="4" w:space="0" w:color="auto"/>
              <w:left w:val="single" w:sz="4" w:space="0" w:color="auto"/>
              <w:bottom w:val="single" w:sz="4" w:space="0" w:color="auto"/>
            </w:tcBorders>
          </w:tcPr>
          <w:p w14:paraId="65C03A09" w14:textId="77777777" w:rsidR="00A311FC" w:rsidRDefault="00A311FC" w:rsidP="00C82E62">
            <w:pPr>
              <w:tabs>
                <w:tab w:val="left" w:pos="709"/>
              </w:tabs>
              <w:spacing w:before="60" w:after="60" w:line="240" w:lineRule="auto"/>
              <w:jc w:val="left"/>
              <w:rPr>
                <w:rFonts w:ascii="Arial" w:hAnsi="Arial" w:cs="Arial"/>
                <w:sz w:val="16"/>
                <w:szCs w:val="16"/>
              </w:rPr>
            </w:pPr>
            <w:r>
              <w:rPr>
                <w:rFonts w:ascii="Arial" w:hAnsi="Arial" w:cs="Arial"/>
                <w:sz w:val="16"/>
                <w:szCs w:val="16"/>
              </w:rPr>
              <w:t>Refer to Austrade’s Outcomes and planned performance section.</w:t>
            </w:r>
          </w:p>
          <w:p w14:paraId="6558FE64" w14:textId="1644784F" w:rsidR="00ED2EF9" w:rsidRPr="00E2437F" w:rsidRDefault="00A311FC" w:rsidP="00C82E62">
            <w:pPr>
              <w:tabs>
                <w:tab w:val="left" w:pos="455"/>
              </w:tabs>
              <w:spacing w:before="60" w:after="60" w:line="240" w:lineRule="auto"/>
              <w:jc w:val="left"/>
              <w:rPr>
                <w:rFonts w:ascii="Arial" w:hAnsi="Arial" w:cs="Arial"/>
                <w:sz w:val="16"/>
                <w:szCs w:val="16"/>
              </w:rPr>
            </w:pPr>
            <w:r>
              <w:rPr>
                <w:rFonts w:ascii="Arial" w:hAnsi="Arial" w:cs="Arial"/>
                <w:iCs/>
                <w:color w:val="000000" w:themeColor="text1"/>
                <w:sz w:val="16"/>
                <w:szCs w:val="16"/>
              </w:rPr>
              <w:t>Refer to Tourism Australia’s Outcomes and planned performance section.</w:t>
            </w:r>
          </w:p>
        </w:tc>
      </w:tr>
    </w:tbl>
    <w:p w14:paraId="030731A1" w14:textId="2AA3D2D4" w:rsidR="00A06A3A" w:rsidRDefault="00A06A3A" w:rsidP="009A6821"/>
    <w:p w14:paraId="59866F8D" w14:textId="3CDEF042" w:rsidR="008E34EA" w:rsidRPr="00F743D8" w:rsidRDefault="00A06A3A" w:rsidP="00A06A3A">
      <w:pPr>
        <w:pStyle w:val="Heading4"/>
      </w:pPr>
      <w:r>
        <w:br w:type="page"/>
      </w:r>
      <w:bookmarkStart w:id="99" w:name="_Toc95217852"/>
      <w:bookmarkStart w:id="100" w:name="_Toc95229679"/>
      <w:bookmarkStart w:id="101" w:name="_Toc95288986"/>
      <w:bookmarkStart w:id="102" w:name="_Toc95291873"/>
      <w:bookmarkStart w:id="103" w:name="_Toc95293747"/>
      <w:bookmarkStart w:id="104" w:name="_Toc95296397"/>
      <w:bookmarkStart w:id="105" w:name="_Toc444523516"/>
      <w:r w:rsidR="008E34EA">
        <w:t>2.2</w:t>
      </w:r>
      <w:r w:rsidR="008E34EA" w:rsidRPr="00F743D8">
        <w:t xml:space="preserve"> </w:t>
      </w:r>
      <w:r w:rsidR="008E34EA" w:rsidRPr="00F743D8">
        <w:tab/>
        <w:t xml:space="preserve">Budgeted expenses and performance for Outcome </w:t>
      </w:r>
      <w:r w:rsidR="008E34EA">
        <w:t>2</w:t>
      </w:r>
      <w:bookmarkEnd w:id="99"/>
      <w:bookmarkEnd w:id="100"/>
      <w:bookmarkEnd w:id="101"/>
      <w:bookmarkEnd w:id="102"/>
      <w:bookmarkEnd w:id="103"/>
      <w:bookmarkEnd w:id="10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8E34EA" w:rsidRPr="005E6F2B" w14:paraId="7B04F692" w14:textId="77777777" w:rsidTr="00A65F72">
        <w:tc>
          <w:tcPr>
            <w:tcW w:w="7704" w:type="dxa"/>
            <w:shd w:val="clear" w:color="auto" w:fill="E6E6E6"/>
          </w:tcPr>
          <w:p w14:paraId="29569E55" w14:textId="615841D7" w:rsidR="008E34EA" w:rsidRPr="005E6F2B" w:rsidRDefault="008E34EA" w:rsidP="00637CC0">
            <w:pPr>
              <w:pStyle w:val="TableColumnHeadingLeft"/>
            </w:pPr>
            <w:r w:rsidRPr="005E6F2B">
              <w:t xml:space="preserve">Outcome </w:t>
            </w:r>
            <w:r w:rsidR="00A65F72">
              <w:t>2</w:t>
            </w:r>
            <w:r w:rsidR="00A65F72" w:rsidRPr="005E6F2B">
              <w:t xml:space="preserve">: </w:t>
            </w:r>
            <w:r w:rsidR="00A65F72" w:rsidRPr="00C13630">
              <w:t>The protection and welfare of Australians abroad and access to secure international travel documentation through timely and responsive travel advice and consular and passport services in Australia and overseas</w:t>
            </w:r>
            <w:r w:rsidR="00A65F72" w:rsidRPr="005E6F2B">
              <w:t xml:space="preserve"> </w:t>
            </w:r>
          </w:p>
        </w:tc>
      </w:tr>
    </w:tbl>
    <w:p w14:paraId="08743B20" w14:textId="77777777" w:rsidR="008E34EA" w:rsidRPr="005E6F2B" w:rsidRDefault="008E34EA" w:rsidP="008E34EA">
      <w:pPr>
        <w:pStyle w:val="NoSpacing"/>
      </w:pPr>
    </w:p>
    <w:p w14:paraId="6E0CE64E" w14:textId="35E793D3" w:rsidR="008E34EA" w:rsidRPr="005E6F2B" w:rsidRDefault="008E34EA" w:rsidP="008E34EA">
      <w:pPr>
        <w:pStyle w:val="Heading4"/>
      </w:pPr>
      <w:r w:rsidRPr="005E6F2B">
        <w:t xml:space="preserve">Linked programs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A65F72" w:rsidRPr="00D72405" w14:paraId="4F0F9D9D" w14:textId="77777777" w:rsidTr="00A65F72">
        <w:trPr>
          <w:trHeight w:val="113"/>
        </w:trPr>
        <w:tc>
          <w:tcPr>
            <w:tcW w:w="7705" w:type="dxa"/>
            <w:tcBorders>
              <w:top w:val="single" w:sz="4" w:space="0" w:color="auto"/>
              <w:left w:val="single" w:sz="4" w:space="0" w:color="auto"/>
              <w:bottom w:val="dotted" w:sz="4" w:space="0" w:color="auto"/>
              <w:right w:val="single" w:sz="4" w:space="0" w:color="auto"/>
            </w:tcBorders>
            <w:hideMark/>
          </w:tcPr>
          <w:p w14:paraId="0B68D066" w14:textId="77777777" w:rsidR="00A65F72" w:rsidRPr="00D72405" w:rsidRDefault="00A65F72" w:rsidP="00F93CED">
            <w:pPr>
              <w:spacing w:before="60" w:after="60" w:line="240" w:lineRule="auto"/>
              <w:rPr>
                <w:rFonts w:eastAsia="SimSun"/>
                <w:b/>
                <w:color w:val="000000" w:themeColor="text1"/>
              </w:rPr>
            </w:pPr>
            <w:r w:rsidRPr="00D72405">
              <w:rPr>
                <w:rFonts w:eastAsia="SimSun"/>
                <w:b/>
                <w:color w:val="000000" w:themeColor="text1"/>
              </w:rPr>
              <w:t>Australian Trade and Investment Commission</w:t>
            </w:r>
          </w:p>
        </w:tc>
      </w:tr>
      <w:tr w:rsidR="00A65F72" w:rsidRPr="00D72405" w14:paraId="2B54A87D" w14:textId="77777777" w:rsidTr="00A65F72">
        <w:trPr>
          <w:trHeight w:val="113"/>
        </w:trPr>
        <w:tc>
          <w:tcPr>
            <w:tcW w:w="7705" w:type="dxa"/>
            <w:tcBorders>
              <w:top w:val="dotted" w:sz="4" w:space="0" w:color="auto"/>
              <w:left w:val="single" w:sz="4" w:space="0" w:color="auto"/>
              <w:bottom w:val="single" w:sz="4" w:space="0" w:color="auto"/>
              <w:right w:val="single" w:sz="4" w:space="0" w:color="auto"/>
            </w:tcBorders>
            <w:hideMark/>
          </w:tcPr>
          <w:p w14:paraId="251E7198" w14:textId="77777777" w:rsidR="00A65F72" w:rsidRPr="00D72405" w:rsidRDefault="00A65F72" w:rsidP="00F93CED">
            <w:pPr>
              <w:spacing w:before="60" w:after="60" w:line="240" w:lineRule="auto"/>
              <w:rPr>
                <w:rFonts w:eastAsia="SimSun"/>
                <w:b/>
                <w:color w:val="000000" w:themeColor="text1"/>
              </w:rPr>
            </w:pPr>
            <w:r w:rsidRPr="00D72405">
              <w:rPr>
                <w:rFonts w:eastAsia="SimSun"/>
                <w:b/>
                <w:color w:val="000000" w:themeColor="text1"/>
              </w:rPr>
              <w:t>Programs</w:t>
            </w:r>
          </w:p>
          <w:p w14:paraId="1BF89ABB" w14:textId="77777777" w:rsidR="00A65F72" w:rsidRPr="00D72405" w:rsidRDefault="00A65F72" w:rsidP="00091F80">
            <w:pPr>
              <w:numPr>
                <w:ilvl w:val="0"/>
                <w:numId w:val="11"/>
              </w:numPr>
              <w:spacing w:before="60" w:after="60" w:line="240" w:lineRule="auto"/>
              <w:jc w:val="left"/>
              <w:rPr>
                <w:rFonts w:eastAsia="SimSun"/>
                <w:color w:val="000000" w:themeColor="text1"/>
              </w:rPr>
            </w:pPr>
            <w:r w:rsidRPr="00D72405">
              <w:rPr>
                <w:rFonts w:eastAsia="SimSun"/>
                <w:color w:val="000000" w:themeColor="text1"/>
              </w:rPr>
              <w:t>Program 2.1 – Consular and Passport Services</w:t>
            </w:r>
          </w:p>
        </w:tc>
      </w:tr>
      <w:tr w:rsidR="00A65F72" w:rsidRPr="00D72405" w14:paraId="01788595" w14:textId="77777777" w:rsidTr="00A65F72">
        <w:trPr>
          <w:trHeight w:val="113"/>
        </w:trPr>
        <w:tc>
          <w:tcPr>
            <w:tcW w:w="7705" w:type="dxa"/>
            <w:tcBorders>
              <w:top w:val="single" w:sz="4" w:space="0" w:color="auto"/>
              <w:left w:val="single" w:sz="4" w:space="0" w:color="auto"/>
              <w:bottom w:val="dotted" w:sz="4" w:space="0" w:color="auto"/>
              <w:right w:val="single" w:sz="4" w:space="0" w:color="auto"/>
            </w:tcBorders>
            <w:hideMark/>
          </w:tcPr>
          <w:p w14:paraId="69D091DC" w14:textId="77777777" w:rsidR="00A65F72" w:rsidRPr="00D72405" w:rsidRDefault="00A65F72" w:rsidP="00F93CED">
            <w:pPr>
              <w:spacing w:before="60" w:after="60" w:line="240" w:lineRule="auto"/>
              <w:rPr>
                <w:rFonts w:eastAsia="SimSun"/>
                <w:i/>
                <w:color w:val="000000" w:themeColor="text1"/>
              </w:rPr>
            </w:pPr>
            <w:r w:rsidRPr="00D72405">
              <w:rPr>
                <w:rFonts w:eastAsia="SimSun"/>
                <w:b/>
                <w:color w:val="000000" w:themeColor="text1"/>
              </w:rPr>
              <w:t xml:space="preserve">Australian Federal Police </w:t>
            </w:r>
          </w:p>
        </w:tc>
      </w:tr>
      <w:tr w:rsidR="00A65F72" w:rsidRPr="00D72405" w14:paraId="4B699B5D" w14:textId="77777777" w:rsidTr="00A65F72">
        <w:trPr>
          <w:trHeight w:val="113"/>
        </w:trPr>
        <w:tc>
          <w:tcPr>
            <w:tcW w:w="7705" w:type="dxa"/>
            <w:tcBorders>
              <w:top w:val="dotted" w:sz="4" w:space="0" w:color="auto"/>
              <w:left w:val="single" w:sz="4" w:space="0" w:color="auto"/>
              <w:bottom w:val="single" w:sz="4" w:space="0" w:color="auto"/>
              <w:right w:val="single" w:sz="4" w:space="0" w:color="auto"/>
            </w:tcBorders>
            <w:hideMark/>
          </w:tcPr>
          <w:p w14:paraId="07A964BF" w14:textId="77777777" w:rsidR="00A65F72" w:rsidRPr="00D72405" w:rsidRDefault="00A65F72" w:rsidP="00F93CED">
            <w:pPr>
              <w:spacing w:before="60" w:after="60" w:line="240" w:lineRule="auto"/>
              <w:rPr>
                <w:rFonts w:eastAsia="SimSun"/>
                <w:b/>
                <w:color w:val="000000" w:themeColor="text1"/>
              </w:rPr>
            </w:pPr>
            <w:r w:rsidRPr="00D72405">
              <w:rPr>
                <w:rFonts w:eastAsia="SimSun"/>
                <w:b/>
                <w:color w:val="000000" w:themeColor="text1"/>
              </w:rPr>
              <w:t>Programs</w:t>
            </w:r>
          </w:p>
          <w:p w14:paraId="0211E49C" w14:textId="77777777" w:rsidR="00A65F72" w:rsidRDefault="00A65F72" w:rsidP="00091F80">
            <w:pPr>
              <w:numPr>
                <w:ilvl w:val="0"/>
                <w:numId w:val="11"/>
              </w:numPr>
              <w:spacing w:before="60" w:after="60" w:line="240" w:lineRule="auto"/>
              <w:ind w:left="714" w:hanging="357"/>
              <w:jc w:val="left"/>
              <w:rPr>
                <w:rFonts w:eastAsia="SimSun"/>
                <w:color w:val="000000" w:themeColor="text1"/>
              </w:rPr>
            </w:pPr>
            <w:r w:rsidRPr="00D72405">
              <w:rPr>
                <w:rFonts w:eastAsia="SimSun"/>
                <w:color w:val="000000" w:themeColor="text1"/>
              </w:rPr>
              <w:t>Program 1.1 – Federal Policing</w:t>
            </w:r>
            <w:r>
              <w:rPr>
                <w:rFonts w:eastAsia="SimSun"/>
                <w:color w:val="000000" w:themeColor="text1"/>
              </w:rPr>
              <w:t xml:space="preserve"> </w:t>
            </w:r>
            <w:r w:rsidRPr="00D72405">
              <w:rPr>
                <w:rFonts w:eastAsia="SimSun"/>
                <w:color w:val="000000" w:themeColor="text1"/>
              </w:rPr>
              <w:t>Investigations</w:t>
            </w:r>
          </w:p>
          <w:p w14:paraId="088AAF09" w14:textId="16E214B1" w:rsidR="00A65F72" w:rsidRPr="00D72405" w:rsidRDefault="00A65F72" w:rsidP="00091F80">
            <w:pPr>
              <w:numPr>
                <w:ilvl w:val="0"/>
                <w:numId w:val="11"/>
              </w:numPr>
              <w:spacing w:before="60" w:after="60" w:line="240" w:lineRule="auto"/>
              <w:ind w:left="714" w:hanging="357"/>
              <w:jc w:val="left"/>
              <w:rPr>
                <w:rFonts w:eastAsia="SimSun"/>
                <w:color w:val="000000" w:themeColor="text1"/>
              </w:rPr>
            </w:pPr>
            <w:r>
              <w:rPr>
                <w:rFonts w:eastAsia="SimSun"/>
                <w:color w:val="000000" w:themeColor="text1"/>
              </w:rPr>
              <w:t>Program 3.2 – International Police Assistance and External Territories</w:t>
            </w:r>
          </w:p>
        </w:tc>
      </w:tr>
      <w:tr w:rsidR="00A65F72" w:rsidRPr="00D72405" w14:paraId="3E1CCA33" w14:textId="77777777" w:rsidTr="00A65F72">
        <w:trPr>
          <w:trHeight w:val="113"/>
        </w:trPr>
        <w:tc>
          <w:tcPr>
            <w:tcW w:w="7705" w:type="dxa"/>
            <w:tcBorders>
              <w:top w:val="single" w:sz="4" w:space="0" w:color="auto"/>
              <w:left w:val="single" w:sz="4" w:space="0" w:color="auto"/>
              <w:bottom w:val="dotted" w:sz="4" w:space="0" w:color="auto"/>
              <w:right w:val="single" w:sz="4" w:space="0" w:color="auto"/>
            </w:tcBorders>
            <w:hideMark/>
          </w:tcPr>
          <w:p w14:paraId="2D7A0BA0" w14:textId="77777777" w:rsidR="00A65F72" w:rsidRPr="00D72405" w:rsidRDefault="00A65F72" w:rsidP="00F93CED">
            <w:pPr>
              <w:spacing w:before="60" w:after="60" w:line="240" w:lineRule="auto"/>
              <w:rPr>
                <w:rFonts w:eastAsia="SimSun"/>
                <w:b/>
                <w:color w:val="000000" w:themeColor="text1"/>
              </w:rPr>
            </w:pPr>
            <w:bookmarkStart w:id="106" w:name="_Hlk97800101"/>
            <w:r w:rsidRPr="00D72405">
              <w:rPr>
                <w:rFonts w:eastAsia="SimSun"/>
                <w:b/>
                <w:color w:val="000000" w:themeColor="text1"/>
              </w:rPr>
              <w:t>Services Australia</w:t>
            </w:r>
          </w:p>
        </w:tc>
      </w:tr>
      <w:tr w:rsidR="00A65F72" w:rsidRPr="00D72405" w14:paraId="0542AAB4" w14:textId="77777777" w:rsidTr="00A65F72">
        <w:trPr>
          <w:trHeight w:val="113"/>
        </w:trPr>
        <w:tc>
          <w:tcPr>
            <w:tcW w:w="7705" w:type="dxa"/>
            <w:tcBorders>
              <w:top w:val="dotted" w:sz="4" w:space="0" w:color="auto"/>
              <w:left w:val="single" w:sz="4" w:space="0" w:color="auto"/>
              <w:bottom w:val="single" w:sz="4" w:space="0" w:color="auto"/>
              <w:right w:val="single" w:sz="4" w:space="0" w:color="auto"/>
            </w:tcBorders>
            <w:hideMark/>
          </w:tcPr>
          <w:p w14:paraId="7185CE88" w14:textId="77777777" w:rsidR="00A65F72" w:rsidRPr="00D72405" w:rsidRDefault="00A65F72" w:rsidP="00F93CED">
            <w:pPr>
              <w:spacing w:before="60" w:after="60" w:line="240" w:lineRule="auto"/>
              <w:rPr>
                <w:rFonts w:eastAsia="SimSun"/>
                <w:b/>
                <w:color w:val="000000" w:themeColor="text1"/>
              </w:rPr>
            </w:pPr>
            <w:r w:rsidRPr="00D72405">
              <w:rPr>
                <w:rFonts w:eastAsia="SimSun"/>
                <w:b/>
                <w:color w:val="000000" w:themeColor="text1"/>
              </w:rPr>
              <w:t>Programs</w:t>
            </w:r>
          </w:p>
          <w:p w14:paraId="0E98B617" w14:textId="77777777" w:rsidR="008D6724" w:rsidRDefault="008D6724" w:rsidP="008D6724">
            <w:pPr>
              <w:numPr>
                <w:ilvl w:val="0"/>
                <w:numId w:val="11"/>
              </w:numPr>
              <w:spacing w:before="60" w:after="60" w:line="240" w:lineRule="auto"/>
              <w:rPr>
                <w:rFonts w:eastAsia="SimSun"/>
                <w:color w:val="000000" w:themeColor="text1"/>
              </w:rPr>
            </w:pPr>
            <w:r>
              <w:rPr>
                <w:rFonts w:eastAsia="SimSun"/>
                <w:color w:val="000000" w:themeColor="text1"/>
              </w:rPr>
              <w:t xml:space="preserve">Program 1.2 – Customer Service Delivery </w:t>
            </w:r>
          </w:p>
          <w:p w14:paraId="3551269A" w14:textId="138E4FBF" w:rsidR="00A65F72" w:rsidRPr="00D72405" w:rsidRDefault="008D6724" w:rsidP="008D6724">
            <w:pPr>
              <w:numPr>
                <w:ilvl w:val="0"/>
                <w:numId w:val="11"/>
              </w:numPr>
              <w:spacing w:before="60" w:after="60" w:line="240" w:lineRule="auto"/>
              <w:jc w:val="left"/>
              <w:rPr>
                <w:rFonts w:eastAsia="SimSun"/>
                <w:color w:val="000000" w:themeColor="text1"/>
              </w:rPr>
            </w:pPr>
            <w:r>
              <w:rPr>
                <w:rFonts w:eastAsia="SimSun"/>
                <w:color w:val="000000" w:themeColor="text1"/>
              </w:rPr>
              <w:t>Program 1.3 – Technology and Transformation</w:t>
            </w:r>
          </w:p>
        </w:tc>
      </w:tr>
      <w:bookmarkEnd w:id="106"/>
      <w:tr w:rsidR="00A65F72" w:rsidRPr="00D72405" w14:paraId="55E3804B" w14:textId="77777777" w:rsidTr="00A65F72">
        <w:trPr>
          <w:trHeight w:val="113"/>
        </w:trPr>
        <w:tc>
          <w:tcPr>
            <w:tcW w:w="7705" w:type="dxa"/>
            <w:tcBorders>
              <w:top w:val="single" w:sz="4" w:space="0" w:color="auto"/>
              <w:left w:val="single" w:sz="4" w:space="0" w:color="auto"/>
              <w:bottom w:val="single" w:sz="4" w:space="0" w:color="auto"/>
              <w:right w:val="single" w:sz="4" w:space="0" w:color="auto"/>
            </w:tcBorders>
          </w:tcPr>
          <w:p w14:paraId="699B7D2D" w14:textId="77777777" w:rsidR="00A65F72" w:rsidRPr="00D72405" w:rsidRDefault="00A65F72" w:rsidP="00F93CED">
            <w:pPr>
              <w:spacing w:before="60" w:after="60" w:line="240" w:lineRule="auto"/>
              <w:rPr>
                <w:rFonts w:eastAsia="SimSun"/>
                <w:b/>
                <w:color w:val="000000" w:themeColor="text1"/>
              </w:rPr>
            </w:pPr>
            <w:r w:rsidRPr="00D72405">
              <w:rPr>
                <w:rFonts w:eastAsia="SimSun"/>
                <w:b/>
                <w:color w:val="000000" w:themeColor="text1"/>
              </w:rPr>
              <w:t>Contribution to Outcome 2 made by linked programs</w:t>
            </w:r>
          </w:p>
          <w:p w14:paraId="0D1E139F" w14:textId="77777777" w:rsidR="00A65F72" w:rsidRPr="00D72405" w:rsidRDefault="00A65F72" w:rsidP="00F93CED">
            <w:pPr>
              <w:rPr>
                <w:color w:val="000000" w:themeColor="text1"/>
              </w:rPr>
            </w:pPr>
            <w:r w:rsidRPr="00D72405">
              <w:rPr>
                <w:rFonts w:eastAsia="SimSun"/>
                <w:color w:val="000000" w:themeColor="text1"/>
              </w:rPr>
              <w:t>Services Australia, the Australian Federal Police and the Australian Trade and Investment Commission support DFAT in the delivery of high-quality consular services, including the provision of Australian passport information services and the repatriation of vulnerable Australians.</w:t>
            </w:r>
          </w:p>
        </w:tc>
      </w:tr>
    </w:tbl>
    <w:p w14:paraId="0E9CFBA6" w14:textId="77777777" w:rsidR="008E34EA" w:rsidRPr="00B3104B" w:rsidRDefault="008E34EA" w:rsidP="008E34EA">
      <w:pPr>
        <w:pStyle w:val="SingleParagraph"/>
      </w:pPr>
    </w:p>
    <w:p w14:paraId="2FFF5B26" w14:textId="416DD600" w:rsidR="008E34EA" w:rsidRPr="00E26389" w:rsidRDefault="008E34EA" w:rsidP="008E34EA">
      <w:pPr>
        <w:pStyle w:val="Heading5"/>
        <w:rPr>
          <w:b/>
          <w:bCs w:val="0"/>
        </w:rPr>
      </w:pPr>
      <w:r w:rsidRPr="00E26389">
        <w:rPr>
          <w:b/>
          <w:bCs w:val="0"/>
        </w:rPr>
        <w:br w:type="page"/>
        <w:t>Budgeted expenses for Outcome 2</w:t>
      </w:r>
    </w:p>
    <w:p w14:paraId="72588224" w14:textId="77777777" w:rsidR="008E34EA" w:rsidRDefault="008E34EA" w:rsidP="008E34EA">
      <w:r w:rsidRPr="00950281">
        <w:t>This table shows how much the entity intends to spend (on an accrual basis) on achieving the outcome, broken down by program, as well as by Administered an</w:t>
      </w:r>
      <w:r>
        <w:t>d Departmental funding sources.</w:t>
      </w:r>
    </w:p>
    <w:p w14:paraId="488587E7" w14:textId="35EEF213" w:rsidR="008E34EA" w:rsidRPr="00F93CED" w:rsidRDefault="008E34EA" w:rsidP="00F93CED">
      <w:pPr>
        <w:pStyle w:val="TableHeading"/>
        <w:rPr>
          <w:lang w:val="en-AU"/>
        </w:rPr>
      </w:pPr>
      <w:r w:rsidRPr="00F93CED">
        <w:t>Table 2.</w:t>
      </w:r>
      <w:r w:rsidR="00F93CED">
        <w:rPr>
          <w:lang w:val="en-AU"/>
        </w:rPr>
        <w:t>2</w:t>
      </w:r>
      <w:r w:rsidRPr="00F93CED">
        <w:t xml:space="preserve">.1: Budgeted expenses for Outcome </w:t>
      </w:r>
      <w:r w:rsidR="00F93CED">
        <w:rPr>
          <w:lang w:val="en-AU"/>
        </w:rPr>
        <w:t>2</w:t>
      </w:r>
    </w:p>
    <w:p w14:paraId="45BB8741" w14:textId="6F8E67E0" w:rsidR="008E34EA" w:rsidRDefault="00E34D7D" w:rsidP="008E34EA">
      <w:pPr>
        <w:pStyle w:val="TableHeading"/>
      </w:pPr>
      <w:r w:rsidRPr="00E34D7D">
        <w:rPr>
          <w:noProof/>
        </w:rPr>
        <w:drawing>
          <wp:inline distT="0" distB="0" distL="0" distR="0" wp14:anchorId="2C6C9641" wp14:editId="736392DC">
            <wp:extent cx="4895850" cy="392811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5850" cy="3928110"/>
                    </a:xfrm>
                    <a:prstGeom prst="rect">
                      <a:avLst/>
                    </a:prstGeom>
                    <a:noFill/>
                    <a:ln>
                      <a:noFill/>
                    </a:ln>
                  </pic:spPr>
                </pic:pic>
              </a:graphicData>
            </a:graphic>
          </wp:inline>
        </w:drawing>
      </w:r>
    </w:p>
    <w:p w14:paraId="174BDCD3" w14:textId="46B4B435" w:rsidR="00F93CED" w:rsidRDefault="00F93CED" w:rsidP="00C354BB">
      <w:pPr>
        <w:pStyle w:val="ChartandTableFootnoteAlpha"/>
        <w:numPr>
          <w:ilvl w:val="0"/>
          <w:numId w:val="0"/>
        </w:numPr>
        <w:ind w:left="284" w:hanging="284"/>
      </w:pPr>
      <w:r>
        <w:rPr>
          <w:color w:val="000000"/>
          <w:lang w:eastAsia="x-none"/>
        </w:rPr>
        <w:t xml:space="preserve">Table </w:t>
      </w:r>
      <w:proofErr w:type="gramStart"/>
      <w:r>
        <w:rPr>
          <w:color w:val="000000"/>
          <w:lang w:eastAsia="x-none"/>
        </w:rPr>
        <w:t>continued on</w:t>
      </w:r>
      <w:proofErr w:type="gramEnd"/>
      <w:r>
        <w:rPr>
          <w:color w:val="000000"/>
          <w:lang w:eastAsia="x-none"/>
        </w:rPr>
        <w:t xml:space="preserve"> the next page.</w:t>
      </w:r>
    </w:p>
    <w:p w14:paraId="46409664" w14:textId="77777777" w:rsidR="008E34EA" w:rsidRDefault="008E34EA" w:rsidP="008E34EA"/>
    <w:p w14:paraId="36D642A3" w14:textId="6EE0A398" w:rsidR="008E34EA" w:rsidRDefault="008E34EA" w:rsidP="008E34EA">
      <w:pPr>
        <w:pStyle w:val="TableHeading"/>
        <w:rPr>
          <w:lang w:val="en-AU"/>
        </w:rPr>
      </w:pPr>
      <w:r>
        <w:br w:type="page"/>
        <w:t>Table 2.</w:t>
      </w:r>
      <w:r w:rsidR="00F93CED">
        <w:rPr>
          <w:lang w:val="en-AU"/>
        </w:rPr>
        <w:t>2</w:t>
      </w:r>
      <w:r>
        <w:t xml:space="preserve">.1: Budgeted expenses for Outcome </w:t>
      </w:r>
      <w:r>
        <w:rPr>
          <w:lang w:val="en-AU"/>
        </w:rPr>
        <w:t>2 (continued)</w:t>
      </w:r>
    </w:p>
    <w:p w14:paraId="54C7258E" w14:textId="372D365B" w:rsidR="008E34EA" w:rsidRDefault="00E34D7D" w:rsidP="008E34EA">
      <w:pPr>
        <w:pStyle w:val="TableGraphic"/>
      </w:pPr>
      <w:r w:rsidRPr="00E34D7D">
        <w:rPr>
          <w:noProof/>
        </w:rPr>
        <w:drawing>
          <wp:inline distT="0" distB="0" distL="0" distR="0" wp14:anchorId="6F932CAA" wp14:editId="774ACD52">
            <wp:extent cx="4895850" cy="2602865"/>
            <wp:effectExtent l="0" t="0" r="0"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95850" cy="2602865"/>
                    </a:xfrm>
                    <a:prstGeom prst="rect">
                      <a:avLst/>
                    </a:prstGeom>
                    <a:noFill/>
                    <a:ln>
                      <a:noFill/>
                    </a:ln>
                  </pic:spPr>
                </pic:pic>
              </a:graphicData>
            </a:graphic>
          </wp:inline>
        </w:drawing>
      </w:r>
    </w:p>
    <w:p w14:paraId="6042EA68" w14:textId="77777777" w:rsidR="008E34EA" w:rsidRPr="00446612" w:rsidRDefault="008E34EA" w:rsidP="008E34EA">
      <w:pPr>
        <w:pStyle w:val="ChartandTableFootnote"/>
      </w:pPr>
      <w:r w:rsidRPr="00446612">
        <w:t>Note: Departmental appropriation splits and totals are indicative estimates and may change in the course of the budget year as government priorities change.</w:t>
      </w:r>
    </w:p>
    <w:p w14:paraId="40B597BC" w14:textId="5D3F86AF" w:rsidR="00353273" w:rsidRPr="00F71634" w:rsidRDefault="008E34EA" w:rsidP="00353273">
      <w:pPr>
        <w:spacing w:after="0"/>
      </w:pPr>
      <w:r>
        <w:rPr>
          <w:highlight w:val="yellow"/>
        </w:rPr>
        <w:br w:type="page"/>
      </w:r>
    </w:p>
    <w:p w14:paraId="753BE3A8" w14:textId="553927BE" w:rsidR="008E34EA" w:rsidRPr="00F93CED" w:rsidRDefault="008E34EA" w:rsidP="008E34EA">
      <w:pPr>
        <w:pStyle w:val="TableHeading"/>
        <w:rPr>
          <w:lang w:val="en-AU"/>
        </w:rPr>
      </w:pPr>
      <w:r w:rsidRPr="00F71634">
        <w:t>Table 2.</w:t>
      </w:r>
      <w:r w:rsidR="00F93CED">
        <w:rPr>
          <w:lang w:val="en-AU"/>
        </w:rPr>
        <w:t>2</w:t>
      </w:r>
      <w:r w:rsidRPr="00F71634">
        <w:t xml:space="preserve">.3: Performance </w:t>
      </w:r>
      <w:r>
        <w:rPr>
          <w:lang w:val="en-AU"/>
        </w:rPr>
        <w:t>measure</w:t>
      </w:r>
      <w:r w:rsidRPr="00F71634">
        <w:t xml:space="preserve"> for Outcome </w:t>
      </w:r>
      <w:r w:rsidR="00F93CED">
        <w:rPr>
          <w:lang w:val="en-AU"/>
        </w:rPr>
        <w:t>2</w:t>
      </w:r>
    </w:p>
    <w:p w14:paraId="15998BF6" w14:textId="29EFB1B0" w:rsidR="008E34EA" w:rsidRDefault="008E34EA" w:rsidP="008E34EA">
      <w:r w:rsidRPr="001B2F81">
        <w:t>Table 2.</w:t>
      </w:r>
      <w:r w:rsidR="00F93CED">
        <w:t>2</w:t>
      </w:r>
      <w:r w:rsidRPr="001B2F81">
        <w:t>.</w:t>
      </w:r>
      <w:r>
        <w:t>3</w:t>
      </w:r>
      <w:r w:rsidRPr="001B2F81">
        <w:t xml:space="preserve"> details the performance measures for each program associated with Outcome</w:t>
      </w:r>
      <w:r w:rsidR="003D7DC8">
        <w:t> </w:t>
      </w:r>
      <w:r w:rsidR="00F93CED">
        <w:t>2</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754FA2">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06A3A" w:rsidRPr="001B2F81" w14:paraId="7B9EFD68" w14:textId="77777777" w:rsidTr="00CB6D07">
        <w:trPr>
          <w:trHeight w:val="569"/>
          <w:tblHeader/>
        </w:trPr>
        <w:tc>
          <w:tcPr>
            <w:tcW w:w="7796" w:type="dxa"/>
            <w:gridSpan w:val="3"/>
            <w:shd w:val="clear" w:color="auto" w:fill="F2F2F2"/>
          </w:tcPr>
          <w:p w14:paraId="6A167BF9" w14:textId="278ADA0F" w:rsidR="00A06A3A" w:rsidRPr="00C41058" w:rsidRDefault="00A06A3A" w:rsidP="00CB6D07">
            <w:pPr>
              <w:pStyle w:val="TableColumnHeadingLeft"/>
            </w:pPr>
            <w:r w:rsidRPr="00C41058">
              <w:rPr>
                <w:rStyle w:val="TableHeadingChar"/>
                <w:b/>
              </w:rPr>
              <w:t xml:space="preserve">Outcome </w:t>
            </w:r>
            <w:r w:rsidR="000B2170">
              <w:rPr>
                <w:rStyle w:val="TableHeadingChar"/>
                <w:b/>
              </w:rPr>
              <w:t>2</w:t>
            </w:r>
            <w:r w:rsidRPr="00EF57EA">
              <w:t xml:space="preserve"> – </w:t>
            </w:r>
            <w:r w:rsidR="000E5BBB">
              <w:t>The protection and welfare of Australians abroad and access to secure international travel documentation through timely and responsive travel advice and consular and passport services in Australia and overseas</w:t>
            </w:r>
            <w:r w:rsidRPr="00C41058">
              <w:rPr>
                <w:rStyle w:val="TableHeadingChar"/>
                <w:b/>
              </w:rPr>
              <w:t xml:space="preserve"> </w:t>
            </w:r>
          </w:p>
        </w:tc>
      </w:tr>
      <w:tr w:rsidR="00A06A3A" w:rsidRPr="001B2F81" w14:paraId="6841A4D8" w14:textId="77777777" w:rsidTr="00CB6D07">
        <w:trPr>
          <w:trHeight w:val="522"/>
          <w:tblHeader/>
        </w:trPr>
        <w:tc>
          <w:tcPr>
            <w:tcW w:w="7796" w:type="dxa"/>
            <w:gridSpan w:val="3"/>
            <w:tcBorders>
              <w:bottom w:val="single" w:sz="4" w:space="0" w:color="auto"/>
            </w:tcBorders>
            <w:shd w:val="clear" w:color="auto" w:fill="F2F2F2"/>
          </w:tcPr>
          <w:p w14:paraId="1D6C8BF3" w14:textId="23DADF3F" w:rsidR="00A06A3A" w:rsidRPr="00A311FC" w:rsidRDefault="00A06A3A" w:rsidP="00CB6D07">
            <w:pPr>
              <w:pStyle w:val="TableTextLeft"/>
            </w:pPr>
            <w:r w:rsidRPr="00A311FC">
              <w:rPr>
                <w:b/>
              </w:rPr>
              <w:t xml:space="preserve">Program </w:t>
            </w:r>
            <w:r w:rsidR="000E5BBB" w:rsidRPr="00A311FC">
              <w:rPr>
                <w:b/>
              </w:rPr>
              <w:t>2.1</w:t>
            </w:r>
            <w:r w:rsidRPr="00A311FC">
              <w:rPr>
                <w:b/>
              </w:rPr>
              <w:t xml:space="preserve"> – </w:t>
            </w:r>
            <w:r w:rsidR="000E5BBB" w:rsidRPr="00A311FC">
              <w:rPr>
                <w:rFonts w:cs="Arial"/>
                <w:b/>
              </w:rPr>
              <w:t>Consular Services</w:t>
            </w:r>
            <w:r w:rsidR="000E5BBB" w:rsidRPr="00A311FC">
              <w:rPr>
                <w:rFonts w:cs="Arial"/>
              </w:rPr>
              <w:t xml:space="preserve"> assist Australian travellers and Australians overseas through the provision of consular support services, including timely travel advice and contingency planning for crisis response</w:t>
            </w:r>
            <w:r w:rsidRPr="00A311FC">
              <w:rPr>
                <w:bCs/>
              </w:rPr>
              <w:t xml:space="preserve">. </w:t>
            </w:r>
          </w:p>
        </w:tc>
      </w:tr>
      <w:tr w:rsidR="00A06A3A" w14:paraId="1136C88B" w14:textId="77777777" w:rsidTr="00A311FC">
        <w:trPr>
          <w:trHeight w:val="694"/>
        </w:trPr>
        <w:tc>
          <w:tcPr>
            <w:tcW w:w="1560" w:type="dxa"/>
            <w:tcBorders>
              <w:top w:val="single" w:sz="4" w:space="0" w:color="auto"/>
              <w:left w:val="single" w:sz="4" w:space="0" w:color="auto"/>
              <w:bottom w:val="double" w:sz="4" w:space="0" w:color="auto"/>
              <w:right w:val="single" w:sz="4" w:space="0" w:color="auto"/>
            </w:tcBorders>
            <w:hideMark/>
          </w:tcPr>
          <w:p w14:paraId="395DDBD2" w14:textId="77777777" w:rsidR="00A06A3A" w:rsidRDefault="00A06A3A"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60C6C999" w14:textId="77777777" w:rsidR="00A06A3A" w:rsidRDefault="00A06A3A" w:rsidP="00CB6D07">
            <w:pPr>
              <w:tabs>
                <w:tab w:val="left" w:pos="709"/>
              </w:tabs>
              <w:spacing w:before="60" w:after="60" w:line="240" w:lineRule="auto"/>
              <w:rPr>
                <w:rFonts w:ascii="Arial" w:hAnsi="Arial" w:cs="Arial"/>
                <w:i/>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4530E945" w14:textId="4B510146" w:rsidR="00A06A3A" w:rsidRDefault="000E5BBB" w:rsidP="00091F80">
            <w:pPr>
              <w:pStyle w:val="ListParagraph"/>
              <w:numPr>
                <w:ilvl w:val="0"/>
                <w:numId w:val="53"/>
              </w:numPr>
              <w:tabs>
                <w:tab w:val="left" w:pos="709"/>
              </w:tabs>
              <w:spacing w:before="60" w:after="60" w:line="240" w:lineRule="auto"/>
              <w:rPr>
                <w:rFonts w:ascii="Arial" w:hAnsi="Arial" w:cs="Arial"/>
                <w:sz w:val="16"/>
                <w:szCs w:val="16"/>
              </w:rPr>
            </w:pPr>
            <w:r>
              <w:rPr>
                <w:rFonts w:ascii="Arial" w:hAnsi="Arial" w:cs="Arial"/>
                <w:sz w:val="16"/>
                <w:szCs w:val="16"/>
              </w:rPr>
              <w:t xml:space="preserve">A responsive consular service focused on those most in need. </w:t>
            </w:r>
          </w:p>
          <w:p w14:paraId="6C6E64A8" w14:textId="71A377C2" w:rsidR="000E5BBB" w:rsidRDefault="000E5BBB" w:rsidP="00091F80">
            <w:pPr>
              <w:pStyle w:val="ListParagraph"/>
              <w:numPr>
                <w:ilvl w:val="0"/>
                <w:numId w:val="53"/>
              </w:numPr>
              <w:tabs>
                <w:tab w:val="left" w:pos="709"/>
              </w:tabs>
              <w:spacing w:before="60" w:after="60" w:line="240" w:lineRule="auto"/>
              <w:rPr>
                <w:rFonts w:ascii="Arial" w:hAnsi="Arial" w:cs="Arial"/>
                <w:sz w:val="16"/>
                <w:szCs w:val="16"/>
              </w:rPr>
            </w:pPr>
            <w:r>
              <w:rPr>
                <w:rFonts w:ascii="Arial" w:hAnsi="Arial" w:cs="Arial"/>
                <w:sz w:val="16"/>
                <w:szCs w:val="16"/>
              </w:rPr>
              <w:t>Australian</w:t>
            </w:r>
            <w:r w:rsidR="00754FA2">
              <w:rPr>
                <w:rFonts w:ascii="Arial" w:hAnsi="Arial" w:cs="Arial"/>
                <w:sz w:val="16"/>
                <w:szCs w:val="16"/>
              </w:rPr>
              <w:t>s</w:t>
            </w:r>
            <w:r>
              <w:rPr>
                <w:rFonts w:ascii="Arial" w:hAnsi="Arial" w:cs="Arial"/>
                <w:sz w:val="16"/>
                <w:szCs w:val="16"/>
              </w:rPr>
              <w:t xml:space="preserve"> empowered to help themselves overseas. </w:t>
            </w:r>
          </w:p>
          <w:p w14:paraId="02946015" w14:textId="0244C7C8" w:rsidR="00A06A3A" w:rsidRPr="000E5BBB" w:rsidRDefault="000E5BBB" w:rsidP="00091F80">
            <w:pPr>
              <w:pStyle w:val="ListParagraph"/>
              <w:numPr>
                <w:ilvl w:val="0"/>
                <w:numId w:val="53"/>
              </w:numPr>
              <w:tabs>
                <w:tab w:val="left" w:pos="709"/>
              </w:tabs>
              <w:spacing w:before="60" w:after="60" w:line="240" w:lineRule="auto"/>
              <w:rPr>
                <w:rFonts w:ascii="Arial" w:hAnsi="Arial" w:cs="Arial"/>
                <w:sz w:val="16"/>
                <w:szCs w:val="16"/>
              </w:rPr>
            </w:pPr>
            <w:r>
              <w:rPr>
                <w:rFonts w:ascii="Arial" w:hAnsi="Arial" w:cs="Arial"/>
                <w:sz w:val="16"/>
                <w:szCs w:val="16"/>
              </w:rPr>
              <w:t xml:space="preserve">Preparedness for and management of overseas crises, including in the pandemic context assisting Australians abroad wishing to return home. </w:t>
            </w:r>
          </w:p>
        </w:tc>
      </w:tr>
      <w:tr w:rsidR="00A06A3A" w:rsidRPr="00AA75BF" w14:paraId="3BA9FFE9" w14:textId="77777777" w:rsidTr="00A311FC">
        <w:trPr>
          <w:trHeight w:val="258"/>
        </w:trPr>
        <w:tc>
          <w:tcPr>
            <w:tcW w:w="1560" w:type="dxa"/>
            <w:tcBorders>
              <w:top w:val="double" w:sz="4" w:space="0" w:color="auto"/>
              <w:bottom w:val="single" w:sz="4" w:space="0" w:color="auto"/>
              <w:right w:val="single" w:sz="4" w:space="0" w:color="auto"/>
            </w:tcBorders>
          </w:tcPr>
          <w:p w14:paraId="1F431E8E" w14:textId="20D7BC7A" w:rsidR="00A06A3A" w:rsidRPr="00AA75BF" w:rsidRDefault="00A06A3A"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CF7F357" w14:textId="77777777" w:rsidR="00A06A3A" w:rsidRPr="00AA75BF" w:rsidRDefault="00A06A3A"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F3F54ED" w14:textId="77777777" w:rsidR="00A06A3A" w:rsidRPr="00AA75BF" w:rsidRDefault="00A06A3A"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0F5BCF" w:rsidRPr="00F62425" w14:paraId="448A2770" w14:textId="77777777" w:rsidTr="00A311FC">
        <w:trPr>
          <w:trHeight w:val="258"/>
        </w:trPr>
        <w:tc>
          <w:tcPr>
            <w:tcW w:w="1560" w:type="dxa"/>
            <w:vMerge w:val="restart"/>
            <w:tcBorders>
              <w:top w:val="single" w:sz="4" w:space="0" w:color="auto"/>
              <w:right w:val="single" w:sz="4" w:space="0" w:color="auto"/>
            </w:tcBorders>
          </w:tcPr>
          <w:p w14:paraId="596DC0F8" w14:textId="77777777" w:rsidR="00AB1869" w:rsidRDefault="000F5BCF" w:rsidP="000F5BCF">
            <w:pPr>
              <w:pStyle w:val="TableTextBase"/>
              <w:rPr>
                <w:bCs/>
                <w:sz w:val="16"/>
                <w:szCs w:val="16"/>
              </w:rPr>
            </w:pPr>
            <w:r>
              <w:rPr>
                <w:bCs/>
                <w:sz w:val="16"/>
                <w:szCs w:val="16"/>
              </w:rPr>
              <w:t xml:space="preserve">Current year </w:t>
            </w:r>
          </w:p>
          <w:p w14:paraId="03CB5235" w14:textId="75F880AF" w:rsidR="000F5BCF" w:rsidRPr="00723F3F" w:rsidRDefault="000F5BCF" w:rsidP="000F5BCF">
            <w:pPr>
              <w:pStyle w:val="TableTextBase"/>
              <w:rPr>
                <w:bCs/>
                <w:sz w:val="16"/>
                <w:szCs w:val="16"/>
              </w:rPr>
            </w:pPr>
            <w:r>
              <w:rPr>
                <w:bCs/>
                <w:sz w:val="16"/>
                <w:szCs w:val="16"/>
              </w:rPr>
              <w:br/>
              <w:t>2021-22</w:t>
            </w:r>
          </w:p>
        </w:tc>
        <w:tc>
          <w:tcPr>
            <w:tcW w:w="3118" w:type="dxa"/>
            <w:tcBorders>
              <w:top w:val="single" w:sz="4" w:space="0" w:color="auto"/>
              <w:left w:val="single" w:sz="4" w:space="0" w:color="auto"/>
              <w:bottom w:val="single" w:sz="4" w:space="0" w:color="auto"/>
              <w:right w:val="single" w:sz="4" w:space="0" w:color="auto"/>
            </w:tcBorders>
          </w:tcPr>
          <w:p w14:paraId="2A1D7673" w14:textId="1B56FFCD" w:rsidR="000F5BCF" w:rsidRPr="00AA75BF" w:rsidRDefault="000F5BCF" w:rsidP="000F5BCF">
            <w:pPr>
              <w:pStyle w:val="TableTextBase"/>
              <w:rPr>
                <w:rFonts w:cs="Arial"/>
                <w:b/>
                <w:sz w:val="16"/>
                <w:szCs w:val="16"/>
              </w:rPr>
            </w:pPr>
            <w:r>
              <w:rPr>
                <w:rFonts w:cs="Arial"/>
                <w:sz w:val="16"/>
                <w:szCs w:val="16"/>
              </w:rPr>
              <w:t>A responsive consular service through our 24/7 global network, focusing on Australians most in need.</w:t>
            </w:r>
          </w:p>
        </w:tc>
        <w:tc>
          <w:tcPr>
            <w:tcW w:w="3118" w:type="dxa"/>
            <w:tcBorders>
              <w:top w:val="single" w:sz="4" w:space="0" w:color="auto"/>
              <w:left w:val="single" w:sz="4" w:space="0" w:color="auto"/>
              <w:bottom w:val="single" w:sz="4" w:space="0" w:color="auto"/>
            </w:tcBorders>
          </w:tcPr>
          <w:p w14:paraId="4755E049" w14:textId="6052FBF6" w:rsidR="000F5BCF" w:rsidRPr="00E2437F" w:rsidRDefault="000F5BCF" w:rsidP="00A71D15">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0F5BCF" w:rsidRPr="00F62425" w14:paraId="432B2F6B" w14:textId="77777777" w:rsidTr="00A311FC">
        <w:trPr>
          <w:trHeight w:val="258"/>
        </w:trPr>
        <w:tc>
          <w:tcPr>
            <w:tcW w:w="1560" w:type="dxa"/>
            <w:vMerge/>
            <w:tcBorders>
              <w:bottom w:val="single" w:sz="4" w:space="0" w:color="auto"/>
              <w:right w:val="single" w:sz="4" w:space="0" w:color="auto"/>
            </w:tcBorders>
          </w:tcPr>
          <w:p w14:paraId="0317C224" w14:textId="77777777" w:rsidR="000F5BCF" w:rsidRPr="00AA75BF" w:rsidRDefault="000F5BCF" w:rsidP="000F5BCF">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7F995F" w14:textId="0AF1A0D2" w:rsidR="000F5BCF" w:rsidRPr="00AA75BF" w:rsidRDefault="000F5BCF" w:rsidP="000F5BCF">
            <w:pPr>
              <w:pStyle w:val="TableTextBase"/>
              <w:rPr>
                <w:rFonts w:cs="Arial"/>
                <w:b/>
                <w:sz w:val="16"/>
                <w:szCs w:val="16"/>
              </w:rPr>
            </w:pPr>
            <w:r>
              <w:rPr>
                <w:rFonts w:cs="Arial"/>
                <w:sz w:val="16"/>
                <w:szCs w:val="16"/>
              </w:rPr>
              <w:t>The department is prepared to respond to overseas crises.</w:t>
            </w:r>
          </w:p>
        </w:tc>
        <w:tc>
          <w:tcPr>
            <w:tcW w:w="3118" w:type="dxa"/>
            <w:tcBorders>
              <w:top w:val="single" w:sz="4" w:space="0" w:color="auto"/>
              <w:left w:val="single" w:sz="4" w:space="0" w:color="auto"/>
              <w:bottom w:val="single" w:sz="4" w:space="0" w:color="auto"/>
            </w:tcBorders>
          </w:tcPr>
          <w:p w14:paraId="572BB77E" w14:textId="6396AE10" w:rsidR="000F5BCF" w:rsidRPr="00E2437F" w:rsidRDefault="000F5BCF" w:rsidP="00A71D15">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A06A3A" w:rsidRPr="00AA75BF" w14:paraId="79AA6372" w14:textId="77777777" w:rsidTr="00A311FC">
        <w:trPr>
          <w:trHeight w:val="258"/>
        </w:trPr>
        <w:tc>
          <w:tcPr>
            <w:tcW w:w="1560" w:type="dxa"/>
            <w:tcBorders>
              <w:top w:val="single" w:sz="4" w:space="0" w:color="auto"/>
              <w:bottom w:val="single" w:sz="4" w:space="0" w:color="auto"/>
              <w:right w:val="single" w:sz="4" w:space="0" w:color="auto"/>
            </w:tcBorders>
          </w:tcPr>
          <w:p w14:paraId="294EC4B9" w14:textId="6D655820" w:rsidR="00A06A3A" w:rsidRPr="00AA75BF" w:rsidRDefault="00A06A3A" w:rsidP="00CB6D07">
            <w:pPr>
              <w:pStyle w:val="TableTextBase"/>
              <w:rPr>
                <w:b/>
                <w:sz w:val="16"/>
                <w:szCs w:val="16"/>
              </w:rPr>
            </w:pPr>
            <w:r w:rsidRPr="00AA75BF">
              <w:rPr>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4DDDA34E" w14:textId="77777777" w:rsidR="00A06A3A" w:rsidRPr="00AA75BF" w:rsidRDefault="00A06A3A" w:rsidP="00CB6D07">
            <w:pPr>
              <w:pStyle w:val="TableTextBase"/>
              <w:rPr>
                <w:rFonts w:cs="Arial"/>
                <w:b/>
                <w:sz w:val="16"/>
                <w:szCs w:val="16"/>
              </w:rPr>
            </w:pPr>
            <w:r w:rsidRPr="00AA75BF">
              <w:rPr>
                <w:rFonts w:cs="Arial"/>
                <w:b/>
                <w:sz w:val="16"/>
                <w:szCs w:val="16"/>
              </w:rPr>
              <w:t>Performance measures</w:t>
            </w:r>
          </w:p>
        </w:tc>
        <w:tc>
          <w:tcPr>
            <w:tcW w:w="3118" w:type="dxa"/>
            <w:tcBorders>
              <w:top w:val="single" w:sz="4" w:space="0" w:color="auto"/>
              <w:left w:val="single" w:sz="4" w:space="0" w:color="auto"/>
              <w:bottom w:val="single" w:sz="4" w:space="0" w:color="auto"/>
            </w:tcBorders>
          </w:tcPr>
          <w:p w14:paraId="4ACEC6B8" w14:textId="77777777" w:rsidR="00A06A3A" w:rsidRPr="00AA75BF" w:rsidRDefault="00A06A3A" w:rsidP="00CB6D07">
            <w:pPr>
              <w:pStyle w:val="TableTextBase"/>
              <w:rPr>
                <w:rFonts w:cs="Arial"/>
                <w:b/>
                <w:sz w:val="16"/>
                <w:szCs w:val="16"/>
              </w:rPr>
            </w:pPr>
            <w:r>
              <w:rPr>
                <w:rFonts w:cs="Arial"/>
                <w:b/>
                <w:sz w:val="16"/>
                <w:szCs w:val="16"/>
              </w:rPr>
              <w:t>Planned</w:t>
            </w:r>
            <w:r w:rsidRPr="00AA75BF">
              <w:rPr>
                <w:rFonts w:cs="Arial"/>
                <w:b/>
                <w:sz w:val="16"/>
                <w:szCs w:val="16"/>
              </w:rPr>
              <w:t xml:space="preserve"> Performance Results</w:t>
            </w:r>
          </w:p>
        </w:tc>
      </w:tr>
      <w:tr w:rsidR="000B2170" w:rsidRPr="00AA75BF" w14:paraId="46A55146" w14:textId="77777777" w:rsidTr="00A311FC">
        <w:trPr>
          <w:trHeight w:val="258"/>
        </w:trPr>
        <w:tc>
          <w:tcPr>
            <w:tcW w:w="1560" w:type="dxa"/>
            <w:vMerge w:val="restart"/>
            <w:tcBorders>
              <w:top w:val="single" w:sz="4" w:space="0" w:color="auto"/>
              <w:right w:val="single" w:sz="4" w:space="0" w:color="auto"/>
            </w:tcBorders>
          </w:tcPr>
          <w:p w14:paraId="18B60E1E" w14:textId="77777777" w:rsidR="000B2170" w:rsidRPr="00723F3F" w:rsidRDefault="000B2170" w:rsidP="000B2170">
            <w:pPr>
              <w:pStyle w:val="TableTextBase"/>
              <w:rPr>
                <w:bCs/>
                <w:sz w:val="16"/>
                <w:szCs w:val="16"/>
              </w:rPr>
            </w:pPr>
            <w:r w:rsidRPr="00723F3F">
              <w:rPr>
                <w:bCs/>
                <w:sz w:val="16"/>
                <w:szCs w:val="16"/>
              </w:rPr>
              <w:t xml:space="preserve">Budget Year </w:t>
            </w:r>
            <w:r w:rsidRPr="00723F3F">
              <w:rPr>
                <w:bCs/>
                <w:sz w:val="16"/>
                <w:szCs w:val="16"/>
              </w:rPr>
              <w:br/>
              <w:t xml:space="preserve">2022-23 </w:t>
            </w:r>
          </w:p>
        </w:tc>
        <w:tc>
          <w:tcPr>
            <w:tcW w:w="3118" w:type="dxa"/>
            <w:tcBorders>
              <w:top w:val="single" w:sz="4" w:space="0" w:color="auto"/>
              <w:left w:val="single" w:sz="4" w:space="0" w:color="auto"/>
              <w:bottom w:val="single" w:sz="4" w:space="0" w:color="auto"/>
              <w:right w:val="single" w:sz="4" w:space="0" w:color="auto"/>
            </w:tcBorders>
          </w:tcPr>
          <w:p w14:paraId="1B485890" w14:textId="18685A76" w:rsidR="000B2170" w:rsidRPr="00AA75BF" w:rsidRDefault="000B2170" w:rsidP="000B2170">
            <w:pPr>
              <w:pStyle w:val="TableTextBase"/>
              <w:rPr>
                <w:rFonts w:cs="Arial"/>
                <w:b/>
                <w:sz w:val="16"/>
                <w:szCs w:val="16"/>
              </w:rPr>
            </w:pPr>
            <w:r>
              <w:rPr>
                <w:rFonts w:cs="Arial"/>
                <w:sz w:val="16"/>
                <w:szCs w:val="16"/>
              </w:rPr>
              <w:t>A responsive consular service through our 24/7 global network, focusing on Australians most in need.</w:t>
            </w:r>
          </w:p>
        </w:tc>
        <w:tc>
          <w:tcPr>
            <w:tcW w:w="3118" w:type="dxa"/>
            <w:tcBorders>
              <w:top w:val="single" w:sz="4" w:space="0" w:color="auto"/>
              <w:left w:val="single" w:sz="4" w:space="0" w:color="auto"/>
              <w:bottom w:val="single" w:sz="4" w:space="0" w:color="auto"/>
            </w:tcBorders>
          </w:tcPr>
          <w:p w14:paraId="0A0D98A3" w14:textId="5340F7EE" w:rsidR="000B2170" w:rsidRPr="00F62425" w:rsidRDefault="000B2170"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Australians can access consular services as outlined in the </w:t>
            </w:r>
            <w:hyperlink r:id="rId70" w:history="1">
              <w:r>
                <w:rPr>
                  <w:rStyle w:val="Hyperlink"/>
                  <w:rFonts w:ascii="Arial" w:hAnsi="Arial" w:cs="Arial"/>
                  <w:sz w:val="16"/>
                  <w:szCs w:val="16"/>
                </w:rPr>
                <w:t>Consular Services Charter</w:t>
              </w:r>
            </w:hyperlink>
            <w:r>
              <w:rPr>
                <w:rFonts w:ascii="Arial" w:hAnsi="Arial" w:cs="Arial"/>
                <w:sz w:val="16"/>
                <w:szCs w:val="16"/>
              </w:rPr>
              <w:t xml:space="preserve"> at all times, including in a crisis situation.</w:t>
            </w:r>
          </w:p>
        </w:tc>
      </w:tr>
      <w:tr w:rsidR="000B2170" w:rsidRPr="00AA75BF" w14:paraId="564F33B0" w14:textId="77777777" w:rsidTr="00A311FC">
        <w:trPr>
          <w:trHeight w:val="258"/>
        </w:trPr>
        <w:tc>
          <w:tcPr>
            <w:tcW w:w="1560" w:type="dxa"/>
            <w:vMerge/>
            <w:tcBorders>
              <w:bottom w:val="dotted" w:sz="4" w:space="0" w:color="auto"/>
              <w:right w:val="single" w:sz="4" w:space="0" w:color="auto"/>
            </w:tcBorders>
          </w:tcPr>
          <w:p w14:paraId="4F2BBCC6" w14:textId="77777777" w:rsidR="000B2170" w:rsidRPr="00AA75BF" w:rsidRDefault="000B2170" w:rsidP="000B2170">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5BF5E9AB" w14:textId="502296D0" w:rsidR="000B2170" w:rsidRPr="00AA75BF" w:rsidRDefault="000B2170" w:rsidP="000B2170">
            <w:pPr>
              <w:pStyle w:val="TableTextBase"/>
              <w:rPr>
                <w:rFonts w:cs="Arial"/>
                <w:b/>
                <w:sz w:val="16"/>
                <w:szCs w:val="16"/>
              </w:rPr>
            </w:pPr>
            <w:r>
              <w:rPr>
                <w:rFonts w:cs="Arial"/>
                <w:sz w:val="16"/>
                <w:szCs w:val="16"/>
              </w:rPr>
              <w:t>The department is prepared to respond to overseas crises.</w:t>
            </w:r>
          </w:p>
        </w:tc>
        <w:tc>
          <w:tcPr>
            <w:tcW w:w="3118" w:type="dxa"/>
            <w:tcBorders>
              <w:top w:val="single" w:sz="4" w:space="0" w:color="auto"/>
              <w:left w:val="single" w:sz="4" w:space="0" w:color="auto"/>
              <w:bottom w:val="dotted" w:sz="4" w:space="0" w:color="auto"/>
            </w:tcBorders>
          </w:tcPr>
          <w:p w14:paraId="6033DE4C" w14:textId="77777777" w:rsidR="000B2170" w:rsidRPr="000B2170" w:rsidRDefault="000B2170"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100 per cent of posts certify annually that crisis action plans are </w:t>
            </w:r>
            <w:proofErr w:type="gramStart"/>
            <w:r>
              <w:rPr>
                <w:rFonts w:ascii="Arial" w:hAnsi="Arial" w:cs="Arial"/>
                <w:sz w:val="16"/>
                <w:szCs w:val="16"/>
              </w:rPr>
              <w:t>current, and</w:t>
            </w:r>
            <w:proofErr w:type="gramEnd"/>
            <w:r>
              <w:rPr>
                <w:rFonts w:ascii="Arial" w:hAnsi="Arial" w:cs="Arial"/>
                <w:sz w:val="16"/>
                <w:szCs w:val="16"/>
              </w:rPr>
              <w:t xml:space="preserve"> have been exercised for countries of resident accreditation.</w:t>
            </w:r>
          </w:p>
          <w:p w14:paraId="70F7323D" w14:textId="40E3E8FE" w:rsidR="000B2170" w:rsidRPr="00F62425" w:rsidRDefault="000B2170"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Contingency planning and crisis management training is mandatory for all DFAT officers proceeding on long-term posting.</w:t>
            </w:r>
          </w:p>
        </w:tc>
      </w:tr>
      <w:tr w:rsidR="00A06A3A" w:rsidRPr="00AA75BF" w14:paraId="00246C96" w14:textId="77777777" w:rsidTr="00A311FC">
        <w:trPr>
          <w:trHeight w:val="258"/>
        </w:trPr>
        <w:tc>
          <w:tcPr>
            <w:tcW w:w="1560" w:type="dxa"/>
            <w:tcBorders>
              <w:top w:val="dotted" w:sz="4" w:space="0" w:color="auto"/>
              <w:bottom w:val="single" w:sz="4" w:space="0" w:color="auto"/>
              <w:right w:val="single" w:sz="4" w:space="0" w:color="auto"/>
            </w:tcBorders>
          </w:tcPr>
          <w:p w14:paraId="3AF599C7" w14:textId="77777777" w:rsidR="00A06A3A" w:rsidRDefault="00A06A3A"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Forward Estimates </w:t>
            </w:r>
          </w:p>
          <w:p w14:paraId="7B194B52" w14:textId="77777777" w:rsidR="00A06A3A" w:rsidRPr="00AA75BF" w:rsidRDefault="00A06A3A"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146B7570" w14:textId="77777777" w:rsidR="00A06A3A" w:rsidRPr="00AA75BF" w:rsidRDefault="00A06A3A" w:rsidP="00CB6D07">
            <w:pPr>
              <w:pStyle w:val="TableTextBase"/>
              <w:rPr>
                <w:rFonts w:cs="Arial"/>
                <w:b/>
                <w:sz w:val="16"/>
                <w:szCs w:val="16"/>
              </w:rPr>
            </w:pPr>
            <w:r>
              <w:rPr>
                <w:rFonts w:cs="Arial"/>
                <w:i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79850BD9" w14:textId="77777777" w:rsidR="00A06A3A" w:rsidRPr="00141481" w:rsidRDefault="00A06A3A" w:rsidP="00CB6D07">
            <w:pPr>
              <w:tabs>
                <w:tab w:val="left" w:pos="455"/>
              </w:tabs>
              <w:spacing w:before="60" w:after="60" w:line="240" w:lineRule="auto"/>
              <w:rPr>
                <w:rFonts w:ascii="Arial" w:hAnsi="Arial" w:cs="Arial"/>
                <w:sz w:val="16"/>
                <w:szCs w:val="16"/>
              </w:rPr>
            </w:pPr>
            <w:r w:rsidRPr="00141481">
              <w:rPr>
                <w:rFonts w:ascii="Arial" w:hAnsi="Arial" w:cs="Arial"/>
                <w:iCs/>
                <w:color w:val="000000" w:themeColor="text1"/>
                <w:sz w:val="16"/>
                <w:szCs w:val="16"/>
              </w:rPr>
              <w:t>As per 2022-23</w:t>
            </w:r>
          </w:p>
        </w:tc>
      </w:tr>
    </w:tbl>
    <w:p w14:paraId="10666793" w14:textId="77777777" w:rsidR="00A06A3A" w:rsidRPr="00B37085" w:rsidRDefault="00A06A3A" w:rsidP="003173C2">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6ACC79E5" w14:textId="0C1C7BA2" w:rsidR="000B2170" w:rsidRDefault="000B2170" w:rsidP="000B2170">
      <w:pPr>
        <w:pStyle w:val="TableHeading"/>
        <w:rPr>
          <w:lang w:val="en-AU"/>
        </w:rPr>
      </w:pPr>
      <w:r>
        <w:rPr>
          <w:highlight w:val="yellow"/>
          <w:lang w:val="en-US"/>
        </w:rPr>
        <w:br w:type="page"/>
      </w:r>
      <w:r w:rsidRPr="00F71634">
        <w:t>Table 2.</w:t>
      </w:r>
      <w:r>
        <w:rPr>
          <w:lang w:val="en-AU"/>
        </w:rPr>
        <w:t>2</w:t>
      </w:r>
      <w:r w:rsidRPr="00F71634">
        <w:t xml:space="preserve">.3: Performance </w:t>
      </w:r>
      <w:r>
        <w:rPr>
          <w:lang w:val="en-AU"/>
        </w:rPr>
        <w:t>measure</w:t>
      </w:r>
      <w:r w:rsidRPr="00F71634">
        <w:t xml:space="preserve"> for Outcome </w:t>
      </w:r>
      <w:r>
        <w:rPr>
          <w:lang w:val="en-AU"/>
        </w:rPr>
        <w:t xml:space="preserve">2 (continued)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97486F" w:rsidRPr="001B2F81" w14:paraId="5AD747F1" w14:textId="77777777" w:rsidTr="00CB6D07">
        <w:trPr>
          <w:trHeight w:val="569"/>
          <w:tblHeader/>
        </w:trPr>
        <w:tc>
          <w:tcPr>
            <w:tcW w:w="7796" w:type="dxa"/>
            <w:gridSpan w:val="3"/>
            <w:shd w:val="clear" w:color="auto" w:fill="F2F2F2"/>
          </w:tcPr>
          <w:p w14:paraId="00731AC9" w14:textId="77777777" w:rsidR="0097486F" w:rsidRPr="00C41058" w:rsidRDefault="0097486F" w:rsidP="00CB6D07">
            <w:pPr>
              <w:pStyle w:val="TableColumnHeadingLeft"/>
            </w:pPr>
            <w:r w:rsidRPr="00C41058">
              <w:rPr>
                <w:rStyle w:val="TableHeadingChar"/>
                <w:b/>
              </w:rPr>
              <w:t xml:space="preserve">Outcome </w:t>
            </w:r>
            <w:r>
              <w:rPr>
                <w:rStyle w:val="TableHeadingChar"/>
                <w:b/>
              </w:rPr>
              <w:t>2</w:t>
            </w:r>
            <w:r w:rsidRPr="00EF57EA">
              <w:t xml:space="preserve"> – </w:t>
            </w:r>
            <w:r>
              <w:t>The protection and welfare of Australians abroad and access to secure international travel documentation through timely and responsive travel advice and consular and passport services in Australia and overseas</w:t>
            </w:r>
            <w:r w:rsidRPr="00C41058">
              <w:rPr>
                <w:rStyle w:val="TableHeadingChar"/>
                <w:b/>
              </w:rPr>
              <w:t xml:space="preserve"> </w:t>
            </w:r>
          </w:p>
        </w:tc>
      </w:tr>
      <w:tr w:rsidR="0097486F" w:rsidRPr="001B2F81" w14:paraId="7CD32A05" w14:textId="77777777" w:rsidTr="00CB6D07">
        <w:trPr>
          <w:trHeight w:val="522"/>
          <w:tblHeader/>
        </w:trPr>
        <w:tc>
          <w:tcPr>
            <w:tcW w:w="7796" w:type="dxa"/>
            <w:gridSpan w:val="3"/>
            <w:tcBorders>
              <w:bottom w:val="single" w:sz="4" w:space="0" w:color="auto"/>
            </w:tcBorders>
            <w:shd w:val="clear" w:color="auto" w:fill="F2F2F2"/>
          </w:tcPr>
          <w:p w14:paraId="0FEFC7DD" w14:textId="6D1392ED" w:rsidR="0097486F" w:rsidRPr="00A311FC" w:rsidRDefault="0097486F" w:rsidP="00CB6D07">
            <w:pPr>
              <w:pStyle w:val="TableTextLeft"/>
            </w:pPr>
            <w:r w:rsidRPr="00A311FC">
              <w:rPr>
                <w:b/>
              </w:rPr>
              <w:t xml:space="preserve">Program 2.2 – </w:t>
            </w:r>
            <w:r w:rsidRPr="00A311FC">
              <w:rPr>
                <w:rFonts w:cs="Arial"/>
                <w:b/>
              </w:rPr>
              <w:t>Passport Services</w:t>
            </w:r>
            <w:r w:rsidRPr="00A311FC">
              <w:rPr>
                <w:rFonts w:cs="Arial"/>
              </w:rPr>
              <w:t xml:space="preserve"> provide </w:t>
            </w:r>
            <w:proofErr w:type="gramStart"/>
            <w:r w:rsidRPr="00A311FC">
              <w:rPr>
                <w:rFonts w:cs="Arial"/>
              </w:rPr>
              <w:t>Australians</w:t>
            </w:r>
            <w:proofErr w:type="gramEnd"/>
            <w:r w:rsidRPr="00A311FC">
              <w:rPr>
                <w:rFonts w:cs="Arial"/>
              </w:rPr>
              <w:t xml:space="preserve"> access to secure international travel documentation through the delivery of high-quality passport services</w:t>
            </w:r>
            <w:r w:rsidRPr="00A311FC">
              <w:rPr>
                <w:bCs/>
              </w:rPr>
              <w:t xml:space="preserve">. </w:t>
            </w:r>
          </w:p>
        </w:tc>
      </w:tr>
      <w:tr w:rsidR="0097486F" w14:paraId="5917F9FF" w14:textId="77777777" w:rsidTr="00A311FC">
        <w:trPr>
          <w:trHeight w:val="526"/>
        </w:trPr>
        <w:tc>
          <w:tcPr>
            <w:tcW w:w="1560" w:type="dxa"/>
            <w:tcBorders>
              <w:top w:val="single" w:sz="4" w:space="0" w:color="auto"/>
              <w:left w:val="single" w:sz="4" w:space="0" w:color="auto"/>
              <w:bottom w:val="double" w:sz="4" w:space="0" w:color="auto"/>
              <w:right w:val="single" w:sz="4" w:space="0" w:color="auto"/>
            </w:tcBorders>
            <w:hideMark/>
          </w:tcPr>
          <w:p w14:paraId="4BFFFF9F" w14:textId="77777777" w:rsidR="0097486F" w:rsidRDefault="0097486F"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36FE4FB4" w14:textId="77777777" w:rsidR="0097486F" w:rsidRDefault="0097486F" w:rsidP="00CB6D07">
            <w:pPr>
              <w:tabs>
                <w:tab w:val="left" w:pos="709"/>
              </w:tabs>
              <w:spacing w:before="60" w:after="60" w:line="240" w:lineRule="auto"/>
              <w:rPr>
                <w:rFonts w:ascii="Arial" w:hAnsi="Arial" w:cs="Arial"/>
                <w:i/>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17775C2D" w14:textId="7EF4CEDC" w:rsidR="0097486F" w:rsidRPr="000E5BBB" w:rsidRDefault="0097486F" w:rsidP="00091F80">
            <w:pPr>
              <w:pStyle w:val="ListParagraph"/>
              <w:numPr>
                <w:ilvl w:val="0"/>
                <w:numId w:val="53"/>
              </w:numPr>
              <w:tabs>
                <w:tab w:val="left" w:pos="709"/>
              </w:tabs>
              <w:spacing w:before="60" w:after="60" w:line="240" w:lineRule="auto"/>
              <w:rPr>
                <w:rFonts w:ascii="Arial" w:hAnsi="Arial" w:cs="Arial"/>
                <w:sz w:val="16"/>
                <w:szCs w:val="16"/>
              </w:rPr>
            </w:pPr>
            <w:r>
              <w:rPr>
                <w:rFonts w:ascii="Arial" w:hAnsi="Arial" w:cs="Arial"/>
                <w:sz w:val="16"/>
                <w:szCs w:val="16"/>
              </w:rPr>
              <w:t xml:space="preserve">Provide Australians with high-quality passport services. </w:t>
            </w:r>
          </w:p>
        </w:tc>
      </w:tr>
      <w:tr w:rsidR="0097486F" w:rsidRPr="00AA75BF" w14:paraId="1F2C9FB4" w14:textId="77777777" w:rsidTr="00A311FC">
        <w:trPr>
          <w:trHeight w:val="258"/>
        </w:trPr>
        <w:tc>
          <w:tcPr>
            <w:tcW w:w="1560" w:type="dxa"/>
            <w:tcBorders>
              <w:top w:val="double" w:sz="4" w:space="0" w:color="auto"/>
              <w:bottom w:val="single" w:sz="4" w:space="0" w:color="auto"/>
              <w:right w:val="single" w:sz="4" w:space="0" w:color="auto"/>
            </w:tcBorders>
          </w:tcPr>
          <w:p w14:paraId="07DE88B4" w14:textId="77777777" w:rsidR="0097486F" w:rsidRPr="00AA75BF" w:rsidRDefault="0097486F"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F2F056D" w14:textId="77777777" w:rsidR="0097486F" w:rsidRPr="00AA75BF" w:rsidRDefault="0097486F"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49F034F6" w14:textId="77777777" w:rsidR="0097486F" w:rsidRPr="00AA75BF" w:rsidRDefault="0097486F"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A71D15" w:rsidRPr="00F62425" w14:paraId="0D03D21C" w14:textId="77777777" w:rsidTr="00A311FC">
        <w:trPr>
          <w:trHeight w:val="258"/>
        </w:trPr>
        <w:tc>
          <w:tcPr>
            <w:tcW w:w="1560" w:type="dxa"/>
            <w:vMerge w:val="restart"/>
            <w:tcBorders>
              <w:top w:val="single" w:sz="4" w:space="0" w:color="auto"/>
              <w:right w:val="single" w:sz="4" w:space="0" w:color="auto"/>
            </w:tcBorders>
          </w:tcPr>
          <w:p w14:paraId="49CEF915" w14:textId="77777777" w:rsidR="00AB1869" w:rsidRDefault="00A71D15" w:rsidP="00A71D15">
            <w:pPr>
              <w:pStyle w:val="TableTextBase"/>
              <w:rPr>
                <w:bCs/>
                <w:sz w:val="16"/>
                <w:szCs w:val="16"/>
              </w:rPr>
            </w:pPr>
            <w:r>
              <w:rPr>
                <w:bCs/>
                <w:sz w:val="16"/>
                <w:szCs w:val="16"/>
              </w:rPr>
              <w:t xml:space="preserve">Current year </w:t>
            </w:r>
          </w:p>
          <w:p w14:paraId="0DF78A2B" w14:textId="4A6E949F" w:rsidR="00A71D15" w:rsidRPr="00723F3F" w:rsidRDefault="00A71D15" w:rsidP="00A71D15">
            <w:pPr>
              <w:pStyle w:val="TableTextBase"/>
              <w:rPr>
                <w:bCs/>
                <w:sz w:val="16"/>
                <w:szCs w:val="16"/>
              </w:rPr>
            </w:pPr>
            <w:r>
              <w:rPr>
                <w:bCs/>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6C7C5BED" w14:textId="0CF0E4C9" w:rsidR="00A71D15" w:rsidRPr="00AA75BF" w:rsidRDefault="00A71D15" w:rsidP="00A71D15">
            <w:pPr>
              <w:pStyle w:val="TableTextBase"/>
              <w:rPr>
                <w:rFonts w:cs="Arial"/>
                <w:b/>
                <w:sz w:val="16"/>
                <w:szCs w:val="16"/>
              </w:rPr>
            </w:pPr>
            <w:r>
              <w:rPr>
                <w:rFonts w:cs="Arial"/>
                <w:sz w:val="16"/>
                <w:szCs w:val="16"/>
              </w:rPr>
              <w:t>The department maintains a high standard in processing passport applications, investigating and prosecuting fraud.</w:t>
            </w:r>
          </w:p>
        </w:tc>
        <w:tc>
          <w:tcPr>
            <w:tcW w:w="3118" w:type="dxa"/>
            <w:tcBorders>
              <w:top w:val="single" w:sz="4" w:space="0" w:color="auto"/>
              <w:left w:val="single" w:sz="4" w:space="0" w:color="auto"/>
              <w:bottom w:val="single" w:sz="4" w:space="0" w:color="auto"/>
            </w:tcBorders>
          </w:tcPr>
          <w:p w14:paraId="79DF77CC" w14:textId="7270C662" w:rsidR="00A71D15" w:rsidRPr="00E2437F" w:rsidRDefault="00A71D15" w:rsidP="00A71D15">
            <w:pPr>
              <w:tabs>
                <w:tab w:val="left" w:pos="455"/>
              </w:tabs>
              <w:spacing w:before="60" w:after="60" w:line="240" w:lineRule="auto"/>
              <w:jc w:val="center"/>
              <w:rPr>
                <w:rFonts w:ascii="Arial" w:hAnsi="Arial" w:cs="Arial"/>
                <w:sz w:val="16"/>
                <w:szCs w:val="16"/>
              </w:rPr>
            </w:pPr>
            <w:r>
              <w:rPr>
                <w:rFonts w:ascii="Arial" w:hAnsi="Arial" w:cs="Arial"/>
                <w:iCs/>
                <w:sz w:val="16"/>
                <w:szCs w:val="16"/>
              </w:rPr>
              <w:t>Partially on track</w:t>
            </w:r>
          </w:p>
        </w:tc>
      </w:tr>
      <w:tr w:rsidR="00A71D15" w:rsidRPr="00F62425" w14:paraId="458C44D4" w14:textId="77777777" w:rsidTr="00CB6D07">
        <w:trPr>
          <w:trHeight w:val="258"/>
        </w:trPr>
        <w:tc>
          <w:tcPr>
            <w:tcW w:w="1560" w:type="dxa"/>
            <w:vMerge/>
            <w:tcBorders>
              <w:right w:val="single" w:sz="4" w:space="0" w:color="auto"/>
            </w:tcBorders>
          </w:tcPr>
          <w:p w14:paraId="66A03F88" w14:textId="77777777" w:rsidR="00A71D15" w:rsidRPr="00AA75BF" w:rsidRDefault="00A71D15" w:rsidP="00A71D1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CB22990" w14:textId="65D1264F" w:rsidR="00A71D15" w:rsidRPr="00AA75BF" w:rsidRDefault="00A71D15" w:rsidP="00A71D15">
            <w:pPr>
              <w:pStyle w:val="TableTextBase"/>
              <w:rPr>
                <w:rFonts w:cs="Arial"/>
                <w:b/>
                <w:sz w:val="16"/>
                <w:szCs w:val="16"/>
              </w:rPr>
            </w:pPr>
            <w:r>
              <w:rPr>
                <w:rFonts w:cs="Arial"/>
                <w:sz w:val="16"/>
                <w:szCs w:val="16"/>
              </w:rPr>
              <w:t>Australians have information to prepare for safe travel overseas.</w:t>
            </w:r>
          </w:p>
        </w:tc>
        <w:tc>
          <w:tcPr>
            <w:tcW w:w="3118" w:type="dxa"/>
            <w:tcBorders>
              <w:top w:val="single" w:sz="4" w:space="0" w:color="auto"/>
              <w:left w:val="single" w:sz="4" w:space="0" w:color="auto"/>
              <w:bottom w:val="single" w:sz="4" w:space="0" w:color="auto"/>
            </w:tcBorders>
          </w:tcPr>
          <w:p w14:paraId="49F13508" w14:textId="55161C6B" w:rsidR="00A71D15" w:rsidRPr="00E2437F" w:rsidRDefault="00A71D15" w:rsidP="00A71D15">
            <w:pPr>
              <w:tabs>
                <w:tab w:val="left" w:pos="455"/>
              </w:tabs>
              <w:spacing w:before="60" w:after="60" w:line="240" w:lineRule="auto"/>
              <w:jc w:val="center"/>
              <w:rPr>
                <w:rFonts w:ascii="Arial" w:hAnsi="Arial" w:cs="Arial"/>
                <w:sz w:val="16"/>
                <w:szCs w:val="16"/>
              </w:rPr>
            </w:pPr>
            <w:r>
              <w:rPr>
                <w:rFonts w:ascii="Arial" w:hAnsi="Arial" w:cs="Arial"/>
                <w:iCs/>
                <w:sz w:val="16"/>
                <w:szCs w:val="16"/>
              </w:rPr>
              <w:t>Achieved</w:t>
            </w:r>
          </w:p>
        </w:tc>
      </w:tr>
      <w:tr w:rsidR="00A71D15" w:rsidRPr="00F62425" w14:paraId="76E46956" w14:textId="77777777" w:rsidTr="00A311FC">
        <w:trPr>
          <w:trHeight w:val="258"/>
        </w:trPr>
        <w:tc>
          <w:tcPr>
            <w:tcW w:w="1560" w:type="dxa"/>
            <w:vMerge/>
            <w:tcBorders>
              <w:bottom w:val="single" w:sz="4" w:space="0" w:color="auto"/>
              <w:right w:val="single" w:sz="4" w:space="0" w:color="auto"/>
            </w:tcBorders>
          </w:tcPr>
          <w:p w14:paraId="572D7A36" w14:textId="77777777" w:rsidR="00A71D15" w:rsidRPr="00AA75BF" w:rsidRDefault="00A71D15" w:rsidP="00A71D15">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6B6537F" w14:textId="07BF21D6" w:rsidR="00A71D15" w:rsidRDefault="00A71D15" w:rsidP="00A71D15">
            <w:pPr>
              <w:pStyle w:val="TableTextBase"/>
              <w:rPr>
                <w:rFonts w:cs="Arial"/>
                <w:sz w:val="16"/>
                <w:szCs w:val="16"/>
              </w:rPr>
            </w:pPr>
            <w:r>
              <w:rPr>
                <w:rFonts w:cs="Arial"/>
                <w:sz w:val="16"/>
                <w:szCs w:val="16"/>
              </w:rPr>
              <w:t>Clients are satisfied with passport services, including online services.</w:t>
            </w:r>
          </w:p>
        </w:tc>
        <w:tc>
          <w:tcPr>
            <w:tcW w:w="3118" w:type="dxa"/>
            <w:tcBorders>
              <w:top w:val="single" w:sz="4" w:space="0" w:color="auto"/>
              <w:left w:val="single" w:sz="4" w:space="0" w:color="auto"/>
              <w:bottom w:val="single" w:sz="4" w:space="0" w:color="auto"/>
            </w:tcBorders>
          </w:tcPr>
          <w:p w14:paraId="1BADD581" w14:textId="4A81C8D0" w:rsidR="00A71D15" w:rsidRDefault="00A71D15" w:rsidP="00A71D15">
            <w:pPr>
              <w:tabs>
                <w:tab w:val="left" w:pos="455"/>
              </w:tabs>
              <w:spacing w:before="60" w:after="60" w:line="240" w:lineRule="auto"/>
              <w:jc w:val="center"/>
              <w:rPr>
                <w:rFonts w:ascii="Arial" w:hAnsi="Arial" w:cs="Arial"/>
                <w:iCs/>
                <w:sz w:val="16"/>
                <w:szCs w:val="16"/>
              </w:rPr>
            </w:pPr>
            <w:r>
              <w:rPr>
                <w:rFonts w:ascii="Arial" w:hAnsi="Arial" w:cs="Arial"/>
                <w:iCs/>
                <w:sz w:val="16"/>
                <w:szCs w:val="16"/>
              </w:rPr>
              <w:t>Partially on track</w:t>
            </w:r>
          </w:p>
        </w:tc>
      </w:tr>
      <w:tr w:rsidR="0097486F" w:rsidRPr="00AA75BF" w14:paraId="45C383B9" w14:textId="77777777" w:rsidTr="00A311FC">
        <w:trPr>
          <w:trHeight w:val="258"/>
        </w:trPr>
        <w:tc>
          <w:tcPr>
            <w:tcW w:w="1560" w:type="dxa"/>
            <w:tcBorders>
              <w:top w:val="single" w:sz="4" w:space="0" w:color="auto"/>
              <w:bottom w:val="single" w:sz="4" w:space="0" w:color="auto"/>
              <w:right w:val="single" w:sz="4" w:space="0" w:color="auto"/>
            </w:tcBorders>
          </w:tcPr>
          <w:p w14:paraId="31395973" w14:textId="77777777" w:rsidR="0097486F" w:rsidRPr="00AA75BF" w:rsidRDefault="0097486F" w:rsidP="00CB6D07">
            <w:pPr>
              <w:pStyle w:val="TableTextBase"/>
              <w:rPr>
                <w:b/>
                <w:sz w:val="16"/>
                <w:szCs w:val="16"/>
              </w:rPr>
            </w:pPr>
            <w:r w:rsidRPr="00AA75BF">
              <w:rPr>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14:paraId="002961DB" w14:textId="77777777" w:rsidR="0097486F" w:rsidRPr="00AA75BF" w:rsidRDefault="0097486F" w:rsidP="00CB6D07">
            <w:pPr>
              <w:pStyle w:val="TableTextBase"/>
              <w:rPr>
                <w:rFonts w:cs="Arial"/>
                <w:b/>
                <w:sz w:val="16"/>
                <w:szCs w:val="16"/>
              </w:rPr>
            </w:pPr>
            <w:r w:rsidRPr="00AA75BF">
              <w:rPr>
                <w:rFonts w:cs="Arial"/>
                <w:b/>
                <w:sz w:val="16"/>
                <w:szCs w:val="16"/>
              </w:rPr>
              <w:t>Performance measures</w:t>
            </w:r>
          </w:p>
        </w:tc>
        <w:tc>
          <w:tcPr>
            <w:tcW w:w="3118" w:type="dxa"/>
            <w:tcBorders>
              <w:top w:val="single" w:sz="4" w:space="0" w:color="auto"/>
              <w:left w:val="single" w:sz="4" w:space="0" w:color="auto"/>
              <w:bottom w:val="single" w:sz="4" w:space="0" w:color="auto"/>
            </w:tcBorders>
          </w:tcPr>
          <w:p w14:paraId="4E9BB033" w14:textId="77777777" w:rsidR="0097486F" w:rsidRPr="00AA75BF" w:rsidRDefault="0097486F" w:rsidP="00CB6D07">
            <w:pPr>
              <w:pStyle w:val="TableTextBase"/>
              <w:rPr>
                <w:rFonts w:cs="Arial"/>
                <w:b/>
                <w:sz w:val="16"/>
                <w:szCs w:val="16"/>
              </w:rPr>
            </w:pPr>
            <w:r>
              <w:rPr>
                <w:rFonts w:cs="Arial"/>
                <w:b/>
                <w:sz w:val="16"/>
                <w:szCs w:val="16"/>
              </w:rPr>
              <w:t>Planned</w:t>
            </w:r>
            <w:r w:rsidRPr="00AA75BF">
              <w:rPr>
                <w:rFonts w:cs="Arial"/>
                <w:b/>
                <w:sz w:val="16"/>
                <w:szCs w:val="16"/>
              </w:rPr>
              <w:t xml:space="preserve"> Performance Results</w:t>
            </w:r>
          </w:p>
        </w:tc>
      </w:tr>
      <w:tr w:rsidR="003173C2" w:rsidRPr="00AA75BF" w14:paraId="5B5AE646" w14:textId="77777777" w:rsidTr="00A311FC">
        <w:trPr>
          <w:trHeight w:val="258"/>
        </w:trPr>
        <w:tc>
          <w:tcPr>
            <w:tcW w:w="1560" w:type="dxa"/>
            <w:vMerge w:val="restart"/>
            <w:tcBorders>
              <w:top w:val="single" w:sz="4" w:space="0" w:color="auto"/>
              <w:right w:val="single" w:sz="4" w:space="0" w:color="auto"/>
            </w:tcBorders>
          </w:tcPr>
          <w:p w14:paraId="2FAE3386" w14:textId="77777777" w:rsidR="00DD66AC" w:rsidRDefault="003173C2" w:rsidP="003173C2">
            <w:pPr>
              <w:pStyle w:val="TableTextBase"/>
              <w:rPr>
                <w:bCs/>
                <w:sz w:val="16"/>
                <w:szCs w:val="16"/>
              </w:rPr>
            </w:pPr>
            <w:r w:rsidRPr="00723F3F">
              <w:rPr>
                <w:bCs/>
                <w:sz w:val="16"/>
                <w:szCs w:val="16"/>
              </w:rPr>
              <w:t xml:space="preserve">Budget Year </w:t>
            </w:r>
          </w:p>
          <w:p w14:paraId="78A12758" w14:textId="16074351" w:rsidR="003173C2" w:rsidRPr="00723F3F" w:rsidRDefault="003173C2" w:rsidP="003173C2">
            <w:pPr>
              <w:pStyle w:val="TableTextBase"/>
              <w:rPr>
                <w:bCs/>
                <w:sz w:val="16"/>
                <w:szCs w:val="16"/>
              </w:rPr>
            </w:pPr>
            <w:r w:rsidRPr="00723F3F">
              <w:rPr>
                <w:bCs/>
                <w:sz w:val="16"/>
                <w:szCs w:val="16"/>
              </w:rPr>
              <w:t xml:space="preserve">2022-23 </w:t>
            </w:r>
          </w:p>
        </w:tc>
        <w:tc>
          <w:tcPr>
            <w:tcW w:w="3118" w:type="dxa"/>
            <w:tcBorders>
              <w:top w:val="single" w:sz="4" w:space="0" w:color="auto"/>
              <w:left w:val="single" w:sz="4" w:space="0" w:color="auto"/>
              <w:bottom w:val="single" w:sz="4" w:space="0" w:color="auto"/>
              <w:right w:val="single" w:sz="4" w:space="0" w:color="auto"/>
            </w:tcBorders>
          </w:tcPr>
          <w:p w14:paraId="596F64B0" w14:textId="1EA0B960" w:rsidR="003173C2" w:rsidRPr="00AA75BF" w:rsidRDefault="003173C2" w:rsidP="003173C2">
            <w:pPr>
              <w:pStyle w:val="TableTextBase"/>
              <w:rPr>
                <w:rFonts w:cs="Arial"/>
                <w:b/>
                <w:sz w:val="16"/>
                <w:szCs w:val="16"/>
              </w:rPr>
            </w:pPr>
            <w:r>
              <w:rPr>
                <w:rFonts w:cs="Arial"/>
                <w:sz w:val="16"/>
                <w:szCs w:val="16"/>
              </w:rPr>
              <w:t>The department maintains a high standard in processing passport applications, investigating and prosecuting fraud.</w:t>
            </w:r>
          </w:p>
        </w:tc>
        <w:tc>
          <w:tcPr>
            <w:tcW w:w="3118" w:type="dxa"/>
            <w:tcBorders>
              <w:top w:val="single" w:sz="4" w:space="0" w:color="auto"/>
              <w:left w:val="single" w:sz="4" w:space="0" w:color="auto"/>
              <w:bottom w:val="single" w:sz="4" w:space="0" w:color="auto"/>
            </w:tcBorders>
          </w:tcPr>
          <w:p w14:paraId="3768716F" w14:textId="77777777" w:rsidR="003173C2" w:rsidRDefault="003173C2"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95 per cent of passports processed within 10 business days.</w:t>
            </w:r>
          </w:p>
          <w:p w14:paraId="3CD480EC" w14:textId="77777777" w:rsidR="003173C2" w:rsidRDefault="003173C2"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98 per cent of priority passports processed within two business days.</w:t>
            </w:r>
          </w:p>
          <w:p w14:paraId="3F62B028" w14:textId="77777777" w:rsidR="003173C2" w:rsidRDefault="003173C2"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100 per cent of identified high risk passport applications </w:t>
            </w:r>
            <w:proofErr w:type="spellStart"/>
            <w:r>
              <w:rPr>
                <w:rFonts w:ascii="Arial" w:hAnsi="Arial" w:cs="Arial"/>
                <w:sz w:val="16"/>
                <w:szCs w:val="16"/>
              </w:rPr>
              <w:t>scrutinised</w:t>
            </w:r>
            <w:proofErr w:type="spellEnd"/>
            <w:r>
              <w:rPr>
                <w:rFonts w:ascii="Arial" w:hAnsi="Arial" w:cs="Arial"/>
                <w:sz w:val="16"/>
                <w:szCs w:val="16"/>
              </w:rPr>
              <w:t xml:space="preserve"> by specialist staff.</w:t>
            </w:r>
          </w:p>
          <w:p w14:paraId="480CC0E1" w14:textId="77777777" w:rsidR="003173C2" w:rsidRDefault="003173C2"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95 per cent of referrals to prosecuting authorities accepted for prosecution.</w:t>
            </w:r>
          </w:p>
          <w:p w14:paraId="21768862" w14:textId="2C50431E" w:rsidR="003173C2" w:rsidRPr="00F62425" w:rsidRDefault="003173C2"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90 per cent of administrative investigations </w:t>
            </w:r>
            <w:proofErr w:type="spellStart"/>
            <w:r>
              <w:rPr>
                <w:rFonts w:ascii="Arial" w:hAnsi="Arial" w:cs="Arial"/>
                <w:sz w:val="16"/>
                <w:szCs w:val="16"/>
              </w:rPr>
              <w:t>finalised</w:t>
            </w:r>
            <w:proofErr w:type="spellEnd"/>
            <w:r>
              <w:rPr>
                <w:rFonts w:ascii="Arial" w:hAnsi="Arial" w:cs="Arial"/>
                <w:sz w:val="16"/>
                <w:szCs w:val="16"/>
              </w:rPr>
              <w:t xml:space="preserve"> within five business days.</w:t>
            </w:r>
          </w:p>
        </w:tc>
      </w:tr>
      <w:tr w:rsidR="003173C2" w:rsidRPr="00AA75BF" w14:paraId="6225858E" w14:textId="77777777" w:rsidTr="00CB6D07">
        <w:trPr>
          <w:trHeight w:val="258"/>
        </w:trPr>
        <w:tc>
          <w:tcPr>
            <w:tcW w:w="1560" w:type="dxa"/>
            <w:vMerge/>
            <w:tcBorders>
              <w:right w:val="single" w:sz="4" w:space="0" w:color="auto"/>
            </w:tcBorders>
          </w:tcPr>
          <w:p w14:paraId="494100FE" w14:textId="77777777" w:rsidR="003173C2" w:rsidRPr="00AA75BF" w:rsidRDefault="003173C2" w:rsidP="003173C2">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DCFE9E3" w14:textId="0B75092F" w:rsidR="003173C2" w:rsidRPr="00AA75BF" w:rsidRDefault="003173C2" w:rsidP="003173C2">
            <w:pPr>
              <w:pStyle w:val="TableTextBase"/>
              <w:rPr>
                <w:rFonts w:cs="Arial"/>
                <w:b/>
                <w:sz w:val="16"/>
                <w:szCs w:val="16"/>
              </w:rPr>
            </w:pPr>
            <w:r>
              <w:rPr>
                <w:rFonts w:cs="Arial"/>
                <w:sz w:val="16"/>
                <w:szCs w:val="16"/>
              </w:rPr>
              <w:t>Australians have information to prepare for safe travel overseas.</w:t>
            </w:r>
          </w:p>
        </w:tc>
        <w:tc>
          <w:tcPr>
            <w:tcW w:w="3118" w:type="dxa"/>
            <w:tcBorders>
              <w:top w:val="single" w:sz="4" w:space="0" w:color="auto"/>
              <w:left w:val="single" w:sz="4" w:space="0" w:color="auto"/>
              <w:bottom w:val="single" w:sz="4" w:space="0" w:color="auto"/>
            </w:tcBorders>
          </w:tcPr>
          <w:p w14:paraId="7BF7164E" w14:textId="4F57F10C" w:rsidR="003173C2" w:rsidRDefault="003173C2"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 xml:space="preserve">100 per cent of </w:t>
            </w:r>
            <w:r w:rsidR="00C72A4E">
              <w:rPr>
                <w:rFonts w:ascii="Arial" w:hAnsi="Arial" w:cs="Arial"/>
                <w:sz w:val="16"/>
                <w:szCs w:val="16"/>
              </w:rPr>
              <w:t>t</w:t>
            </w:r>
            <w:r>
              <w:rPr>
                <w:rFonts w:ascii="Arial" w:hAnsi="Arial" w:cs="Arial"/>
                <w:sz w:val="16"/>
                <w:szCs w:val="16"/>
              </w:rPr>
              <w:t xml:space="preserve">ravel </w:t>
            </w:r>
            <w:r w:rsidR="00C72A4E">
              <w:rPr>
                <w:rFonts w:ascii="Arial" w:hAnsi="Arial" w:cs="Arial"/>
                <w:sz w:val="16"/>
                <w:szCs w:val="16"/>
              </w:rPr>
              <w:t>a</w:t>
            </w:r>
            <w:r>
              <w:rPr>
                <w:rFonts w:ascii="Arial" w:hAnsi="Arial" w:cs="Arial"/>
                <w:sz w:val="16"/>
                <w:szCs w:val="16"/>
              </w:rPr>
              <w:t>dvisories reviewed bi-annually for posts in a volatile risk environment and/or where there are high Australian interests.</w:t>
            </w:r>
          </w:p>
          <w:p w14:paraId="6FBA88F8" w14:textId="20818926" w:rsidR="003173C2" w:rsidRPr="00F62425" w:rsidRDefault="003173C2"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Pr>
                <w:rFonts w:ascii="Arial" w:hAnsi="Arial" w:cs="Arial"/>
                <w:sz w:val="16"/>
                <w:szCs w:val="16"/>
              </w:rPr>
              <w:t xml:space="preserve">100 per cent of </w:t>
            </w:r>
            <w:r w:rsidR="00C72A4E">
              <w:rPr>
                <w:rFonts w:ascii="Arial" w:hAnsi="Arial" w:cs="Arial"/>
                <w:sz w:val="16"/>
                <w:szCs w:val="16"/>
              </w:rPr>
              <w:t>t</w:t>
            </w:r>
            <w:r>
              <w:rPr>
                <w:rFonts w:ascii="Arial" w:hAnsi="Arial" w:cs="Arial"/>
                <w:sz w:val="16"/>
                <w:szCs w:val="16"/>
              </w:rPr>
              <w:t xml:space="preserve">ravel </w:t>
            </w:r>
            <w:r w:rsidR="00C72A4E">
              <w:rPr>
                <w:rFonts w:ascii="Arial" w:hAnsi="Arial" w:cs="Arial"/>
                <w:sz w:val="16"/>
                <w:szCs w:val="16"/>
              </w:rPr>
              <w:t>a</w:t>
            </w:r>
            <w:r>
              <w:rPr>
                <w:rFonts w:ascii="Arial" w:hAnsi="Arial" w:cs="Arial"/>
                <w:sz w:val="16"/>
                <w:szCs w:val="16"/>
              </w:rPr>
              <w:t>dvisories reviewed annually for all other posts.</w:t>
            </w:r>
          </w:p>
        </w:tc>
      </w:tr>
      <w:tr w:rsidR="003173C2" w:rsidRPr="00AA75BF" w14:paraId="6F1BFE55" w14:textId="77777777" w:rsidTr="00A311FC">
        <w:trPr>
          <w:trHeight w:val="258"/>
        </w:trPr>
        <w:tc>
          <w:tcPr>
            <w:tcW w:w="1560" w:type="dxa"/>
            <w:vMerge/>
            <w:tcBorders>
              <w:bottom w:val="dotted" w:sz="4" w:space="0" w:color="auto"/>
              <w:right w:val="single" w:sz="4" w:space="0" w:color="auto"/>
            </w:tcBorders>
          </w:tcPr>
          <w:p w14:paraId="2EED411B" w14:textId="77777777" w:rsidR="003173C2" w:rsidRPr="00AA75BF" w:rsidRDefault="003173C2" w:rsidP="003173C2">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5EE7833F" w14:textId="493261F7" w:rsidR="003173C2" w:rsidRDefault="003173C2" w:rsidP="003173C2">
            <w:pPr>
              <w:pStyle w:val="TableTextBase"/>
              <w:rPr>
                <w:rFonts w:cs="Arial"/>
                <w:sz w:val="16"/>
                <w:szCs w:val="16"/>
              </w:rPr>
            </w:pPr>
            <w:r>
              <w:rPr>
                <w:rFonts w:cs="Arial"/>
                <w:sz w:val="16"/>
                <w:szCs w:val="16"/>
              </w:rPr>
              <w:t>Clients are satisfied with passport services, including online services.</w:t>
            </w:r>
          </w:p>
        </w:tc>
        <w:tc>
          <w:tcPr>
            <w:tcW w:w="3118" w:type="dxa"/>
            <w:tcBorders>
              <w:top w:val="single" w:sz="4" w:space="0" w:color="auto"/>
              <w:left w:val="single" w:sz="4" w:space="0" w:color="auto"/>
              <w:bottom w:val="dotted" w:sz="4" w:space="0" w:color="auto"/>
            </w:tcBorders>
          </w:tcPr>
          <w:p w14:paraId="2CE50C42" w14:textId="77777777" w:rsidR="003173C2" w:rsidRDefault="003173C2"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60 per cent of applications commenced online.</w:t>
            </w:r>
          </w:p>
          <w:p w14:paraId="72A2EAF0" w14:textId="6A141D69" w:rsidR="003173C2" w:rsidRDefault="003173C2"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Pr>
                <w:rFonts w:ascii="Arial" w:hAnsi="Arial" w:cs="Arial"/>
                <w:sz w:val="16"/>
                <w:szCs w:val="16"/>
              </w:rPr>
              <w:t>85 per cent satisfaction rate of overall passport service from client survey.</w:t>
            </w:r>
          </w:p>
        </w:tc>
      </w:tr>
      <w:tr w:rsidR="0097486F" w:rsidRPr="00AA75BF" w14:paraId="7FF49EC9" w14:textId="77777777" w:rsidTr="00A311FC">
        <w:trPr>
          <w:trHeight w:val="258"/>
        </w:trPr>
        <w:tc>
          <w:tcPr>
            <w:tcW w:w="1560" w:type="dxa"/>
            <w:tcBorders>
              <w:top w:val="dotted" w:sz="4" w:space="0" w:color="auto"/>
              <w:bottom w:val="single" w:sz="4" w:space="0" w:color="auto"/>
              <w:right w:val="single" w:sz="4" w:space="0" w:color="auto"/>
            </w:tcBorders>
          </w:tcPr>
          <w:p w14:paraId="54819557" w14:textId="77777777" w:rsidR="0097486F" w:rsidRDefault="0097486F"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Forward Estimates </w:t>
            </w:r>
          </w:p>
          <w:p w14:paraId="0A4B1502" w14:textId="77777777" w:rsidR="0097486F" w:rsidRPr="00AA75BF" w:rsidRDefault="0097486F"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7D719E80" w14:textId="77777777" w:rsidR="0097486F" w:rsidRPr="00AA75BF" w:rsidRDefault="0097486F" w:rsidP="00CB6D07">
            <w:pPr>
              <w:pStyle w:val="TableTextBase"/>
              <w:rPr>
                <w:rFonts w:cs="Arial"/>
                <w:b/>
                <w:sz w:val="16"/>
                <w:szCs w:val="16"/>
              </w:rPr>
            </w:pPr>
            <w:r>
              <w:rPr>
                <w:rFonts w:cs="Arial"/>
                <w:i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0ADA9E39" w14:textId="77777777" w:rsidR="0097486F" w:rsidRPr="00141481" w:rsidRDefault="0097486F" w:rsidP="00CB6D07">
            <w:pPr>
              <w:tabs>
                <w:tab w:val="left" w:pos="455"/>
              </w:tabs>
              <w:spacing w:before="60" w:after="60" w:line="240" w:lineRule="auto"/>
              <w:rPr>
                <w:rFonts w:ascii="Arial" w:hAnsi="Arial" w:cs="Arial"/>
                <w:sz w:val="16"/>
                <w:szCs w:val="16"/>
              </w:rPr>
            </w:pPr>
            <w:r w:rsidRPr="00141481">
              <w:rPr>
                <w:rFonts w:ascii="Arial" w:hAnsi="Arial" w:cs="Arial"/>
                <w:iCs/>
                <w:color w:val="000000" w:themeColor="text1"/>
                <w:sz w:val="16"/>
                <w:szCs w:val="16"/>
              </w:rPr>
              <w:t>As per 2022-23</w:t>
            </w:r>
          </w:p>
        </w:tc>
      </w:tr>
    </w:tbl>
    <w:p w14:paraId="43A024E8" w14:textId="3882E5CA" w:rsidR="00A06A3A" w:rsidRDefault="0097486F" w:rsidP="003173C2">
      <w:pPr>
        <w:spacing w:line="240" w:lineRule="auto"/>
        <w:rPr>
          <w:rFonts w:ascii="Arial" w:hAnsi="Arial"/>
          <w:sz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r w:rsidR="00A06A3A">
        <w:rPr>
          <w:rFonts w:ascii="Arial" w:hAnsi="Arial"/>
          <w:sz w:val="16"/>
        </w:rPr>
        <w:br w:type="page"/>
      </w:r>
    </w:p>
    <w:p w14:paraId="59795596" w14:textId="57CF5E3F" w:rsidR="008E34EA" w:rsidRPr="00F743D8" w:rsidRDefault="008E34EA" w:rsidP="008E34EA">
      <w:pPr>
        <w:pStyle w:val="Heading3"/>
      </w:pPr>
      <w:bookmarkStart w:id="107" w:name="_Toc95217853"/>
      <w:bookmarkStart w:id="108" w:name="_Toc95229680"/>
      <w:bookmarkStart w:id="109" w:name="_Toc95288987"/>
      <w:bookmarkStart w:id="110" w:name="_Toc95291874"/>
      <w:bookmarkStart w:id="111" w:name="_Toc95293748"/>
      <w:bookmarkStart w:id="112" w:name="_Toc95296398"/>
      <w:bookmarkStart w:id="113" w:name="_Toc97387902"/>
      <w:bookmarkStart w:id="114" w:name="_Toc97540640"/>
      <w:bookmarkStart w:id="115" w:name="_Toc99111642"/>
      <w:r>
        <w:t>2.3</w:t>
      </w:r>
      <w:r w:rsidRPr="00F743D8">
        <w:t xml:space="preserve"> </w:t>
      </w:r>
      <w:r w:rsidRPr="00F743D8">
        <w:tab/>
        <w:t xml:space="preserve">Budgeted expenses and performance for Outcome </w:t>
      </w:r>
      <w:r>
        <w:t>3</w:t>
      </w:r>
      <w:bookmarkEnd w:id="107"/>
      <w:bookmarkEnd w:id="108"/>
      <w:bookmarkEnd w:id="109"/>
      <w:bookmarkEnd w:id="110"/>
      <w:bookmarkEnd w:id="111"/>
      <w:bookmarkEnd w:id="112"/>
      <w:bookmarkEnd w:id="113"/>
      <w:bookmarkEnd w:id="114"/>
      <w:bookmarkEnd w:id="1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8E34EA" w:rsidRPr="005E6F2B" w14:paraId="7CC2C268" w14:textId="77777777" w:rsidTr="008E34EA">
        <w:tc>
          <w:tcPr>
            <w:tcW w:w="7704" w:type="dxa"/>
            <w:shd w:val="clear" w:color="auto" w:fill="E6E6E6"/>
          </w:tcPr>
          <w:p w14:paraId="6A027EAE" w14:textId="3189C110" w:rsidR="008E34EA" w:rsidRPr="005E6F2B" w:rsidRDefault="008E34EA" w:rsidP="00637CC0">
            <w:pPr>
              <w:pStyle w:val="TableColumnHeadingLeft"/>
            </w:pPr>
            <w:r w:rsidRPr="005E6F2B">
              <w:t xml:space="preserve">Outcome </w:t>
            </w:r>
            <w:r>
              <w:t>3</w:t>
            </w:r>
            <w:r w:rsidRPr="005E6F2B">
              <w:t xml:space="preserve">: </w:t>
            </w:r>
            <w:r w:rsidR="00F93CED" w:rsidRPr="00B55AA3">
              <w:t>A secure Australian Government presence overseas through the provision of security services and information and communication</w:t>
            </w:r>
            <w:r w:rsidR="00F93CED">
              <w:t>s</w:t>
            </w:r>
            <w:r w:rsidR="00F93CED" w:rsidRPr="00B55AA3">
              <w:t xml:space="preserve"> technology infrastructure, and the management of the Commonwealth's overseas property estate</w:t>
            </w:r>
          </w:p>
        </w:tc>
      </w:tr>
    </w:tbl>
    <w:p w14:paraId="56A910E2" w14:textId="77777777" w:rsidR="008E34EA" w:rsidRPr="005E6F2B" w:rsidRDefault="008E34EA" w:rsidP="008E34EA">
      <w:pPr>
        <w:pStyle w:val="NoSpacing"/>
      </w:pPr>
    </w:p>
    <w:p w14:paraId="237F5F4D" w14:textId="052E85DF" w:rsidR="008E34EA" w:rsidRPr="00E26389" w:rsidRDefault="008E34EA" w:rsidP="008E34EA">
      <w:pPr>
        <w:pStyle w:val="Heading5"/>
        <w:rPr>
          <w:b/>
          <w:bCs w:val="0"/>
        </w:rPr>
      </w:pPr>
      <w:r w:rsidRPr="00E26389">
        <w:rPr>
          <w:b/>
          <w:bCs w:val="0"/>
        </w:rPr>
        <w:t>Budgeted expenses for Outcome 3</w:t>
      </w:r>
    </w:p>
    <w:p w14:paraId="6877D0C8" w14:textId="77777777" w:rsidR="008E34EA" w:rsidRDefault="008E34EA" w:rsidP="008E34EA">
      <w:r w:rsidRPr="00950281">
        <w:t>This table shows how much the entity intends to spend (on an accrual basis) on achieving the outcome, broken down by program, as well as by Administered an</w:t>
      </w:r>
      <w:r>
        <w:t>d Departmental funding sources.</w:t>
      </w:r>
    </w:p>
    <w:p w14:paraId="57917141" w14:textId="4E0E9E73" w:rsidR="008E34EA" w:rsidRPr="00F93CED" w:rsidRDefault="008E34EA" w:rsidP="00F93CED">
      <w:pPr>
        <w:pStyle w:val="TableHeading"/>
      </w:pPr>
      <w:r w:rsidRPr="00F93CED">
        <w:t>Table 2.</w:t>
      </w:r>
      <w:r w:rsidR="00F93CED" w:rsidRPr="00F93CED">
        <w:t>3</w:t>
      </w:r>
      <w:r w:rsidRPr="00F93CED">
        <w:t xml:space="preserve">.1: Budgeted expenses for Outcome </w:t>
      </w:r>
      <w:r w:rsidR="00F93CED" w:rsidRPr="00F93CED">
        <w:t>3</w:t>
      </w:r>
    </w:p>
    <w:p w14:paraId="01B2BA56" w14:textId="37ABEE54" w:rsidR="008E34EA" w:rsidRDefault="00E34D7D" w:rsidP="008E34EA">
      <w:pPr>
        <w:pStyle w:val="TableHeading"/>
      </w:pPr>
      <w:r w:rsidRPr="00E34D7D">
        <w:rPr>
          <w:noProof/>
        </w:rPr>
        <w:drawing>
          <wp:inline distT="0" distB="0" distL="0" distR="0" wp14:anchorId="361AB59D" wp14:editId="17948480">
            <wp:extent cx="4772025" cy="43148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72025" cy="4314825"/>
                    </a:xfrm>
                    <a:prstGeom prst="rect">
                      <a:avLst/>
                    </a:prstGeom>
                    <a:noFill/>
                    <a:ln>
                      <a:noFill/>
                    </a:ln>
                  </pic:spPr>
                </pic:pic>
              </a:graphicData>
            </a:graphic>
          </wp:inline>
        </w:drawing>
      </w:r>
    </w:p>
    <w:p w14:paraId="7D1AFABF" w14:textId="200EB046" w:rsidR="008E34EA" w:rsidRDefault="008E34EA" w:rsidP="00091F80">
      <w:pPr>
        <w:pStyle w:val="ChartandTableFootnoteAlpha"/>
        <w:numPr>
          <w:ilvl w:val="0"/>
          <w:numId w:val="58"/>
        </w:numPr>
      </w:pPr>
      <w:r w:rsidRPr="00950281">
        <w:t xml:space="preserve">Expenses not requiring appropriation in the Budget year are made up of depreciation expenses, amortisation expenses </w:t>
      </w:r>
      <w:r w:rsidR="00EE5736">
        <w:t xml:space="preserve">and </w:t>
      </w:r>
      <w:r w:rsidRPr="00950281">
        <w:t>make good expenses.</w:t>
      </w:r>
    </w:p>
    <w:p w14:paraId="50912BB4" w14:textId="77777777" w:rsidR="008E34EA" w:rsidRPr="00446612" w:rsidRDefault="008E34EA" w:rsidP="008E34EA">
      <w:pPr>
        <w:pStyle w:val="ChartandTableFootnote"/>
      </w:pPr>
      <w:r w:rsidRPr="00446612">
        <w:t>Note: Departmental appropriation splits and totals are indicative estimates and may change in the course of the budget year as government priorities change.</w:t>
      </w:r>
    </w:p>
    <w:p w14:paraId="6C467F57" w14:textId="77777777" w:rsidR="008E34EA" w:rsidRPr="00446612" w:rsidRDefault="008E34EA" w:rsidP="008E34EA">
      <w:pPr>
        <w:pStyle w:val="NoSpacing"/>
      </w:pPr>
    </w:p>
    <w:p w14:paraId="219539C6" w14:textId="44B700A8" w:rsidR="008E34EA" w:rsidRPr="00F93CED" w:rsidRDefault="008E34EA" w:rsidP="008E34EA">
      <w:pPr>
        <w:pStyle w:val="TableHeading"/>
        <w:rPr>
          <w:lang w:val="en-AU"/>
        </w:rPr>
      </w:pPr>
      <w:r w:rsidRPr="00F71634">
        <w:t>Table 2.</w:t>
      </w:r>
      <w:r w:rsidR="00F93CED">
        <w:rPr>
          <w:lang w:val="en-AU"/>
        </w:rPr>
        <w:t>3</w:t>
      </w:r>
      <w:r w:rsidRPr="00F71634">
        <w:t xml:space="preserve">.3: Performance </w:t>
      </w:r>
      <w:r>
        <w:rPr>
          <w:lang w:val="en-AU"/>
        </w:rPr>
        <w:t>measure</w:t>
      </w:r>
      <w:r w:rsidRPr="00F71634">
        <w:t xml:space="preserve"> for Outcome </w:t>
      </w:r>
      <w:r w:rsidR="00F93CED">
        <w:rPr>
          <w:lang w:val="en-AU"/>
        </w:rPr>
        <w:t>3</w:t>
      </w:r>
    </w:p>
    <w:p w14:paraId="74D61A2D" w14:textId="049FDE0F" w:rsidR="008E34EA" w:rsidRDefault="008E34EA" w:rsidP="008E34EA">
      <w:r w:rsidRPr="001B2F81">
        <w:t>Table 2.</w:t>
      </w:r>
      <w:r w:rsidR="00F93CED">
        <w:t>3</w:t>
      </w:r>
      <w:r w:rsidRPr="001B2F81">
        <w:t>.</w:t>
      </w:r>
      <w:r>
        <w:t>3</w:t>
      </w:r>
      <w:r w:rsidRPr="001B2F81">
        <w:t xml:space="preserve"> details the performance measures for each program associated with Outcome</w:t>
      </w:r>
      <w:r w:rsidR="003D7DC8">
        <w:t> </w:t>
      </w:r>
      <w:r w:rsidR="00F93CED">
        <w:t>3</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C72A4E">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3173C2" w:rsidRPr="001B2F81" w14:paraId="6D98CF21" w14:textId="77777777" w:rsidTr="00CB6D07">
        <w:trPr>
          <w:trHeight w:val="569"/>
          <w:tblHeader/>
        </w:trPr>
        <w:tc>
          <w:tcPr>
            <w:tcW w:w="7796" w:type="dxa"/>
            <w:gridSpan w:val="3"/>
            <w:shd w:val="clear" w:color="auto" w:fill="F2F2F2"/>
          </w:tcPr>
          <w:p w14:paraId="434C9FBC" w14:textId="27C2E2CD" w:rsidR="003173C2" w:rsidRPr="00C41058" w:rsidRDefault="003173C2" w:rsidP="00CB6D07">
            <w:pPr>
              <w:pStyle w:val="TableColumnHeadingLeft"/>
            </w:pPr>
            <w:r w:rsidRPr="00C41058">
              <w:rPr>
                <w:rStyle w:val="TableHeadingChar"/>
                <w:b/>
              </w:rPr>
              <w:t xml:space="preserve">Outcome </w:t>
            </w:r>
            <w:r>
              <w:t>3</w:t>
            </w:r>
            <w:r w:rsidRPr="00EF57EA">
              <w:t xml:space="preserve"> – </w:t>
            </w:r>
            <w:r w:rsidRPr="007926B3">
              <w:t>A secure Australian Government presence overseas through the provision of security services and information and communications technology infrastructure, and the management of the Commonwealth’s overseas property estate</w:t>
            </w:r>
            <w:r w:rsidRPr="00C41058">
              <w:rPr>
                <w:rStyle w:val="TableHeadingChar"/>
                <w:b/>
              </w:rPr>
              <w:t xml:space="preserve"> </w:t>
            </w:r>
          </w:p>
        </w:tc>
      </w:tr>
      <w:tr w:rsidR="003173C2" w:rsidRPr="001B2F81" w14:paraId="656767C1" w14:textId="77777777" w:rsidTr="00CB6D07">
        <w:trPr>
          <w:trHeight w:val="522"/>
          <w:tblHeader/>
        </w:trPr>
        <w:tc>
          <w:tcPr>
            <w:tcW w:w="7796" w:type="dxa"/>
            <w:gridSpan w:val="3"/>
            <w:tcBorders>
              <w:bottom w:val="single" w:sz="4" w:space="0" w:color="auto"/>
            </w:tcBorders>
            <w:shd w:val="clear" w:color="auto" w:fill="F2F2F2"/>
          </w:tcPr>
          <w:p w14:paraId="1A4F0B0B" w14:textId="28F38896" w:rsidR="003173C2" w:rsidRPr="00A311FC" w:rsidRDefault="003173C2" w:rsidP="00CB6D07">
            <w:pPr>
              <w:pStyle w:val="TableTextLeft"/>
            </w:pPr>
            <w:bookmarkStart w:id="116" w:name="_Hlk97386193"/>
            <w:r w:rsidRPr="00A311FC">
              <w:rPr>
                <w:b/>
              </w:rPr>
              <w:t xml:space="preserve">Program 3.1 – </w:t>
            </w:r>
            <w:r w:rsidRPr="00A311FC">
              <w:rPr>
                <w:rFonts w:cs="Arial"/>
                <w:b/>
              </w:rPr>
              <w:t>Foreign Affairs and Trade Security and IT</w:t>
            </w:r>
            <w:r w:rsidRPr="00A311FC">
              <w:rPr>
                <w:bCs/>
              </w:rPr>
              <w:t xml:space="preserve"> </w:t>
            </w:r>
          </w:p>
        </w:tc>
      </w:tr>
      <w:bookmarkEnd w:id="116"/>
      <w:tr w:rsidR="003173C2" w14:paraId="6A17D7C1" w14:textId="77777777" w:rsidTr="00A311FC">
        <w:trPr>
          <w:trHeight w:val="526"/>
        </w:trPr>
        <w:tc>
          <w:tcPr>
            <w:tcW w:w="1560" w:type="dxa"/>
            <w:tcBorders>
              <w:top w:val="single" w:sz="4" w:space="0" w:color="auto"/>
              <w:left w:val="single" w:sz="4" w:space="0" w:color="auto"/>
              <w:bottom w:val="double" w:sz="4" w:space="0" w:color="auto"/>
              <w:right w:val="single" w:sz="4" w:space="0" w:color="auto"/>
            </w:tcBorders>
            <w:hideMark/>
          </w:tcPr>
          <w:p w14:paraId="4B04513F" w14:textId="77777777" w:rsidR="003173C2" w:rsidRDefault="003173C2"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7FADBA92" w14:textId="77777777" w:rsidR="003173C2" w:rsidRDefault="003173C2" w:rsidP="00CB6D07">
            <w:pPr>
              <w:tabs>
                <w:tab w:val="left" w:pos="709"/>
              </w:tabs>
              <w:spacing w:before="60" w:after="60" w:line="240" w:lineRule="auto"/>
              <w:rPr>
                <w:rFonts w:ascii="Arial" w:hAnsi="Arial" w:cs="Arial"/>
                <w:i/>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04429B21" w14:textId="02271061" w:rsidR="00F96569" w:rsidRPr="00F96569" w:rsidRDefault="00F96569" w:rsidP="00091F80">
            <w:pPr>
              <w:pStyle w:val="ListParagraph"/>
              <w:numPr>
                <w:ilvl w:val="0"/>
                <w:numId w:val="53"/>
              </w:numPr>
              <w:tabs>
                <w:tab w:val="left" w:pos="709"/>
              </w:tabs>
              <w:spacing w:before="60" w:after="60" w:line="240" w:lineRule="auto"/>
              <w:rPr>
                <w:rFonts w:ascii="Arial" w:hAnsi="Arial" w:cs="Arial"/>
                <w:sz w:val="16"/>
                <w:szCs w:val="16"/>
              </w:rPr>
            </w:pPr>
            <w:r w:rsidRPr="00F96569">
              <w:rPr>
                <w:rFonts w:ascii="Arial" w:hAnsi="Arial" w:cs="Arial"/>
                <w:sz w:val="16"/>
                <w:szCs w:val="16"/>
              </w:rPr>
              <w:t>Strengthen protective security measures commensurate with the evolving global security environment.</w:t>
            </w:r>
          </w:p>
          <w:p w14:paraId="0A45E0B0" w14:textId="24D1955C" w:rsidR="00F96569" w:rsidRPr="00F96569" w:rsidRDefault="00F96569" w:rsidP="00091F80">
            <w:pPr>
              <w:pStyle w:val="ListParagraph"/>
              <w:numPr>
                <w:ilvl w:val="0"/>
                <w:numId w:val="53"/>
              </w:numPr>
              <w:tabs>
                <w:tab w:val="left" w:pos="709"/>
              </w:tabs>
              <w:spacing w:before="60" w:after="60" w:line="240" w:lineRule="auto"/>
              <w:rPr>
                <w:rFonts w:ascii="Arial" w:hAnsi="Arial" w:cs="Arial"/>
                <w:sz w:val="16"/>
                <w:szCs w:val="16"/>
              </w:rPr>
            </w:pPr>
            <w:r w:rsidRPr="00F96569">
              <w:rPr>
                <w:rFonts w:ascii="Arial" w:hAnsi="Arial" w:cs="Arial"/>
                <w:sz w:val="16"/>
                <w:szCs w:val="16"/>
              </w:rPr>
              <w:t>Enhance the security culture of the department across the global network.</w:t>
            </w:r>
          </w:p>
          <w:p w14:paraId="46DB6754" w14:textId="549B4541" w:rsidR="003173C2" w:rsidRPr="000E5BBB" w:rsidRDefault="00F96569" w:rsidP="00091F80">
            <w:pPr>
              <w:pStyle w:val="ListParagraph"/>
              <w:numPr>
                <w:ilvl w:val="0"/>
                <w:numId w:val="53"/>
              </w:numPr>
              <w:tabs>
                <w:tab w:val="left" w:pos="709"/>
              </w:tabs>
              <w:spacing w:before="60" w:after="60" w:line="240" w:lineRule="auto"/>
              <w:rPr>
                <w:rFonts w:ascii="Arial" w:hAnsi="Arial" w:cs="Arial"/>
                <w:sz w:val="16"/>
                <w:szCs w:val="16"/>
              </w:rPr>
            </w:pPr>
            <w:r w:rsidRPr="00F96569">
              <w:rPr>
                <w:rFonts w:ascii="Arial" w:hAnsi="Arial" w:cs="Arial"/>
                <w:sz w:val="16"/>
                <w:szCs w:val="16"/>
              </w:rPr>
              <w:t>Deliver and maintain accessible, reliable and secure ICT systems and infrastructure that meet Australian Government requirements</w:t>
            </w:r>
            <w:r w:rsidR="00DD66AC">
              <w:rPr>
                <w:rFonts w:ascii="Arial" w:hAnsi="Arial" w:cs="Arial"/>
                <w:sz w:val="16"/>
                <w:szCs w:val="16"/>
              </w:rPr>
              <w:t>.</w:t>
            </w:r>
            <w:r w:rsidRPr="00F96569">
              <w:rPr>
                <w:rFonts w:ascii="Arial" w:hAnsi="Arial" w:cs="Arial"/>
                <w:sz w:val="16"/>
                <w:szCs w:val="16"/>
              </w:rPr>
              <w:t xml:space="preserve"> </w:t>
            </w:r>
          </w:p>
        </w:tc>
      </w:tr>
      <w:tr w:rsidR="003173C2" w:rsidRPr="00AA75BF" w14:paraId="39C79F48" w14:textId="77777777" w:rsidTr="00A311FC">
        <w:trPr>
          <w:trHeight w:val="258"/>
        </w:trPr>
        <w:tc>
          <w:tcPr>
            <w:tcW w:w="1560" w:type="dxa"/>
            <w:tcBorders>
              <w:top w:val="double" w:sz="4" w:space="0" w:color="auto"/>
              <w:bottom w:val="single" w:sz="4" w:space="0" w:color="auto"/>
              <w:right w:val="single" w:sz="4" w:space="0" w:color="auto"/>
            </w:tcBorders>
          </w:tcPr>
          <w:p w14:paraId="2FBD09F0" w14:textId="77777777" w:rsidR="003173C2" w:rsidRPr="00AA75BF" w:rsidRDefault="003173C2"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2331B93" w14:textId="77777777" w:rsidR="003173C2" w:rsidRPr="00AA75BF" w:rsidRDefault="003173C2"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DB592A4" w14:textId="77777777" w:rsidR="003173C2" w:rsidRPr="00AA75BF" w:rsidRDefault="003173C2"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540011" w:rsidRPr="00F62425" w14:paraId="72DC989B" w14:textId="77777777" w:rsidTr="00A311FC">
        <w:trPr>
          <w:trHeight w:val="258"/>
        </w:trPr>
        <w:tc>
          <w:tcPr>
            <w:tcW w:w="1560" w:type="dxa"/>
            <w:vMerge w:val="restart"/>
            <w:tcBorders>
              <w:top w:val="single" w:sz="4" w:space="0" w:color="auto"/>
              <w:right w:val="single" w:sz="4" w:space="0" w:color="auto"/>
            </w:tcBorders>
          </w:tcPr>
          <w:p w14:paraId="558C4AC6" w14:textId="77777777" w:rsidR="00AB1869" w:rsidRDefault="00540011" w:rsidP="00540011">
            <w:pPr>
              <w:pStyle w:val="TableTextBase"/>
              <w:rPr>
                <w:bCs/>
                <w:sz w:val="16"/>
                <w:szCs w:val="16"/>
              </w:rPr>
            </w:pPr>
            <w:r>
              <w:rPr>
                <w:bCs/>
                <w:sz w:val="16"/>
                <w:szCs w:val="16"/>
              </w:rPr>
              <w:t xml:space="preserve">Current year </w:t>
            </w:r>
          </w:p>
          <w:p w14:paraId="3A3667BF" w14:textId="6C00EBF3" w:rsidR="00540011" w:rsidRPr="00723F3F" w:rsidRDefault="00540011" w:rsidP="00540011">
            <w:pPr>
              <w:pStyle w:val="TableTextBase"/>
              <w:rPr>
                <w:bCs/>
                <w:sz w:val="16"/>
                <w:szCs w:val="16"/>
              </w:rPr>
            </w:pPr>
            <w:r>
              <w:rPr>
                <w:bCs/>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5436D504" w14:textId="7B169A5C" w:rsidR="00540011" w:rsidRPr="00AA75BF" w:rsidRDefault="00540011" w:rsidP="00540011">
            <w:pPr>
              <w:pStyle w:val="TableTextBase"/>
              <w:rPr>
                <w:rFonts w:cs="Arial"/>
                <w:b/>
                <w:sz w:val="16"/>
                <w:szCs w:val="16"/>
              </w:rPr>
            </w:pPr>
            <w:r>
              <w:rPr>
                <w:rFonts w:cs="Arial"/>
                <w:sz w:val="16"/>
                <w:szCs w:val="16"/>
              </w:rPr>
              <w:t>Effective security management with evidence of risk-based decision</w:t>
            </w:r>
            <w:r>
              <w:rPr>
                <w:rFonts w:cs="Arial"/>
                <w:sz w:val="16"/>
                <w:szCs w:val="16"/>
              </w:rPr>
              <w:noBreakHyphen/>
              <w:t>making in line with the DFAT Security Framework.</w:t>
            </w:r>
          </w:p>
        </w:tc>
        <w:tc>
          <w:tcPr>
            <w:tcW w:w="3118" w:type="dxa"/>
            <w:tcBorders>
              <w:top w:val="single" w:sz="4" w:space="0" w:color="auto"/>
              <w:left w:val="single" w:sz="4" w:space="0" w:color="auto"/>
              <w:bottom w:val="single" w:sz="4" w:space="0" w:color="auto"/>
            </w:tcBorders>
          </w:tcPr>
          <w:p w14:paraId="5696D0FF" w14:textId="24A5E339" w:rsidR="00540011" w:rsidRPr="00E2437F" w:rsidRDefault="00540011" w:rsidP="00540011">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540011" w:rsidRPr="00F62425" w14:paraId="1D927C73" w14:textId="77777777" w:rsidTr="00CB6D07">
        <w:trPr>
          <w:trHeight w:val="258"/>
        </w:trPr>
        <w:tc>
          <w:tcPr>
            <w:tcW w:w="1560" w:type="dxa"/>
            <w:vMerge/>
            <w:tcBorders>
              <w:right w:val="single" w:sz="4" w:space="0" w:color="auto"/>
            </w:tcBorders>
          </w:tcPr>
          <w:p w14:paraId="13D76793" w14:textId="77777777" w:rsidR="00540011" w:rsidRPr="00AA75BF" w:rsidRDefault="00540011" w:rsidP="00540011">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9AD3038" w14:textId="38C6905A" w:rsidR="00540011" w:rsidRPr="00AA75BF" w:rsidRDefault="00540011" w:rsidP="00540011">
            <w:pPr>
              <w:pStyle w:val="TableTextBase"/>
              <w:rPr>
                <w:rFonts w:cs="Arial"/>
                <w:b/>
                <w:sz w:val="16"/>
                <w:szCs w:val="16"/>
              </w:rPr>
            </w:pPr>
            <w:r>
              <w:rPr>
                <w:rFonts w:cs="Arial"/>
                <w:sz w:val="16"/>
                <w:szCs w:val="16"/>
              </w:rPr>
              <w:t>Enhanced oversight of the functionality and effectiveness of the security controls and mitigations in place across the network.</w:t>
            </w:r>
          </w:p>
        </w:tc>
        <w:tc>
          <w:tcPr>
            <w:tcW w:w="3118" w:type="dxa"/>
            <w:tcBorders>
              <w:top w:val="single" w:sz="4" w:space="0" w:color="auto"/>
              <w:left w:val="single" w:sz="4" w:space="0" w:color="auto"/>
              <w:bottom w:val="single" w:sz="4" w:space="0" w:color="auto"/>
            </w:tcBorders>
          </w:tcPr>
          <w:p w14:paraId="141FA891" w14:textId="7A4E74B0" w:rsidR="00540011" w:rsidRPr="00E2437F" w:rsidRDefault="00540011" w:rsidP="00540011">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540011" w:rsidRPr="00F62425" w14:paraId="5F972088" w14:textId="77777777" w:rsidTr="00CB6D07">
        <w:trPr>
          <w:trHeight w:val="258"/>
        </w:trPr>
        <w:tc>
          <w:tcPr>
            <w:tcW w:w="1560" w:type="dxa"/>
            <w:vMerge/>
            <w:tcBorders>
              <w:right w:val="single" w:sz="4" w:space="0" w:color="auto"/>
            </w:tcBorders>
          </w:tcPr>
          <w:p w14:paraId="17BCFCFB" w14:textId="77777777" w:rsidR="00540011" w:rsidRPr="00AA75BF" w:rsidRDefault="00540011" w:rsidP="00540011">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841DB4F" w14:textId="4C7BF1D4" w:rsidR="00540011" w:rsidRDefault="00540011" w:rsidP="00540011">
            <w:pPr>
              <w:pStyle w:val="TableTextBase"/>
              <w:rPr>
                <w:rFonts w:cs="Arial"/>
                <w:sz w:val="16"/>
                <w:szCs w:val="16"/>
              </w:rPr>
            </w:pPr>
            <w:r>
              <w:rPr>
                <w:rFonts w:cs="Arial"/>
                <w:sz w:val="16"/>
                <w:szCs w:val="16"/>
              </w:rPr>
              <w:t>Robust security culture, evidenced by staff engagement with security policy and responsiveness to contemporary and innovative security materials and training programs.</w:t>
            </w:r>
          </w:p>
        </w:tc>
        <w:tc>
          <w:tcPr>
            <w:tcW w:w="3118" w:type="dxa"/>
            <w:tcBorders>
              <w:top w:val="single" w:sz="4" w:space="0" w:color="auto"/>
              <w:left w:val="single" w:sz="4" w:space="0" w:color="auto"/>
              <w:bottom w:val="single" w:sz="4" w:space="0" w:color="auto"/>
            </w:tcBorders>
          </w:tcPr>
          <w:p w14:paraId="21875365" w14:textId="7545770D" w:rsidR="00540011" w:rsidRDefault="00540011" w:rsidP="00540011">
            <w:pPr>
              <w:tabs>
                <w:tab w:val="left" w:pos="455"/>
              </w:tabs>
              <w:spacing w:before="60" w:after="60" w:line="240" w:lineRule="auto"/>
              <w:jc w:val="center"/>
              <w:rPr>
                <w:rFonts w:ascii="Arial" w:hAnsi="Arial" w:cs="Arial"/>
                <w:iCs/>
                <w:sz w:val="16"/>
                <w:szCs w:val="16"/>
              </w:rPr>
            </w:pPr>
            <w:r>
              <w:rPr>
                <w:rFonts w:ascii="Arial" w:hAnsi="Arial" w:cs="Arial"/>
                <w:iCs/>
                <w:sz w:val="16"/>
                <w:szCs w:val="16"/>
              </w:rPr>
              <w:t>On track</w:t>
            </w:r>
          </w:p>
        </w:tc>
      </w:tr>
      <w:tr w:rsidR="00540011" w:rsidRPr="00F62425" w14:paraId="55BA636C" w14:textId="77777777" w:rsidTr="00CB6D07">
        <w:trPr>
          <w:trHeight w:val="258"/>
        </w:trPr>
        <w:tc>
          <w:tcPr>
            <w:tcW w:w="1560" w:type="dxa"/>
            <w:vMerge/>
            <w:tcBorders>
              <w:right w:val="single" w:sz="4" w:space="0" w:color="auto"/>
            </w:tcBorders>
          </w:tcPr>
          <w:p w14:paraId="1362D451" w14:textId="77777777" w:rsidR="00540011" w:rsidRPr="00AA75BF" w:rsidRDefault="00540011" w:rsidP="00540011">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177E71D" w14:textId="04F5126E" w:rsidR="00540011" w:rsidRDefault="00540011" w:rsidP="00540011">
            <w:pPr>
              <w:pStyle w:val="TableTextBase"/>
              <w:rPr>
                <w:rFonts w:cs="Arial"/>
                <w:sz w:val="16"/>
                <w:szCs w:val="16"/>
              </w:rPr>
            </w:pPr>
            <w:r>
              <w:rPr>
                <w:rFonts w:cs="Arial"/>
                <w:sz w:val="16"/>
                <w:szCs w:val="16"/>
              </w:rPr>
              <w:t>Fit-for-purpose and secure ICT systems.</w:t>
            </w:r>
          </w:p>
        </w:tc>
        <w:tc>
          <w:tcPr>
            <w:tcW w:w="3118" w:type="dxa"/>
            <w:tcBorders>
              <w:top w:val="single" w:sz="4" w:space="0" w:color="auto"/>
              <w:left w:val="single" w:sz="4" w:space="0" w:color="auto"/>
              <w:bottom w:val="single" w:sz="4" w:space="0" w:color="auto"/>
            </w:tcBorders>
          </w:tcPr>
          <w:p w14:paraId="7FEA2C82" w14:textId="48D0BE3B" w:rsidR="00540011" w:rsidRDefault="00540011" w:rsidP="00540011">
            <w:pPr>
              <w:tabs>
                <w:tab w:val="left" w:pos="455"/>
              </w:tabs>
              <w:spacing w:before="60" w:after="60" w:line="240" w:lineRule="auto"/>
              <w:jc w:val="center"/>
              <w:rPr>
                <w:rFonts w:ascii="Arial" w:hAnsi="Arial" w:cs="Arial"/>
                <w:iCs/>
                <w:sz w:val="16"/>
                <w:szCs w:val="16"/>
              </w:rPr>
            </w:pPr>
            <w:r>
              <w:rPr>
                <w:rFonts w:ascii="Arial" w:hAnsi="Arial" w:cs="Arial"/>
                <w:iCs/>
                <w:sz w:val="16"/>
                <w:szCs w:val="16"/>
              </w:rPr>
              <w:t>On track</w:t>
            </w:r>
          </w:p>
        </w:tc>
      </w:tr>
    </w:tbl>
    <w:p w14:paraId="42181F12" w14:textId="2C8A3538" w:rsidR="00540011" w:rsidRPr="00540011" w:rsidRDefault="00540011" w:rsidP="00C354BB">
      <w:pPr>
        <w:pStyle w:val="ChartandTableFootnoteAlpha"/>
        <w:numPr>
          <w:ilvl w:val="0"/>
          <w:numId w:val="0"/>
        </w:numPr>
        <w:ind w:left="284" w:hanging="284"/>
        <w:rPr>
          <w:rFonts w:cs="Arial"/>
          <w:szCs w:val="16"/>
        </w:rPr>
      </w:pPr>
      <w:r w:rsidRPr="00540011">
        <w:rPr>
          <w:rFonts w:cs="Arial"/>
          <w:szCs w:val="16"/>
        </w:rPr>
        <w:t xml:space="preserve">Table </w:t>
      </w:r>
      <w:proofErr w:type="gramStart"/>
      <w:r w:rsidRPr="00C354BB">
        <w:rPr>
          <w:color w:val="000000"/>
          <w:lang w:eastAsia="x-none"/>
        </w:rPr>
        <w:t>continued</w:t>
      </w:r>
      <w:r w:rsidRPr="00540011">
        <w:rPr>
          <w:rFonts w:cs="Arial"/>
          <w:szCs w:val="16"/>
        </w:rPr>
        <w:t xml:space="preserve"> on</w:t>
      </w:r>
      <w:proofErr w:type="gramEnd"/>
      <w:r w:rsidRPr="00540011">
        <w:rPr>
          <w:rFonts w:cs="Arial"/>
          <w:szCs w:val="16"/>
        </w:rPr>
        <w:t xml:space="preserve"> the next page. </w:t>
      </w:r>
    </w:p>
    <w:p w14:paraId="0073A760" w14:textId="77777777" w:rsidR="00540011" w:rsidRDefault="00540011">
      <w:pPr>
        <w:spacing w:after="0" w:line="240" w:lineRule="auto"/>
        <w:jc w:val="left"/>
      </w:pPr>
      <w:r>
        <w:br w:type="page"/>
      </w:r>
    </w:p>
    <w:p w14:paraId="19B79F79" w14:textId="5C25B842" w:rsidR="00540011" w:rsidRPr="00F93CED" w:rsidRDefault="00540011" w:rsidP="00540011">
      <w:pPr>
        <w:pStyle w:val="TableHeading"/>
        <w:rPr>
          <w:lang w:val="en-AU"/>
        </w:rPr>
      </w:pPr>
      <w:r w:rsidRPr="00F71634">
        <w:t>Table 2.</w:t>
      </w:r>
      <w:r>
        <w:rPr>
          <w:lang w:val="en-AU"/>
        </w:rPr>
        <w:t>3</w:t>
      </w:r>
      <w:r w:rsidRPr="00F71634">
        <w:t xml:space="preserve">.3: Performance </w:t>
      </w:r>
      <w:r>
        <w:rPr>
          <w:lang w:val="en-AU"/>
        </w:rPr>
        <w:t>measure</w:t>
      </w:r>
      <w:r w:rsidRPr="00F71634">
        <w:t xml:space="preserve"> for Outcome </w:t>
      </w:r>
      <w:r>
        <w:rPr>
          <w:lang w:val="en-AU"/>
        </w:rPr>
        <w:t>3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540011" w:rsidRPr="00AA75BF" w14:paraId="1BFB6D0B" w14:textId="77777777" w:rsidTr="00A311FC">
        <w:trPr>
          <w:trHeight w:val="522"/>
          <w:tblHeader/>
        </w:trPr>
        <w:tc>
          <w:tcPr>
            <w:tcW w:w="7796" w:type="dxa"/>
            <w:gridSpan w:val="3"/>
            <w:tcBorders>
              <w:bottom w:val="double" w:sz="4" w:space="0" w:color="auto"/>
            </w:tcBorders>
            <w:shd w:val="clear" w:color="auto" w:fill="F2F2F2"/>
          </w:tcPr>
          <w:p w14:paraId="0AFCB6BF" w14:textId="0A065BCC" w:rsidR="00540011" w:rsidRPr="00A311FC" w:rsidRDefault="00540011" w:rsidP="00CB6D07">
            <w:pPr>
              <w:pStyle w:val="TableTextLeft"/>
            </w:pPr>
            <w:r w:rsidRPr="00A311FC">
              <w:rPr>
                <w:b/>
              </w:rPr>
              <w:t xml:space="preserve">Program 3.1 – </w:t>
            </w:r>
            <w:r w:rsidRPr="00A311FC">
              <w:rPr>
                <w:rFonts w:cs="Arial"/>
                <w:b/>
              </w:rPr>
              <w:t>Foreign Affairs and Trade Security and IT</w:t>
            </w:r>
            <w:r w:rsidR="00A311FC" w:rsidRPr="00A311FC">
              <w:rPr>
                <w:b/>
              </w:rPr>
              <w:t xml:space="preserve"> (continued)</w:t>
            </w:r>
          </w:p>
        </w:tc>
      </w:tr>
      <w:tr w:rsidR="003173C2" w:rsidRPr="00AA75BF" w14:paraId="65E261F8" w14:textId="77777777" w:rsidTr="00A311FC">
        <w:trPr>
          <w:trHeight w:val="258"/>
        </w:trPr>
        <w:tc>
          <w:tcPr>
            <w:tcW w:w="1560" w:type="dxa"/>
            <w:tcBorders>
              <w:top w:val="double" w:sz="4" w:space="0" w:color="auto"/>
              <w:bottom w:val="single" w:sz="4" w:space="0" w:color="auto"/>
              <w:right w:val="single" w:sz="4" w:space="0" w:color="auto"/>
            </w:tcBorders>
          </w:tcPr>
          <w:p w14:paraId="43C7EF40" w14:textId="77777777" w:rsidR="003173C2" w:rsidRPr="00AA75BF" w:rsidRDefault="003173C2"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8324F07" w14:textId="77777777" w:rsidR="003173C2" w:rsidRPr="00AA75BF" w:rsidRDefault="003173C2"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6D0EA525" w14:textId="77777777" w:rsidR="003173C2" w:rsidRPr="00AA75BF" w:rsidRDefault="003173C2" w:rsidP="00CB6D07">
            <w:pPr>
              <w:pStyle w:val="TableTextBase"/>
              <w:rPr>
                <w:rFonts w:cs="Arial"/>
                <w:b/>
                <w:sz w:val="16"/>
                <w:szCs w:val="16"/>
              </w:rPr>
            </w:pPr>
            <w:r>
              <w:rPr>
                <w:rFonts w:cs="Arial"/>
                <w:b/>
                <w:sz w:val="16"/>
                <w:szCs w:val="16"/>
              </w:rPr>
              <w:t>Planned</w:t>
            </w:r>
            <w:r w:rsidRPr="00AA75BF">
              <w:rPr>
                <w:rFonts w:cs="Arial"/>
                <w:b/>
                <w:sz w:val="16"/>
                <w:szCs w:val="16"/>
              </w:rPr>
              <w:t xml:space="preserve"> Performance Results</w:t>
            </w:r>
          </w:p>
        </w:tc>
      </w:tr>
      <w:tr w:rsidR="00DD4EAA" w:rsidRPr="00AA75BF" w14:paraId="54E93CD5" w14:textId="77777777" w:rsidTr="00A311FC">
        <w:trPr>
          <w:trHeight w:val="258"/>
        </w:trPr>
        <w:tc>
          <w:tcPr>
            <w:tcW w:w="1560" w:type="dxa"/>
            <w:vMerge w:val="restart"/>
            <w:tcBorders>
              <w:top w:val="single" w:sz="4" w:space="0" w:color="auto"/>
              <w:right w:val="single" w:sz="4" w:space="0" w:color="auto"/>
            </w:tcBorders>
          </w:tcPr>
          <w:p w14:paraId="1ED0C216" w14:textId="77777777" w:rsidR="00DD66AC" w:rsidRDefault="00DD4EAA" w:rsidP="00DD4EAA">
            <w:pPr>
              <w:pStyle w:val="TableTextBase"/>
              <w:rPr>
                <w:bCs/>
                <w:sz w:val="16"/>
                <w:szCs w:val="16"/>
              </w:rPr>
            </w:pPr>
            <w:r w:rsidRPr="00723F3F">
              <w:rPr>
                <w:bCs/>
                <w:sz w:val="16"/>
                <w:szCs w:val="16"/>
              </w:rPr>
              <w:t xml:space="preserve">Budget Year </w:t>
            </w:r>
          </w:p>
          <w:p w14:paraId="38D545BB" w14:textId="43D35E2D" w:rsidR="00DD4EAA" w:rsidRPr="00723F3F" w:rsidRDefault="00DD4EAA" w:rsidP="00DD4EAA">
            <w:pPr>
              <w:pStyle w:val="TableTextBase"/>
              <w:rPr>
                <w:bCs/>
                <w:sz w:val="16"/>
                <w:szCs w:val="16"/>
              </w:rPr>
            </w:pPr>
            <w:r w:rsidRPr="00723F3F">
              <w:rPr>
                <w:bCs/>
                <w:sz w:val="16"/>
                <w:szCs w:val="16"/>
              </w:rPr>
              <w:t xml:space="preserve">2022-23 </w:t>
            </w:r>
          </w:p>
        </w:tc>
        <w:tc>
          <w:tcPr>
            <w:tcW w:w="3118" w:type="dxa"/>
            <w:tcBorders>
              <w:top w:val="single" w:sz="4" w:space="0" w:color="auto"/>
              <w:left w:val="single" w:sz="4" w:space="0" w:color="auto"/>
              <w:bottom w:val="single" w:sz="4" w:space="0" w:color="auto"/>
              <w:right w:val="single" w:sz="4" w:space="0" w:color="auto"/>
            </w:tcBorders>
          </w:tcPr>
          <w:p w14:paraId="68E0DA38" w14:textId="340736D5" w:rsidR="00DD4EAA" w:rsidRPr="00AA75BF" w:rsidRDefault="00DD4EAA" w:rsidP="00DD4EAA">
            <w:pPr>
              <w:pStyle w:val="TableTextBase"/>
              <w:rPr>
                <w:rFonts w:cs="Arial"/>
                <w:b/>
                <w:sz w:val="16"/>
                <w:szCs w:val="16"/>
              </w:rPr>
            </w:pPr>
            <w:r>
              <w:rPr>
                <w:rFonts w:cs="Arial"/>
                <w:sz w:val="16"/>
                <w:szCs w:val="16"/>
              </w:rPr>
              <w:t>Effective security management with evidence of risk-based decision</w:t>
            </w:r>
            <w:r>
              <w:rPr>
                <w:rFonts w:cs="Arial"/>
                <w:sz w:val="16"/>
                <w:szCs w:val="16"/>
              </w:rPr>
              <w:noBreakHyphen/>
              <w:t>making in line with the DFAT Security Framework.</w:t>
            </w:r>
          </w:p>
        </w:tc>
        <w:tc>
          <w:tcPr>
            <w:tcW w:w="3118" w:type="dxa"/>
            <w:tcBorders>
              <w:top w:val="single" w:sz="4" w:space="0" w:color="auto"/>
              <w:left w:val="single" w:sz="4" w:space="0" w:color="auto"/>
              <w:bottom w:val="single" w:sz="4" w:space="0" w:color="auto"/>
            </w:tcBorders>
          </w:tcPr>
          <w:p w14:paraId="72C3999E" w14:textId="152CB7E2" w:rsidR="00DD4EAA" w:rsidRPr="00F62425" w:rsidRDefault="00DD4EAA"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The department’s protective security maturity rating improves from ‘developing’ to ‘managing’ by 2024.</w:t>
            </w:r>
          </w:p>
        </w:tc>
      </w:tr>
      <w:tr w:rsidR="00DD4EAA" w:rsidRPr="00AA75BF" w14:paraId="5AE3249A" w14:textId="77777777" w:rsidTr="00CB6D07">
        <w:trPr>
          <w:trHeight w:val="258"/>
        </w:trPr>
        <w:tc>
          <w:tcPr>
            <w:tcW w:w="1560" w:type="dxa"/>
            <w:vMerge/>
            <w:tcBorders>
              <w:right w:val="single" w:sz="4" w:space="0" w:color="auto"/>
            </w:tcBorders>
          </w:tcPr>
          <w:p w14:paraId="12CF951E" w14:textId="77777777" w:rsidR="00DD4EAA" w:rsidRPr="00AA75BF" w:rsidRDefault="00DD4EAA" w:rsidP="00DD4EAA">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0985C4A" w14:textId="10DB9AAA" w:rsidR="00DD4EAA" w:rsidRPr="00AA75BF" w:rsidRDefault="00DD4EAA" w:rsidP="00DD4EAA">
            <w:pPr>
              <w:pStyle w:val="TableTextBase"/>
              <w:rPr>
                <w:rFonts w:cs="Arial"/>
                <w:b/>
                <w:sz w:val="16"/>
                <w:szCs w:val="16"/>
              </w:rPr>
            </w:pPr>
            <w:r>
              <w:rPr>
                <w:rFonts w:cs="Arial"/>
                <w:sz w:val="16"/>
                <w:szCs w:val="16"/>
              </w:rPr>
              <w:t>Enhanced oversight of the functionality and effectiveness of the security controls and mitigations in place across the network.</w:t>
            </w:r>
          </w:p>
        </w:tc>
        <w:tc>
          <w:tcPr>
            <w:tcW w:w="3118" w:type="dxa"/>
            <w:tcBorders>
              <w:top w:val="single" w:sz="4" w:space="0" w:color="auto"/>
              <w:left w:val="single" w:sz="4" w:space="0" w:color="auto"/>
              <w:bottom w:val="single" w:sz="4" w:space="0" w:color="auto"/>
            </w:tcBorders>
          </w:tcPr>
          <w:p w14:paraId="5A571C3D" w14:textId="67B9FBB5" w:rsidR="00DD4EAA" w:rsidRPr="00F62425" w:rsidRDefault="00DD4EAA"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Pr>
                <w:rFonts w:ascii="Arial" w:hAnsi="Arial" w:cs="Arial"/>
                <w:sz w:val="16"/>
                <w:szCs w:val="16"/>
              </w:rPr>
              <w:t>Progress against key Security Enhancement Program milestones.</w:t>
            </w:r>
          </w:p>
        </w:tc>
      </w:tr>
      <w:tr w:rsidR="00DD4EAA" w:rsidRPr="00AA75BF" w14:paraId="03BF05BF" w14:textId="77777777" w:rsidTr="00CB6D07">
        <w:trPr>
          <w:trHeight w:val="258"/>
        </w:trPr>
        <w:tc>
          <w:tcPr>
            <w:tcW w:w="1560" w:type="dxa"/>
            <w:vMerge/>
            <w:tcBorders>
              <w:right w:val="single" w:sz="4" w:space="0" w:color="auto"/>
            </w:tcBorders>
          </w:tcPr>
          <w:p w14:paraId="57001CFB" w14:textId="77777777" w:rsidR="00DD4EAA" w:rsidRPr="00AA75BF" w:rsidRDefault="00DD4EAA" w:rsidP="00DD4EAA">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A64BEBF" w14:textId="6C6CDB75" w:rsidR="00DD4EAA" w:rsidRDefault="00DD4EAA" w:rsidP="00DD4EAA">
            <w:pPr>
              <w:pStyle w:val="TableTextBase"/>
              <w:rPr>
                <w:rFonts w:cs="Arial"/>
                <w:sz w:val="16"/>
                <w:szCs w:val="16"/>
              </w:rPr>
            </w:pPr>
            <w:r>
              <w:rPr>
                <w:rFonts w:cs="Arial"/>
                <w:sz w:val="16"/>
                <w:szCs w:val="16"/>
              </w:rPr>
              <w:t>Robust security culture, evidenced by staff engagement with security policy and responsiveness to contemporary and innovative security materials and training programs.</w:t>
            </w:r>
          </w:p>
        </w:tc>
        <w:tc>
          <w:tcPr>
            <w:tcW w:w="3118" w:type="dxa"/>
            <w:tcBorders>
              <w:top w:val="single" w:sz="4" w:space="0" w:color="auto"/>
              <w:left w:val="single" w:sz="4" w:space="0" w:color="auto"/>
              <w:bottom w:val="single" w:sz="4" w:space="0" w:color="auto"/>
            </w:tcBorders>
          </w:tcPr>
          <w:p w14:paraId="1C730622" w14:textId="5E93EF29" w:rsidR="00DD4EAA" w:rsidRDefault="00DD4EAA"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Pr>
                <w:rFonts w:ascii="Arial" w:hAnsi="Arial" w:cs="Arial"/>
                <w:sz w:val="16"/>
                <w:szCs w:val="16"/>
              </w:rPr>
              <w:t>Progress against the Security Culture Implementation plan.</w:t>
            </w:r>
          </w:p>
        </w:tc>
      </w:tr>
      <w:tr w:rsidR="00DD4EAA" w:rsidRPr="00AA75BF" w14:paraId="36020EE4" w14:textId="77777777" w:rsidTr="00A311FC">
        <w:trPr>
          <w:trHeight w:val="258"/>
        </w:trPr>
        <w:tc>
          <w:tcPr>
            <w:tcW w:w="1560" w:type="dxa"/>
            <w:vMerge/>
            <w:tcBorders>
              <w:bottom w:val="dotted" w:sz="4" w:space="0" w:color="auto"/>
              <w:right w:val="single" w:sz="4" w:space="0" w:color="auto"/>
            </w:tcBorders>
          </w:tcPr>
          <w:p w14:paraId="30A18ABD" w14:textId="77777777" w:rsidR="00DD4EAA" w:rsidRPr="00AA75BF" w:rsidRDefault="00DD4EAA" w:rsidP="00DD4EAA">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405430AE" w14:textId="6C4AD028" w:rsidR="00DD4EAA" w:rsidRDefault="00DD4EAA" w:rsidP="00DD4EAA">
            <w:pPr>
              <w:pStyle w:val="TableTextBase"/>
              <w:rPr>
                <w:rFonts w:cs="Arial"/>
                <w:sz w:val="16"/>
                <w:szCs w:val="16"/>
              </w:rPr>
            </w:pPr>
            <w:r>
              <w:rPr>
                <w:rFonts w:cs="Arial"/>
                <w:sz w:val="16"/>
                <w:szCs w:val="16"/>
              </w:rPr>
              <w:t>Fit-for-purpose and secure ICT systems.</w:t>
            </w:r>
          </w:p>
        </w:tc>
        <w:tc>
          <w:tcPr>
            <w:tcW w:w="3118" w:type="dxa"/>
            <w:tcBorders>
              <w:top w:val="single" w:sz="4" w:space="0" w:color="auto"/>
              <w:left w:val="single" w:sz="4" w:space="0" w:color="auto"/>
              <w:bottom w:val="dotted" w:sz="4" w:space="0" w:color="auto"/>
            </w:tcBorders>
          </w:tcPr>
          <w:p w14:paraId="0D208DB0" w14:textId="77777777" w:rsidR="00DD4EAA" w:rsidRDefault="00DD4EAA"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Pr>
                <w:rFonts w:ascii="Arial" w:hAnsi="Arial" w:cs="Arial"/>
                <w:sz w:val="16"/>
                <w:szCs w:val="16"/>
              </w:rPr>
              <w:t xml:space="preserve">Number of security log events </w:t>
            </w:r>
            <w:proofErr w:type="gramStart"/>
            <w:r>
              <w:rPr>
                <w:rFonts w:ascii="Arial" w:hAnsi="Arial" w:cs="Arial"/>
                <w:sz w:val="16"/>
                <w:szCs w:val="16"/>
              </w:rPr>
              <w:t>collected</w:t>
            </w:r>
            <w:proofErr w:type="gramEnd"/>
            <w:r>
              <w:rPr>
                <w:rFonts w:ascii="Arial" w:hAnsi="Arial" w:cs="Arial"/>
                <w:sz w:val="16"/>
                <w:szCs w:val="16"/>
              </w:rPr>
              <w:t xml:space="preserve"> and complex use cases </w:t>
            </w:r>
            <w:proofErr w:type="spellStart"/>
            <w:r>
              <w:rPr>
                <w:rFonts w:ascii="Arial" w:hAnsi="Arial" w:cs="Arial"/>
                <w:sz w:val="16"/>
                <w:szCs w:val="16"/>
              </w:rPr>
              <w:t>analysed</w:t>
            </w:r>
            <w:proofErr w:type="spellEnd"/>
            <w:r>
              <w:rPr>
                <w:rFonts w:ascii="Arial" w:hAnsi="Arial" w:cs="Arial"/>
                <w:sz w:val="16"/>
                <w:szCs w:val="16"/>
              </w:rPr>
              <w:t xml:space="preserve"> will increase by 15 per cent.</w:t>
            </w:r>
          </w:p>
          <w:p w14:paraId="78DC49A4" w14:textId="34E855DB" w:rsidR="00DD4EAA" w:rsidRDefault="00DD4EAA"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No reduction in overseas partner agencies continued use of DFAT ICT systems.</w:t>
            </w:r>
          </w:p>
        </w:tc>
      </w:tr>
      <w:tr w:rsidR="003173C2" w:rsidRPr="00AA75BF" w14:paraId="2E3C7C66" w14:textId="77777777" w:rsidTr="00A311FC">
        <w:trPr>
          <w:trHeight w:val="258"/>
        </w:trPr>
        <w:tc>
          <w:tcPr>
            <w:tcW w:w="1560" w:type="dxa"/>
            <w:tcBorders>
              <w:top w:val="dotted" w:sz="4" w:space="0" w:color="auto"/>
              <w:bottom w:val="single" w:sz="4" w:space="0" w:color="auto"/>
              <w:right w:val="single" w:sz="4" w:space="0" w:color="auto"/>
            </w:tcBorders>
          </w:tcPr>
          <w:p w14:paraId="524C1720" w14:textId="77777777" w:rsidR="003173C2" w:rsidRDefault="003173C2"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Forward Estimates </w:t>
            </w:r>
          </w:p>
          <w:p w14:paraId="4C1FFCF1" w14:textId="77777777" w:rsidR="003173C2" w:rsidRPr="00AA75BF" w:rsidRDefault="003173C2"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02378CFC" w14:textId="77777777" w:rsidR="003173C2" w:rsidRPr="00AA75BF" w:rsidRDefault="003173C2" w:rsidP="00CB6D07">
            <w:pPr>
              <w:pStyle w:val="TableTextBase"/>
              <w:rPr>
                <w:rFonts w:cs="Arial"/>
                <w:b/>
                <w:sz w:val="16"/>
                <w:szCs w:val="16"/>
              </w:rPr>
            </w:pPr>
            <w:r>
              <w:rPr>
                <w:rFonts w:cs="Arial"/>
                <w:i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28285473" w14:textId="77777777" w:rsidR="003173C2" w:rsidRPr="00141481" w:rsidRDefault="003173C2" w:rsidP="00CB6D07">
            <w:pPr>
              <w:tabs>
                <w:tab w:val="left" w:pos="455"/>
              </w:tabs>
              <w:spacing w:before="60" w:after="60" w:line="240" w:lineRule="auto"/>
              <w:rPr>
                <w:rFonts w:ascii="Arial" w:hAnsi="Arial" w:cs="Arial"/>
                <w:sz w:val="16"/>
                <w:szCs w:val="16"/>
              </w:rPr>
            </w:pPr>
            <w:r w:rsidRPr="00141481">
              <w:rPr>
                <w:rFonts w:ascii="Arial" w:hAnsi="Arial" w:cs="Arial"/>
                <w:iCs/>
                <w:color w:val="000000" w:themeColor="text1"/>
                <w:sz w:val="16"/>
                <w:szCs w:val="16"/>
              </w:rPr>
              <w:t>As per 2022-23</w:t>
            </w:r>
          </w:p>
        </w:tc>
      </w:tr>
    </w:tbl>
    <w:p w14:paraId="5C79246B" w14:textId="794BD632" w:rsidR="003173C2" w:rsidRPr="00DD4EAA" w:rsidRDefault="00DD4EAA" w:rsidP="00DD4EAA">
      <w:pPr>
        <w:spacing w:line="240" w:lineRule="auto"/>
        <w:rPr>
          <w:rFonts w:ascii="Arial" w:hAnsi="Arial"/>
          <w:sz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w:t>
      </w:r>
      <w:r w:rsidR="00EE5736">
        <w:rPr>
          <w:rFonts w:ascii="Arial" w:hAnsi="Arial" w:cs="Arial"/>
          <w:sz w:val="16"/>
          <w:szCs w:val="16"/>
        </w:rPr>
        <w:t xml:space="preserve"> </w:t>
      </w:r>
      <w:r>
        <w:rPr>
          <w:rFonts w:ascii="Arial" w:hAnsi="Arial" w:cs="Arial"/>
          <w:sz w:val="16"/>
          <w:szCs w:val="16"/>
        </w:rPr>
        <w:t>More detail is provided on page 10 of the 2021-22 Corporate Plan.</w:t>
      </w:r>
      <w:r>
        <w:rPr>
          <w:rFonts w:ascii="Arial" w:hAnsi="Arial"/>
          <w:sz w:val="16"/>
        </w:rPr>
        <w:br w:type="page"/>
      </w:r>
    </w:p>
    <w:p w14:paraId="738C6ADC" w14:textId="286DE2CA" w:rsidR="00A97CB1" w:rsidRPr="00F93CED" w:rsidRDefault="00A97CB1" w:rsidP="00A97CB1">
      <w:pPr>
        <w:pStyle w:val="TableHeading"/>
        <w:rPr>
          <w:lang w:val="en-AU"/>
        </w:rPr>
      </w:pPr>
      <w:r w:rsidRPr="00F71634">
        <w:t>Table 2.</w:t>
      </w:r>
      <w:r>
        <w:rPr>
          <w:lang w:val="en-AU"/>
        </w:rPr>
        <w:t>3</w:t>
      </w:r>
      <w:r w:rsidRPr="00F71634">
        <w:t xml:space="preserve">.3: Performance </w:t>
      </w:r>
      <w:r>
        <w:rPr>
          <w:lang w:val="en-AU"/>
        </w:rPr>
        <w:t>measure</w:t>
      </w:r>
      <w:r w:rsidRPr="00F71634">
        <w:t xml:space="preserve"> for Outcome </w:t>
      </w:r>
      <w:r>
        <w:rPr>
          <w:lang w:val="en-AU"/>
        </w:rPr>
        <w:t>3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A97CB1" w:rsidRPr="001B2F81" w14:paraId="12891E90" w14:textId="77777777" w:rsidTr="00CB6D07">
        <w:trPr>
          <w:trHeight w:val="569"/>
          <w:tblHeader/>
        </w:trPr>
        <w:tc>
          <w:tcPr>
            <w:tcW w:w="7796" w:type="dxa"/>
            <w:gridSpan w:val="3"/>
            <w:shd w:val="clear" w:color="auto" w:fill="F2F2F2"/>
          </w:tcPr>
          <w:p w14:paraId="43F11395" w14:textId="77777777" w:rsidR="00A97CB1" w:rsidRPr="00C41058" w:rsidRDefault="00A97CB1" w:rsidP="00CB6D07">
            <w:pPr>
              <w:pStyle w:val="TableColumnHeadingLeft"/>
            </w:pPr>
            <w:r w:rsidRPr="00C41058">
              <w:rPr>
                <w:rStyle w:val="TableHeadingChar"/>
                <w:b/>
              </w:rPr>
              <w:t xml:space="preserve">Outcome </w:t>
            </w:r>
            <w:r>
              <w:t>3</w:t>
            </w:r>
            <w:r w:rsidRPr="00EF57EA">
              <w:t xml:space="preserve"> – </w:t>
            </w:r>
            <w:r w:rsidRPr="007926B3">
              <w:t>A secure Australian Government presence overseas through the provision of security services and information and communications technology infrastructure, and the management of the Commonwealth’s overseas property estate</w:t>
            </w:r>
            <w:r w:rsidRPr="00C41058">
              <w:rPr>
                <w:rStyle w:val="TableHeadingChar"/>
                <w:b/>
              </w:rPr>
              <w:t xml:space="preserve"> </w:t>
            </w:r>
          </w:p>
        </w:tc>
      </w:tr>
      <w:tr w:rsidR="00A97CB1" w:rsidRPr="001B2F81" w14:paraId="382E0D99" w14:textId="77777777" w:rsidTr="00CB6D07">
        <w:trPr>
          <w:trHeight w:val="522"/>
          <w:tblHeader/>
        </w:trPr>
        <w:tc>
          <w:tcPr>
            <w:tcW w:w="7796" w:type="dxa"/>
            <w:gridSpan w:val="3"/>
            <w:tcBorders>
              <w:bottom w:val="single" w:sz="4" w:space="0" w:color="auto"/>
            </w:tcBorders>
            <w:shd w:val="clear" w:color="auto" w:fill="F2F2F2"/>
          </w:tcPr>
          <w:p w14:paraId="31662F37" w14:textId="27A2FC44" w:rsidR="00A97CB1" w:rsidRPr="00A311FC" w:rsidRDefault="00A97CB1" w:rsidP="00CB6D07">
            <w:pPr>
              <w:pStyle w:val="TableTextLeft"/>
            </w:pPr>
            <w:r w:rsidRPr="00A311FC">
              <w:rPr>
                <w:b/>
              </w:rPr>
              <w:t xml:space="preserve">Program 3.2 – </w:t>
            </w:r>
            <w:r w:rsidRPr="00A311FC">
              <w:rPr>
                <w:rFonts w:cs="Arial"/>
                <w:b/>
              </w:rPr>
              <w:t xml:space="preserve">Overseas Property </w:t>
            </w:r>
          </w:p>
        </w:tc>
      </w:tr>
      <w:tr w:rsidR="00A97CB1" w14:paraId="409D1A84" w14:textId="77777777" w:rsidTr="00A311FC">
        <w:trPr>
          <w:trHeight w:val="526"/>
        </w:trPr>
        <w:tc>
          <w:tcPr>
            <w:tcW w:w="1560" w:type="dxa"/>
            <w:tcBorders>
              <w:top w:val="single" w:sz="4" w:space="0" w:color="auto"/>
              <w:left w:val="single" w:sz="4" w:space="0" w:color="auto"/>
              <w:bottom w:val="double" w:sz="4" w:space="0" w:color="auto"/>
              <w:right w:val="single" w:sz="4" w:space="0" w:color="auto"/>
            </w:tcBorders>
            <w:hideMark/>
          </w:tcPr>
          <w:p w14:paraId="59CC7E66" w14:textId="77777777" w:rsidR="00A97CB1" w:rsidRDefault="00A97CB1" w:rsidP="00CB6D07">
            <w:pPr>
              <w:tabs>
                <w:tab w:val="left" w:pos="709"/>
              </w:tabs>
              <w:spacing w:before="60" w:after="60" w:line="240" w:lineRule="auto"/>
              <w:rPr>
                <w:rFonts w:ascii="Arial" w:hAnsi="Arial" w:cs="Arial"/>
                <w:b/>
                <w:color w:val="000000" w:themeColor="text1"/>
                <w:sz w:val="16"/>
                <w:szCs w:val="16"/>
              </w:rPr>
            </w:pPr>
            <w:r>
              <w:rPr>
                <w:rFonts w:ascii="Arial" w:hAnsi="Arial" w:cs="Arial"/>
                <w:b/>
                <w:color w:val="000000" w:themeColor="text1"/>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1519E467" w14:textId="77777777" w:rsidR="00A97CB1" w:rsidRDefault="00A97CB1" w:rsidP="00CB6D07">
            <w:pPr>
              <w:tabs>
                <w:tab w:val="left" w:pos="709"/>
              </w:tabs>
              <w:spacing w:before="60" w:after="60" w:line="240" w:lineRule="auto"/>
              <w:rPr>
                <w:rFonts w:ascii="Arial" w:hAnsi="Arial" w:cs="Arial"/>
                <w:i/>
                <w:color w:val="000000" w:themeColor="text1"/>
                <w:sz w:val="16"/>
                <w:szCs w:val="16"/>
              </w:rPr>
            </w:pPr>
            <w:r>
              <w:rPr>
                <w:rFonts w:ascii="Arial" w:hAnsi="Arial" w:cs="Arial"/>
                <w:bCs/>
                <w:color w:val="000000" w:themeColor="text1"/>
                <w:sz w:val="16"/>
                <w:szCs w:val="16"/>
              </w:rPr>
              <w:t>Key activities reported in the current corporate plan that relate to this program.</w:t>
            </w:r>
          </w:p>
          <w:p w14:paraId="687DE3E8" w14:textId="5DFF3313" w:rsidR="00A97CB1" w:rsidRPr="00C116C7" w:rsidRDefault="00C116C7" w:rsidP="00091F80">
            <w:pPr>
              <w:pStyle w:val="ListParagraph"/>
              <w:numPr>
                <w:ilvl w:val="0"/>
                <w:numId w:val="53"/>
              </w:numPr>
              <w:tabs>
                <w:tab w:val="left" w:pos="709"/>
              </w:tabs>
              <w:spacing w:before="60" w:after="60" w:line="240" w:lineRule="auto"/>
              <w:rPr>
                <w:rFonts w:ascii="Arial" w:hAnsi="Arial" w:cs="Arial"/>
                <w:sz w:val="16"/>
                <w:szCs w:val="16"/>
              </w:rPr>
            </w:pPr>
            <w:r w:rsidRPr="00C116C7">
              <w:rPr>
                <w:rFonts w:ascii="Arial" w:hAnsi="Arial" w:cs="Arial"/>
                <w:sz w:val="16"/>
                <w:szCs w:val="16"/>
              </w:rPr>
              <w:t>Deliver a secure Australian Government presence overseas through efficient and effective management of the overseas estate that meets the Government’s requirements and maintains property conditions and building services</w:t>
            </w:r>
            <w:r>
              <w:rPr>
                <w:rFonts w:ascii="Arial" w:hAnsi="Arial" w:cs="Arial"/>
                <w:sz w:val="16"/>
                <w:szCs w:val="16"/>
              </w:rPr>
              <w:t>.</w:t>
            </w:r>
          </w:p>
        </w:tc>
      </w:tr>
      <w:tr w:rsidR="00A97CB1" w:rsidRPr="00AA75BF" w14:paraId="0CAE9894" w14:textId="77777777" w:rsidTr="00A311FC">
        <w:trPr>
          <w:trHeight w:val="258"/>
        </w:trPr>
        <w:tc>
          <w:tcPr>
            <w:tcW w:w="1560" w:type="dxa"/>
            <w:tcBorders>
              <w:top w:val="double" w:sz="4" w:space="0" w:color="auto"/>
              <w:bottom w:val="single" w:sz="4" w:space="0" w:color="auto"/>
              <w:right w:val="single" w:sz="4" w:space="0" w:color="auto"/>
            </w:tcBorders>
          </w:tcPr>
          <w:p w14:paraId="660F0E9F" w14:textId="77777777" w:rsidR="00A97CB1" w:rsidRPr="00AA75BF" w:rsidRDefault="00A97CB1"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AB0CD57" w14:textId="77777777" w:rsidR="00A97CB1" w:rsidRPr="00AA75BF" w:rsidRDefault="00A97CB1"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1BC26BCF" w14:textId="77777777" w:rsidR="00A97CB1" w:rsidRPr="00AA75BF" w:rsidRDefault="00A97CB1" w:rsidP="00CB6D07">
            <w:pPr>
              <w:pStyle w:val="TableTextBase"/>
              <w:rPr>
                <w:rFonts w:cs="Arial"/>
                <w:b/>
                <w:sz w:val="16"/>
                <w:szCs w:val="16"/>
              </w:rPr>
            </w:pPr>
            <w:r>
              <w:rPr>
                <w:rFonts w:cs="Arial"/>
                <w:b/>
                <w:sz w:val="16"/>
                <w:szCs w:val="16"/>
              </w:rPr>
              <w:t>Expected</w:t>
            </w:r>
            <w:r w:rsidRPr="00AA75BF">
              <w:rPr>
                <w:rFonts w:cs="Arial"/>
                <w:b/>
                <w:sz w:val="16"/>
                <w:szCs w:val="16"/>
              </w:rPr>
              <w:t xml:space="preserve"> Performance Results</w:t>
            </w:r>
          </w:p>
        </w:tc>
      </w:tr>
      <w:tr w:rsidR="00D8674E" w:rsidRPr="00F62425" w14:paraId="0D8ED65E" w14:textId="77777777" w:rsidTr="00E6759E">
        <w:trPr>
          <w:trHeight w:val="258"/>
        </w:trPr>
        <w:tc>
          <w:tcPr>
            <w:tcW w:w="1560" w:type="dxa"/>
            <w:vMerge w:val="restart"/>
            <w:tcBorders>
              <w:top w:val="single" w:sz="4" w:space="0" w:color="auto"/>
              <w:right w:val="single" w:sz="4" w:space="0" w:color="auto"/>
            </w:tcBorders>
          </w:tcPr>
          <w:p w14:paraId="22871710" w14:textId="77777777" w:rsidR="00AB1869" w:rsidRDefault="00D8674E" w:rsidP="00D8674E">
            <w:pPr>
              <w:pStyle w:val="TableTextBase"/>
              <w:rPr>
                <w:bCs/>
                <w:sz w:val="16"/>
                <w:szCs w:val="16"/>
              </w:rPr>
            </w:pPr>
            <w:r>
              <w:rPr>
                <w:bCs/>
                <w:sz w:val="16"/>
                <w:szCs w:val="16"/>
              </w:rPr>
              <w:t xml:space="preserve">Current year </w:t>
            </w:r>
          </w:p>
          <w:p w14:paraId="212017F8" w14:textId="4B78368C" w:rsidR="00D8674E" w:rsidRPr="00723F3F" w:rsidRDefault="00D8674E" w:rsidP="00D8674E">
            <w:pPr>
              <w:pStyle w:val="TableTextBase"/>
              <w:rPr>
                <w:bCs/>
                <w:sz w:val="16"/>
                <w:szCs w:val="16"/>
              </w:rPr>
            </w:pPr>
            <w:r>
              <w:rPr>
                <w:bCs/>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14:paraId="67445364" w14:textId="2C6EFFDB" w:rsidR="00D8674E" w:rsidRPr="00AA75BF" w:rsidRDefault="00D8674E" w:rsidP="00D8674E">
            <w:pPr>
              <w:pStyle w:val="TableTextBase"/>
              <w:rPr>
                <w:rFonts w:cs="Arial"/>
                <w:b/>
                <w:sz w:val="16"/>
                <w:szCs w:val="16"/>
              </w:rPr>
            </w:pPr>
            <w:r>
              <w:rPr>
                <w:rFonts w:cs="Arial"/>
                <w:sz w:val="16"/>
                <w:szCs w:val="16"/>
              </w:rPr>
              <w:t>Construction and refurbishment of departmental overseas property estate completed to agreed quality standards to meet government requirements and deliver operational efficiencies.</w:t>
            </w:r>
          </w:p>
        </w:tc>
        <w:tc>
          <w:tcPr>
            <w:tcW w:w="3118" w:type="dxa"/>
            <w:tcBorders>
              <w:top w:val="single" w:sz="4" w:space="0" w:color="auto"/>
              <w:left w:val="single" w:sz="4" w:space="0" w:color="auto"/>
              <w:bottom w:val="dotted" w:sz="4" w:space="0" w:color="auto"/>
              <w:right w:val="single" w:sz="4" w:space="0" w:color="auto"/>
            </w:tcBorders>
          </w:tcPr>
          <w:p w14:paraId="43401C6A" w14:textId="57C958DF" w:rsidR="00D8674E" w:rsidRPr="00E2437F" w:rsidRDefault="00D8674E" w:rsidP="00D8674E">
            <w:pPr>
              <w:tabs>
                <w:tab w:val="left" w:pos="455"/>
              </w:tabs>
              <w:spacing w:before="60" w:after="60" w:line="240" w:lineRule="auto"/>
              <w:jc w:val="center"/>
              <w:rPr>
                <w:rFonts w:ascii="Arial" w:hAnsi="Arial" w:cs="Arial"/>
                <w:sz w:val="16"/>
                <w:szCs w:val="16"/>
              </w:rPr>
            </w:pPr>
            <w:r>
              <w:rPr>
                <w:rFonts w:ascii="Arial" w:hAnsi="Arial" w:cs="Arial"/>
                <w:iCs/>
                <w:sz w:val="16"/>
                <w:szCs w:val="16"/>
              </w:rPr>
              <w:t>Partially on track</w:t>
            </w:r>
          </w:p>
        </w:tc>
      </w:tr>
      <w:tr w:rsidR="00D8674E" w:rsidRPr="00F62425" w14:paraId="0A51E5CD" w14:textId="77777777" w:rsidTr="00E6759E">
        <w:trPr>
          <w:trHeight w:val="258"/>
        </w:trPr>
        <w:tc>
          <w:tcPr>
            <w:tcW w:w="1560" w:type="dxa"/>
            <w:vMerge/>
            <w:tcBorders>
              <w:right w:val="single" w:sz="4" w:space="0" w:color="auto"/>
            </w:tcBorders>
          </w:tcPr>
          <w:p w14:paraId="3BC28F0B" w14:textId="77777777" w:rsidR="00D8674E" w:rsidRPr="00AA75BF" w:rsidRDefault="00D8674E" w:rsidP="00D8674E">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31F669FF" w14:textId="187AB6D2" w:rsidR="00D8674E" w:rsidRPr="00AA75BF" w:rsidRDefault="00D8674E" w:rsidP="00D8674E">
            <w:pPr>
              <w:pStyle w:val="TableTextBase"/>
              <w:rPr>
                <w:rFonts w:cs="Arial"/>
                <w:b/>
                <w:sz w:val="16"/>
                <w:szCs w:val="16"/>
              </w:rPr>
            </w:pPr>
            <w:r>
              <w:rPr>
                <w:rFonts w:cs="Arial"/>
                <w:sz w:val="16"/>
                <w:szCs w:val="16"/>
              </w:rPr>
              <w:t>Asset management plans are in place for all owned properties in the overseas estate.</w:t>
            </w:r>
          </w:p>
        </w:tc>
        <w:tc>
          <w:tcPr>
            <w:tcW w:w="3118" w:type="dxa"/>
            <w:tcBorders>
              <w:top w:val="single" w:sz="4" w:space="0" w:color="auto"/>
              <w:left w:val="single" w:sz="4" w:space="0" w:color="auto"/>
              <w:bottom w:val="dotted" w:sz="4" w:space="0" w:color="auto"/>
              <w:right w:val="single" w:sz="4" w:space="0" w:color="auto"/>
            </w:tcBorders>
          </w:tcPr>
          <w:p w14:paraId="554D1CAC" w14:textId="25B2FA55" w:rsidR="00D8674E" w:rsidRPr="00E2437F" w:rsidRDefault="00D8674E" w:rsidP="00D8674E">
            <w:pPr>
              <w:tabs>
                <w:tab w:val="left" w:pos="455"/>
              </w:tabs>
              <w:spacing w:before="60" w:after="60" w:line="240" w:lineRule="auto"/>
              <w:jc w:val="center"/>
              <w:rPr>
                <w:rFonts w:ascii="Arial" w:hAnsi="Arial" w:cs="Arial"/>
                <w:sz w:val="16"/>
                <w:szCs w:val="16"/>
              </w:rPr>
            </w:pPr>
            <w:r>
              <w:rPr>
                <w:rFonts w:ascii="Arial" w:hAnsi="Arial" w:cs="Arial"/>
                <w:iCs/>
                <w:sz w:val="16"/>
                <w:szCs w:val="16"/>
              </w:rPr>
              <w:t>On track</w:t>
            </w:r>
          </w:p>
        </w:tc>
      </w:tr>
      <w:tr w:rsidR="00D8674E" w:rsidRPr="00F62425" w14:paraId="3FCFA3EC" w14:textId="77777777" w:rsidTr="00D8674E">
        <w:trPr>
          <w:trHeight w:val="258"/>
        </w:trPr>
        <w:tc>
          <w:tcPr>
            <w:tcW w:w="1560" w:type="dxa"/>
            <w:vMerge/>
            <w:tcBorders>
              <w:right w:val="single" w:sz="4" w:space="0" w:color="auto"/>
            </w:tcBorders>
          </w:tcPr>
          <w:p w14:paraId="02E9B1DC" w14:textId="77777777" w:rsidR="00D8674E" w:rsidRPr="00AA75BF" w:rsidRDefault="00D8674E" w:rsidP="00D8674E">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A58E3DE" w14:textId="52C78870" w:rsidR="00D8674E" w:rsidRDefault="00D8674E" w:rsidP="00D8674E">
            <w:pPr>
              <w:pStyle w:val="TableTextBase"/>
              <w:rPr>
                <w:rFonts w:cs="Arial"/>
                <w:sz w:val="16"/>
                <w:szCs w:val="16"/>
              </w:rPr>
            </w:pPr>
            <w:r>
              <w:rPr>
                <w:rFonts w:cs="Arial"/>
                <w:sz w:val="16"/>
                <w:szCs w:val="16"/>
              </w:rPr>
              <w:t>Satisfaction ratings with the performance of the service provider and the Overseas Property Office</w:t>
            </w:r>
            <w:r w:rsidR="00C72A4E">
              <w:rPr>
                <w:rFonts w:cs="Arial"/>
                <w:sz w:val="16"/>
                <w:szCs w:val="16"/>
              </w:rPr>
              <w:t xml:space="preserve"> and Services</w:t>
            </w:r>
            <w:r>
              <w:rPr>
                <w:rFonts w:cs="Arial"/>
                <w:sz w:val="16"/>
                <w:szCs w:val="16"/>
              </w:rPr>
              <w:t>.</w:t>
            </w:r>
          </w:p>
        </w:tc>
        <w:tc>
          <w:tcPr>
            <w:tcW w:w="3118" w:type="dxa"/>
            <w:tcBorders>
              <w:top w:val="single" w:sz="4" w:space="0" w:color="auto"/>
              <w:left w:val="single" w:sz="4" w:space="0" w:color="auto"/>
              <w:bottom w:val="single" w:sz="4" w:space="0" w:color="auto"/>
              <w:right w:val="single" w:sz="4" w:space="0" w:color="auto"/>
            </w:tcBorders>
          </w:tcPr>
          <w:p w14:paraId="1F2A962B" w14:textId="5B8DDA87" w:rsidR="00D8674E" w:rsidRDefault="00D8674E" w:rsidP="00D8674E">
            <w:pPr>
              <w:tabs>
                <w:tab w:val="left" w:pos="455"/>
              </w:tabs>
              <w:spacing w:before="60" w:after="60" w:line="240" w:lineRule="auto"/>
              <w:jc w:val="center"/>
              <w:rPr>
                <w:rFonts w:ascii="Arial" w:hAnsi="Arial" w:cs="Arial"/>
                <w:iCs/>
                <w:sz w:val="16"/>
                <w:szCs w:val="16"/>
              </w:rPr>
            </w:pPr>
            <w:r>
              <w:rPr>
                <w:rFonts w:ascii="Arial" w:hAnsi="Arial" w:cs="Arial"/>
                <w:iCs/>
                <w:sz w:val="16"/>
                <w:szCs w:val="16"/>
              </w:rPr>
              <w:t>On track</w:t>
            </w:r>
          </w:p>
        </w:tc>
      </w:tr>
      <w:tr w:rsidR="00D8674E" w:rsidRPr="00F62425" w14:paraId="5400C62B" w14:textId="77777777" w:rsidTr="00D8674E">
        <w:trPr>
          <w:trHeight w:val="258"/>
        </w:trPr>
        <w:tc>
          <w:tcPr>
            <w:tcW w:w="1560" w:type="dxa"/>
            <w:vMerge/>
            <w:tcBorders>
              <w:right w:val="single" w:sz="4" w:space="0" w:color="auto"/>
            </w:tcBorders>
          </w:tcPr>
          <w:p w14:paraId="1BD06655" w14:textId="77777777" w:rsidR="00D8674E" w:rsidRPr="00AA75BF" w:rsidRDefault="00D8674E" w:rsidP="00D8674E">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4F29D4D" w14:textId="24D8971B" w:rsidR="00D8674E" w:rsidRDefault="00D8674E" w:rsidP="00D8674E">
            <w:pPr>
              <w:pStyle w:val="TableTextBase"/>
              <w:rPr>
                <w:rFonts w:cs="Arial"/>
                <w:sz w:val="16"/>
                <w:szCs w:val="16"/>
              </w:rPr>
            </w:pPr>
            <w:r>
              <w:rPr>
                <w:rFonts w:cs="Arial"/>
                <w:sz w:val="16"/>
                <w:szCs w:val="16"/>
              </w:rPr>
              <w:t>Management and refurbishment of the domestic property portfolio, including the state and territory offices, to meet government requirements and deliver operational efficiencies.</w:t>
            </w:r>
          </w:p>
        </w:tc>
        <w:tc>
          <w:tcPr>
            <w:tcW w:w="3118" w:type="dxa"/>
            <w:tcBorders>
              <w:top w:val="single" w:sz="4" w:space="0" w:color="auto"/>
              <w:left w:val="single" w:sz="4" w:space="0" w:color="auto"/>
              <w:bottom w:val="single" w:sz="4" w:space="0" w:color="auto"/>
              <w:right w:val="single" w:sz="4" w:space="0" w:color="auto"/>
            </w:tcBorders>
          </w:tcPr>
          <w:p w14:paraId="0A896553" w14:textId="7012BA82" w:rsidR="00D8674E" w:rsidRDefault="00D8674E" w:rsidP="00D8674E">
            <w:pPr>
              <w:tabs>
                <w:tab w:val="left" w:pos="455"/>
              </w:tabs>
              <w:spacing w:before="60" w:after="60" w:line="240" w:lineRule="auto"/>
              <w:jc w:val="center"/>
              <w:rPr>
                <w:rFonts w:ascii="Arial" w:hAnsi="Arial" w:cs="Arial"/>
                <w:iCs/>
                <w:sz w:val="16"/>
                <w:szCs w:val="16"/>
              </w:rPr>
            </w:pPr>
            <w:r>
              <w:rPr>
                <w:rFonts w:ascii="Arial" w:hAnsi="Arial" w:cs="Arial"/>
                <w:iCs/>
                <w:sz w:val="16"/>
                <w:szCs w:val="16"/>
              </w:rPr>
              <w:t>On track</w:t>
            </w:r>
          </w:p>
        </w:tc>
      </w:tr>
    </w:tbl>
    <w:p w14:paraId="3CBF2F1F" w14:textId="77777777" w:rsidR="00A97CB1" w:rsidRPr="00540011" w:rsidRDefault="00A97CB1" w:rsidP="00C354BB">
      <w:pPr>
        <w:pStyle w:val="ChartandTableFootnoteAlpha"/>
        <w:numPr>
          <w:ilvl w:val="0"/>
          <w:numId w:val="0"/>
        </w:numPr>
        <w:ind w:left="284" w:hanging="284"/>
        <w:rPr>
          <w:rFonts w:cs="Arial"/>
          <w:szCs w:val="16"/>
        </w:rPr>
      </w:pPr>
      <w:r w:rsidRPr="00540011">
        <w:rPr>
          <w:rFonts w:cs="Arial"/>
          <w:szCs w:val="16"/>
        </w:rPr>
        <w:t xml:space="preserve">Table </w:t>
      </w:r>
      <w:proofErr w:type="gramStart"/>
      <w:r w:rsidRPr="00540011">
        <w:rPr>
          <w:rFonts w:cs="Arial"/>
          <w:szCs w:val="16"/>
        </w:rPr>
        <w:t>continued on</w:t>
      </w:r>
      <w:proofErr w:type="gramEnd"/>
      <w:r w:rsidRPr="00540011">
        <w:rPr>
          <w:rFonts w:cs="Arial"/>
          <w:szCs w:val="16"/>
        </w:rPr>
        <w:t xml:space="preserve"> the next page. </w:t>
      </w:r>
    </w:p>
    <w:p w14:paraId="36C4386B" w14:textId="609F7EB6" w:rsidR="00C116C7" w:rsidRDefault="00C116C7">
      <w:pPr>
        <w:spacing w:after="0" w:line="240" w:lineRule="auto"/>
        <w:jc w:val="left"/>
      </w:pPr>
      <w:r>
        <w:br w:type="page"/>
      </w:r>
    </w:p>
    <w:p w14:paraId="79C99D58" w14:textId="77777777" w:rsidR="00C116C7" w:rsidRPr="00F93CED" w:rsidRDefault="00C116C7" w:rsidP="00C116C7">
      <w:pPr>
        <w:pStyle w:val="TableHeading"/>
        <w:rPr>
          <w:lang w:val="en-AU"/>
        </w:rPr>
      </w:pPr>
      <w:r w:rsidRPr="00F71634">
        <w:t>Table 2.</w:t>
      </w:r>
      <w:r>
        <w:rPr>
          <w:lang w:val="en-AU"/>
        </w:rPr>
        <w:t>3</w:t>
      </w:r>
      <w:r w:rsidRPr="00F71634">
        <w:t xml:space="preserve">.3: Performance </w:t>
      </w:r>
      <w:r>
        <w:rPr>
          <w:lang w:val="en-AU"/>
        </w:rPr>
        <w:t>measure</w:t>
      </w:r>
      <w:r w:rsidRPr="00F71634">
        <w:t xml:space="preserve"> for Outcome </w:t>
      </w:r>
      <w:r>
        <w:rPr>
          <w:lang w:val="en-AU"/>
        </w:rPr>
        <w:t>3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116C7" w:rsidRPr="00AA75BF" w14:paraId="71F79E36" w14:textId="77777777" w:rsidTr="00A311FC">
        <w:trPr>
          <w:trHeight w:val="522"/>
          <w:tblHeader/>
        </w:trPr>
        <w:tc>
          <w:tcPr>
            <w:tcW w:w="7796" w:type="dxa"/>
            <w:gridSpan w:val="3"/>
            <w:tcBorders>
              <w:bottom w:val="double" w:sz="4" w:space="0" w:color="auto"/>
            </w:tcBorders>
            <w:shd w:val="clear" w:color="auto" w:fill="F2F2F2"/>
          </w:tcPr>
          <w:p w14:paraId="46A63978" w14:textId="2818D1AB" w:rsidR="00C116C7" w:rsidRPr="00A311FC" w:rsidRDefault="00C116C7" w:rsidP="00CB6D07">
            <w:pPr>
              <w:pStyle w:val="TableTextLeft"/>
            </w:pPr>
            <w:r w:rsidRPr="00A311FC">
              <w:rPr>
                <w:b/>
              </w:rPr>
              <w:t xml:space="preserve">Program </w:t>
            </w:r>
            <w:r w:rsidR="00876523" w:rsidRPr="00A311FC">
              <w:rPr>
                <w:b/>
              </w:rPr>
              <w:t xml:space="preserve">3.2 – </w:t>
            </w:r>
            <w:r w:rsidR="00876523" w:rsidRPr="00A311FC">
              <w:rPr>
                <w:rFonts w:cs="Arial"/>
                <w:b/>
              </w:rPr>
              <w:t>Overseas Property</w:t>
            </w:r>
            <w:r w:rsidR="00876523" w:rsidRPr="00A311FC">
              <w:rPr>
                <w:b/>
              </w:rPr>
              <w:t xml:space="preserve"> </w:t>
            </w:r>
            <w:r w:rsidR="00A311FC">
              <w:rPr>
                <w:b/>
              </w:rPr>
              <w:t>(continued)</w:t>
            </w:r>
          </w:p>
        </w:tc>
      </w:tr>
      <w:tr w:rsidR="00C116C7" w:rsidRPr="00AA75BF" w14:paraId="63E9E983" w14:textId="77777777" w:rsidTr="00A311FC">
        <w:trPr>
          <w:trHeight w:val="258"/>
        </w:trPr>
        <w:tc>
          <w:tcPr>
            <w:tcW w:w="1560" w:type="dxa"/>
            <w:tcBorders>
              <w:top w:val="double" w:sz="4" w:space="0" w:color="auto"/>
              <w:bottom w:val="single" w:sz="4" w:space="0" w:color="auto"/>
              <w:right w:val="single" w:sz="4" w:space="0" w:color="auto"/>
            </w:tcBorders>
          </w:tcPr>
          <w:p w14:paraId="437D73DB" w14:textId="77777777" w:rsidR="00C116C7" w:rsidRPr="00AA75BF" w:rsidRDefault="00C116C7" w:rsidP="00CB6D07">
            <w:pPr>
              <w:pStyle w:val="TableTextBase"/>
              <w:rPr>
                <w:b/>
                <w:sz w:val="16"/>
                <w:szCs w:val="16"/>
              </w:rPr>
            </w:pPr>
            <w:r w:rsidRPr="00AA75BF">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ED26450" w14:textId="77777777" w:rsidR="00C116C7" w:rsidRPr="00AA75BF" w:rsidRDefault="00C116C7" w:rsidP="00CB6D07">
            <w:pPr>
              <w:pStyle w:val="TableTextBase"/>
              <w:rPr>
                <w:rFonts w:cs="Arial"/>
                <w:b/>
                <w:sz w:val="16"/>
                <w:szCs w:val="16"/>
              </w:rPr>
            </w:pPr>
            <w:r w:rsidRPr="00AA75BF">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285F1D0B" w14:textId="77777777" w:rsidR="00C116C7" w:rsidRPr="00AA75BF" w:rsidRDefault="00C116C7" w:rsidP="00CB6D07">
            <w:pPr>
              <w:pStyle w:val="TableTextBase"/>
              <w:rPr>
                <w:rFonts w:cs="Arial"/>
                <w:b/>
                <w:sz w:val="16"/>
                <w:szCs w:val="16"/>
              </w:rPr>
            </w:pPr>
            <w:r>
              <w:rPr>
                <w:rFonts w:cs="Arial"/>
                <w:b/>
                <w:sz w:val="16"/>
                <w:szCs w:val="16"/>
              </w:rPr>
              <w:t>Planned</w:t>
            </w:r>
            <w:r w:rsidRPr="00AA75BF">
              <w:rPr>
                <w:rFonts w:cs="Arial"/>
                <w:b/>
                <w:sz w:val="16"/>
                <w:szCs w:val="16"/>
              </w:rPr>
              <w:t xml:space="preserve"> Performance Results</w:t>
            </w:r>
          </w:p>
        </w:tc>
      </w:tr>
      <w:tr w:rsidR="00B13407" w:rsidRPr="00AA75BF" w14:paraId="1F13F72C" w14:textId="77777777" w:rsidTr="00A311FC">
        <w:trPr>
          <w:trHeight w:val="258"/>
        </w:trPr>
        <w:tc>
          <w:tcPr>
            <w:tcW w:w="1560" w:type="dxa"/>
            <w:vMerge w:val="restart"/>
            <w:tcBorders>
              <w:top w:val="single" w:sz="4" w:space="0" w:color="auto"/>
              <w:right w:val="single" w:sz="4" w:space="0" w:color="auto"/>
            </w:tcBorders>
          </w:tcPr>
          <w:p w14:paraId="689D8AAE" w14:textId="77777777" w:rsidR="00DD66AC" w:rsidRDefault="00B13407" w:rsidP="00B13407">
            <w:pPr>
              <w:pStyle w:val="TableTextBase"/>
              <w:rPr>
                <w:bCs/>
                <w:sz w:val="16"/>
                <w:szCs w:val="16"/>
              </w:rPr>
            </w:pPr>
            <w:r w:rsidRPr="00723F3F">
              <w:rPr>
                <w:bCs/>
                <w:sz w:val="16"/>
                <w:szCs w:val="16"/>
              </w:rPr>
              <w:t xml:space="preserve">Budget Year </w:t>
            </w:r>
          </w:p>
          <w:p w14:paraId="1FB04179" w14:textId="48A121E1" w:rsidR="00B13407" w:rsidRPr="00723F3F" w:rsidRDefault="00B13407" w:rsidP="00B13407">
            <w:pPr>
              <w:pStyle w:val="TableTextBase"/>
              <w:rPr>
                <w:bCs/>
                <w:sz w:val="16"/>
                <w:szCs w:val="16"/>
              </w:rPr>
            </w:pPr>
            <w:r w:rsidRPr="00723F3F">
              <w:rPr>
                <w:bCs/>
                <w:sz w:val="16"/>
                <w:szCs w:val="16"/>
              </w:rPr>
              <w:t xml:space="preserve">2022-23 </w:t>
            </w:r>
          </w:p>
        </w:tc>
        <w:tc>
          <w:tcPr>
            <w:tcW w:w="3118" w:type="dxa"/>
            <w:tcBorders>
              <w:top w:val="single" w:sz="4" w:space="0" w:color="auto"/>
              <w:left w:val="single" w:sz="4" w:space="0" w:color="auto"/>
              <w:bottom w:val="single" w:sz="4" w:space="0" w:color="auto"/>
              <w:right w:val="single" w:sz="4" w:space="0" w:color="auto"/>
            </w:tcBorders>
          </w:tcPr>
          <w:p w14:paraId="47CC949A" w14:textId="654F70ED" w:rsidR="00B13407" w:rsidRPr="00B13407" w:rsidRDefault="00B13407" w:rsidP="00B13407">
            <w:pPr>
              <w:pStyle w:val="TableTextBase"/>
              <w:rPr>
                <w:rFonts w:cs="Arial"/>
                <w:b/>
                <w:sz w:val="16"/>
                <w:szCs w:val="16"/>
              </w:rPr>
            </w:pPr>
            <w:r w:rsidRPr="00B13407">
              <w:rPr>
                <w:rFonts w:cs="Arial"/>
                <w:sz w:val="16"/>
                <w:szCs w:val="16"/>
                <w:lang w:eastAsia="en-US"/>
              </w:rPr>
              <w:t>Construction and refurbishment of departmental overseas property estate completed to agreed quality standards to meet government requirements and deliver operational efficiencies.</w:t>
            </w:r>
          </w:p>
        </w:tc>
        <w:tc>
          <w:tcPr>
            <w:tcW w:w="3118" w:type="dxa"/>
            <w:tcBorders>
              <w:top w:val="single" w:sz="4" w:space="0" w:color="auto"/>
              <w:left w:val="single" w:sz="4" w:space="0" w:color="auto"/>
              <w:bottom w:val="single" w:sz="4" w:space="0" w:color="auto"/>
            </w:tcBorders>
          </w:tcPr>
          <w:p w14:paraId="6E095A8B" w14:textId="77777777" w:rsidR="00B13407" w:rsidRPr="00B13407" w:rsidRDefault="00B13407"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sidRPr="00B13407">
              <w:rPr>
                <w:rFonts w:ascii="Arial" w:hAnsi="Arial" w:cs="Arial"/>
                <w:sz w:val="16"/>
                <w:szCs w:val="16"/>
              </w:rPr>
              <w:t xml:space="preserve">Benefits identified in the approved business case are </w:t>
            </w:r>
            <w:proofErr w:type="spellStart"/>
            <w:r w:rsidRPr="00B13407">
              <w:rPr>
                <w:rFonts w:ascii="Arial" w:hAnsi="Arial" w:cs="Arial"/>
                <w:sz w:val="16"/>
                <w:szCs w:val="16"/>
              </w:rPr>
              <w:t>realised</w:t>
            </w:r>
            <w:proofErr w:type="spellEnd"/>
            <w:r w:rsidRPr="00B13407">
              <w:rPr>
                <w:rFonts w:ascii="Arial" w:hAnsi="Arial" w:cs="Arial"/>
                <w:sz w:val="16"/>
                <w:szCs w:val="16"/>
              </w:rPr>
              <w:t>.</w:t>
            </w:r>
          </w:p>
          <w:p w14:paraId="77E36D12" w14:textId="77777777" w:rsidR="00B13407" w:rsidRPr="00B13407" w:rsidRDefault="00B13407"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sidRPr="00B13407">
              <w:rPr>
                <w:rFonts w:ascii="Arial" w:hAnsi="Arial" w:cs="Arial"/>
                <w:sz w:val="16"/>
                <w:szCs w:val="16"/>
              </w:rPr>
              <w:t>Off-site construction delivered to Australian Codes and Standards.</w:t>
            </w:r>
          </w:p>
          <w:p w14:paraId="0E6DA307" w14:textId="6ADC3F00" w:rsidR="00B13407" w:rsidRPr="00F62425" w:rsidRDefault="00B13407" w:rsidP="00D8674E">
            <w:pPr>
              <w:pStyle w:val="ListParagraph"/>
              <w:numPr>
                <w:ilvl w:val="0"/>
                <w:numId w:val="52"/>
              </w:numPr>
              <w:tabs>
                <w:tab w:val="clear" w:pos="720"/>
                <w:tab w:val="left" w:pos="455"/>
              </w:tabs>
              <w:spacing w:before="60" w:after="60" w:line="240" w:lineRule="auto"/>
              <w:ind w:left="313" w:right="41" w:hanging="283"/>
              <w:rPr>
                <w:rFonts w:ascii="Arial" w:hAnsi="Arial" w:cs="Arial"/>
                <w:sz w:val="16"/>
                <w:szCs w:val="16"/>
              </w:rPr>
            </w:pPr>
            <w:r>
              <w:rPr>
                <w:rFonts w:ascii="Arial" w:hAnsi="Arial" w:cs="Arial"/>
                <w:sz w:val="16"/>
                <w:szCs w:val="16"/>
              </w:rPr>
              <w:t>80 per cent of construction projects delivered on time and within approved budget.</w:t>
            </w:r>
          </w:p>
        </w:tc>
      </w:tr>
      <w:tr w:rsidR="00B13407" w:rsidRPr="00AA75BF" w14:paraId="7065AB84" w14:textId="77777777" w:rsidTr="00CB6D07">
        <w:trPr>
          <w:trHeight w:val="258"/>
        </w:trPr>
        <w:tc>
          <w:tcPr>
            <w:tcW w:w="1560" w:type="dxa"/>
            <w:vMerge/>
            <w:tcBorders>
              <w:right w:val="single" w:sz="4" w:space="0" w:color="auto"/>
            </w:tcBorders>
          </w:tcPr>
          <w:p w14:paraId="5BFE0C3A" w14:textId="77777777" w:rsidR="00B13407" w:rsidRPr="00AA75BF" w:rsidRDefault="00B13407" w:rsidP="00B13407">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C280495" w14:textId="5EB9D996" w:rsidR="00B13407" w:rsidRPr="00B13407" w:rsidRDefault="00B13407" w:rsidP="00B13407">
            <w:pPr>
              <w:pStyle w:val="TableTextBase"/>
              <w:rPr>
                <w:rFonts w:cs="Arial"/>
                <w:b/>
                <w:sz w:val="16"/>
                <w:szCs w:val="16"/>
              </w:rPr>
            </w:pPr>
            <w:r w:rsidRPr="00B13407">
              <w:rPr>
                <w:rFonts w:cs="Arial"/>
                <w:sz w:val="16"/>
                <w:szCs w:val="16"/>
                <w:lang w:eastAsia="en-US"/>
              </w:rPr>
              <w:t>Asset management plans are in place for all owned properties in the overseas estate.</w:t>
            </w:r>
          </w:p>
        </w:tc>
        <w:tc>
          <w:tcPr>
            <w:tcW w:w="3118" w:type="dxa"/>
            <w:tcBorders>
              <w:top w:val="single" w:sz="4" w:space="0" w:color="auto"/>
              <w:left w:val="single" w:sz="4" w:space="0" w:color="auto"/>
              <w:bottom w:val="single" w:sz="4" w:space="0" w:color="auto"/>
            </w:tcBorders>
          </w:tcPr>
          <w:p w14:paraId="6644971A" w14:textId="322B4C2E" w:rsidR="00B13407" w:rsidRPr="00F62425" w:rsidRDefault="00B13407" w:rsidP="00091F80">
            <w:pPr>
              <w:pStyle w:val="ListParagraph"/>
              <w:numPr>
                <w:ilvl w:val="0"/>
                <w:numId w:val="52"/>
              </w:numPr>
              <w:tabs>
                <w:tab w:val="clear" w:pos="720"/>
                <w:tab w:val="left" w:pos="455"/>
              </w:tabs>
              <w:spacing w:before="60" w:after="60" w:line="240" w:lineRule="auto"/>
              <w:ind w:left="313" w:right="-107" w:hanging="283"/>
              <w:rPr>
                <w:rFonts w:ascii="Arial" w:hAnsi="Arial" w:cs="Arial"/>
                <w:sz w:val="16"/>
                <w:szCs w:val="16"/>
              </w:rPr>
            </w:pPr>
            <w:r>
              <w:rPr>
                <w:rFonts w:ascii="Arial" w:hAnsi="Arial" w:cs="Arial"/>
                <w:sz w:val="16"/>
                <w:szCs w:val="16"/>
              </w:rPr>
              <w:t>100 per cent of asset management plans updated for all owned properties.</w:t>
            </w:r>
          </w:p>
        </w:tc>
      </w:tr>
      <w:tr w:rsidR="00B13407" w:rsidRPr="00AA75BF" w14:paraId="7E7C2229" w14:textId="77777777" w:rsidTr="00CB6D07">
        <w:trPr>
          <w:trHeight w:val="258"/>
        </w:trPr>
        <w:tc>
          <w:tcPr>
            <w:tcW w:w="1560" w:type="dxa"/>
            <w:vMerge/>
            <w:tcBorders>
              <w:right w:val="single" w:sz="4" w:space="0" w:color="auto"/>
            </w:tcBorders>
          </w:tcPr>
          <w:p w14:paraId="0771D673" w14:textId="77777777" w:rsidR="00B13407" w:rsidRPr="00AA75BF" w:rsidRDefault="00B13407" w:rsidP="00B13407">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53CB80B" w14:textId="6DD64DD1" w:rsidR="00B13407" w:rsidRPr="00B13407" w:rsidRDefault="00B13407" w:rsidP="00B13407">
            <w:pPr>
              <w:pStyle w:val="TableTextBase"/>
              <w:rPr>
                <w:rFonts w:cs="Arial"/>
                <w:sz w:val="16"/>
                <w:szCs w:val="16"/>
              </w:rPr>
            </w:pPr>
            <w:r w:rsidRPr="00B13407">
              <w:rPr>
                <w:rFonts w:cs="Arial"/>
                <w:sz w:val="16"/>
                <w:szCs w:val="16"/>
                <w:lang w:eastAsia="en-US"/>
              </w:rPr>
              <w:t>Satisfaction ratings with the performance of the service provider and the Overseas Property Office.</w:t>
            </w:r>
          </w:p>
        </w:tc>
        <w:tc>
          <w:tcPr>
            <w:tcW w:w="3118" w:type="dxa"/>
            <w:tcBorders>
              <w:top w:val="single" w:sz="4" w:space="0" w:color="auto"/>
              <w:left w:val="single" w:sz="4" w:space="0" w:color="auto"/>
              <w:bottom w:val="single" w:sz="4" w:space="0" w:color="auto"/>
            </w:tcBorders>
          </w:tcPr>
          <w:p w14:paraId="756D55A9" w14:textId="72008A5C" w:rsidR="00B13407" w:rsidRDefault="00B13407" w:rsidP="00D8674E">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Pr>
                <w:rFonts w:ascii="Arial" w:hAnsi="Arial" w:cs="Arial"/>
                <w:sz w:val="16"/>
                <w:szCs w:val="16"/>
              </w:rPr>
              <w:t>Maintained or increased compared to previous year.</w:t>
            </w:r>
          </w:p>
        </w:tc>
      </w:tr>
      <w:tr w:rsidR="00B13407" w:rsidRPr="00AA75BF" w14:paraId="2BE64921" w14:textId="77777777" w:rsidTr="008A7CC8">
        <w:trPr>
          <w:trHeight w:val="258"/>
        </w:trPr>
        <w:tc>
          <w:tcPr>
            <w:tcW w:w="1560" w:type="dxa"/>
            <w:vMerge/>
            <w:tcBorders>
              <w:bottom w:val="dotted" w:sz="4" w:space="0" w:color="auto"/>
              <w:right w:val="single" w:sz="4" w:space="0" w:color="auto"/>
            </w:tcBorders>
          </w:tcPr>
          <w:p w14:paraId="7B378324" w14:textId="77777777" w:rsidR="00B13407" w:rsidRPr="00AA75BF" w:rsidRDefault="00B13407" w:rsidP="00B13407">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1BAEECD9" w14:textId="4BD34D25" w:rsidR="00B13407" w:rsidRPr="00B13407" w:rsidRDefault="00B13407" w:rsidP="00B13407">
            <w:pPr>
              <w:pStyle w:val="TableTextBase"/>
              <w:rPr>
                <w:rFonts w:cs="Arial"/>
                <w:sz w:val="16"/>
                <w:szCs w:val="16"/>
              </w:rPr>
            </w:pPr>
            <w:r w:rsidRPr="00B13407">
              <w:rPr>
                <w:rFonts w:cs="Arial"/>
                <w:sz w:val="16"/>
                <w:szCs w:val="16"/>
                <w:lang w:eastAsia="en-US"/>
              </w:rPr>
              <w:t>Management and refurbishment of the domestic property portfolio, including the state and territory offices, to meet government requirements and deliver operational efficiencies.</w:t>
            </w:r>
          </w:p>
        </w:tc>
        <w:tc>
          <w:tcPr>
            <w:tcW w:w="3118" w:type="dxa"/>
            <w:tcBorders>
              <w:top w:val="single" w:sz="4" w:space="0" w:color="auto"/>
              <w:left w:val="single" w:sz="4" w:space="0" w:color="auto"/>
              <w:bottom w:val="dotted" w:sz="4" w:space="0" w:color="auto"/>
            </w:tcBorders>
          </w:tcPr>
          <w:p w14:paraId="278B73CD" w14:textId="302A75B7" w:rsidR="00B13407" w:rsidRPr="00B505E0" w:rsidRDefault="00B13407" w:rsidP="00091F80">
            <w:pPr>
              <w:pStyle w:val="ListParagraph"/>
              <w:numPr>
                <w:ilvl w:val="0"/>
                <w:numId w:val="52"/>
              </w:numPr>
              <w:tabs>
                <w:tab w:val="clear" w:pos="720"/>
                <w:tab w:val="left" w:pos="455"/>
              </w:tabs>
              <w:spacing w:before="60" w:after="60" w:line="240" w:lineRule="auto"/>
              <w:ind w:left="313" w:hanging="283"/>
              <w:rPr>
                <w:rFonts w:ascii="Arial" w:hAnsi="Arial" w:cs="Arial"/>
                <w:sz w:val="16"/>
                <w:szCs w:val="16"/>
              </w:rPr>
            </w:pPr>
            <w:r w:rsidRPr="00B505E0">
              <w:rPr>
                <w:rFonts w:ascii="Arial" w:hAnsi="Arial" w:cs="Arial"/>
                <w:sz w:val="16"/>
                <w:szCs w:val="16"/>
              </w:rPr>
              <w:t>The department has an occupational density of 14m</w:t>
            </w:r>
            <w:r w:rsidRPr="00B505E0">
              <w:rPr>
                <w:rFonts w:ascii="Arial" w:hAnsi="Arial" w:cs="Arial"/>
                <w:sz w:val="16"/>
                <w:szCs w:val="16"/>
                <w:vertAlign w:val="superscript"/>
              </w:rPr>
              <w:t xml:space="preserve">2 </w:t>
            </w:r>
            <w:r w:rsidRPr="00B505E0">
              <w:rPr>
                <w:rFonts w:ascii="Arial" w:eastAsia="Arial" w:hAnsi="Arial" w:cs="Arial"/>
                <w:color w:val="000000" w:themeColor="text1"/>
                <w:sz w:val="16"/>
                <w:szCs w:val="16"/>
              </w:rPr>
              <w:t>per occupied work point by 2025</w:t>
            </w:r>
            <w:r w:rsidR="00D8674E">
              <w:rPr>
                <w:rFonts w:ascii="Arial" w:eastAsia="Arial" w:hAnsi="Arial" w:cs="Arial"/>
                <w:color w:val="000000" w:themeColor="text1"/>
                <w:sz w:val="16"/>
                <w:szCs w:val="16"/>
              </w:rPr>
              <w:t>.</w:t>
            </w:r>
          </w:p>
        </w:tc>
      </w:tr>
      <w:tr w:rsidR="00C116C7" w:rsidRPr="00AA75BF" w14:paraId="194AF047" w14:textId="77777777" w:rsidTr="008A7CC8">
        <w:trPr>
          <w:trHeight w:val="258"/>
        </w:trPr>
        <w:tc>
          <w:tcPr>
            <w:tcW w:w="1560" w:type="dxa"/>
            <w:tcBorders>
              <w:top w:val="dotted" w:sz="4" w:space="0" w:color="auto"/>
              <w:bottom w:val="single" w:sz="4" w:space="0" w:color="auto"/>
              <w:right w:val="single" w:sz="4" w:space="0" w:color="auto"/>
            </w:tcBorders>
          </w:tcPr>
          <w:p w14:paraId="3C903FAB" w14:textId="77777777" w:rsidR="00C116C7" w:rsidRDefault="00C116C7" w:rsidP="00CB6D07">
            <w:pPr>
              <w:tabs>
                <w:tab w:val="left" w:pos="709"/>
              </w:tabs>
              <w:spacing w:before="60" w:after="60" w:line="240" w:lineRule="auto"/>
              <w:rPr>
                <w:rFonts w:ascii="Arial" w:hAnsi="Arial" w:cs="Arial"/>
                <w:color w:val="000000" w:themeColor="text1"/>
                <w:sz w:val="16"/>
                <w:szCs w:val="16"/>
              </w:rPr>
            </w:pPr>
            <w:r>
              <w:rPr>
                <w:rFonts w:ascii="Arial" w:hAnsi="Arial" w:cs="Arial"/>
                <w:color w:val="000000" w:themeColor="text1"/>
                <w:sz w:val="16"/>
                <w:szCs w:val="16"/>
              </w:rPr>
              <w:t xml:space="preserve">Forward Estimates </w:t>
            </w:r>
          </w:p>
          <w:p w14:paraId="04E7644F" w14:textId="77777777" w:rsidR="00C116C7" w:rsidRPr="00AA75BF" w:rsidRDefault="00C116C7" w:rsidP="00CB6D07">
            <w:pPr>
              <w:pStyle w:val="TableTextBase"/>
              <w:rPr>
                <w:b/>
                <w:sz w:val="16"/>
                <w:szCs w:val="16"/>
              </w:rPr>
            </w:pPr>
            <w:r>
              <w:rPr>
                <w:rFonts w:cs="Arial"/>
                <w:color w:val="000000" w:themeColor="text1"/>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3BFFCE5E" w14:textId="77777777" w:rsidR="00C116C7" w:rsidRPr="00AA75BF" w:rsidRDefault="00C116C7" w:rsidP="00CB6D07">
            <w:pPr>
              <w:pStyle w:val="TableTextBase"/>
              <w:rPr>
                <w:rFonts w:cs="Arial"/>
                <w:b/>
                <w:sz w:val="16"/>
                <w:szCs w:val="16"/>
              </w:rPr>
            </w:pPr>
            <w:r>
              <w:rPr>
                <w:rFonts w:cs="Arial"/>
                <w:iCs/>
                <w:color w:val="000000" w:themeColor="text1"/>
                <w:sz w:val="16"/>
                <w:szCs w:val="16"/>
              </w:rPr>
              <w:t>As per 2022-23</w:t>
            </w:r>
          </w:p>
        </w:tc>
        <w:tc>
          <w:tcPr>
            <w:tcW w:w="3118" w:type="dxa"/>
            <w:tcBorders>
              <w:top w:val="dotted" w:sz="4" w:space="0" w:color="auto"/>
              <w:left w:val="single" w:sz="4" w:space="0" w:color="auto"/>
              <w:bottom w:val="single" w:sz="4" w:space="0" w:color="auto"/>
            </w:tcBorders>
          </w:tcPr>
          <w:p w14:paraId="5F9CB14E" w14:textId="77777777" w:rsidR="00C116C7" w:rsidRPr="00141481" w:rsidRDefault="00C116C7" w:rsidP="00CB6D07">
            <w:pPr>
              <w:tabs>
                <w:tab w:val="left" w:pos="455"/>
              </w:tabs>
              <w:spacing w:before="60" w:after="60" w:line="240" w:lineRule="auto"/>
              <w:rPr>
                <w:rFonts w:ascii="Arial" w:hAnsi="Arial" w:cs="Arial"/>
                <w:sz w:val="16"/>
                <w:szCs w:val="16"/>
              </w:rPr>
            </w:pPr>
            <w:r w:rsidRPr="00141481">
              <w:rPr>
                <w:rFonts w:ascii="Arial" w:hAnsi="Arial" w:cs="Arial"/>
                <w:iCs/>
                <w:color w:val="000000" w:themeColor="text1"/>
                <w:sz w:val="16"/>
                <w:szCs w:val="16"/>
              </w:rPr>
              <w:t>As per 2022-23</w:t>
            </w:r>
          </w:p>
        </w:tc>
      </w:tr>
    </w:tbl>
    <w:p w14:paraId="501EE4E4" w14:textId="6AF09FB1" w:rsidR="00C116C7" w:rsidRPr="00C116C7" w:rsidRDefault="00C116C7" w:rsidP="00C116C7">
      <w:pPr>
        <w:spacing w:line="240" w:lineRule="auto"/>
        <w:rPr>
          <w:rFonts w:ascii="Arial" w:hAnsi="Arial" w:cs="Arial"/>
          <w:sz w:val="16"/>
          <w:szCs w:val="16"/>
        </w:rPr>
      </w:pPr>
      <w:r>
        <w:rPr>
          <w:rFonts w:ascii="Arial" w:hAnsi="Arial" w:cs="Arial"/>
          <w:sz w:val="16"/>
          <w:szCs w:val="16"/>
        </w:rPr>
        <w:t>Note: This performance information is based on DFAT’s 2021-22 Corporate Plan which amended some performance measures from the PBS 2021-22 to reflect our current operating environment, remove duplication, improve verifiability and separate out targets from the performance measure.  More detail is provided on page 10 of the 2021-22 Corporate Plan.</w:t>
      </w:r>
    </w:p>
    <w:p w14:paraId="1BB7E003" w14:textId="622B3F72" w:rsidR="002F530C" w:rsidRPr="00AD42E2" w:rsidRDefault="008E34EA" w:rsidP="008E34EA">
      <w:pPr>
        <w:pStyle w:val="Heading2"/>
      </w:pPr>
      <w:r w:rsidRPr="005B6A94">
        <w:br w:type="page"/>
      </w:r>
      <w:bookmarkStart w:id="117" w:name="_Toc95217854"/>
      <w:bookmarkStart w:id="118" w:name="_Toc95229681"/>
      <w:bookmarkStart w:id="119" w:name="_Toc95288988"/>
      <w:bookmarkStart w:id="120" w:name="_Toc95291875"/>
      <w:bookmarkStart w:id="121" w:name="_Toc95293749"/>
      <w:bookmarkStart w:id="122" w:name="_Toc95296400"/>
      <w:bookmarkStart w:id="123" w:name="_Toc97387903"/>
      <w:bookmarkStart w:id="124" w:name="_Toc97540641"/>
      <w:bookmarkStart w:id="125" w:name="_Toc99111643"/>
      <w:r w:rsidR="002F530C" w:rsidRPr="00AD42E2">
        <w:t>Section 3: Budgeted financial statements</w:t>
      </w:r>
      <w:bookmarkEnd w:id="105"/>
      <w:bookmarkEnd w:id="117"/>
      <w:bookmarkEnd w:id="118"/>
      <w:bookmarkEnd w:id="119"/>
      <w:bookmarkEnd w:id="120"/>
      <w:bookmarkEnd w:id="121"/>
      <w:bookmarkEnd w:id="122"/>
      <w:bookmarkEnd w:id="123"/>
      <w:bookmarkEnd w:id="124"/>
      <w:bookmarkEnd w:id="125"/>
    </w:p>
    <w:p w14:paraId="78199C71" w14:textId="7C534881"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39118D">
        <w:t>–</w:t>
      </w:r>
      <w:r w:rsidR="002E59C4">
        <w:t>23</w:t>
      </w:r>
      <w:r w:rsidR="002E59C4">
        <w:rPr>
          <w:color w:val="00B050"/>
        </w:rPr>
        <w:t xml:space="preserve"> </w:t>
      </w:r>
      <w:r w:rsidR="0039118D">
        <w:t>B</w:t>
      </w:r>
      <w:r w:rsidR="0027614D">
        <w:t>udget year</w:t>
      </w:r>
      <w:r w:rsidR="007118AC">
        <w:t xml:space="preserve">, including the impact of </w:t>
      </w:r>
      <w:r w:rsidR="00E03A2B">
        <w:t>B</w:t>
      </w:r>
      <w:r w:rsidR="007118AC">
        <w:t>udget measures and resourcing on financial statements</w:t>
      </w:r>
      <w:r w:rsidR="00B04964">
        <w:t>.</w:t>
      </w:r>
    </w:p>
    <w:p w14:paraId="09939497" w14:textId="77777777" w:rsidR="00E4582E" w:rsidRPr="005328A9" w:rsidRDefault="007118AC" w:rsidP="00B30019">
      <w:pPr>
        <w:pStyle w:val="Heading3"/>
        <w:jc w:val="both"/>
      </w:pPr>
      <w:bookmarkStart w:id="126" w:name="_Toc190682317"/>
      <w:bookmarkStart w:id="127" w:name="_Toc444523517"/>
      <w:bookmarkStart w:id="128" w:name="_Toc95217855"/>
      <w:bookmarkStart w:id="129" w:name="_Toc95229682"/>
      <w:bookmarkStart w:id="130" w:name="_Toc95288989"/>
      <w:bookmarkStart w:id="131" w:name="_Toc95291876"/>
      <w:bookmarkStart w:id="132" w:name="_Toc95293750"/>
      <w:bookmarkStart w:id="133" w:name="_Toc95296401"/>
      <w:bookmarkStart w:id="134" w:name="_Toc97387904"/>
      <w:bookmarkStart w:id="135" w:name="_Toc97540642"/>
      <w:bookmarkStart w:id="136" w:name="_Toc99111644"/>
      <w:r w:rsidRPr="005328A9">
        <w:t>3.1</w:t>
      </w:r>
      <w:r w:rsidR="00E4582E" w:rsidRPr="005328A9">
        <w:tab/>
        <w:t>Budgeted financial statements</w:t>
      </w:r>
      <w:bookmarkEnd w:id="126"/>
      <w:bookmarkEnd w:id="127"/>
      <w:bookmarkEnd w:id="128"/>
      <w:bookmarkEnd w:id="129"/>
      <w:bookmarkEnd w:id="130"/>
      <w:bookmarkEnd w:id="131"/>
      <w:bookmarkEnd w:id="132"/>
      <w:bookmarkEnd w:id="133"/>
      <w:bookmarkEnd w:id="134"/>
      <w:bookmarkEnd w:id="135"/>
      <w:bookmarkEnd w:id="136"/>
    </w:p>
    <w:p w14:paraId="7DB809F1" w14:textId="77777777" w:rsidR="00E4582E" w:rsidRDefault="00A23BC2" w:rsidP="00B30019">
      <w:pPr>
        <w:pStyle w:val="Heading4"/>
        <w:jc w:val="both"/>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4C3A5297" w14:textId="77777777" w:rsidR="00B30019" w:rsidRPr="00B30019" w:rsidRDefault="00B30019" w:rsidP="00B30019">
      <w:pPr>
        <w:pStyle w:val="ExampleText0"/>
        <w:spacing w:after="160"/>
        <w:jc w:val="both"/>
        <w:rPr>
          <w:i w:val="0"/>
          <w:iCs/>
          <w:color w:val="auto"/>
        </w:rPr>
      </w:pPr>
      <w:r w:rsidRPr="00B30019">
        <w:rPr>
          <w:i w:val="0"/>
          <w:iCs/>
          <w:color w:val="auto"/>
        </w:rPr>
        <w:t>There are no differences between the resource information presented in the Budget Papers and in DFAT’s Portfolio Budget Statements.</w:t>
      </w:r>
    </w:p>
    <w:p w14:paraId="6675AC06" w14:textId="77777777" w:rsidR="00E4582E" w:rsidRDefault="00A23BC2" w:rsidP="00B30019">
      <w:pPr>
        <w:pStyle w:val="Heading4"/>
        <w:jc w:val="both"/>
      </w:pPr>
      <w:r>
        <w:t>3.</w:t>
      </w:r>
      <w:r w:rsidR="007118AC">
        <w:t>1</w:t>
      </w:r>
      <w:r>
        <w:t>.2</w:t>
      </w:r>
      <w:r w:rsidR="005F29CD">
        <w:tab/>
      </w:r>
      <w:r w:rsidR="003B7C64">
        <w:t xml:space="preserve">Explanatory notes and analysis </w:t>
      </w:r>
      <w:r w:rsidR="00E4582E">
        <w:t xml:space="preserve">of </w:t>
      </w:r>
      <w:r w:rsidR="000216BF">
        <w:t>budgeted financial statements</w:t>
      </w:r>
    </w:p>
    <w:p w14:paraId="0A00818E" w14:textId="7E9B848B" w:rsidR="00B30019" w:rsidRPr="00B30019" w:rsidRDefault="00B30019" w:rsidP="00B30019">
      <w:pPr>
        <w:pStyle w:val="ExampleText0"/>
        <w:spacing w:after="160"/>
        <w:jc w:val="both"/>
        <w:rPr>
          <w:i w:val="0"/>
          <w:iCs/>
          <w:color w:val="auto"/>
        </w:rPr>
      </w:pPr>
      <w:r w:rsidRPr="00B30019">
        <w:rPr>
          <w:i w:val="0"/>
          <w:iCs/>
          <w:color w:val="auto"/>
        </w:rPr>
        <w:t>The total budgeted revenue from government in 202</w:t>
      </w:r>
      <w:r w:rsidR="0048324E">
        <w:rPr>
          <w:i w:val="0"/>
          <w:iCs/>
          <w:color w:val="auto"/>
        </w:rPr>
        <w:t>2</w:t>
      </w:r>
      <w:r w:rsidR="0039118D">
        <w:rPr>
          <w:i w:val="0"/>
          <w:iCs/>
          <w:color w:val="auto"/>
        </w:rPr>
        <w:t>–</w:t>
      </w:r>
      <w:r w:rsidRPr="00B30019">
        <w:rPr>
          <w:i w:val="0"/>
          <w:iCs/>
          <w:color w:val="auto"/>
        </w:rPr>
        <w:t>2</w:t>
      </w:r>
      <w:r>
        <w:rPr>
          <w:i w:val="0"/>
          <w:iCs/>
          <w:color w:val="auto"/>
        </w:rPr>
        <w:t>3</w:t>
      </w:r>
      <w:r w:rsidRPr="00B30019">
        <w:rPr>
          <w:i w:val="0"/>
          <w:iCs/>
          <w:color w:val="auto"/>
        </w:rPr>
        <w:t xml:space="preserve"> is $</w:t>
      </w:r>
      <w:r w:rsidR="006C359A">
        <w:rPr>
          <w:i w:val="0"/>
          <w:iCs/>
          <w:color w:val="auto"/>
        </w:rPr>
        <w:t>1,826.6</w:t>
      </w:r>
      <w:r w:rsidRPr="00B30019">
        <w:rPr>
          <w:i w:val="0"/>
          <w:iCs/>
          <w:color w:val="auto"/>
        </w:rPr>
        <w:t xml:space="preserve"> million as shown in Table 3.1. The increase is primarily attributable to: </w:t>
      </w:r>
    </w:p>
    <w:p w14:paraId="5076E0AE" w14:textId="77777777" w:rsidR="00B30019" w:rsidRPr="00B30019" w:rsidRDefault="00B30019" w:rsidP="00B30019">
      <w:pPr>
        <w:pStyle w:val="Default"/>
        <w:tabs>
          <w:tab w:val="num" w:pos="567"/>
        </w:tabs>
        <w:spacing w:after="120" w:line="260" w:lineRule="exact"/>
        <w:ind w:left="567" w:hanging="283"/>
        <w:jc w:val="both"/>
        <w:rPr>
          <w:rFonts w:ascii="Book Antiqua" w:hAnsi="Book Antiqua" w:cs="Book Antiqua"/>
          <w:color w:val="auto"/>
          <w:sz w:val="20"/>
          <w:szCs w:val="20"/>
        </w:rPr>
      </w:pPr>
      <w:r w:rsidRPr="00B30019">
        <w:rPr>
          <w:rFonts w:ascii="Book Antiqua" w:hAnsi="Book Antiqua" w:cs="Book Antiqua"/>
          <w:color w:val="auto"/>
          <w:sz w:val="20"/>
          <w:szCs w:val="20"/>
        </w:rPr>
        <w:t>•</w:t>
      </w:r>
      <w:r w:rsidRPr="00B30019">
        <w:rPr>
          <w:rFonts w:ascii="Book Antiqua" w:hAnsi="Book Antiqua" w:cs="Book Antiqua"/>
          <w:color w:val="auto"/>
          <w:sz w:val="20"/>
          <w:szCs w:val="20"/>
        </w:rPr>
        <w:tab/>
        <w:t xml:space="preserve">funding for new </w:t>
      </w:r>
      <w:proofErr w:type="gramStart"/>
      <w:r w:rsidRPr="00B30019">
        <w:rPr>
          <w:rFonts w:ascii="Book Antiqua" w:hAnsi="Book Antiqua" w:cs="Book Antiqua"/>
          <w:color w:val="auto"/>
          <w:sz w:val="20"/>
          <w:szCs w:val="20"/>
        </w:rPr>
        <w:t>measures;</w:t>
      </w:r>
      <w:proofErr w:type="gramEnd"/>
      <w:r w:rsidRPr="00B30019">
        <w:rPr>
          <w:rFonts w:ascii="Book Antiqua" w:hAnsi="Book Antiqua" w:cs="Book Antiqua"/>
          <w:color w:val="auto"/>
          <w:sz w:val="20"/>
          <w:szCs w:val="20"/>
        </w:rPr>
        <w:t xml:space="preserve"> </w:t>
      </w:r>
    </w:p>
    <w:p w14:paraId="7B96409C" w14:textId="77777777" w:rsidR="00B30019" w:rsidRPr="00B30019" w:rsidRDefault="00B30019" w:rsidP="00B30019">
      <w:pPr>
        <w:pStyle w:val="Default"/>
        <w:tabs>
          <w:tab w:val="num" w:pos="567"/>
        </w:tabs>
        <w:spacing w:after="120" w:line="260" w:lineRule="exact"/>
        <w:ind w:left="567" w:hanging="283"/>
        <w:jc w:val="both"/>
        <w:rPr>
          <w:rFonts w:ascii="Book Antiqua" w:hAnsi="Book Antiqua" w:cs="Book Antiqua"/>
          <w:color w:val="auto"/>
          <w:sz w:val="20"/>
          <w:szCs w:val="20"/>
        </w:rPr>
      </w:pPr>
      <w:r w:rsidRPr="00B30019">
        <w:rPr>
          <w:rFonts w:ascii="Book Antiqua" w:hAnsi="Book Antiqua" w:cs="Book Antiqua"/>
          <w:color w:val="auto"/>
          <w:sz w:val="20"/>
          <w:szCs w:val="20"/>
        </w:rPr>
        <w:t>•</w:t>
      </w:r>
      <w:r w:rsidRPr="00B30019">
        <w:rPr>
          <w:rFonts w:ascii="Book Antiqua" w:hAnsi="Book Antiqua" w:cs="Book Antiqua"/>
          <w:color w:val="auto"/>
          <w:sz w:val="20"/>
          <w:szCs w:val="20"/>
        </w:rPr>
        <w:tab/>
        <w:t>parameter adjustments for overseas and domestic inflation; and</w:t>
      </w:r>
    </w:p>
    <w:p w14:paraId="4E3992DD" w14:textId="77777777" w:rsidR="00B30019" w:rsidRPr="00B30019" w:rsidRDefault="00B30019" w:rsidP="00B30019">
      <w:pPr>
        <w:pStyle w:val="Default"/>
        <w:tabs>
          <w:tab w:val="num" w:pos="567"/>
        </w:tabs>
        <w:spacing w:after="120" w:line="260" w:lineRule="exact"/>
        <w:ind w:left="567" w:hanging="283"/>
        <w:jc w:val="both"/>
        <w:rPr>
          <w:rFonts w:ascii="Book Antiqua" w:hAnsi="Book Antiqua" w:cs="Book Antiqua"/>
          <w:color w:val="auto"/>
          <w:sz w:val="20"/>
          <w:szCs w:val="20"/>
        </w:rPr>
      </w:pPr>
      <w:r w:rsidRPr="00B30019">
        <w:rPr>
          <w:rFonts w:ascii="Book Antiqua" w:hAnsi="Book Antiqua" w:cs="Book Antiqua"/>
          <w:color w:val="auto"/>
          <w:sz w:val="20"/>
          <w:szCs w:val="20"/>
        </w:rPr>
        <w:t>•</w:t>
      </w:r>
      <w:r w:rsidRPr="00B30019">
        <w:rPr>
          <w:rFonts w:ascii="Book Antiqua" w:hAnsi="Book Antiqua" w:cs="Book Antiqua"/>
          <w:color w:val="auto"/>
          <w:sz w:val="20"/>
          <w:szCs w:val="20"/>
        </w:rPr>
        <w:tab/>
        <w:t>foreign exchange movements.</w:t>
      </w:r>
    </w:p>
    <w:p w14:paraId="11C3FB3C" w14:textId="094DD66D" w:rsidR="00B30019" w:rsidRPr="00B30019" w:rsidRDefault="00B30019" w:rsidP="00B30019">
      <w:pPr>
        <w:pStyle w:val="ExampleText0"/>
        <w:spacing w:after="160"/>
        <w:jc w:val="both"/>
        <w:rPr>
          <w:i w:val="0"/>
          <w:iCs/>
          <w:color w:val="auto"/>
        </w:rPr>
      </w:pPr>
      <w:r w:rsidRPr="00B30019">
        <w:rPr>
          <w:i w:val="0"/>
          <w:iCs/>
          <w:color w:val="auto"/>
        </w:rPr>
        <w:t>The Income Statement shows a budgeted deficit in 202</w:t>
      </w:r>
      <w:r w:rsidR="0048324E">
        <w:rPr>
          <w:i w:val="0"/>
          <w:iCs/>
          <w:color w:val="auto"/>
        </w:rPr>
        <w:t>2</w:t>
      </w:r>
      <w:r w:rsidR="0039118D">
        <w:rPr>
          <w:i w:val="0"/>
          <w:iCs/>
          <w:color w:val="auto"/>
        </w:rPr>
        <w:t>–</w:t>
      </w:r>
      <w:r w:rsidRPr="00B30019">
        <w:rPr>
          <w:i w:val="0"/>
          <w:iCs/>
          <w:color w:val="auto"/>
        </w:rPr>
        <w:t>2</w:t>
      </w:r>
      <w:r w:rsidR="0048324E">
        <w:rPr>
          <w:i w:val="0"/>
          <w:iCs/>
          <w:color w:val="auto"/>
        </w:rPr>
        <w:t>3</w:t>
      </w:r>
      <w:r w:rsidRPr="00B30019">
        <w:rPr>
          <w:i w:val="0"/>
          <w:iCs/>
          <w:color w:val="auto"/>
        </w:rPr>
        <w:t xml:space="preserve"> of $</w:t>
      </w:r>
      <w:r w:rsidR="006C359A">
        <w:rPr>
          <w:i w:val="0"/>
          <w:iCs/>
          <w:color w:val="auto"/>
        </w:rPr>
        <w:t>146.8</w:t>
      </w:r>
      <w:r w:rsidRPr="00B30019">
        <w:rPr>
          <w:i w:val="0"/>
          <w:iCs/>
          <w:color w:val="auto"/>
        </w:rPr>
        <w:t xml:space="preserve"> million before allowing for net cash funding arrangements. </w:t>
      </w:r>
    </w:p>
    <w:p w14:paraId="4140D51F" w14:textId="77777777" w:rsidR="00B30019" w:rsidRPr="00B30019" w:rsidRDefault="00B30019" w:rsidP="00B30019">
      <w:pPr>
        <w:pStyle w:val="ExampleText0"/>
        <w:spacing w:after="160"/>
        <w:jc w:val="both"/>
        <w:rPr>
          <w:i w:val="0"/>
          <w:iCs/>
          <w:color w:val="auto"/>
        </w:rPr>
      </w:pPr>
      <w:r w:rsidRPr="00B30019">
        <w:rPr>
          <w:i w:val="0"/>
          <w:iCs/>
          <w:color w:val="auto"/>
        </w:rPr>
        <w:t>In addition, all departmental financial statements have been updated to include the estimated impact of the accounting standards for leases (AASB 16).</w:t>
      </w:r>
    </w:p>
    <w:p w14:paraId="1BA5E625" w14:textId="77777777" w:rsidR="00B30019" w:rsidRDefault="00B30019" w:rsidP="00B30019">
      <w:pPr>
        <w:pStyle w:val="Heading4"/>
        <w:jc w:val="both"/>
      </w:pPr>
      <w:r>
        <w:t xml:space="preserve">Budgeted Departmental Balance Sheet </w:t>
      </w:r>
    </w:p>
    <w:p w14:paraId="467ADB14" w14:textId="72AB553B" w:rsidR="00B30019" w:rsidRDefault="00B30019" w:rsidP="00B30019">
      <w:r>
        <w:t>The department will receive an equity injection of $</w:t>
      </w:r>
      <w:r w:rsidR="006C359A">
        <w:t>62.0</w:t>
      </w:r>
      <w:r>
        <w:t xml:space="preserve"> million in 202</w:t>
      </w:r>
      <w:r w:rsidR="0048324E">
        <w:t>2</w:t>
      </w:r>
      <w:r w:rsidR="0039118D">
        <w:t>–</w:t>
      </w:r>
      <w:r>
        <w:t>2</w:t>
      </w:r>
      <w:r w:rsidR="0048324E">
        <w:t>3</w:t>
      </w:r>
      <w:r>
        <w:t xml:space="preserve"> for the purchase or construction of new assets. The department will also receive $</w:t>
      </w:r>
      <w:r w:rsidR="006C359A">
        <w:t>70.7</w:t>
      </w:r>
      <w:r>
        <w:t xml:space="preserve"> million through its Departmental Capital Budget to fund the replacement of existing assets.</w:t>
      </w:r>
    </w:p>
    <w:p w14:paraId="72336C99" w14:textId="4F030AD1" w:rsidR="00B30019" w:rsidRDefault="00B30019" w:rsidP="00B30019">
      <w:r>
        <w:t>For 2022</w:t>
      </w:r>
      <w:r w:rsidR="0039118D">
        <w:t>–</w:t>
      </w:r>
      <w:r>
        <w:t>23, the department’s non-financial asset position is budgeted to be $</w:t>
      </w:r>
      <w:r w:rsidR="006C359A">
        <w:t>5,263.8</w:t>
      </w:r>
      <w:r w:rsidR="00975252">
        <w:t> </w:t>
      </w:r>
      <w:r>
        <w:t>million at year-end. The major asset component is $</w:t>
      </w:r>
      <w:r w:rsidR="006C359A">
        <w:t xml:space="preserve">4,578.2 </w:t>
      </w:r>
      <w:r>
        <w:t xml:space="preserve">million for </w:t>
      </w:r>
      <w:r w:rsidR="00E03A2B">
        <w:t>l</w:t>
      </w:r>
      <w:r>
        <w:t xml:space="preserve">and and </w:t>
      </w:r>
      <w:r w:rsidR="00E03A2B">
        <w:t>b</w:t>
      </w:r>
      <w:r>
        <w:t>uildings.</w:t>
      </w:r>
    </w:p>
    <w:p w14:paraId="39DA1DB9" w14:textId="77777777" w:rsidR="00B30019" w:rsidRDefault="00B30019" w:rsidP="00B30019">
      <w:pPr>
        <w:pStyle w:val="Heading4"/>
        <w:jc w:val="both"/>
      </w:pPr>
      <w:r>
        <w:t>Schedule of Budgeted Income and Expenses Administered on behalf of the Government</w:t>
      </w:r>
    </w:p>
    <w:p w14:paraId="7FB30AA9" w14:textId="5D6D1721" w:rsidR="00B30019" w:rsidRDefault="00B30019" w:rsidP="00B30019">
      <w:r>
        <w:t xml:space="preserve">Administered expenses for </w:t>
      </w:r>
      <w:r w:rsidR="00E03A2B">
        <w:t>m</w:t>
      </w:r>
      <w:r>
        <w:t xml:space="preserve">ultilateral </w:t>
      </w:r>
      <w:r w:rsidR="00E03A2B">
        <w:t>r</w:t>
      </w:r>
      <w:r>
        <w:t>eplenishments are budgeted at $</w:t>
      </w:r>
      <w:r w:rsidR="006C359A">
        <w:t>559.4</w:t>
      </w:r>
      <w:r>
        <w:t xml:space="preserve"> million, a</w:t>
      </w:r>
      <w:r w:rsidR="0048324E">
        <w:t>n</w:t>
      </w:r>
      <w:r>
        <w:t xml:space="preserve"> </w:t>
      </w:r>
      <w:r w:rsidR="0048324E">
        <w:t>increase</w:t>
      </w:r>
      <w:r>
        <w:t xml:space="preserve"> of $</w:t>
      </w:r>
      <w:r w:rsidR="006C359A">
        <w:t>551.4</w:t>
      </w:r>
      <w:r>
        <w:t xml:space="preserve"> million from the 2021–22 estimated actual due to a new multilateral replenishment being </w:t>
      </w:r>
      <w:r w:rsidR="006C359A">
        <w:t>finalised</w:t>
      </w:r>
      <w:r>
        <w:t xml:space="preserve">.  </w:t>
      </w:r>
    </w:p>
    <w:p w14:paraId="12ACE80A" w14:textId="77777777" w:rsidR="00B30019" w:rsidRDefault="00B30019" w:rsidP="00B30019">
      <w:pPr>
        <w:pStyle w:val="Heading4"/>
        <w:jc w:val="both"/>
      </w:pPr>
      <w:r>
        <w:t xml:space="preserve">Schedule of Budgeted Assets and Liabilities Administered on behalf of the Government </w:t>
      </w:r>
    </w:p>
    <w:p w14:paraId="73573888" w14:textId="39B6E7C0" w:rsidR="00B30019" w:rsidRDefault="00B30019" w:rsidP="00975252">
      <w:r>
        <w:t>Administered assets and liabilities administered on behalf of the Government are budgeted at $</w:t>
      </w:r>
      <w:r w:rsidR="006C359A">
        <w:t>3,486.2</w:t>
      </w:r>
      <w:r>
        <w:t xml:space="preserve"> million and $</w:t>
      </w:r>
      <w:r w:rsidR="006C359A">
        <w:t>2,103.3</w:t>
      </w:r>
      <w:r>
        <w:t xml:space="preserve"> million respectively for the year ending </w:t>
      </w:r>
      <w:r>
        <w:br/>
        <w:t>30</w:t>
      </w:r>
      <w:r w:rsidR="00975252">
        <w:t> </w:t>
      </w:r>
      <w:r>
        <w:t>June</w:t>
      </w:r>
      <w:r w:rsidR="00975252">
        <w:t> </w:t>
      </w:r>
      <w:r>
        <w:t>2023.</w:t>
      </w:r>
    </w:p>
    <w:p w14:paraId="7420AEAB" w14:textId="77777777" w:rsidR="00B30019" w:rsidRDefault="00B30019" w:rsidP="00B30019">
      <w:pPr>
        <w:pStyle w:val="Heading4"/>
        <w:jc w:val="both"/>
      </w:pPr>
      <w:r>
        <w:t xml:space="preserve">Schedule of Budgeted Administered Cash Flows </w:t>
      </w:r>
    </w:p>
    <w:p w14:paraId="24D9BA4D" w14:textId="5ADE515A" w:rsidR="00B30019" w:rsidRDefault="00B30019" w:rsidP="00B30019">
      <w:r>
        <w:t>Administered cash receipts primarily comprise receipts from passport and consular services and are budgeted at $</w:t>
      </w:r>
      <w:r w:rsidR="006C359A">
        <w:t>788.0</w:t>
      </w:r>
      <w:r>
        <w:t xml:space="preserve"> million, an increase of $</w:t>
      </w:r>
      <w:r w:rsidR="006C359A">
        <w:t>193.1</w:t>
      </w:r>
      <w:r>
        <w:t xml:space="preserve"> million.  </w:t>
      </w:r>
    </w:p>
    <w:p w14:paraId="4463F102" w14:textId="739FAABF" w:rsidR="00E4582E" w:rsidRDefault="00B30019" w:rsidP="00B30019">
      <w:r>
        <w:t>Administered cash used in 2022</w:t>
      </w:r>
      <w:r w:rsidR="00E03A2B">
        <w:t>–</w:t>
      </w:r>
      <w:r>
        <w:t xml:space="preserve">23 is estimated to </w:t>
      </w:r>
      <w:r w:rsidR="006C359A">
        <w:t>increase</w:t>
      </w:r>
      <w:r>
        <w:t xml:space="preserve"> by $</w:t>
      </w:r>
      <w:r w:rsidR="006C359A">
        <w:t>231.5</w:t>
      </w:r>
      <w:r>
        <w:t xml:space="preserve"> million compared to 2021</w:t>
      </w:r>
      <w:r w:rsidR="00E03A2B">
        <w:t>–</w:t>
      </w:r>
      <w:r>
        <w:t>22. This is due primarily to the profile of the COVID-19 Response Packages across the financial years.</w:t>
      </w:r>
      <w:r w:rsidR="000A6897">
        <w:br w:type="page"/>
      </w:r>
      <w:bookmarkStart w:id="137" w:name="_Toc444523518"/>
      <w:r w:rsidR="00E4582E" w:rsidRPr="00D232B7">
        <w:rPr>
          <w:rStyle w:val="TableHeadingChar"/>
        </w:rPr>
        <w:t>3.2.</w:t>
      </w:r>
      <w:r w:rsidR="005F29CD" w:rsidRPr="00D232B7">
        <w:rPr>
          <w:rStyle w:val="TableHeadingChar"/>
        </w:rPr>
        <w:tab/>
      </w:r>
      <w:r w:rsidR="00E4582E" w:rsidRPr="00D232B7">
        <w:rPr>
          <w:rStyle w:val="TableHeadingChar"/>
        </w:rPr>
        <w:t xml:space="preserve">Budgeted </w:t>
      </w:r>
      <w:r w:rsidR="00F626C2" w:rsidRPr="00D232B7">
        <w:rPr>
          <w:rStyle w:val="TableHeadingChar"/>
        </w:rPr>
        <w:t>financial statements tables</w:t>
      </w:r>
      <w:bookmarkEnd w:id="137"/>
    </w:p>
    <w:p w14:paraId="4921ACBF" w14:textId="77777777"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p w14:paraId="2BECFF1E" w14:textId="0AC9CD93" w:rsidR="007742FF" w:rsidRDefault="00D52088" w:rsidP="00392DD1">
      <w:pPr>
        <w:pStyle w:val="TableGraphic"/>
      </w:pPr>
      <w:r w:rsidRPr="00D52088">
        <w:rPr>
          <w:noProof/>
        </w:rPr>
        <w:t xml:space="preserve"> </w:t>
      </w:r>
      <w:r w:rsidR="00E34D7D" w:rsidRPr="00E34D7D">
        <w:rPr>
          <w:noProof/>
        </w:rPr>
        <w:drawing>
          <wp:inline distT="0" distB="0" distL="0" distR="0" wp14:anchorId="78A30D8A" wp14:editId="7D1ADE29">
            <wp:extent cx="4857750" cy="48672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57750" cy="4867275"/>
                    </a:xfrm>
                    <a:prstGeom prst="rect">
                      <a:avLst/>
                    </a:prstGeom>
                    <a:noFill/>
                    <a:ln>
                      <a:noFill/>
                    </a:ln>
                  </pic:spPr>
                </pic:pic>
              </a:graphicData>
            </a:graphic>
          </wp:inline>
        </w:drawing>
      </w:r>
    </w:p>
    <w:p w14:paraId="52C942EB" w14:textId="064DB9E1" w:rsidR="00B30019" w:rsidRDefault="00B30019" w:rsidP="00C354BB">
      <w:pPr>
        <w:pStyle w:val="ChartandTableFootnoteAlpha"/>
        <w:numPr>
          <w:ilvl w:val="0"/>
          <w:numId w:val="0"/>
        </w:numPr>
        <w:ind w:left="284" w:hanging="284"/>
      </w:pPr>
      <w:r>
        <w:rPr>
          <w:color w:val="000000"/>
          <w:lang w:eastAsia="x-none"/>
        </w:rPr>
        <w:t xml:space="preserve">Table </w:t>
      </w:r>
      <w:proofErr w:type="gramStart"/>
      <w:r>
        <w:rPr>
          <w:color w:val="000000"/>
          <w:lang w:eastAsia="x-none"/>
        </w:rPr>
        <w:t>continued on</w:t>
      </w:r>
      <w:proofErr w:type="gramEnd"/>
      <w:r>
        <w:rPr>
          <w:color w:val="000000"/>
          <w:lang w:eastAsia="x-none"/>
        </w:rPr>
        <w:t xml:space="preserve"> </w:t>
      </w:r>
      <w:r w:rsidRPr="00C354BB">
        <w:rPr>
          <w:rFonts w:cs="Arial"/>
          <w:szCs w:val="16"/>
        </w:rPr>
        <w:t>the</w:t>
      </w:r>
      <w:r>
        <w:rPr>
          <w:color w:val="000000"/>
          <w:lang w:eastAsia="x-none"/>
        </w:rPr>
        <w:t xml:space="preserve"> next page.</w:t>
      </w:r>
    </w:p>
    <w:p w14:paraId="3E03F2AC" w14:textId="77777777" w:rsidR="00146B5E" w:rsidRDefault="007742FF" w:rsidP="00146B5E">
      <w:pPr>
        <w:pStyle w:val="TableHeadingcontinued"/>
        <w:rPr>
          <w:snapToGrid w:val="0"/>
        </w:rPr>
      </w:pPr>
      <w:r>
        <w:br w:type="page"/>
      </w:r>
      <w:r w:rsidR="00146B5E" w:rsidRPr="00E855E0">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388182FB" w14:textId="77777777" w:rsidR="00A965CD" w:rsidRPr="003819E1" w:rsidRDefault="00A965CD" w:rsidP="002C1D11">
      <w:pPr>
        <w:pStyle w:val="TableGraphic"/>
        <w:rPr>
          <w:rFonts w:ascii="Arial" w:hAnsi="Arial" w:cs="Arial"/>
        </w:rPr>
      </w:pPr>
    </w:p>
    <w:p w14:paraId="5B8AB07F" w14:textId="77777777" w:rsidR="007742FF" w:rsidRPr="003819E1" w:rsidRDefault="007742FF" w:rsidP="00CD6D33">
      <w:pPr>
        <w:pStyle w:val="TableHeadingNoTable"/>
        <w:spacing w:after="0"/>
      </w:pPr>
      <w:r w:rsidRPr="003819E1">
        <w:t>Note: Impact of net cash appropriation arrangements</w:t>
      </w:r>
    </w:p>
    <w:p w14:paraId="72A1E5C1" w14:textId="63500D83" w:rsidR="007742FF" w:rsidRPr="009D54F3" w:rsidRDefault="00D52088" w:rsidP="00392DD1">
      <w:pPr>
        <w:pStyle w:val="TableGraphic"/>
        <w:rPr>
          <w:rFonts w:ascii="Arial" w:hAnsi="Arial" w:cs="Arial"/>
        </w:rPr>
      </w:pPr>
      <w:r w:rsidRPr="00D52088">
        <w:rPr>
          <w:noProof/>
        </w:rPr>
        <w:t xml:space="preserve"> </w:t>
      </w:r>
      <w:r w:rsidR="00E34D7D" w:rsidRPr="00E34D7D">
        <w:rPr>
          <w:noProof/>
        </w:rPr>
        <w:drawing>
          <wp:inline distT="0" distB="0" distL="0" distR="0" wp14:anchorId="09DC136B" wp14:editId="7FB1CE9B">
            <wp:extent cx="4857750" cy="25812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57750" cy="2581275"/>
                    </a:xfrm>
                    <a:prstGeom prst="rect">
                      <a:avLst/>
                    </a:prstGeom>
                    <a:noFill/>
                    <a:ln>
                      <a:noFill/>
                    </a:ln>
                  </pic:spPr>
                </pic:pic>
              </a:graphicData>
            </a:graphic>
          </wp:inline>
        </w:drawing>
      </w:r>
    </w:p>
    <w:p w14:paraId="1C64FBA3" w14:textId="29D43EC3" w:rsidR="00417E86" w:rsidRDefault="00417E86" w:rsidP="00417E86">
      <w:pPr>
        <w:pStyle w:val="Source"/>
        <w:rPr>
          <w:rFonts w:cs="Arial"/>
        </w:rPr>
      </w:pPr>
      <w:r w:rsidRPr="009D54F3">
        <w:rPr>
          <w:rFonts w:cs="Arial"/>
        </w:rPr>
        <w:t>Prepared on Australian Accounting Standards basis.</w:t>
      </w:r>
    </w:p>
    <w:p w14:paraId="47F8135A" w14:textId="004EE500" w:rsidR="00D52088" w:rsidRDefault="003A3E7B" w:rsidP="00091F80">
      <w:pPr>
        <w:pStyle w:val="ChartandTableFootnoteAlpha"/>
        <w:numPr>
          <w:ilvl w:val="0"/>
          <w:numId w:val="12"/>
        </w:numPr>
        <w:rPr>
          <w:rFonts w:cs="Arial"/>
        </w:rPr>
      </w:pPr>
      <w:r w:rsidRPr="009D54F3">
        <w:rPr>
          <w:rFonts w:cs="Arial"/>
        </w:rPr>
        <w:t>From 2010</w:t>
      </w:r>
      <w:r w:rsidR="00282C7F">
        <w:rPr>
          <w:rFonts w:cs="Arial"/>
        </w:rPr>
        <w:t>-</w:t>
      </w:r>
      <w:r w:rsidRPr="009D54F3">
        <w:rPr>
          <w:rFonts w:cs="Arial"/>
        </w:rPr>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9D54F3">
        <w:rPr>
          <w:rFonts w:cs="Arial"/>
        </w:rPr>
        <w:t>, or DCB) provided through Bill </w:t>
      </w:r>
      <w:r w:rsidRPr="009D54F3">
        <w:rPr>
          <w:rFonts w:cs="Arial"/>
        </w:rPr>
        <w:t>1 equity appropriations. For information regarding DCBs, please refer to Table</w:t>
      </w:r>
      <w:r w:rsidR="00971CBF" w:rsidRPr="009D54F3">
        <w:rPr>
          <w:rFonts w:cs="Arial"/>
        </w:rPr>
        <w:t xml:space="preserve"> 3.</w:t>
      </w:r>
      <w:r w:rsidRPr="009D54F3">
        <w:rPr>
          <w:rFonts w:cs="Arial"/>
        </w:rPr>
        <w:t>5 Departmental Capital Budget Statement.</w:t>
      </w:r>
    </w:p>
    <w:p w14:paraId="130B2F73" w14:textId="77777777" w:rsidR="00D52088" w:rsidRPr="002A0F2E" w:rsidRDefault="00D52088" w:rsidP="00091F80">
      <w:pPr>
        <w:pStyle w:val="ChartandTableFootnoteAlpha"/>
        <w:numPr>
          <w:ilvl w:val="0"/>
          <w:numId w:val="12"/>
        </w:numPr>
      </w:pPr>
      <w:r w:rsidRPr="00D52088">
        <w:t>Applies leases under AASB 16 Leases.</w:t>
      </w:r>
    </w:p>
    <w:p w14:paraId="30973EFF" w14:textId="77777777" w:rsidR="00E75A0F" w:rsidRDefault="00E75A0F" w:rsidP="00096568">
      <w:pPr>
        <w:pStyle w:val="Source"/>
        <w:rPr>
          <w:rFonts w:cs="Arial"/>
        </w:rPr>
      </w:pPr>
    </w:p>
    <w:p w14:paraId="30F9666D" w14:textId="77777777" w:rsidR="00E4582E" w:rsidRDefault="000A24C4" w:rsidP="00146B5E">
      <w:pPr>
        <w:pStyle w:val="TableHeading"/>
      </w:pPr>
      <w:r>
        <w:br w:type="page"/>
      </w:r>
      <w:r w:rsidR="00525AB1" w:rsidRPr="00E4582E">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p w14:paraId="6ADB3D96" w14:textId="24EC4507" w:rsidR="00F626C2" w:rsidRPr="00F626C2" w:rsidRDefault="00E34D7D" w:rsidP="00392DD1">
      <w:pPr>
        <w:pStyle w:val="TableGraphic"/>
      </w:pPr>
      <w:r w:rsidRPr="00E34D7D">
        <w:rPr>
          <w:noProof/>
        </w:rPr>
        <w:drawing>
          <wp:inline distT="0" distB="0" distL="0" distR="0" wp14:anchorId="2AD9E723" wp14:editId="48E56F51">
            <wp:extent cx="4772025" cy="57245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72025" cy="5724525"/>
                    </a:xfrm>
                    <a:prstGeom prst="rect">
                      <a:avLst/>
                    </a:prstGeom>
                    <a:noFill/>
                    <a:ln>
                      <a:noFill/>
                    </a:ln>
                  </pic:spPr>
                </pic:pic>
              </a:graphicData>
            </a:graphic>
          </wp:inline>
        </w:drawing>
      </w:r>
    </w:p>
    <w:p w14:paraId="1E5D8F45" w14:textId="77777777" w:rsidR="00D606C2" w:rsidRPr="00132F9E" w:rsidRDefault="00D606C2" w:rsidP="00D606C2">
      <w:pPr>
        <w:pStyle w:val="Source"/>
        <w:rPr>
          <w:rFonts w:cs="Arial"/>
        </w:rPr>
      </w:pPr>
      <w:r w:rsidRPr="00132F9E">
        <w:rPr>
          <w:rFonts w:cs="Arial"/>
        </w:rPr>
        <w:t>Prepared on Australian Accounting Standards basis.</w:t>
      </w:r>
    </w:p>
    <w:p w14:paraId="064E15D3" w14:textId="77777777" w:rsidR="00E4582E" w:rsidRPr="00132F9E" w:rsidRDefault="00E4582E" w:rsidP="00F626C2">
      <w:pPr>
        <w:pStyle w:val="ChartandTableFootnote"/>
        <w:rPr>
          <w:rFonts w:cs="Arial"/>
        </w:rPr>
      </w:pPr>
      <w:r w:rsidRPr="00132F9E">
        <w:rPr>
          <w:rFonts w:cs="Arial"/>
        </w:rPr>
        <w:t>*</w:t>
      </w:r>
      <w:r w:rsidR="0087400E" w:rsidRPr="00132F9E">
        <w:rPr>
          <w:rFonts w:cs="Arial"/>
          <w:lang w:val="en-AU"/>
        </w:rPr>
        <w:t>‘</w:t>
      </w:r>
      <w:r w:rsidRPr="00132F9E">
        <w:rPr>
          <w:rFonts w:cs="Arial"/>
        </w:rPr>
        <w:t>E</w:t>
      </w:r>
      <w:r w:rsidR="00F626C2" w:rsidRPr="00132F9E">
        <w:rPr>
          <w:rFonts w:cs="Arial"/>
        </w:rPr>
        <w:t>quity’</w:t>
      </w:r>
      <w:r w:rsidRPr="00132F9E">
        <w:rPr>
          <w:rFonts w:cs="Arial"/>
        </w:rPr>
        <w:t xml:space="preserve"> is the residual interest in assets after deduction of liabilities.</w:t>
      </w:r>
    </w:p>
    <w:p w14:paraId="7CA7E543" w14:textId="77777777" w:rsidR="00132F9E" w:rsidRPr="00152B2B" w:rsidRDefault="00132F9E" w:rsidP="00152B2B"/>
    <w:p w14:paraId="50134296" w14:textId="77777777" w:rsidR="0061675B" w:rsidRPr="00152B2B" w:rsidRDefault="0061675B" w:rsidP="00152B2B"/>
    <w:p w14:paraId="0DEE4917" w14:textId="08116977" w:rsidR="002376AD" w:rsidRDefault="000A24C4" w:rsidP="009763C1">
      <w:pPr>
        <w:pStyle w:val="TableHeading"/>
        <w:rPr>
          <w:rFonts w:ascii="Times New Roman" w:hAnsi="Times New Roman"/>
        </w:rPr>
      </w:pPr>
      <w:r>
        <w:br w:type="page"/>
      </w:r>
      <w:r w:rsidR="00A80C87" w:rsidRPr="00AD42E2">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7E3AC7">
        <w:rPr>
          <w:lang w:val="en-AU"/>
        </w:rPr>
        <w:t>-</w:t>
      </w:r>
      <w:r w:rsidR="002E59C4">
        <w:rPr>
          <w:lang w:val="en-AU"/>
        </w:rPr>
        <w:t>23</w:t>
      </w:r>
      <w:r w:rsidR="00345CCD" w:rsidRPr="00D30CBA">
        <w:t>)</w:t>
      </w:r>
      <w:r w:rsidR="002376AD">
        <w:fldChar w:fldCharType="begin" w:fldLock="1"/>
      </w:r>
      <w:r w:rsidR="002376AD">
        <w:instrText xml:space="preserve"> LINK Excel.Sheet.12 "\\\\romulus\\csg_h$\\MCD\\Publishing\\Graphic Design Services Team\\Projects\\2021\\Budget 2021\\03 PBS\\PBS templates\\Attachment B - 2021-22 PBS Excel Tables.xlsx" "Table 3.3!R3C1:R34C6" \a \f 4 \h </w:instrText>
      </w:r>
      <w:r w:rsidR="002376AD">
        <w:fldChar w:fldCharType="separate"/>
      </w:r>
    </w:p>
    <w:p w14:paraId="0976AD9B" w14:textId="0AF5E9BD" w:rsidR="00152B2B" w:rsidRDefault="002376AD" w:rsidP="00392DD1">
      <w:pPr>
        <w:pStyle w:val="TableGraphic"/>
      </w:pPr>
      <w:r>
        <w:fldChar w:fldCharType="end"/>
      </w:r>
      <w:r w:rsidRPr="002376AD">
        <w:t xml:space="preserve"> </w:t>
      </w:r>
      <w:r w:rsidR="00E34D7D" w:rsidRPr="00E34D7D">
        <w:rPr>
          <w:noProof/>
        </w:rPr>
        <w:drawing>
          <wp:inline distT="0" distB="0" distL="0" distR="0" wp14:anchorId="30012035" wp14:editId="09BE12A7">
            <wp:extent cx="4895850" cy="3343910"/>
            <wp:effectExtent l="0" t="0" r="0" b="889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95850" cy="3343910"/>
                    </a:xfrm>
                    <a:prstGeom prst="rect">
                      <a:avLst/>
                    </a:prstGeom>
                    <a:noFill/>
                    <a:ln>
                      <a:noFill/>
                    </a:ln>
                  </pic:spPr>
                </pic:pic>
              </a:graphicData>
            </a:graphic>
          </wp:inline>
        </w:drawing>
      </w:r>
    </w:p>
    <w:p w14:paraId="28EEDA44" w14:textId="45F0D80F" w:rsidR="00132F9E" w:rsidRPr="00132F9E" w:rsidRDefault="00D606C2" w:rsidP="00132F9E">
      <w:pPr>
        <w:pStyle w:val="TableGraphic"/>
        <w:rPr>
          <w:rFonts w:ascii="Arial" w:hAnsi="Arial" w:cs="Arial"/>
          <w:sz w:val="16"/>
          <w:szCs w:val="16"/>
        </w:rPr>
      </w:pPr>
      <w:r w:rsidRPr="00D606C2">
        <w:rPr>
          <w:rFonts w:ascii="Arial" w:hAnsi="Arial" w:cs="Arial"/>
          <w:sz w:val="16"/>
        </w:rPr>
        <w:t>Prepared on Australian Accounting Standards basis</w:t>
      </w:r>
      <w:r w:rsidR="00C354BB">
        <w:rPr>
          <w:rFonts w:ascii="Arial" w:hAnsi="Arial" w:cs="Arial"/>
          <w:sz w:val="16"/>
        </w:rPr>
        <w:t>.</w:t>
      </w:r>
    </w:p>
    <w:p w14:paraId="7E8B9142" w14:textId="77777777" w:rsidR="00C038D0" w:rsidRPr="00152B2B" w:rsidRDefault="00C038D0" w:rsidP="00152B2B"/>
    <w:p w14:paraId="4B509A52" w14:textId="77777777" w:rsidR="00A00283" w:rsidRPr="00A00283" w:rsidRDefault="000A24C4">
      <w:pPr>
        <w:pStyle w:val="TableHeading"/>
      </w:pPr>
      <w:r>
        <w:br w:type="page"/>
      </w:r>
      <w:r w:rsidR="00345CCD">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p w14:paraId="6E3D13AD" w14:textId="054336D6" w:rsidR="00F10305" w:rsidRPr="00F10305" w:rsidRDefault="00E34D7D" w:rsidP="00601A28">
      <w:pPr>
        <w:pStyle w:val="TableGraphic"/>
        <w:tabs>
          <w:tab w:val="left" w:pos="6237"/>
        </w:tabs>
      </w:pPr>
      <w:r w:rsidRPr="00E34D7D">
        <w:rPr>
          <w:noProof/>
        </w:rPr>
        <w:drawing>
          <wp:inline distT="0" distB="0" distL="0" distR="0" wp14:anchorId="0E6FAD4F" wp14:editId="3CBA51CD">
            <wp:extent cx="4895850" cy="65341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95850" cy="6534150"/>
                    </a:xfrm>
                    <a:prstGeom prst="rect">
                      <a:avLst/>
                    </a:prstGeom>
                    <a:noFill/>
                    <a:ln>
                      <a:noFill/>
                    </a:ln>
                  </pic:spPr>
                </pic:pic>
              </a:graphicData>
            </a:graphic>
          </wp:inline>
        </w:drawing>
      </w:r>
    </w:p>
    <w:p w14:paraId="40374A79" w14:textId="77777777"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14:paraId="2430DE8C" w14:textId="77777777" w:rsidR="0061675B" w:rsidRPr="00132F9E" w:rsidRDefault="0061675B" w:rsidP="00601A28">
      <w:pPr>
        <w:pStyle w:val="NoSpacing"/>
        <w:rPr>
          <w:rFonts w:ascii="Arial" w:hAnsi="Arial" w:cs="Arial"/>
          <w:sz w:val="16"/>
          <w:szCs w:val="16"/>
        </w:rPr>
      </w:pPr>
    </w:p>
    <w:p w14:paraId="01D66B7E" w14:textId="77777777" w:rsidR="00A00283" w:rsidRPr="00A00283" w:rsidRDefault="000A24C4">
      <w:pPr>
        <w:pStyle w:val="TableHeading"/>
      </w:pPr>
      <w:r>
        <w:br w:type="page"/>
      </w:r>
      <w:r w:rsidR="008B4464" w:rsidRPr="00D30CBA">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p w14:paraId="19E670F4" w14:textId="6EB4ABCA" w:rsidR="00F10305" w:rsidRDefault="00E34D7D" w:rsidP="00392DD1">
      <w:pPr>
        <w:pStyle w:val="TableGraphic"/>
      </w:pPr>
      <w:r w:rsidRPr="00E34D7D">
        <w:rPr>
          <w:noProof/>
        </w:rPr>
        <w:drawing>
          <wp:inline distT="0" distB="0" distL="0" distR="0" wp14:anchorId="6ED992F8" wp14:editId="29A3099E">
            <wp:extent cx="4819650" cy="29622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19650" cy="2962275"/>
                    </a:xfrm>
                    <a:prstGeom prst="rect">
                      <a:avLst/>
                    </a:prstGeom>
                    <a:noFill/>
                    <a:ln>
                      <a:noFill/>
                    </a:ln>
                  </pic:spPr>
                </pic:pic>
              </a:graphicData>
            </a:graphic>
          </wp:inline>
        </w:drawing>
      </w:r>
    </w:p>
    <w:p w14:paraId="3888129E" w14:textId="77777777" w:rsidR="00D606C2" w:rsidRPr="00132F9E" w:rsidRDefault="00D606C2" w:rsidP="00D606C2">
      <w:pPr>
        <w:pStyle w:val="TableGraphic"/>
        <w:rPr>
          <w:rFonts w:ascii="Arial" w:hAnsi="Arial" w:cs="Arial"/>
          <w:sz w:val="16"/>
          <w:szCs w:val="16"/>
        </w:rPr>
      </w:pPr>
      <w:r w:rsidRPr="00132F9E">
        <w:rPr>
          <w:rFonts w:ascii="Arial" w:hAnsi="Arial" w:cs="Arial"/>
          <w:sz w:val="16"/>
          <w:szCs w:val="16"/>
        </w:rPr>
        <w:t>Prepared on Australian Accounting Standards basis.</w:t>
      </w:r>
    </w:p>
    <w:p w14:paraId="573EF6F0" w14:textId="53C3B5E1" w:rsidR="00F20FF5" w:rsidRPr="00B30019" w:rsidRDefault="00F20FF5" w:rsidP="00091F80">
      <w:pPr>
        <w:pStyle w:val="ChartandTableFootnoteAlpha"/>
        <w:numPr>
          <w:ilvl w:val="0"/>
          <w:numId w:val="35"/>
        </w:numPr>
        <w:rPr>
          <w:rFonts w:cs="Arial"/>
          <w:szCs w:val="16"/>
        </w:rPr>
      </w:pPr>
      <w:r w:rsidRPr="00B30019">
        <w:rPr>
          <w:rFonts w:cs="Arial"/>
          <w:szCs w:val="16"/>
        </w:rPr>
        <w:t>Includes both current Bill 2 and prior Act 2/4/6 appropriations</w:t>
      </w:r>
      <w:r w:rsidR="00D52088" w:rsidRPr="00B30019">
        <w:rPr>
          <w:rFonts w:cs="Arial"/>
          <w:szCs w:val="16"/>
        </w:rPr>
        <w:t>.</w:t>
      </w:r>
    </w:p>
    <w:p w14:paraId="2594303A" w14:textId="77777777" w:rsidR="00F20FF5" w:rsidRPr="00132F9E" w:rsidRDefault="00F20FF5" w:rsidP="00FA3BF1">
      <w:pPr>
        <w:pStyle w:val="ChartandTableFootnoteAlpha"/>
        <w:rPr>
          <w:rFonts w:cs="Arial"/>
          <w:szCs w:val="16"/>
        </w:rPr>
      </w:pPr>
      <w:r w:rsidRPr="00132F9E">
        <w:rPr>
          <w:rFonts w:cs="Arial"/>
          <w:szCs w:val="16"/>
        </w:rPr>
        <w:t>Includes purchases from current an</w:t>
      </w:r>
      <w:r w:rsidR="00EE2ED0" w:rsidRPr="00132F9E">
        <w:rPr>
          <w:rFonts w:cs="Arial"/>
          <w:szCs w:val="16"/>
        </w:rPr>
        <w:t>d previous years’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410AEF25" w14:textId="134DACC0" w:rsidR="00C37BFF" w:rsidRDefault="00C37BFF" w:rsidP="00FA3BF1">
      <w:pPr>
        <w:pStyle w:val="ChartandTableFootnoteAlpha"/>
        <w:spacing w:after="20"/>
      </w:pPr>
      <w:r>
        <w:t xml:space="preserve">Includes </w:t>
      </w:r>
      <w:r w:rsidR="00CB6D07">
        <w:t>internally developed assets</w:t>
      </w:r>
      <w:r w:rsidR="00EB20F0">
        <w:t>.</w:t>
      </w:r>
    </w:p>
    <w:p w14:paraId="3185FAE9" w14:textId="4D76821B" w:rsidR="00B31EE8" w:rsidRDefault="00B31EE8" w:rsidP="0061675B">
      <w:pPr>
        <w:pStyle w:val="NoSpacing"/>
      </w:pPr>
    </w:p>
    <w:p w14:paraId="386EF47C" w14:textId="77777777" w:rsidR="00B31EE8" w:rsidRDefault="00B31EE8">
      <w:pPr>
        <w:spacing w:after="0" w:line="240" w:lineRule="auto"/>
        <w:jc w:val="left"/>
      </w:pPr>
      <w:r>
        <w:br w:type="page"/>
      </w:r>
    </w:p>
    <w:p w14:paraId="4C6C50E9" w14:textId="3A0615FC" w:rsidR="00E855E0" w:rsidRDefault="00B31EE8" w:rsidP="00B31EE8">
      <w:pPr>
        <w:pStyle w:val="TableHeading"/>
      </w:pPr>
      <w:r w:rsidRPr="00B31EE8">
        <w:t>Table 3.6: Statement of departmental asset movements (Budget year 2022-23</w:t>
      </w:r>
      <w:r>
        <w:t>)</w:t>
      </w:r>
    </w:p>
    <w:p w14:paraId="6713A474" w14:textId="03463300" w:rsidR="005C474C" w:rsidRPr="00CB6D07" w:rsidRDefault="00CB6D07" w:rsidP="005C474C">
      <w:pPr>
        <w:pStyle w:val="TableGraphic"/>
        <w:rPr>
          <w:color w:val="000000" w:themeColor="text1"/>
          <w:lang w:eastAsia="x-none"/>
        </w:rPr>
      </w:pPr>
      <w:r w:rsidRPr="00CB6D07">
        <w:t xml:space="preserve"> </w:t>
      </w:r>
      <w:r w:rsidR="00E34D7D" w:rsidRPr="00E34D7D">
        <w:rPr>
          <w:noProof/>
        </w:rPr>
        <w:drawing>
          <wp:inline distT="0" distB="0" distL="0" distR="0" wp14:anchorId="65A9C277" wp14:editId="0B75CAC5">
            <wp:extent cx="4895850" cy="4567555"/>
            <wp:effectExtent l="0" t="0" r="0"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95850" cy="4567555"/>
                    </a:xfrm>
                    <a:prstGeom prst="rect">
                      <a:avLst/>
                    </a:prstGeom>
                    <a:noFill/>
                    <a:ln>
                      <a:noFill/>
                    </a:ln>
                  </pic:spPr>
                </pic:pic>
              </a:graphicData>
            </a:graphic>
          </wp:inline>
        </w:drawing>
      </w:r>
    </w:p>
    <w:p w14:paraId="05AC8D16" w14:textId="77777777" w:rsidR="00B31EE8" w:rsidRPr="002E5D24" w:rsidRDefault="00B31EE8" w:rsidP="00B31EE8">
      <w:pPr>
        <w:pStyle w:val="ChartandTableFootnote"/>
      </w:pPr>
      <w:r w:rsidRPr="00132F9E">
        <w:t>Prepared on Australian Accounting Standards basis.</w:t>
      </w:r>
    </w:p>
    <w:p w14:paraId="47AD3ED6" w14:textId="77777777" w:rsidR="00B31EE8" w:rsidRPr="00132F9E" w:rsidRDefault="00B31EE8" w:rsidP="00091F80">
      <w:pPr>
        <w:pStyle w:val="ChartandTableFootnoteAlpha"/>
        <w:numPr>
          <w:ilvl w:val="0"/>
          <w:numId w:val="8"/>
        </w:numPr>
        <w:rPr>
          <w:rFonts w:cs="Arial"/>
          <w:szCs w:val="16"/>
        </w:rPr>
      </w:pPr>
      <w:r w:rsidRPr="00132F9E">
        <w:rPr>
          <w:rFonts w:cs="Arial"/>
          <w:szCs w:val="16"/>
        </w:rPr>
        <w:t xml:space="preserve">‘Appropriation equity’ refers to equity injections appropriations provided through Appropriation Bill (No. 2) </w:t>
      </w:r>
      <w:r>
        <w:rPr>
          <w:rFonts w:cs="Arial"/>
          <w:szCs w:val="16"/>
        </w:rPr>
        <w:t>2022-23</w:t>
      </w:r>
      <w:r w:rsidRPr="00132F9E">
        <w:rPr>
          <w:rFonts w:cs="Arial"/>
          <w:szCs w:val="16"/>
        </w:rPr>
        <w:t>, including CDABs.</w:t>
      </w:r>
    </w:p>
    <w:p w14:paraId="5C507A46" w14:textId="7155EC1A" w:rsidR="00B31EE8" w:rsidRPr="00132F9E" w:rsidRDefault="00B31EE8" w:rsidP="00091F80">
      <w:pPr>
        <w:pStyle w:val="ChartandTableFootnoteAlpha"/>
        <w:numPr>
          <w:ilvl w:val="0"/>
          <w:numId w:val="8"/>
        </w:numPr>
        <w:rPr>
          <w:rFonts w:cs="Arial"/>
          <w:szCs w:val="16"/>
        </w:rPr>
      </w:pPr>
      <w:r w:rsidRPr="00132F9E">
        <w:rPr>
          <w:rFonts w:cs="Arial"/>
          <w:szCs w:val="16"/>
        </w:rPr>
        <w:t xml:space="preserve">‘Appropriation ordinary annual services’ refers to funding provided through Appropriation Bill (No. 1) </w:t>
      </w:r>
      <w:r>
        <w:rPr>
          <w:rFonts w:cs="Arial"/>
          <w:szCs w:val="16"/>
        </w:rPr>
        <w:t>2022</w:t>
      </w:r>
      <w:r w:rsidR="00E03A2B">
        <w:rPr>
          <w:rFonts w:cs="Arial"/>
          <w:szCs w:val="16"/>
        </w:rPr>
        <w:noBreakHyphen/>
      </w:r>
      <w:r>
        <w:rPr>
          <w:rFonts w:cs="Arial"/>
          <w:szCs w:val="16"/>
        </w:rPr>
        <w:t>23</w:t>
      </w:r>
      <w:r w:rsidRPr="00132F9E">
        <w:rPr>
          <w:rFonts w:cs="Arial"/>
          <w:szCs w:val="16"/>
        </w:rPr>
        <w:t xml:space="preserve"> for depreciation/amortisation expenses, DCBs or other operational expenses.</w:t>
      </w:r>
    </w:p>
    <w:p w14:paraId="7963DE51" w14:textId="44F2D58D" w:rsidR="00B31EE8" w:rsidRPr="00B31EE8" w:rsidRDefault="00B31EE8" w:rsidP="00091F80">
      <w:pPr>
        <w:pStyle w:val="ChartandTableFootnoteAlpha"/>
        <w:numPr>
          <w:ilvl w:val="0"/>
          <w:numId w:val="8"/>
        </w:numPr>
        <w:rPr>
          <w:rFonts w:cs="Arial"/>
          <w:szCs w:val="16"/>
        </w:rPr>
      </w:pPr>
      <w:r w:rsidRPr="00090681">
        <w:rPr>
          <w:rFonts w:cs="Arial"/>
          <w:szCs w:val="16"/>
        </w:rPr>
        <w:t>Net proceeds may be returned to the O</w:t>
      </w:r>
      <w:r w:rsidR="00EE5736">
        <w:rPr>
          <w:rFonts w:cs="Arial"/>
          <w:szCs w:val="16"/>
        </w:rPr>
        <w:t xml:space="preserve">fficial </w:t>
      </w:r>
      <w:r w:rsidRPr="00090681">
        <w:rPr>
          <w:rFonts w:cs="Arial"/>
          <w:szCs w:val="16"/>
        </w:rPr>
        <w:t>P</w:t>
      </w:r>
      <w:r w:rsidR="00EE5736">
        <w:rPr>
          <w:rFonts w:cs="Arial"/>
          <w:szCs w:val="16"/>
        </w:rPr>
        <w:t xml:space="preserve">ublic </w:t>
      </w:r>
      <w:r w:rsidRPr="00090681">
        <w:rPr>
          <w:rFonts w:cs="Arial"/>
          <w:szCs w:val="16"/>
        </w:rPr>
        <w:t>A</w:t>
      </w:r>
      <w:r w:rsidR="00EE5736">
        <w:rPr>
          <w:rFonts w:cs="Arial"/>
          <w:szCs w:val="16"/>
        </w:rPr>
        <w:t>ccount</w:t>
      </w:r>
      <w:r>
        <w:rPr>
          <w:rFonts w:cs="Arial"/>
          <w:szCs w:val="16"/>
        </w:rPr>
        <w:t>.</w:t>
      </w:r>
    </w:p>
    <w:p w14:paraId="7E6ABDF3" w14:textId="77777777" w:rsidR="00B31EE8" w:rsidRDefault="00B31EE8" w:rsidP="0061675B">
      <w:pPr>
        <w:pStyle w:val="NoSpacing"/>
      </w:pPr>
    </w:p>
    <w:p w14:paraId="57A840A1" w14:textId="77777777" w:rsidR="00982444" w:rsidRDefault="00982444" w:rsidP="0061675B">
      <w:pPr>
        <w:pStyle w:val="ExampleText0"/>
        <w:sectPr w:rsidR="00982444" w:rsidSect="00503FD8">
          <w:headerReference w:type="even" r:id="rId79"/>
          <w:headerReference w:type="default" r:id="rId80"/>
          <w:footerReference w:type="default" r:id="rId81"/>
          <w:headerReference w:type="first" r:id="rId82"/>
          <w:pgSz w:w="11906" w:h="16838" w:code="9"/>
          <w:pgMar w:top="2835" w:right="2098" w:bottom="2466" w:left="2098" w:header="1814" w:footer="1814" w:gutter="0"/>
          <w:cols w:space="708"/>
          <w:titlePg/>
          <w:docGrid w:linePitch="360"/>
        </w:sectPr>
      </w:pPr>
    </w:p>
    <w:p w14:paraId="2E22B4D6" w14:textId="77777777" w:rsidR="004F5573" w:rsidRDefault="00D30CBA" w:rsidP="00146B5E">
      <w:pPr>
        <w:pStyle w:val="TableHeading"/>
      </w:pPr>
      <w:r w:rsidRPr="00D30CBA">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p w14:paraId="048044DF" w14:textId="3EC67F75" w:rsidR="00852EEF" w:rsidRDefault="00E34D7D" w:rsidP="0044552A">
      <w:pPr>
        <w:pStyle w:val="TableGraphic"/>
      </w:pPr>
      <w:r w:rsidRPr="00E34D7D">
        <w:rPr>
          <w:noProof/>
        </w:rPr>
        <w:drawing>
          <wp:inline distT="0" distB="0" distL="0" distR="0" wp14:anchorId="0690D274" wp14:editId="1D3D6ED8">
            <wp:extent cx="4895850" cy="48958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5850" cy="4895850"/>
                    </a:xfrm>
                    <a:prstGeom prst="rect">
                      <a:avLst/>
                    </a:prstGeom>
                    <a:noFill/>
                    <a:ln>
                      <a:noFill/>
                    </a:ln>
                  </pic:spPr>
                </pic:pic>
              </a:graphicData>
            </a:graphic>
          </wp:inline>
        </w:drawing>
      </w:r>
    </w:p>
    <w:p w14:paraId="67096483" w14:textId="77777777" w:rsidR="00933A7D" w:rsidRPr="00933A7D" w:rsidRDefault="00DD53A9" w:rsidP="009A5F36">
      <w:pPr>
        <w:pStyle w:val="Source"/>
      </w:pPr>
      <w:r w:rsidRPr="00E4582E">
        <w:t>Prepared on Australian Accounting Standards basis</w:t>
      </w:r>
      <w:r w:rsidR="009A5F36">
        <w:t>.</w:t>
      </w:r>
    </w:p>
    <w:p w14:paraId="6E61EC93" w14:textId="007629D0" w:rsidR="005F6228" w:rsidRDefault="00933A7D" w:rsidP="00091F80">
      <w:pPr>
        <w:pStyle w:val="ChartandTableFootnoteAlpha"/>
        <w:numPr>
          <w:ilvl w:val="0"/>
          <w:numId w:val="14"/>
        </w:numPr>
      </w:pPr>
      <w:r w:rsidRPr="009D54F3">
        <w:rPr>
          <w:rFonts w:cs="Arial"/>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Pr>
          <w:rFonts w:cs="Arial"/>
        </w:rPr>
        <w:t>Administered</w:t>
      </w:r>
      <w:r w:rsidRPr="009D54F3">
        <w:rPr>
          <w:rFonts w:cs="Arial"/>
        </w:rPr>
        <w:t xml:space="preserve"> Capital Budget, or </w:t>
      </w:r>
      <w:r>
        <w:rPr>
          <w:rFonts w:cs="Arial"/>
        </w:rPr>
        <w:t>A</w:t>
      </w:r>
      <w:r w:rsidRPr="009D54F3">
        <w:rPr>
          <w:rFonts w:cs="Arial"/>
        </w:rPr>
        <w:t xml:space="preserve">CB) provided through Bill 1 equity appropriations. For information regarding </w:t>
      </w:r>
      <w:r>
        <w:rPr>
          <w:rFonts w:cs="Arial"/>
        </w:rPr>
        <w:t>A</w:t>
      </w:r>
      <w:r w:rsidRPr="009D54F3">
        <w:rPr>
          <w:rFonts w:cs="Arial"/>
        </w:rPr>
        <w:t>CBs, please refer to Table 3.</w:t>
      </w:r>
      <w:r>
        <w:rPr>
          <w:rFonts w:cs="Arial"/>
        </w:rPr>
        <w:t>10</w:t>
      </w:r>
      <w:r w:rsidRPr="009D54F3">
        <w:rPr>
          <w:rFonts w:cs="Arial"/>
        </w:rPr>
        <w:t xml:space="preserve"> </w:t>
      </w:r>
      <w:r>
        <w:rPr>
          <w:rFonts w:cs="Arial"/>
        </w:rPr>
        <w:t xml:space="preserve">Administered </w:t>
      </w:r>
      <w:r w:rsidRPr="009D54F3">
        <w:rPr>
          <w:rFonts w:cs="Arial"/>
        </w:rPr>
        <w:t>Capital Budget Statement.</w:t>
      </w:r>
    </w:p>
    <w:p w14:paraId="3DBDAE53" w14:textId="77777777" w:rsidR="0061675B" w:rsidRPr="00FD522D" w:rsidRDefault="0061675B" w:rsidP="00FD522D"/>
    <w:p w14:paraId="30D587C9" w14:textId="77777777" w:rsidR="00D30CBA" w:rsidRDefault="000A24C4" w:rsidP="00146B5E">
      <w:pPr>
        <w:pStyle w:val="TableHeading"/>
      </w:pPr>
      <w:r>
        <w:br w:type="page"/>
      </w:r>
      <w:r w:rsidR="00D30CBA" w:rsidRPr="00D30CBA">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p w14:paraId="0AC6F780" w14:textId="735798FF" w:rsidR="00852EEF" w:rsidRPr="009763C1" w:rsidRDefault="00E34D7D" w:rsidP="009763C1">
      <w:pPr>
        <w:pStyle w:val="TableGraphic"/>
        <w:rPr>
          <w:lang w:val="x-none" w:eastAsia="x-none"/>
        </w:rPr>
      </w:pPr>
      <w:r w:rsidRPr="00E34D7D">
        <w:rPr>
          <w:noProof/>
        </w:rPr>
        <w:drawing>
          <wp:inline distT="0" distB="0" distL="0" distR="0" wp14:anchorId="2AD3830F" wp14:editId="7AD5B397">
            <wp:extent cx="4819650" cy="42957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19650" cy="4295775"/>
                    </a:xfrm>
                    <a:prstGeom prst="rect">
                      <a:avLst/>
                    </a:prstGeom>
                    <a:noFill/>
                    <a:ln>
                      <a:noFill/>
                    </a:ln>
                  </pic:spPr>
                </pic:pic>
              </a:graphicData>
            </a:graphic>
          </wp:inline>
        </w:drawing>
      </w:r>
    </w:p>
    <w:p w14:paraId="4331296C" w14:textId="77777777" w:rsidR="007A0BB9" w:rsidRPr="00B7521F" w:rsidRDefault="007A0BB9" w:rsidP="009763C1">
      <w:pPr>
        <w:pStyle w:val="ChartandTableFootnote"/>
      </w:pPr>
      <w:r w:rsidRPr="00B7521F">
        <w:t>Prepared on Australian Accounting Standards basis.</w:t>
      </w:r>
    </w:p>
    <w:p w14:paraId="500EF81D" w14:textId="77777777" w:rsidR="0061675B" w:rsidRPr="00B7521F" w:rsidRDefault="0061675B" w:rsidP="00B7521F">
      <w:pPr>
        <w:pStyle w:val="SingleParagraph"/>
        <w:spacing w:line="240" w:lineRule="auto"/>
        <w:rPr>
          <w:rFonts w:ascii="Arial" w:hAnsi="Arial" w:cs="Arial"/>
          <w:sz w:val="16"/>
          <w:szCs w:val="16"/>
        </w:rPr>
      </w:pPr>
    </w:p>
    <w:p w14:paraId="69514F3E" w14:textId="77777777" w:rsidR="00C41D55" w:rsidRDefault="000A24C4" w:rsidP="00146B5E">
      <w:pPr>
        <w:pStyle w:val="TableHeading"/>
      </w:pPr>
      <w:bookmarkStart w:id="138" w:name="OLE_LINK1"/>
      <w:r>
        <w:br w:type="page"/>
      </w:r>
      <w:r w:rsidR="00C41D55">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p w14:paraId="6F59EE23" w14:textId="4B7A3684" w:rsidR="0044552A" w:rsidRPr="0044552A" w:rsidRDefault="00E34D7D" w:rsidP="009A5F36">
      <w:pPr>
        <w:pStyle w:val="TableGraphic"/>
      </w:pPr>
      <w:r w:rsidRPr="00E34D7D">
        <w:rPr>
          <w:noProof/>
        </w:rPr>
        <w:drawing>
          <wp:inline distT="0" distB="0" distL="0" distR="0" wp14:anchorId="304B16D3" wp14:editId="4D3AED52">
            <wp:extent cx="4895850" cy="4036695"/>
            <wp:effectExtent l="0" t="0" r="0" b="190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95850" cy="4036695"/>
                    </a:xfrm>
                    <a:prstGeom prst="rect">
                      <a:avLst/>
                    </a:prstGeom>
                    <a:noFill/>
                    <a:ln>
                      <a:noFill/>
                    </a:ln>
                  </pic:spPr>
                </pic:pic>
              </a:graphicData>
            </a:graphic>
          </wp:inline>
        </w:drawing>
      </w:r>
    </w:p>
    <w:p w14:paraId="26D31DAB" w14:textId="768352B9" w:rsidR="00B30019" w:rsidRDefault="00B30019" w:rsidP="00C354BB">
      <w:pPr>
        <w:pStyle w:val="Source"/>
      </w:pPr>
      <w:r w:rsidRPr="00C354BB">
        <w:t xml:space="preserve">Table </w:t>
      </w:r>
      <w:proofErr w:type="gramStart"/>
      <w:r w:rsidRPr="00C354BB">
        <w:t>continued on</w:t>
      </w:r>
      <w:proofErr w:type="gramEnd"/>
      <w:r w:rsidRPr="00C354BB">
        <w:t xml:space="preserve"> the next page.</w:t>
      </w:r>
    </w:p>
    <w:p w14:paraId="6811B524" w14:textId="77777777" w:rsidR="0061675B" w:rsidRPr="00B7521F" w:rsidRDefault="0061675B" w:rsidP="00AF560E">
      <w:pPr>
        <w:pStyle w:val="NoSpacing"/>
        <w:rPr>
          <w:rFonts w:ascii="Arial" w:hAnsi="Arial" w:cs="Arial"/>
          <w:sz w:val="16"/>
          <w:szCs w:val="16"/>
        </w:rPr>
      </w:pPr>
    </w:p>
    <w:bookmarkEnd w:id="138"/>
    <w:p w14:paraId="0A5F0CCF" w14:textId="77777777" w:rsidR="00C41D55" w:rsidRDefault="00B7521F" w:rsidP="00146B5E">
      <w:pPr>
        <w:pStyle w:val="TableHeadingcontinued"/>
      </w:pPr>
      <w:r>
        <w:br w:type="page"/>
      </w:r>
      <w:r w:rsidR="00C41D55" w:rsidRPr="004C5507">
        <w:t>Table</w:t>
      </w:r>
      <w:r w:rsidR="00971CBF">
        <w:t xml:space="preserve"> 3.</w:t>
      </w:r>
      <w:r w:rsidR="00F81CE4">
        <w:t>9</w:t>
      </w:r>
      <w:r w:rsidR="00C41D55" w:rsidRPr="004C5507">
        <w:t xml:space="preserve">: Schedule of </w:t>
      </w:r>
      <w:r w:rsidR="00A20C5D" w:rsidRPr="004C5507">
        <w:t>budgeted administered cash flows</w:t>
      </w:r>
      <w:r w:rsidR="00A20C5D">
        <w:t xml:space="preserve"> </w:t>
      </w:r>
      <w:r w:rsidR="00C41D55" w:rsidRPr="004C5507">
        <w:t>(for the period ended 30 June) (continued)</w:t>
      </w:r>
    </w:p>
    <w:p w14:paraId="7B7B15CC" w14:textId="1F4B2120" w:rsidR="00B04CBD" w:rsidRPr="00711FC7" w:rsidRDefault="00E34D7D" w:rsidP="009A5F36">
      <w:pPr>
        <w:pStyle w:val="TableGraphic"/>
      </w:pPr>
      <w:r w:rsidRPr="00E34D7D">
        <w:rPr>
          <w:noProof/>
        </w:rPr>
        <w:drawing>
          <wp:inline distT="0" distB="0" distL="0" distR="0" wp14:anchorId="05C99AE6" wp14:editId="2325BE52">
            <wp:extent cx="4895850" cy="4609465"/>
            <wp:effectExtent l="0" t="0" r="0" b="63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95850" cy="4609465"/>
                    </a:xfrm>
                    <a:prstGeom prst="rect">
                      <a:avLst/>
                    </a:prstGeom>
                    <a:noFill/>
                    <a:ln>
                      <a:noFill/>
                    </a:ln>
                  </pic:spPr>
                </pic:pic>
              </a:graphicData>
            </a:graphic>
          </wp:inline>
        </w:drawing>
      </w:r>
    </w:p>
    <w:p w14:paraId="3C002095" w14:textId="77777777" w:rsidR="0061675B" w:rsidRDefault="00B94ADF" w:rsidP="009763C1">
      <w:pPr>
        <w:pStyle w:val="ChartandTableFootnote"/>
      </w:pPr>
      <w:r>
        <w:t>Prepared on Australian Accounting Standards basis.</w:t>
      </w:r>
    </w:p>
    <w:p w14:paraId="6BEEB623" w14:textId="77777777" w:rsidR="00715A32" w:rsidRDefault="000A24C4" w:rsidP="00146B5E">
      <w:pPr>
        <w:pStyle w:val="TableHeading"/>
      </w:pPr>
      <w:r>
        <w:br w:type="page"/>
      </w:r>
      <w:r w:rsidR="00715A32" w:rsidRPr="00D30CBA">
        <w:t>Table</w:t>
      </w:r>
      <w:r w:rsidR="00971CBF">
        <w:t xml:space="preserve"> 3.</w:t>
      </w:r>
      <w:r w:rsidR="00715A32">
        <w:t>1</w:t>
      </w:r>
      <w:r w:rsidR="00F81CE4">
        <w:t>0</w:t>
      </w:r>
      <w:r w:rsidR="00715A32" w:rsidRPr="00D30CBA">
        <w:t xml:space="preserve">: </w:t>
      </w:r>
      <w:r w:rsidR="000D28EB">
        <w:rPr>
          <w:lang w:val="en-AU"/>
        </w:rPr>
        <w:t xml:space="preserve">Schedule of </w:t>
      </w:r>
      <w:r w:rsidR="000D28EB">
        <w:t>administered</w:t>
      </w:r>
      <w:r w:rsidR="00715A32">
        <w:t xml:space="preserve"> </w:t>
      </w:r>
      <w:r w:rsidR="00A20C5D">
        <w:t>capital budget statement</w:t>
      </w:r>
      <w:r w:rsidR="00EB1B80">
        <w:t xml:space="preserve"> (for the period </w:t>
      </w:r>
      <w:r w:rsidR="001B7BAD">
        <w:t>ended</w:t>
      </w:r>
      <w:r w:rsidR="00EB1B80">
        <w:t xml:space="preserve"> 30 June)</w:t>
      </w:r>
    </w:p>
    <w:p w14:paraId="3FCE5DE4" w14:textId="3094F5AA" w:rsidR="00A20C5D" w:rsidRPr="00A20C5D" w:rsidRDefault="00E34D7D" w:rsidP="009A5F36">
      <w:pPr>
        <w:pStyle w:val="TableGraphic"/>
      </w:pPr>
      <w:r w:rsidRPr="00E34D7D">
        <w:rPr>
          <w:noProof/>
        </w:rPr>
        <w:drawing>
          <wp:inline distT="0" distB="0" distL="0" distR="0" wp14:anchorId="6E0CD28C" wp14:editId="01518CD8">
            <wp:extent cx="4819650" cy="280987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19650" cy="2809875"/>
                    </a:xfrm>
                    <a:prstGeom prst="rect">
                      <a:avLst/>
                    </a:prstGeom>
                    <a:noFill/>
                    <a:ln>
                      <a:noFill/>
                    </a:ln>
                  </pic:spPr>
                </pic:pic>
              </a:graphicData>
            </a:graphic>
          </wp:inline>
        </w:drawing>
      </w:r>
    </w:p>
    <w:p w14:paraId="6AF4D35C" w14:textId="77777777" w:rsidR="00FE2022" w:rsidRPr="00B7521F" w:rsidRDefault="00FE2022" w:rsidP="00FE2022">
      <w:pPr>
        <w:pStyle w:val="Source"/>
        <w:rPr>
          <w:rFonts w:cs="Arial"/>
          <w:szCs w:val="16"/>
        </w:rPr>
      </w:pPr>
      <w:r w:rsidRPr="00B7521F">
        <w:rPr>
          <w:rFonts w:cs="Arial"/>
          <w:szCs w:val="16"/>
        </w:rPr>
        <w:t>Prepared on Australian Accounting Standards basis.</w:t>
      </w:r>
    </w:p>
    <w:p w14:paraId="125DB6FB" w14:textId="77777777" w:rsidR="001A33F4" w:rsidRPr="00B7521F" w:rsidRDefault="001A33F4" w:rsidP="00091F80">
      <w:pPr>
        <w:pStyle w:val="ChartandTableFootnoteAlpha"/>
        <w:numPr>
          <w:ilvl w:val="0"/>
          <w:numId w:val="9"/>
        </w:numPr>
        <w:rPr>
          <w:rFonts w:cs="Arial"/>
          <w:szCs w:val="16"/>
        </w:rPr>
      </w:pPr>
      <w:r w:rsidRPr="00B7521F">
        <w:rPr>
          <w:rFonts w:cs="Arial"/>
          <w:szCs w:val="16"/>
        </w:rPr>
        <w:t xml:space="preserve">Includes purchases from current and previous years’ </w:t>
      </w:r>
      <w:r w:rsidR="00B7174A">
        <w:rPr>
          <w:rFonts w:cs="Arial"/>
          <w:szCs w:val="16"/>
        </w:rPr>
        <w:t>Administered Capital B</w:t>
      </w:r>
      <w:r w:rsidR="004F78BF">
        <w:rPr>
          <w:rFonts w:cs="Arial"/>
          <w:szCs w:val="16"/>
        </w:rPr>
        <w:t>udgets (</w:t>
      </w:r>
      <w:r w:rsidR="0030032D" w:rsidRPr="00B7521F">
        <w:rPr>
          <w:rFonts w:cs="Arial"/>
          <w:szCs w:val="16"/>
        </w:rPr>
        <w:t>ACBs</w:t>
      </w:r>
      <w:r w:rsidR="004F78BF">
        <w:rPr>
          <w:rFonts w:cs="Arial"/>
          <w:szCs w:val="16"/>
        </w:rPr>
        <w:t>)</w:t>
      </w:r>
      <w:r w:rsidRPr="00B7521F">
        <w:rPr>
          <w:rFonts w:cs="Arial"/>
          <w:szCs w:val="16"/>
        </w:rPr>
        <w:t>.</w:t>
      </w:r>
    </w:p>
    <w:p w14:paraId="5A252D47" w14:textId="50FCC45E" w:rsidR="005C474C" w:rsidRDefault="005C474C">
      <w:pPr>
        <w:spacing w:after="0" w:line="240" w:lineRule="auto"/>
        <w:jc w:val="left"/>
      </w:pPr>
      <w:r>
        <w:br w:type="page"/>
      </w:r>
    </w:p>
    <w:p w14:paraId="0C062650" w14:textId="7338DD21" w:rsidR="00C37BFF" w:rsidRDefault="005C474C" w:rsidP="005C474C">
      <w:pPr>
        <w:pStyle w:val="TableHeading"/>
      </w:pPr>
      <w:r>
        <w:t xml:space="preserve">Table 3.11: Statement of administered asset movements (Budget year </w:t>
      </w:r>
      <w:r w:rsidRPr="005C474C">
        <w:t>2022-23</w:t>
      </w:r>
      <w:r>
        <w:t>)</w:t>
      </w:r>
    </w:p>
    <w:p w14:paraId="3665E956" w14:textId="7DD90E9A" w:rsidR="005C474C" w:rsidRPr="00CB6D07" w:rsidRDefault="00CB6D07" w:rsidP="005C474C">
      <w:pPr>
        <w:pStyle w:val="TableGraphic"/>
        <w:rPr>
          <w:color w:val="000000" w:themeColor="text1"/>
          <w:lang w:eastAsia="x-none"/>
        </w:rPr>
      </w:pPr>
      <w:r w:rsidRPr="00CB6D07">
        <w:t xml:space="preserve"> </w:t>
      </w:r>
      <w:r w:rsidR="00E34D7D" w:rsidRPr="00E34D7D">
        <w:rPr>
          <w:noProof/>
        </w:rPr>
        <w:drawing>
          <wp:inline distT="0" distB="0" distL="0" distR="0" wp14:anchorId="5679272D" wp14:editId="3DD3B525">
            <wp:extent cx="3352800" cy="35814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52800" cy="3581400"/>
                    </a:xfrm>
                    <a:prstGeom prst="rect">
                      <a:avLst/>
                    </a:prstGeom>
                    <a:noFill/>
                    <a:ln>
                      <a:noFill/>
                    </a:ln>
                  </pic:spPr>
                </pic:pic>
              </a:graphicData>
            </a:graphic>
          </wp:inline>
        </w:drawing>
      </w:r>
    </w:p>
    <w:p w14:paraId="17FD852F" w14:textId="77777777" w:rsidR="005C474C" w:rsidRDefault="005C474C" w:rsidP="005C474C">
      <w:pPr>
        <w:pStyle w:val="Source"/>
      </w:pPr>
      <w:r w:rsidRPr="00E4582E">
        <w:t>Prepared on Australian Accounting Standards basis</w:t>
      </w:r>
      <w:r>
        <w:t>.</w:t>
      </w:r>
    </w:p>
    <w:p w14:paraId="1BA3A731" w14:textId="50F0F246" w:rsidR="005C474C" w:rsidRDefault="005C474C" w:rsidP="00091F80">
      <w:pPr>
        <w:pStyle w:val="ChartandTableFootnoteAlpha"/>
        <w:numPr>
          <w:ilvl w:val="0"/>
          <w:numId w:val="10"/>
        </w:numPr>
      </w:pPr>
      <w:r>
        <w:t>‘Appropriation ordinary annual services’ refers to funding provided through Appropriation Bill (No. 1) 2022</w:t>
      </w:r>
      <w:r w:rsidR="000E6796">
        <w:noBreakHyphen/>
      </w:r>
      <w:r>
        <w:t>23 for depreciation/amortisation expenses, ACBs or other operational expenses.</w:t>
      </w:r>
    </w:p>
    <w:p w14:paraId="5A53B7C2" w14:textId="77777777" w:rsidR="005C474C" w:rsidRPr="005C474C" w:rsidRDefault="005C474C" w:rsidP="00AF560E">
      <w:pPr>
        <w:rPr>
          <w:lang w:val="x-none"/>
        </w:rPr>
      </w:pPr>
    </w:p>
    <w:p w14:paraId="34533081" w14:textId="77777777" w:rsidR="0061675B" w:rsidRPr="005B6A94" w:rsidRDefault="0061675B" w:rsidP="0061675B">
      <w:pPr>
        <w:pStyle w:val="ExampleText0"/>
        <w:rPr>
          <w:i w:val="0"/>
        </w:rPr>
        <w:sectPr w:rsidR="0061675B" w:rsidRPr="005B6A94" w:rsidSect="00503FD8">
          <w:headerReference w:type="even" r:id="rId89"/>
          <w:headerReference w:type="default" r:id="rId90"/>
          <w:footerReference w:type="even" r:id="rId91"/>
          <w:footerReference w:type="default" r:id="rId92"/>
          <w:headerReference w:type="first" r:id="rId93"/>
          <w:footerReference w:type="first" r:id="rId94"/>
          <w:pgSz w:w="11906" w:h="16838" w:code="9"/>
          <w:pgMar w:top="2835" w:right="2098" w:bottom="2466" w:left="2098" w:header="1814" w:footer="1814" w:gutter="0"/>
          <w:cols w:space="708"/>
          <w:titlePg/>
          <w:docGrid w:linePitch="360"/>
        </w:sectPr>
      </w:pPr>
    </w:p>
    <w:p w14:paraId="60CF2D98" w14:textId="385C8423" w:rsidR="0026795D" w:rsidRPr="005A7C0B" w:rsidRDefault="00EE7083" w:rsidP="0026795D">
      <w:pPr>
        <w:pStyle w:val="PartHeading"/>
      </w:pPr>
      <w:bookmarkStart w:id="139" w:name="_Toc190766151"/>
      <w:bookmarkStart w:id="140" w:name="_Toc444523519"/>
      <w:r>
        <w:t>Australian Trade and Investment Commission (Austrade)</w:t>
      </w:r>
    </w:p>
    <w:p w14:paraId="0715103E" w14:textId="77777777" w:rsidR="0026795D" w:rsidRDefault="0026795D" w:rsidP="0026795D">
      <w:pPr>
        <w:pStyle w:val="PartHeading"/>
      </w:pPr>
    </w:p>
    <w:p w14:paraId="4E1CBCD7" w14:textId="77777777" w:rsidR="0026795D" w:rsidRDefault="0026795D" w:rsidP="0026795D">
      <w:pPr>
        <w:pStyle w:val="PartHeading"/>
      </w:pPr>
    </w:p>
    <w:p w14:paraId="3F85654A" w14:textId="77777777" w:rsidR="0026795D" w:rsidRDefault="0026795D" w:rsidP="0026795D">
      <w:pPr>
        <w:pStyle w:val="PartHeading-TOC"/>
      </w:pPr>
      <w:bookmarkStart w:id="141" w:name="_Toc95215531"/>
      <w:bookmarkStart w:id="142" w:name="_Toc95217541"/>
      <w:r>
        <w:t>Entity resources and planned performance</w:t>
      </w:r>
      <w:bookmarkEnd w:id="141"/>
      <w:bookmarkEnd w:id="142"/>
    </w:p>
    <w:p w14:paraId="7B8B91E9" w14:textId="77777777" w:rsidR="0026795D" w:rsidRDefault="0026795D" w:rsidP="0026795D">
      <w:pPr>
        <w:pStyle w:val="PartHeading"/>
        <w:sectPr w:rsidR="0026795D" w:rsidSect="00782467">
          <w:footerReference w:type="first" r:id="rId95"/>
          <w:type w:val="oddPage"/>
          <w:pgSz w:w="11906" w:h="16838" w:code="9"/>
          <w:pgMar w:top="2835" w:right="2098" w:bottom="2466" w:left="2098" w:header="1814" w:footer="1814" w:gutter="0"/>
          <w:cols w:space="708"/>
          <w:vAlign w:val="center"/>
          <w:titlePg/>
          <w:docGrid w:linePitch="360"/>
        </w:sectPr>
      </w:pPr>
    </w:p>
    <w:p w14:paraId="3469832B" w14:textId="53C57E4E" w:rsidR="0026795D" w:rsidRPr="002A32FD" w:rsidRDefault="00EE7083" w:rsidP="0026795D">
      <w:pPr>
        <w:pStyle w:val="ContentsHeading"/>
      </w:pPr>
      <w:r>
        <w:t xml:space="preserve">Australian Trade and Investment Commission </w:t>
      </w:r>
    </w:p>
    <w:p w14:paraId="0C50D146" w14:textId="5442A3C7" w:rsidR="00F03E61" w:rsidRDefault="0026795D">
      <w:pPr>
        <w:pStyle w:val="TOC1"/>
        <w:rPr>
          <w:rFonts w:asciiTheme="minorHAnsi" w:eastAsiaTheme="minorEastAsia" w:hAnsiTheme="minorHAnsi" w:cstheme="minorBidi"/>
          <w:b w:val="0"/>
          <w:caps w:val="0"/>
          <w:noProof/>
          <w:sz w:val="22"/>
          <w:szCs w:val="22"/>
          <w:lang w:eastAsia="ja-JP"/>
        </w:rPr>
      </w:pPr>
      <w:r>
        <w:fldChar w:fldCharType="begin"/>
      </w:r>
      <w:r>
        <w:instrText xml:space="preserve"> TOC \h \z \t "Heading 2,1,Heading 3,2" </w:instrText>
      </w:r>
      <w:r>
        <w:fldChar w:fldCharType="separate"/>
      </w:r>
      <w:hyperlink w:anchor="_Toc95229683" w:history="1">
        <w:r w:rsidR="00F03E61" w:rsidRPr="00571DC1">
          <w:rPr>
            <w:rStyle w:val="Hyperlink"/>
            <w:noProof/>
          </w:rPr>
          <w:t>Section 1: Entity overview and resources</w:t>
        </w:r>
        <w:r w:rsidR="00F03E61">
          <w:rPr>
            <w:noProof/>
            <w:webHidden/>
          </w:rPr>
          <w:tab/>
        </w:r>
        <w:r w:rsidR="00F03E61">
          <w:rPr>
            <w:noProof/>
            <w:webHidden/>
          </w:rPr>
          <w:fldChar w:fldCharType="begin"/>
        </w:r>
        <w:r w:rsidR="00F03E61">
          <w:rPr>
            <w:noProof/>
            <w:webHidden/>
          </w:rPr>
          <w:instrText xml:space="preserve"> PAGEREF _Toc95229683 \h </w:instrText>
        </w:r>
        <w:r w:rsidR="00F03E61">
          <w:rPr>
            <w:noProof/>
            <w:webHidden/>
          </w:rPr>
        </w:r>
        <w:r w:rsidR="00F03E61">
          <w:rPr>
            <w:noProof/>
            <w:webHidden/>
          </w:rPr>
          <w:fldChar w:fldCharType="separate"/>
        </w:r>
        <w:r w:rsidR="00400ED5">
          <w:rPr>
            <w:noProof/>
            <w:webHidden/>
          </w:rPr>
          <w:t>73</w:t>
        </w:r>
        <w:r w:rsidR="00F03E61">
          <w:rPr>
            <w:noProof/>
            <w:webHidden/>
          </w:rPr>
          <w:fldChar w:fldCharType="end"/>
        </w:r>
      </w:hyperlink>
    </w:p>
    <w:p w14:paraId="13792447" w14:textId="46A0E293" w:rsidR="00F03E61" w:rsidRDefault="000F6D08">
      <w:pPr>
        <w:pStyle w:val="TOC2"/>
        <w:tabs>
          <w:tab w:val="left" w:pos="800"/>
        </w:tabs>
        <w:rPr>
          <w:rFonts w:asciiTheme="minorHAnsi" w:eastAsiaTheme="minorEastAsia" w:hAnsiTheme="minorHAnsi" w:cstheme="minorBidi"/>
          <w:noProof/>
          <w:sz w:val="22"/>
          <w:szCs w:val="22"/>
          <w:lang w:eastAsia="ja-JP"/>
        </w:rPr>
      </w:pPr>
      <w:hyperlink w:anchor="_Toc95229684" w:history="1">
        <w:r w:rsidR="00F03E61" w:rsidRPr="00571DC1">
          <w:rPr>
            <w:rStyle w:val="Hyperlink"/>
            <w:noProof/>
          </w:rPr>
          <w:t>1.1</w:t>
        </w:r>
        <w:r w:rsidR="00F03E61">
          <w:rPr>
            <w:rFonts w:asciiTheme="minorHAnsi" w:eastAsiaTheme="minorEastAsia" w:hAnsiTheme="minorHAnsi" w:cstheme="minorBidi"/>
            <w:noProof/>
            <w:sz w:val="22"/>
            <w:szCs w:val="22"/>
            <w:lang w:eastAsia="ja-JP"/>
          </w:rPr>
          <w:tab/>
        </w:r>
        <w:r w:rsidR="00F03E61" w:rsidRPr="00571DC1">
          <w:rPr>
            <w:rStyle w:val="Hyperlink"/>
            <w:noProof/>
          </w:rPr>
          <w:t>Strategic direction statement</w:t>
        </w:r>
        <w:r w:rsidR="00F03E61">
          <w:rPr>
            <w:noProof/>
            <w:webHidden/>
          </w:rPr>
          <w:tab/>
        </w:r>
        <w:r w:rsidR="00F03E61">
          <w:rPr>
            <w:noProof/>
            <w:webHidden/>
          </w:rPr>
          <w:fldChar w:fldCharType="begin"/>
        </w:r>
        <w:r w:rsidR="00F03E61">
          <w:rPr>
            <w:noProof/>
            <w:webHidden/>
          </w:rPr>
          <w:instrText xml:space="preserve"> PAGEREF _Toc95229684 \h </w:instrText>
        </w:r>
        <w:r w:rsidR="00F03E61">
          <w:rPr>
            <w:noProof/>
            <w:webHidden/>
          </w:rPr>
        </w:r>
        <w:r w:rsidR="00F03E61">
          <w:rPr>
            <w:noProof/>
            <w:webHidden/>
          </w:rPr>
          <w:fldChar w:fldCharType="separate"/>
        </w:r>
        <w:r w:rsidR="00400ED5">
          <w:rPr>
            <w:noProof/>
            <w:webHidden/>
          </w:rPr>
          <w:t>73</w:t>
        </w:r>
        <w:r w:rsidR="00F03E61">
          <w:rPr>
            <w:noProof/>
            <w:webHidden/>
          </w:rPr>
          <w:fldChar w:fldCharType="end"/>
        </w:r>
      </w:hyperlink>
    </w:p>
    <w:p w14:paraId="297173F6" w14:textId="7EEB78D4" w:rsidR="00F03E61" w:rsidRDefault="000F6D08">
      <w:pPr>
        <w:pStyle w:val="TOC2"/>
        <w:tabs>
          <w:tab w:val="left" w:pos="800"/>
        </w:tabs>
        <w:rPr>
          <w:rFonts w:asciiTheme="minorHAnsi" w:eastAsiaTheme="minorEastAsia" w:hAnsiTheme="minorHAnsi" w:cstheme="minorBidi"/>
          <w:noProof/>
          <w:sz w:val="22"/>
          <w:szCs w:val="22"/>
          <w:lang w:eastAsia="ja-JP"/>
        </w:rPr>
      </w:pPr>
      <w:hyperlink w:anchor="_Toc95229685" w:history="1">
        <w:r w:rsidR="00F03E61" w:rsidRPr="00571DC1">
          <w:rPr>
            <w:rStyle w:val="Hyperlink"/>
            <w:noProof/>
          </w:rPr>
          <w:t>1.2</w:t>
        </w:r>
        <w:r w:rsidR="00F03E61">
          <w:rPr>
            <w:rFonts w:asciiTheme="minorHAnsi" w:eastAsiaTheme="minorEastAsia" w:hAnsiTheme="minorHAnsi" w:cstheme="minorBidi"/>
            <w:noProof/>
            <w:sz w:val="22"/>
            <w:szCs w:val="22"/>
            <w:lang w:eastAsia="ja-JP"/>
          </w:rPr>
          <w:tab/>
        </w:r>
        <w:r w:rsidR="00F03E61" w:rsidRPr="00571DC1">
          <w:rPr>
            <w:rStyle w:val="Hyperlink"/>
            <w:noProof/>
          </w:rPr>
          <w:t>Entity resource statement</w:t>
        </w:r>
        <w:r w:rsidR="00F03E61">
          <w:rPr>
            <w:noProof/>
            <w:webHidden/>
          </w:rPr>
          <w:tab/>
        </w:r>
        <w:r w:rsidR="00F03E61">
          <w:rPr>
            <w:noProof/>
            <w:webHidden/>
          </w:rPr>
          <w:fldChar w:fldCharType="begin"/>
        </w:r>
        <w:r w:rsidR="00F03E61">
          <w:rPr>
            <w:noProof/>
            <w:webHidden/>
          </w:rPr>
          <w:instrText xml:space="preserve"> PAGEREF _Toc95229685 \h </w:instrText>
        </w:r>
        <w:r w:rsidR="00F03E61">
          <w:rPr>
            <w:noProof/>
            <w:webHidden/>
          </w:rPr>
        </w:r>
        <w:r w:rsidR="00F03E61">
          <w:rPr>
            <w:noProof/>
            <w:webHidden/>
          </w:rPr>
          <w:fldChar w:fldCharType="separate"/>
        </w:r>
        <w:r w:rsidR="00400ED5">
          <w:rPr>
            <w:noProof/>
            <w:webHidden/>
          </w:rPr>
          <w:t>75</w:t>
        </w:r>
        <w:r w:rsidR="00F03E61">
          <w:rPr>
            <w:noProof/>
            <w:webHidden/>
          </w:rPr>
          <w:fldChar w:fldCharType="end"/>
        </w:r>
      </w:hyperlink>
    </w:p>
    <w:p w14:paraId="007A78BE" w14:textId="248910AE" w:rsidR="00F03E61" w:rsidRDefault="000F6D08">
      <w:pPr>
        <w:pStyle w:val="TOC2"/>
        <w:tabs>
          <w:tab w:val="left" w:pos="800"/>
        </w:tabs>
        <w:rPr>
          <w:rFonts w:asciiTheme="minorHAnsi" w:eastAsiaTheme="minorEastAsia" w:hAnsiTheme="minorHAnsi" w:cstheme="minorBidi"/>
          <w:noProof/>
          <w:sz w:val="22"/>
          <w:szCs w:val="22"/>
          <w:lang w:eastAsia="ja-JP"/>
        </w:rPr>
      </w:pPr>
      <w:hyperlink w:anchor="_Toc95229686" w:history="1">
        <w:r w:rsidR="00F03E61" w:rsidRPr="00571DC1">
          <w:rPr>
            <w:rStyle w:val="Hyperlink"/>
            <w:noProof/>
          </w:rPr>
          <w:t>1.3</w:t>
        </w:r>
        <w:r w:rsidR="00F03E61">
          <w:rPr>
            <w:rFonts w:asciiTheme="minorHAnsi" w:eastAsiaTheme="minorEastAsia" w:hAnsiTheme="minorHAnsi" w:cstheme="minorBidi"/>
            <w:noProof/>
            <w:sz w:val="22"/>
            <w:szCs w:val="22"/>
            <w:lang w:eastAsia="ja-JP"/>
          </w:rPr>
          <w:tab/>
        </w:r>
        <w:r w:rsidR="00F03E61" w:rsidRPr="00571DC1">
          <w:rPr>
            <w:rStyle w:val="Hyperlink"/>
            <w:noProof/>
          </w:rPr>
          <w:t>Budget measures</w:t>
        </w:r>
        <w:r w:rsidR="00F03E61">
          <w:rPr>
            <w:noProof/>
            <w:webHidden/>
          </w:rPr>
          <w:tab/>
        </w:r>
        <w:r w:rsidR="00F03E61">
          <w:rPr>
            <w:noProof/>
            <w:webHidden/>
          </w:rPr>
          <w:fldChar w:fldCharType="begin"/>
        </w:r>
        <w:r w:rsidR="00F03E61">
          <w:rPr>
            <w:noProof/>
            <w:webHidden/>
          </w:rPr>
          <w:instrText xml:space="preserve"> PAGEREF _Toc95229686 \h </w:instrText>
        </w:r>
        <w:r w:rsidR="00F03E61">
          <w:rPr>
            <w:noProof/>
            <w:webHidden/>
          </w:rPr>
        </w:r>
        <w:r w:rsidR="00F03E61">
          <w:rPr>
            <w:noProof/>
            <w:webHidden/>
          </w:rPr>
          <w:fldChar w:fldCharType="separate"/>
        </w:r>
        <w:r w:rsidR="00400ED5">
          <w:rPr>
            <w:noProof/>
            <w:webHidden/>
          </w:rPr>
          <w:t>77</w:t>
        </w:r>
        <w:r w:rsidR="00F03E61">
          <w:rPr>
            <w:noProof/>
            <w:webHidden/>
          </w:rPr>
          <w:fldChar w:fldCharType="end"/>
        </w:r>
      </w:hyperlink>
    </w:p>
    <w:p w14:paraId="7576B25D" w14:textId="0E899C03" w:rsidR="00F03E61" w:rsidRDefault="000F6D08">
      <w:pPr>
        <w:pStyle w:val="TOC1"/>
        <w:rPr>
          <w:rFonts w:asciiTheme="minorHAnsi" w:eastAsiaTheme="minorEastAsia" w:hAnsiTheme="minorHAnsi" w:cstheme="minorBidi"/>
          <w:b w:val="0"/>
          <w:caps w:val="0"/>
          <w:noProof/>
          <w:sz w:val="22"/>
          <w:szCs w:val="22"/>
          <w:lang w:eastAsia="ja-JP"/>
        </w:rPr>
      </w:pPr>
      <w:hyperlink w:anchor="_Toc95229687" w:history="1">
        <w:r w:rsidR="00F03E61" w:rsidRPr="00571DC1">
          <w:rPr>
            <w:rStyle w:val="Hyperlink"/>
            <w:noProof/>
          </w:rPr>
          <w:t>Section 2: Outcomes and planned performance</w:t>
        </w:r>
        <w:r w:rsidR="00F03E61">
          <w:rPr>
            <w:noProof/>
            <w:webHidden/>
          </w:rPr>
          <w:tab/>
        </w:r>
        <w:r w:rsidR="00F03E61">
          <w:rPr>
            <w:noProof/>
            <w:webHidden/>
          </w:rPr>
          <w:fldChar w:fldCharType="begin"/>
        </w:r>
        <w:r w:rsidR="00F03E61">
          <w:rPr>
            <w:noProof/>
            <w:webHidden/>
          </w:rPr>
          <w:instrText xml:space="preserve"> PAGEREF _Toc95229687 \h </w:instrText>
        </w:r>
        <w:r w:rsidR="00F03E61">
          <w:rPr>
            <w:noProof/>
            <w:webHidden/>
          </w:rPr>
        </w:r>
        <w:r w:rsidR="00F03E61">
          <w:rPr>
            <w:noProof/>
            <w:webHidden/>
          </w:rPr>
          <w:fldChar w:fldCharType="separate"/>
        </w:r>
        <w:r w:rsidR="00400ED5">
          <w:rPr>
            <w:noProof/>
            <w:webHidden/>
          </w:rPr>
          <w:t>78</w:t>
        </w:r>
        <w:r w:rsidR="00F03E61">
          <w:rPr>
            <w:noProof/>
            <w:webHidden/>
          </w:rPr>
          <w:fldChar w:fldCharType="end"/>
        </w:r>
      </w:hyperlink>
    </w:p>
    <w:p w14:paraId="65A59378" w14:textId="497FADF1" w:rsidR="00F03E61" w:rsidRDefault="000F6D08">
      <w:pPr>
        <w:pStyle w:val="TOC2"/>
        <w:tabs>
          <w:tab w:val="left" w:pos="800"/>
        </w:tabs>
        <w:rPr>
          <w:rFonts w:asciiTheme="minorHAnsi" w:eastAsiaTheme="minorEastAsia" w:hAnsiTheme="minorHAnsi" w:cstheme="minorBidi"/>
          <w:noProof/>
          <w:sz w:val="22"/>
          <w:szCs w:val="22"/>
          <w:lang w:eastAsia="ja-JP"/>
        </w:rPr>
      </w:pPr>
      <w:hyperlink w:anchor="_Toc95229688" w:history="1">
        <w:r w:rsidR="00F03E61" w:rsidRPr="00571DC1">
          <w:rPr>
            <w:rStyle w:val="Hyperlink"/>
            <w:noProof/>
          </w:rPr>
          <w:t xml:space="preserve">2.1 </w:t>
        </w:r>
        <w:r w:rsidR="00F03E61">
          <w:rPr>
            <w:rFonts w:asciiTheme="minorHAnsi" w:eastAsiaTheme="minorEastAsia" w:hAnsiTheme="minorHAnsi" w:cstheme="minorBidi"/>
            <w:noProof/>
            <w:sz w:val="22"/>
            <w:szCs w:val="22"/>
            <w:lang w:eastAsia="ja-JP"/>
          </w:rPr>
          <w:tab/>
        </w:r>
        <w:r w:rsidR="00F03E61" w:rsidRPr="00571DC1">
          <w:rPr>
            <w:rStyle w:val="Hyperlink"/>
            <w:noProof/>
          </w:rPr>
          <w:t>Budgeted expenses and performance for Outcome 1</w:t>
        </w:r>
        <w:r w:rsidR="00F03E61">
          <w:rPr>
            <w:noProof/>
            <w:webHidden/>
          </w:rPr>
          <w:tab/>
        </w:r>
        <w:r w:rsidR="00F03E61">
          <w:rPr>
            <w:noProof/>
            <w:webHidden/>
          </w:rPr>
          <w:fldChar w:fldCharType="begin"/>
        </w:r>
        <w:r w:rsidR="00F03E61">
          <w:rPr>
            <w:noProof/>
            <w:webHidden/>
          </w:rPr>
          <w:instrText xml:space="preserve"> PAGEREF _Toc95229688 \h </w:instrText>
        </w:r>
        <w:r w:rsidR="00F03E61">
          <w:rPr>
            <w:noProof/>
            <w:webHidden/>
          </w:rPr>
        </w:r>
        <w:r w:rsidR="00F03E61">
          <w:rPr>
            <w:noProof/>
            <w:webHidden/>
          </w:rPr>
          <w:fldChar w:fldCharType="separate"/>
        </w:r>
        <w:r w:rsidR="00400ED5">
          <w:rPr>
            <w:noProof/>
            <w:webHidden/>
          </w:rPr>
          <w:t>79</w:t>
        </w:r>
        <w:r w:rsidR="00F03E61">
          <w:rPr>
            <w:noProof/>
            <w:webHidden/>
          </w:rPr>
          <w:fldChar w:fldCharType="end"/>
        </w:r>
      </w:hyperlink>
    </w:p>
    <w:p w14:paraId="1C174760" w14:textId="4B8FFD9D" w:rsidR="00F03E61" w:rsidRDefault="000F6D08">
      <w:pPr>
        <w:pStyle w:val="TOC2"/>
        <w:tabs>
          <w:tab w:val="left" w:pos="800"/>
        </w:tabs>
        <w:rPr>
          <w:rFonts w:asciiTheme="minorHAnsi" w:eastAsiaTheme="minorEastAsia" w:hAnsiTheme="minorHAnsi" w:cstheme="minorBidi"/>
          <w:noProof/>
          <w:sz w:val="22"/>
          <w:szCs w:val="22"/>
          <w:lang w:eastAsia="ja-JP"/>
        </w:rPr>
      </w:pPr>
      <w:hyperlink w:anchor="_Toc95229689" w:history="1">
        <w:r w:rsidR="00F03E61" w:rsidRPr="00571DC1">
          <w:rPr>
            <w:rStyle w:val="Hyperlink"/>
            <w:noProof/>
          </w:rPr>
          <w:t xml:space="preserve">2.2 </w:t>
        </w:r>
        <w:r w:rsidR="00F03E61">
          <w:rPr>
            <w:rFonts w:asciiTheme="minorHAnsi" w:eastAsiaTheme="minorEastAsia" w:hAnsiTheme="minorHAnsi" w:cstheme="minorBidi"/>
            <w:noProof/>
            <w:sz w:val="22"/>
            <w:szCs w:val="22"/>
            <w:lang w:eastAsia="ja-JP"/>
          </w:rPr>
          <w:tab/>
        </w:r>
        <w:r w:rsidR="00F03E61" w:rsidRPr="00571DC1">
          <w:rPr>
            <w:rStyle w:val="Hyperlink"/>
            <w:noProof/>
          </w:rPr>
          <w:t>Budgeted expenses and performance for Outcome 2</w:t>
        </w:r>
        <w:r w:rsidR="00F03E61">
          <w:rPr>
            <w:noProof/>
            <w:webHidden/>
          </w:rPr>
          <w:tab/>
        </w:r>
        <w:r w:rsidR="00F03E61">
          <w:rPr>
            <w:noProof/>
            <w:webHidden/>
          </w:rPr>
          <w:fldChar w:fldCharType="begin"/>
        </w:r>
        <w:r w:rsidR="00F03E61">
          <w:rPr>
            <w:noProof/>
            <w:webHidden/>
          </w:rPr>
          <w:instrText xml:space="preserve"> PAGEREF _Toc95229689 \h </w:instrText>
        </w:r>
        <w:r w:rsidR="00F03E61">
          <w:rPr>
            <w:noProof/>
            <w:webHidden/>
          </w:rPr>
        </w:r>
        <w:r w:rsidR="00F03E61">
          <w:rPr>
            <w:noProof/>
            <w:webHidden/>
          </w:rPr>
          <w:fldChar w:fldCharType="separate"/>
        </w:r>
        <w:r w:rsidR="00400ED5">
          <w:rPr>
            <w:noProof/>
            <w:webHidden/>
          </w:rPr>
          <w:t>87</w:t>
        </w:r>
        <w:r w:rsidR="00F03E61">
          <w:rPr>
            <w:noProof/>
            <w:webHidden/>
          </w:rPr>
          <w:fldChar w:fldCharType="end"/>
        </w:r>
      </w:hyperlink>
    </w:p>
    <w:p w14:paraId="4419ED1D" w14:textId="40905E29" w:rsidR="00F03E61" w:rsidRDefault="000F6D08">
      <w:pPr>
        <w:pStyle w:val="TOC1"/>
        <w:rPr>
          <w:rFonts w:asciiTheme="minorHAnsi" w:eastAsiaTheme="minorEastAsia" w:hAnsiTheme="minorHAnsi" w:cstheme="minorBidi"/>
          <w:b w:val="0"/>
          <w:caps w:val="0"/>
          <w:noProof/>
          <w:sz w:val="22"/>
          <w:szCs w:val="22"/>
          <w:lang w:eastAsia="ja-JP"/>
        </w:rPr>
      </w:pPr>
      <w:hyperlink w:anchor="_Toc95229690" w:history="1">
        <w:r w:rsidR="00F03E61" w:rsidRPr="00571DC1">
          <w:rPr>
            <w:rStyle w:val="Hyperlink"/>
            <w:noProof/>
          </w:rPr>
          <w:t>Section 3: Budgeted financial statements</w:t>
        </w:r>
        <w:r w:rsidR="00F03E61">
          <w:rPr>
            <w:noProof/>
            <w:webHidden/>
          </w:rPr>
          <w:tab/>
        </w:r>
        <w:r w:rsidR="00F03E61">
          <w:rPr>
            <w:noProof/>
            <w:webHidden/>
          </w:rPr>
          <w:fldChar w:fldCharType="begin"/>
        </w:r>
        <w:r w:rsidR="00F03E61">
          <w:rPr>
            <w:noProof/>
            <w:webHidden/>
          </w:rPr>
          <w:instrText xml:space="preserve"> PAGEREF _Toc95229690 \h </w:instrText>
        </w:r>
        <w:r w:rsidR="00F03E61">
          <w:rPr>
            <w:noProof/>
            <w:webHidden/>
          </w:rPr>
        </w:r>
        <w:r w:rsidR="00F03E61">
          <w:rPr>
            <w:noProof/>
            <w:webHidden/>
          </w:rPr>
          <w:fldChar w:fldCharType="separate"/>
        </w:r>
        <w:r w:rsidR="00400ED5">
          <w:rPr>
            <w:noProof/>
            <w:webHidden/>
          </w:rPr>
          <w:t>90</w:t>
        </w:r>
        <w:r w:rsidR="00F03E61">
          <w:rPr>
            <w:noProof/>
            <w:webHidden/>
          </w:rPr>
          <w:fldChar w:fldCharType="end"/>
        </w:r>
      </w:hyperlink>
    </w:p>
    <w:p w14:paraId="2150A42A" w14:textId="2D93FA2D" w:rsidR="0026795D" w:rsidRPr="00F03E61" w:rsidRDefault="000F6D08" w:rsidP="00F03E61">
      <w:pPr>
        <w:pStyle w:val="TOC2"/>
        <w:tabs>
          <w:tab w:val="left" w:pos="800"/>
        </w:tabs>
        <w:rPr>
          <w:rFonts w:asciiTheme="minorHAnsi" w:eastAsiaTheme="minorEastAsia" w:hAnsiTheme="minorHAnsi" w:cstheme="minorBidi"/>
          <w:noProof/>
          <w:sz w:val="22"/>
          <w:szCs w:val="22"/>
          <w:lang w:eastAsia="ja-JP"/>
        </w:rPr>
      </w:pPr>
      <w:hyperlink w:anchor="_Toc95229691" w:history="1">
        <w:r w:rsidR="00F03E61" w:rsidRPr="00571DC1">
          <w:rPr>
            <w:rStyle w:val="Hyperlink"/>
            <w:noProof/>
          </w:rPr>
          <w:t>3.1</w:t>
        </w:r>
        <w:r w:rsidR="00F03E61">
          <w:rPr>
            <w:rFonts w:asciiTheme="minorHAnsi" w:eastAsiaTheme="minorEastAsia" w:hAnsiTheme="minorHAnsi" w:cstheme="minorBidi"/>
            <w:noProof/>
            <w:sz w:val="22"/>
            <w:szCs w:val="22"/>
            <w:lang w:eastAsia="ja-JP"/>
          </w:rPr>
          <w:tab/>
        </w:r>
        <w:r w:rsidR="00F03E61" w:rsidRPr="00571DC1">
          <w:rPr>
            <w:rStyle w:val="Hyperlink"/>
            <w:noProof/>
          </w:rPr>
          <w:t>Budgeted financial statements</w:t>
        </w:r>
        <w:r w:rsidR="00F03E61">
          <w:rPr>
            <w:noProof/>
            <w:webHidden/>
          </w:rPr>
          <w:tab/>
        </w:r>
        <w:r w:rsidR="00F03E61">
          <w:rPr>
            <w:noProof/>
            <w:webHidden/>
          </w:rPr>
          <w:fldChar w:fldCharType="begin"/>
        </w:r>
        <w:r w:rsidR="00F03E61">
          <w:rPr>
            <w:noProof/>
            <w:webHidden/>
          </w:rPr>
          <w:instrText xml:space="preserve"> PAGEREF _Toc95229691 \h </w:instrText>
        </w:r>
        <w:r w:rsidR="00F03E61">
          <w:rPr>
            <w:noProof/>
            <w:webHidden/>
          </w:rPr>
        </w:r>
        <w:r w:rsidR="00F03E61">
          <w:rPr>
            <w:noProof/>
            <w:webHidden/>
          </w:rPr>
          <w:fldChar w:fldCharType="separate"/>
        </w:r>
        <w:r w:rsidR="00400ED5">
          <w:rPr>
            <w:noProof/>
            <w:webHidden/>
          </w:rPr>
          <w:t>90</w:t>
        </w:r>
        <w:r w:rsidR="00F03E61">
          <w:rPr>
            <w:noProof/>
            <w:webHidden/>
          </w:rPr>
          <w:fldChar w:fldCharType="end"/>
        </w:r>
      </w:hyperlink>
      <w:r w:rsidR="0026795D">
        <w:fldChar w:fldCharType="end"/>
      </w:r>
    </w:p>
    <w:p w14:paraId="2DB6AE62" w14:textId="77777777" w:rsidR="0026795D" w:rsidRPr="008B5AFD" w:rsidRDefault="0026795D" w:rsidP="0026795D"/>
    <w:p w14:paraId="544CB83F" w14:textId="77777777" w:rsidR="0026795D" w:rsidRDefault="0026795D" w:rsidP="0026795D">
      <w:pPr>
        <w:sectPr w:rsidR="0026795D" w:rsidSect="00782467">
          <w:footerReference w:type="first" r:id="rId96"/>
          <w:type w:val="oddPage"/>
          <w:pgSz w:w="11906" w:h="16838" w:code="9"/>
          <w:pgMar w:top="2835" w:right="2098" w:bottom="2466" w:left="2098" w:header="1814" w:footer="1814" w:gutter="0"/>
          <w:cols w:space="708"/>
          <w:titlePg/>
          <w:docGrid w:linePitch="360"/>
        </w:sectPr>
      </w:pPr>
    </w:p>
    <w:p w14:paraId="1E453024" w14:textId="5E6E7769" w:rsidR="0026795D" w:rsidRDefault="00EE7083" w:rsidP="0026795D">
      <w:pPr>
        <w:pStyle w:val="Heading1"/>
      </w:pPr>
      <w:bookmarkStart w:id="143" w:name="_Toc95217542"/>
      <w:r>
        <w:t>Australian Trade and Investment Commission</w:t>
      </w:r>
      <w:bookmarkEnd w:id="143"/>
    </w:p>
    <w:p w14:paraId="5F549417" w14:textId="77777777" w:rsidR="0026795D" w:rsidRPr="002C4D41" w:rsidRDefault="0026795D" w:rsidP="0026795D">
      <w:pPr>
        <w:pStyle w:val="Heading2"/>
      </w:pPr>
      <w:bookmarkStart w:id="144" w:name="_Toc95217792"/>
      <w:bookmarkStart w:id="145" w:name="_Toc95217856"/>
      <w:bookmarkStart w:id="146" w:name="_Toc95229683"/>
      <w:bookmarkStart w:id="147" w:name="_Toc95288990"/>
      <w:bookmarkStart w:id="148" w:name="_Toc95291877"/>
      <w:bookmarkStart w:id="149" w:name="_Toc95293751"/>
      <w:bookmarkStart w:id="150" w:name="_Toc95296402"/>
      <w:bookmarkStart w:id="151" w:name="_Toc97387905"/>
      <w:bookmarkStart w:id="152" w:name="_Toc97540643"/>
      <w:bookmarkStart w:id="153" w:name="_Toc99111645"/>
      <w:r w:rsidRPr="002C4D41">
        <w:t xml:space="preserve">Section 1: Entity overview and </w:t>
      </w:r>
      <w:r>
        <w:t>reso</w:t>
      </w:r>
      <w:r w:rsidRPr="002C4D41">
        <w:t>urces</w:t>
      </w:r>
      <w:bookmarkEnd w:id="144"/>
      <w:bookmarkEnd w:id="145"/>
      <w:bookmarkEnd w:id="146"/>
      <w:bookmarkEnd w:id="147"/>
      <w:bookmarkEnd w:id="148"/>
      <w:bookmarkEnd w:id="149"/>
      <w:bookmarkEnd w:id="150"/>
      <w:bookmarkEnd w:id="151"/>
      <w:bookmarkEnd w:id="152"/>
      <w:bookmarkEnd w:id="153"/>
    </w:p>
    <w:p w14:paraId="4AC22D57" w14:textId="77777777" w:rsidR="0026795D" w:rsidRDefault="0026795D" w:rsidP="0026795D">
      <w:pPr>
        <w:pStyle w:val="Heading3"/>
      </w:pPr>
      <w:bookmarkStart w:id="154" w:name="_Toc95217793"/>
      <w:bookmarkStart w:id="155" w:name="_Toc95217857"/>
      <w:bookmarkStart w:id="156" w:name="_Toc95229684"/>
      <w:bookmarkStart w:id="157" w:name="_Toc95288991"/>
      <w:bookmarkStart w:id="158" w:name="_Toc95291878"/>
      <w:bookmarkStart w:id="159" w:name="_Toc95293752"/>
      <w:bookmarkStart w:id="160" w:name="_Toc95296403"/>
      <w:bookmarkStart w:id="161" w:name="_Toc97387906"/>
      <w:bookmarkStart w:id="162" w:name="_Toc97540644"/>
      <w:bookmarkStart w:id="163" w:name="_Toc99111646"/>
      <w:r>
        <w:t>1.1</w:t>
      </w:r>
      <w:r>
        <w:tab/>
        <w:t>Strategic direction statement</w:t>
      </w:r>
      <w:bookmarkEnd w:id="154"/>
      <w:bookmarkEnd w:id="155"/>
      <w:bookmarkEnd w:id="156"/>
      <w:bookmarkEnd w:id="157"/>
      <w:bookmarkEnd w:id="158"/>
      <w:bookmarkEnd w:id="159"/>
      <w:bookmarkEnd w:id="160"/>
      <w:bookmarkEnd w:id="161"/>
      <w:bookmarkEnd w:id="162"/>
      <w:bookmarkEnd w:id="163"/>
    </w:p>
    <w:p w14:paraId="100B7361" w14:textId="686938F2" w:rsidR="00445FDB" w:rsidRPr="00445FDB" w:rsidRDefault="00445FDB" w:rsidP="00445FDB">
      <w:pPr>
        <w:pStyle w:val="Exampletext"/>
        <w:rPr>
          <w:i w:val="0"/>
          <w:iCs/>
          <w:color w:val="auto"/>
        </w:rPr>
      </w:pPr>
      <w:r w:rsidRPr="00445FDB">
        <w:rPr>
          <w:i w:val="0"/>
          <w:iCs/>
          <w:color w:val="auto"/>
        </w:rPr>
        <w:t>The Australian Trade and Investment Commission (Austrade) is the Australian</w:t>
      </w:r>
      <w:r w:rsidR="003B66CC">
        <w:rPr>
          <w:i w:val="0"/>
          <w:iCs/>
          <w:color w:val="auto"/>
          <w:lang w:val="en-AU"/>
        </w:rPr>
        <w:t> </w:t>
      </w:r>
      <w:r w:rsidRPr="00445FDB">
        <w:rPr>
          <w:i w:val="0"/>
          <w:iCs/>
          <w:color w:val="auto"/>
        </w:rPr>
        <w:t xml:space="preserve">Government’s international trade, education, and investment promotion agency. We also have responsibility for international and domestic tourism policy, including the publication of official tourism statistics. In some overseas locations, Austrade delivers consular and passport services on behalf of the Australian </w:t>
      </w:r>
      <w:r w:rsidR="003B66CC">
        <w:rPr>
          <w:i w:val="0"/>
          <w:iCs/>
          <w:color w:val="auto"/>
          <w:lang w:val="en-AU"/>
        </w:rPr>
        <w:t> </w:t>
      </w:r>
      <w:r w:rsidRPr="00445FDB">
        <w:rPr>
          <w:i w:val="0"/>
          <w:iCs/>
          <w:color w:val="auto"/>
        </w:rPr>
        <w:t>Government. Austrade operates as a statutory agency within the Foreign Affairs and Trade portfolio.</w:t>
      </w:r>
    </w:p>
    <w:p w14:paraId="22560C8F" w14:textId="77777777" w:rsidR="00445FDB" w:rsidRPr="00445FDB" w:rsidRDefault="00445FDB" w:rsidP="00445FDB">
      <w:pPr>
        <w:pStyle w:val="Exampletext"/>
        <w:rPr>
          <w:i w:val="0"/>
          <w:iCs/>
          <w:color w:val="auto"/>
        </w:rPr>
      </w:pPr>
      <w:r w:rsidRPr="00445FDB">
        <w:rPr>
          <w:i w:val="0"/>
          <w:iCs/>
          <w:color w:val="auto"/>
        </w:rPr>
        <w:t>Austrade’s purpose is to grow Australia’s prosperity by delivering quality trade and investment services. Our outcomes are:</w:t>
      </w:r>
    </w:p>
    <w:p w14:paraId="03A435CA" w14:textId="77777777" w:rsidR="00445FDB" w:rsidRDefault="00445FDB" w:rsidP="0029564C">
      <w:pPr>
        <w:pStyle w:val="Exampletext"/>
        <w:numPr>
          <w:ilvl w:val="0"/>
          <w:numId w:val="59"/>
        </w:numPr>
        <w:ind w:left="425" w:hanging="425"/>
        <w:contextualSpacing/>
        <w:rPr>
          <w:i w:val="0"/>
          <w:iCs/>
          <w:color w:val="auto"/>
        </w:rPr>
      </w:pPr>
      <w:r w:rsidRPr="00445FDB">
        <w:rPr>
          <w:i w:val="0"/>
          <w:iCs/>
          <w:color w:val="auto"/>
        </w:rPr>
        <w:t>to contribute to Australia’s economic prosperity by promoting Australia’s export and other international economic interests through the provision of information, advice and services to business, associations, institutions, and government; and</w:t>
      </w:r>
    </w:p>
    <w:p w14:paraId="5DC43E19" w14:textId="54BC2424" w:rsidR="00445FDB" w:rsidRPr="00445FDB" w:rsidRDefault="00445FDB" w:rsidP="0029564C">
      <w:pPr>
        <w:pStyle w:val="Exampletext"/>
        <w:numPr>
          <w:ilvl w:val="0"/>
          <w:numId w:val="59"/>
        </w:numPr>
        <w:ind w:left="426" w:hanging="426"/>
        <w:rPr>
          <w:i w:val="0"/>
          <w:iCs/>
          <w:color w:val="auto"/>
        </w:rPr>
      </w:pPr>
      <w:r w:rsidRPr="00445FDB">
        <w:rPr>
          <w:i w:val="0"/>
          <w:iCs/>
          <w:color w:val="auto"/>
        </w:rPr>
        <w:t>the protection and welfare of Australians abroad through timely and responsive consular and passport services in specific locations overseas.</w:t>
      </w:r>
    </w:p>
    <w:p w14:paraId="2E426020" w14:textId="05E87AC4" w:rsidR="00445FDB" w:rsidRPr="00445FDB" w:rsidRDefault="00445FDB" w:rsidP="00445FDB">
      <w:pPr>
        <w:pStyle w:val="Exampletext"/>
        <w:rPr>
          <w:i w:val="0"/>
          <w:iCs/>
          <w:color w:val="auto"/>
        </w:rPr>
      </w:pPr>
      <w:r w:rsidRPr="00445FDB">
        <w:rPr>
          <w:i w:val="0"/>
          <w:iCs/>
          <w:color w:val="auto"/>
        </w:rPr>
        <w:t xml:space="preserve">Austrade contributes to Australia’s economic prosperity by providing effective support to Australian businesses, educational institutions, associations, and government. We assist them to develop international markets, win productive Foreign Direct Investment (FDI), promote international education, and strengthen the Australian tourism industry. Our clients include Australian exporters, tourism operators and international investors. </w:t>
      </w:r>
    </w:p>
    <w:p w14:paraId="007649C1" w14:textId="7803F846" w:rsidR="00445FDB" w:rsidRPr="00445FDB" w:rsidRDefault="00445FDB" w:rsidP="00445FDB">
      <w:pPr>
        <w:pStyle w:val="Exampletext"/>
        <w:rPr>
          <w:i w:val="0"/>
          <w:iCs/>
          <w:color w:val="auto"/>
        </w:rPr>
      </w:pPr>
      <w:r w:rsidRPr="00445FDB">
        <w:rPr>
          <w:i w:val="0"/>
          <w:iCs/>
          <w:color w:val="auto"/>
        </w:rPr>
        <w:t>In a challenging trade environment, Austrade will continue to provide practical in</w:t>
      </w:r>
      <w:r w:rsidR="00282C7F">
        <w:rPr>
          <w:i w:val="0"/>
          <w:iCs/>
          <w:color w:val="auto"/>
        </w:rPr>
        <w:noBreakHyphen/>
      </w:r>
      <w:r w:rsidRPr="00445FDB">
        <w:rPr>
          <w:i w:val="0"/>
          <w:iCs/>
          <w:color w:val="auto"/>
        </w:rPr>
        <w:t xml:space="preserve">market support to businesses and institutions in markets around the world. Drawing on our commercial knowledge, international network, relationships and connections with international customers, investors and decision makers, Austrade will identify valuable trade and other opportunities for Australian businesses and institutions. </w:t>
      </w:r>
    </w:p>
    <w:p w14:paraId="54F81D65" w14:textId="1D98DE33" w:rsidR="00445FDB" w:rsidRPr="00445FDB" w:rsidRDefault="00445FDB" w:rsidP="00445FDB">
      <w:pPr>
        <w:pStyle w:val="Exampletext"/>
        <w:rPr>
          <w:i w:val="0"/>
          <w:iCs/>
          <w:color w:val="auto"/>
        </w:rPr>
      </w:pPr>
      <w:r w:rsidRPr="00445FDB">
        <w:rPr>
          <w:i w:val="0"/>
          <w:iCs/>
          <w:color w:val="auto"/>
        </w:rPr>
        <w:t xml:space="preserve">Austrade will continue to assist exporters </w:t>
      </w:r>
      <w:r w:rsidR="001F5B6F">
        <w:rPr>
          <w:i w:val="0"/>
          <w:iCs/>
          <w:color w:val="auto"/>
          <w:lang w:val="en-AU"/>
        </w:rPr>
        <w:t xml:space="preserve">to </w:t>
      </w:r>
      <w:r w:rsidRPr="00445FDB">
        <w:rPr>
          <w:i w:val="0"/>
          <w:iCs/>
          <w:color w:val="auto"/>
        </w:rPr>
        <w:t xml:space="preserve">navigate the impacts of the COVID-19 pandemic and the disrupted geopolitical environment. As international borders reopen, Austrade’s strategy is to increase activities in markets where we can have the biggest impact for Australian businesses. A high priority will be placed on activities linked to the Agri-Business Expansion Initiative (ABEI), the Australia India Business Exchange (AIBX) and in unlocking opportunities in the Association of Southeast Asian Nations (ASEAN) region. </w:t>
      </w:r>
    </w:p>
    <w:p w14:paraId="5D2AA34C" w14:textId="78EE117B" w:rsidR="00445FDB" w:rsidRPr="00445FDB" w:rsidRDefault="00BA252E" w:rsidP="00445FDB">
      <w:pPr>
        <w:pStyle w:val="Exampletext"/>
        <w:rPr>
          <w:i w:val="0"/>
          <w:iCs/>
          <w:color w:val="auto"/>
        </w:rPr>
      </w:pPr>
      <w:r w:rsidRPr="00BA252E">
        <w:rPr>
          <w:i w:val="0"/>
          <w:iCs/>
          <w:color w:val="auto"/>
        </w:rPr>
        <w:t xml:space="preserve">The Simplified Trade System Implementation Taskforce leads the Government’s efforts to simplify cross-border regulations, processes, and systems, and improve the experience for Australian </w:t>
      </w:r>
      <w:r w:rsidR="00F46E78">
        <w:rPr>
          <w:i w:val="0"/>
          <w:iCs/>
          <w:color w:val="auto"/>
          <w:lang w:val="en-AU"/>
        </w:rPr>
        <w:t>business</w:t>
      </w:r>
      <w:r w:rsidRPr="00BA252E">
        <w:rPr>
          <w:i w:val="0"/>
          <w:iCs/>
          <w:color w:val="auto"/>
        </w:rPr>
        <w:t>. The Taskforce will continue engaging closely with business to co-design reforms that deliver better regulations, business processes and solutions to simplify border systems and services, including the development of a ‘tell us once’ trade system</w:t>
      </w:r>
      <w:r w:rsidR="00445FDB" w:rsidRPr="00445FDB">
        <w:rPr>
          <w:i w:val="0"/>
          <w:iCs/>
          <w:color w:val="auto"/>
        </w:rPr>
        <w:t xml:space="preserve">. </w:t>
      </w:r>
    </w:p>
    <w:p w14:paraId="49D990CD" w14:textId="02A7F87A" w:rsidR="00445FDB" w:rsidRPr="00445FDB" w:rsidRDefault="00445FDB" w:rsidP="00445FDB">
      <w:pPr>
        <w:pStyle w:val="Exampletext"/>
        <w:rPr>
          <w:i w:val="0"/>
          <w:iCs/>
          <w:color w:val="auto"/>
        </w:rPr>
      </w:pPr>
      <w:r w:rsidRPr="00445FDB">
        <w:rPr>
          <w:i w:val="0"/>
          <w:iCs/>
          <w:color w:val="auto"/>
        </w:rPr>
        <w:t xml:space="preserve">As Australia’s national investment promotion agency, we will continue to focus on projects with alignment to government priorities and clear and significant benefits to Australia. We will prioritise capital investment, employment creation and the introduction of new technologies and capabilities. Our investment promotion and attraction activities will continue to be concentrated in North America, Western Europe, and North East Asia. Austrade will also seek to diversify through India and ASEAN. </w:t>
      </w:r>
    </w:p>
    <w:p w14:paraId="7F52EADB" w14:textId="7C7CD4D2" w:rsidR="00445FDB" w:rsidRPr="00445FDB" w:rsidRDefault="00445FDB" w:rsidP="00445FDB">
      <w:pPr>
        <w:pStyle w:val="Exampletext"/>
        <w:rPr>
          <w:i w:val="0"/>
          <w:iCs/>
          <w:color w:val="auto"/>
        </w:rPr>
      </w:pPr>
      <w:r w:rsidRPr="00445FDB">
        <w:rPr>
          <w:i w:val="0"/>
          <w:iCs/>
          <w:color w:val="auto"/>
        </w:rPr>
        <w:t xml:space="preserve">Austrade’s support for tourism recovery remains a priority. We deliver a range of temporary grant programs to assist tourism regions and businesses. The </w:t>
      </w:r>
      <w:r w:rsidRPr="00445FDB">
        <w:rPr>
          <w:color w:val="auto"/>
        </w:rPr>
        <w:t>THRIVE 2030 (The Re-Imagined Visitor Economy)</w:t>
      </w:r>
      <w:r w:rsidRPr="00445FDB">
        <w:rPr>
          <w:i w:val="0"/>
          <w:iCs/>
          <w:color w:val="auto"/>
        </w:rPr>
        <w:t xml:space="preserve"> strategy, to be finalised in 2022, charts a course for the recovery and sustainable growth of Australia as a domestic and international tourism destination</w:t>
      </w:r>
      <w:r w:rsidR="00B31B2B">
        <w:rPr>
          <w:i w:val="0"/>
          <w:iCs/>
          <w:color w:val="auto"/>
          <w:lang w:val="en-AU"/>
        </w:rPr>
        <w:t>, including through modernising Tourism Research Australia’s data collections</w:t>
      </w:r>
      <w:r w:rsidRPr="00445FDB">
        <w:rPr>
          <w:i w:val="0"/>
          <w:iCs/>
          <w:color w:val="auto"/>
        </w:rPr>
        <w:t>.</w:t>
      </w:r>
    </w:p>
    <w:p w14:paraId="0DB08601" w14:textId="10C42C25" w:rsidR="00445FDB" w:rsidRPr="00445FDB" w:rsidRDefault="00445FDB" w:rsidP="00445FDB">
      <w:pPr>
        <w:pStyle w:val="Exampletext"/>
        <w:rPr>
          <w:i w:val="0"/>
          <w:iCs/>
          <w:color w:val="auto"/>
        </w:rPr>
      </w:pPr>
      <w:r w:rsidRPr="00445FDB">
        <w:rPr>
          <w:i w:val="0"/>
          <w:iCs/>
          <w:color w:val="auto"/>
        </w:rPr>
        <w:t xml:space="preserve">Austrade will continue to administer the Export Market Development Grants (EMDG) </w:t>
      </w:r>
      <w:r w:rsidR="003B66CC">
        <w:rPr>
          <w:i w:val="0"/>
          <w:iCs/>
          <w:color w:val="auto"/>
          <w:lang w:val="en-AU"/>
        </w:rPr>
        <w:t>S</w:t>
      </w:r>
      <w:proofErr w:type="spellStart"/>
      <w:r w:rsidRPr="00445FDB">
        <w:rPr>
          <w:i w:val="0"/>
          <w:iCs/>
          <w:color w:val="auto"/>
        </w:rPr>
        <w:t>cheme</w:t>
      </w:r>
      <w:proofErr w:type="spellEnd"/>
      <w:r w:rsidRPr="00445FDB">
        <w:rPr>
          <w:i w:val="0"/>
          <w:iCs/>
          <w:color w:val="auto"/>
        </w:rPr>
        <w:t>, which helps Australian small and medium enterprises to meet the challenges associated with undertaking promotion in export markets and diversification. EMDG provides upfront funding certainty for exporters and reduces regulations.</w:t>
      </w:r>
    </w:p>
    <w:p w14:paraId="660A9874" w14:textId="2510801C" w:rsidR="00445FDB" w:rsidRPr="00445FDB" w:rsidRDefault="00445FDB" w:rsidP="00445FDB">
      <w:pPr>
        <w:pStyle w:val="Exampletext"/>
        <w:rPr>
          <w:i w:val="0"/>
          <w:iCs/>
          <w:color w:val="auto"/>
        </w:rPr>
      </w:pPr>
      <w:bookmarkStart w:id="164" w:name="_Hlk97801308"/>
      <w:r w:rsidRPr="00445FDB">
        <w:rPr>
          <w:i w:val="0"/>
          <w:iCs/>
          <w:color w:val="auto"/>
        </w:rPr>
        <w:t>Austrade also continues to deliver timely consular and passport services to Australians in 11 overseas locations, extending the reach of Australia’s consular network.</w:t>
      </w:r>
    </w:p>
    <w:bookmarkEnd w:id="164"/>
    <w:p w14:paraId="4D227734" w14:textId="17AB8FC6" w:rsidR="00445FDB" w:rsidRPr="00445FDB" w:rsidRDefault="00445FDB" w:rsidP="00445FDB">
      <w:pPr>
        <w:pStyle w:val="Exampletext"/>
        <w:rPr>
          <w:i w:val="0"/>
          <w:iCs/>
          <w:color w:val="auto"/>
        </w:rPr>
      </w:pPr>
      <w:r w:rsidRPr="00445FDB">
        <w:rPr>
          <w:i w:val="0"/>
          <w:iCs/>
          <w:color w:val="auto"/>
        </w:rPr>
        <w:t xml:space="preserve">Within Australia, Austrade operates in 10 locations. Our reach is extended through the </w:t>
      </w:r>
      <w:proofErr w:type="spellStart"/>
      <w:r w:rsidRPr="00445FDB">
        <w:rPr>
          <w:i w:val="0"/>
          <w:iCs/>
          <w:color w:val="auto"/>
        </w:rPr>
        <w:t>TradeStart</w:t>
      </w:r>
      <w:proofErr w:type="spellEnd"/>
      <w:r w:rsidRPr="00445FDB">
        <w:rPr>
          <w:i w:val="0"/>
          <w:iCs/>
          <w:color w:val="auto"/>
        </w:rPr>
        <w:t xml:space="preserve"> Network, which operates in 28 locations across regional and metropolitan Australia. This network is managed and co-funded in partnership with State, Territory and local governments and industry bodies. We also partner with other Australian</w:t>
      </w:r>
      <w:r w:rsidR="003B66CC">
        <w:rPr>
          <w:i w:val="0"/>
          <w:iCs/>
          <w:color w:val="auto"/>
          <w:lang w:val="en-AU"/>
        </w:rPr>
        <w:t> </w:t>
      </w:r>
      <w:r w:rsidRPr="00445FDB">
        <w:rPr>
          <w:i w:val="0"/>
          <w:iCs/>
          <w:color w:val="auto"/>
        </w:rPr>
        <w:t>Government departments and agencies, businesses, industries, and peak bodies to deliver on our outcomes.</w:t>
      </w:r>
    </w:p>
    <w:p w14:paraId="07EEF43B" w14:textId="33F83A43" w:rsidR="00445FDB" w:rsidRPr="00F03E61" w:rsidRDefault="00445FDB" w:rsidP="00445FDB">
      <w:pPr>
        <w:pStyle w:val="Exampletext"/>
        <w:rPr>
          <w:i w:val="0"/>
          <w:iCs/>
          <w:color w:val="auto"/>
        </w:rPr>
      </w:pPr>
      <w:r w:rsidRPr="00445FDB">
        <w:rPr>
          <w:i w:val="0"/>
          <w:iCs/>
          <w:color w:val="auto"/>
        </w:rPr>
        <w:t>A more detailed description of Austrade’s purpose and intent is in Austrade’s Corporate Plan 2021</w:t>
      </w:r>
      <w:r w:rsidR="00282C7F">
        <w:rPr>
          <w:i w:val="0"/>
          <w:iCs/>
          <w:color w:val="auto"/>
          <w:lang w:val="en-AU"/>
        </w:rPr>
        <w:t>–</w:t>
      </w:r>
      <w:r w:rsidRPr="00445FDB">
        <w:rPr>
          <w:i w:val="0"/>
          <w:iCs/>
          <w:color w:val="auto"/>
        </w:rPr>
        <w:t>22 and Strategy 2018</w:t>
      </w:r>
      <w:r w:rsidR="00282C7F">
        <w:rPr>
          <w:i w:val="0"/>
          <w:iCs/>
          <w:color w:val="auto"/>
          <w:lang w:val="en-AU"/>
        </w:rPr>
        <w:t>–</w:t>
      </w:r>
      <w:r w:rsidRPr="00445FDB">
        <w:rPr>
          <w:i w:val="0"/>
          <w:iCs/>
          <w:color w:val="auto"/>
        </w:rPr>
        <w:t>2022. Our progress against our goals is detailed in our Annual Performance Statements, contained in the Austrade Annual Report.</w:t>
      </w:r>
    </w:p>
    <w:p w14:paraId="7A04DB03" w14:textId="4FE830BF" w:rsidR="00F03E61" w:rsidRPr="00F03E61" w:rsidRDefault="00F03E61" w:rsidP="00F03E61">
      <w:pPr>
        <w:pStyle w:val="Exampletext"/>
        <w:rPr>
          <w:i w:val="0"/>
          <w:iCs/>
          <w:color w:val="auto"/>
        </w:rPr>
      </w:pPr>
    </w:p>
    <w:p w14:paraId="2787E4EF" w14:textId="77777777" w:rsidR="0026795D" w:rsidRDefault="0026795D" w:rsidP="0026795D">
      <w:pPr>
        <w:pStyle w:val="Heading3"/>
      </w:pPr>
      <w:r w:rsidRPr="0079797F">
        <w:br w:type="page"/>
      </w:r>
      <w:bookmarkStart w:id="165" w:name="_Toc95217794"/>
      <w:bookmarkStart w:id="166" w:name="_Toc95217858"/>
      <w:bookmarkStart w:id="167" w:name="_Toc95229685"/>
      <w:bookmarkStart w:id="168" w:name="_Toc95288992"/>
      <w:bookmarkStart w:id="169" w:name="_Toc95291879"/>
      <w:bookmarkStart w:id="170" w:name="_Toc95293753"/>
      <w:bookmarkStart w:id="171" w:name="_Toc95296404"/>
      <w:bookmarkStart w:id="172" w:name="_Toc97387907"/>
      <w:bookmarkStart w:id="173" w:name="_Toc97540645"/>
      <w:bookmarkStart w:id="174" w:name="_Toc99111647"/>
      <w:r>
        <w:t>1.2</w:t>
      </w:r>
      <w:r>
        <w:tab/>
        <w:t>Entity resource statement</w:t>
      </w:r>
      <w:bookmarkEnd w:id="165"/>
      <w:bookmarkEnd w:id="166"/>
      <w:bookmarkEnd w:id="167"/>
      <w:bookmarkEnd w:id="168"/>
      <w:bookmarkEnd w:id="169"/>
      <w:bookmarkEnd w:id="170"/>
      <w:bookmarkEnd w:id="171"/>
      <w:bookmarkEnd w:id="172"/>
      <w:bookmarkEnd w:id="173"/>
      <w:bookmarkEnd w:id="174"/>
    </w:p>
    <w:p w14:paraId="236664E4" w14:textId="77777777" w:rsidR="0026795D" w:rsidRDefault="0026795D" w:rsidP="0026795D">
      <w:r>
        <w:t>Table 1.1 shows the total funding from all sources available to the entity for its operations and to deliver programs and services on behalf of the Government.</w:t>
      </w:r>
    </w:p>
    <w:p w14:paraId="2A393DEB" w14:textId="3E101D65" w:rsidR="0026795D" w:rsidRDefault="0026795D" w:rsidP="0026795D">
      <w:r>
        <w:t xml:space="preserve">The table summarises how resources will be applied by outcome (government strategic policy objectives) and by administered (on behalf of the Government or the public) and departmental (for </w:t>
      </w:r>
      <w:r w:rsidR="00F03E61">
        <w:t>Austrade’s</w:t>
      </w:r>
      <w:r>
        <w:t xml:space="preserve"> operations) classification.</w:t>
      </w:r>
    </w:p>
    <w:p w14:paraId="710937F6" w14:textId="77777777" w:rsidR="0026795D" w:rsidRDefault="0026795D" w:rsidP="0026795D">
      <w:r>
        <w:t xml:space="preserve">For more detailed information on special accounts and special appropriations, please refer to </w:t>
      </w:r>
      <w:r w:rsidRPr="00412C0B">
        <w:rPr>
          <w:i/>
        </w:rPr>
        <w:t>Budget Paper No. 4 – Agency Resourcing</w:t>
      </w:r>
      <w:r>
        <w:t>.</w:t>
      </w:r>
    </w:p>
    <w:p w14:paraId="09B4BF2C" w14:textId="501905FA" w:rsidR="0026795D" w:rsidRDefault="0026795D" w:rsidP="0026795D">
      <w:r>
        <w:t>Information in this table is presented on a resourcing (that is, appropriations/cash available) basis, whilst the ‘Budgeted expenses by Outcome’ tables in Section 2 and the financial statements in Section 3 are presented on an accrual basis.</w:t>
      </w:r>
    </w:p>
    <w:p w14:paraId="4A2F51DD" w14:textId="4D2060E9" w:rsidR="0026795D" w:rsidRPr="00FE1091" w:rsidRDefault="0026795D" w:rsidP="0026795D">
      <w:pPr>
        <w:pStyle w:val="TableHeading"/>
        <w:rPr>
          <w:b w:val="0"/>
          <w:lang w:val="en-AU"/>
        </w:rPr>
      </w:pPr>
      <w:r>
        <w:br w:type="page"/>
      </w:r>
      <w:r w:rsidRPr="00D44150">
        <w:t xml:space="preserve">Table 1.1: </w:t>
      </w:r>
      <w:r w:rsidR="00F03E61">
        <w:rPr>
          <w:lang w:val="en-AU"/>
        </w:rPr>
        <w:t xml:space="preserve">Australian Trade and Investment Commission </w:t>
      </w:r>
      <w:r w:rsidRPr="00D44150">
        <w:t>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p w14:paraId="1464698C" w14:textId="18B859AC" w:rsidR="0026795D" w:rsidRDefault="00D72CD6" w:rsidP="0026795D">
      <w:pPr>
        <w:pStyle w:val="TableGraphic"/>
        <w:rPr>
          <w:rFonts w:ascii="Arial" w:hAnsi="Arial"/>
          <w:color w:val="000000"/>
          <w:lang w:val="x-none" w:eastAsia="x-none"/>
        </w:rPr>
      </w:pPr>
      <w:r w:rsidRPr="00D72CD6">
        <w:rPr>
          <w:noProof/>
        </w:rPr>
        <w:drawing>
          <wp:inline distT="0" distB="0" distL="0" distR="0" wp14:anchorId="16C1E300" wp14:editId="2DAE7482">
            <wp:extent cx="4086225" cy="3905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86225" cy="3905250"/>
                    </a:xfrm>
                    <a:prstGeom prst="rect">
                      <a:avLst/>
                    </a:prstGeom>
                    <a:noFill/>
                    <a:ln>
                      <a:noFill/>
                    </a:ln>
                  </pic:spPr>
                </pic:pic>
              </a:graphicData>
            </a:graphic>
          </wp:inline>
        </w:drawing>
      </w:r>
    </w:p>
    <w:p w14:paraId="014A83B3" w14:textId="77777777" w:rsidR="0026795D" w:rsidRPr="00CB2844" w:rsidRDefault="0026795D" w:rsidP="0026795D">
      <w:pPr>
        <w:pStyle w:val="ChartandTableFootnote"/>
      </w:pPr>
      <w:r w:rsidRPr="00696AA8">
        <w:t>All figures shown above are GST exclusive - these may not match figures in the cash flow statement.</w:t>
      </w:r>
    </w:p>
    <w:p w14:paraId="22AB2AFE" w14:textId="77777777" w:rsidR="0026795D" w:rsidRDefault="0026795D" w:rsidP="0026795D">
      <w:pPr>
        <w:pStyle w:val="ChartandTableFootnote"/>
      </w:pPr>
      <w:r>
        <w:t>Prepared on a resourcing (</w:t>
      </w:r>
      <w:r>
        <w:rPr>
          <w:lang w:val="en-AU"/>
        </w:rPr>
        <w:t>that is,</w:t>
      </w:r>
      <w:r>
        <w:t xml:space="preserve"> appropriations available) basis.</w:t>
      </w:r>
    </w:p>
    <w:p w14:paraId="1B9D1843" w14:textId="77777777" w:rsidR="0026795D" w:rsidRPr="002003A1" w:rsidRDefault="0026795D" w:rsidP="00091F80">
      <w:pPr>
        <w:pStyle w:val="ChartandTableFootnoteAlpha"/>
        <w:numPr>
          <w:ilvl w:val="0"/>
          <w:numId w:val="31"/>
        </w:numPr>
      </w:pPr>
      <w:r w:rsidRPr="001071C7">
        <w:t>Appr</w:t>
      </w:r>
      <w:r>
        <w:t>opriation Bill (No. 1) 2022-23.</w:t>
      </w:r>
    </w:p>
    <w:p w14:paraId="634637C4" w14:textId="77777777" w:rsidR="0026795D" w:rsidRDefault="0026795D" w:rsidP="0026795D">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17D638B1" w14:textId="77777777" w:rsidR="0026795D" w:rsidRPr="001071C7" w:rsidRDefault="0026795D" w:rsidP="0026795D">
      <w:pPr>
        <w:pStyle w:val="ChartandTableFootnoteAlpha"/>
        <w:rPr>
          <w:color w:val="000000"/>
        </w:rPr>
      </w:pPr>
      <w:r w:rsidRPr="001071C7">
        <w:rPr>
          <w:color w:val="000000"/>
        </w:rPr>
        <w:t>Estimated External Revenue receipts under section 74 of the PGPA Act.</w:t>
      </w:r>
    </w:p>
    <w:p w14:paraId="104993A7" w14:textId="77777777" w:rsidR="0026795D" w:rsidRPr="001071C7" w:rsidRDefault="0026795D" w:rsidP="0026795D">
      <w:pPr>
        <w:pStyle w:val="ChartandTableFootnoteAlpha"/>
        <w:rPr>
          <w:color w:val="000000"/>
        </w:rPr>
      </w:pPr>
      <w:r w:rsidRPr="001071C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71B22DBB" w14:textId="719061EF" w:rsidR="0026795D" w:rsidRDefault="0026795D" w:rsidP="0026795D">
      <w:pPr>
        <w:pStyle w:val="ChartandTableFootnoteAlpha"/>
        <w:rPr>
          <w:color w:val="000000"/>
        </w:rPr>
      </w:pPr>
      <w:r w:rsidRPr="001071C7">
        <w:rPr>
          <w:color w:val="000000"/>
        </w:rPr>
        <w:t xml:space="preserve">Appropriation Bill (No. 2) </w:t>
      </w:r>
      <w:r>
        <w:rPr>
          <w:color w:val="000000"/>
        </w:rPr>
        <w:t>2022-23</w:t>
      </w:r>
      <w:r w:rsidRPr="001071C7">
        <w:rPr>
          <w:color w:val="000000"/>
        </w:rPr>
        <w:t>.</w:t>
      </w:r>
    </w:p>
    <w:p w14:paraId="7F4D272C" w14:textId="0A73D5B3" w:rsidR="009A4F75" w:rsidRPr="009A4F75" w:rsidRDefault="009A4F75" w:rsidP="009A4F75">
      <w:pPr>
        <w:pStyle w:val="ChartandTableFootnote"/>
      </w:pPr>
      <w:r w:rsidRPr="009A4F75">
        <w:t xml:space="preserve">Note: The Annual Appropriation amounts appearing for 2021-22 estimated actual do not include the Appropriation Bills (No. 3) and (No. 4) 2021-22 as they had not been enacted at the time of publication. </w:t>
      </w:r>
      <w:r>
        <w:t>$</w:t>
      </w:r>
      <w:r>
        <w:rPr>
          <w:lang w:val="en-AU"/>
        </w:rPr>
        <w:t>382.080</w:t>
      </w:r>
      <w:r>
        <w:t xml:space="preserve"> million </w:t>
      </w:r>
      <w:r w:rsidRPr="009A4F75">
        <w:t xml:space="preserve">will be received through Appropriation Bill </w:t>
      </w:r>
      <w:r>
        <w:rPr>
          <w:lang w:val="en-AU"/>
        </w:rPr>
        <w:t>(</w:t>
      </w:r>
      <w:r w:rsidRPr="009A4F75">
        <w:t>No.</w:t>
      </w:r>
      <w:r>
        <w:rPr>
          <w:lang w:val="en-AU"/>
        </w:rPr>
        <w:t xml:space="preserve"> </w:t>
      </w:r>
      <w:r w:rsidRPr="009A4F75">
        <w:t>3</w:t>
      </w:r>
      <w:r>
        <w:rPr>
          <w:lang w:val="en-AU"/>
        </w:rPr>
        <w:t>)</w:t>
      </w:r>
      <w:r w:rsidRPr="009A4F75">
        <w:t xml:space="preserve"> 2021-22. The annual appropriations received from these bills will be recognised in a future Portfolio Budget Statement but only after the Bills have received Royal Assent.</w:t>
      </w:r>
    </w:p>
    <w:p w14:paraId="4B09F167" w14:textId="77777777" w:rsidR="00EB20F0" w:rsidRPr="00EB20F0" w:rsidRDefault="00EB20F0" w:rsidP="00EB20F0"/>
    <w:p w14:paraId="43069A47" w14:textId="77777777" w:rsidR="0026795D" w:rsidRPr="005A7C0B" w:rsidRDefault="0026795D" w:rsidP="0026795D">
      <w:pPr>
        <w:pStyle w:val="Heading3"/>
        <w:spacing w:before="0"/>
      </w:pPr>
      <w:r>
        <w:br w:type="page"/>
      </w:r>
      <w:bookmarkStart w:id="175" w:name="_Toc95217795"/>
      <w:bookmarkStart w:id="176" w:name="_Toc95217859"/>
      <w:bookmarkStart w:id="177" w:name="_Toc95229686"/>
      <w:bookmarkStart w:id="178" w:name="_Toc95288993"/>
      <w:bookmarkStart w:id="179" w:name="_Toc95291880"/>
      <w:bookmarkStart w:id="180" w:name="_Toc95293754"/>
      <w:bookmarkStart w:id="181" w:name="_Toc95296405"/>
      <w:bookmarkStart w:id="182" w:name="_Toc97387908"/>
      <w:bookmarkStart w:id="183" w:name="_Toc97540646"/>
      <w:bookmarkStart w:id="184" w:name="_Toc99111648"/>
      <w:r w:rsidRPr="005A7C0B">
        <w:t>1.3</w:t>
      </w:r>
      <w:r w:rsidRPr="005A7C0B">
        <w:tab/>
        <w:t>Budget measures</w:t>
      </w:r>
      <w:bookmarkEnd w:id="175"/>
      <w:bookmarkEnd w:id="176"/>
      <w:bookmarkEnd w:id="177"/>
      <w:bookmarkEnd w:id="178"/>
      <w:bookmarkEnd w:id="179"/>
      <w:bookmarkEnd w:id="180"/>
      <w:bookmarkEnd w:id="181"/>
      <w:bookmarkEnd w:id="182"/>
      <w:bookmarkEnd w:id="183"/>
      <w:bookmarkEnd w:id="184"/>
    </w:p>
    <w:p w14:paraId="6F595F25" w14:textId="42DAFB46" w:rsidR="0026795D" w:rsidRDefault="0026795D" w:rsidP="0026795D">
      <w:r w:rsidRPr="00DC32EC">
        <w:t xml:space="preserve">Budget measures </w:t>
      </w:r>
      <w:r>
        <w:t xml:space="preserve">in Part 1 </w:t>
      </w:r>
      <w:r w:rsidRPr="00DC32EC">
        <w:t>relating to</w:t>
      </w:r>
      <w:r>
        <w:t xml:space="preserve"> </w:t>
      </w:r>
      <w:r w:rsidR="00F03E61">
        <w:t xml:space="preserve">Austrade </w:t>
      </w:r>
      <w:r w:rsidRPr="00DC32EC">
        <w:t>a</w:t>
      </w:r>
      <w:r>
        <w:t>re detailed in Budget Paper No. </w:t>
      </w:r>
      <w:r w:rsidRPr="00DC32EC">
        <w:t>2</w:t>
      </w:r>
      <w:r>
        <w:t xml:space="preserve"> and are summarised below.</w:t>
      </w:r>
      <w:r w:rsidR="00B714C1">
        <w:t xml:space="preserve"> </w:t>
      </w:r>
    </w:p>
    <w:p w14:paraId="52A407F9" w14:textId="6FDEFF6B" w:rsidR="0026795D" w:rsidRDefault="0026795D" w:rsidP="0026795D">
      <w:pPr>
        <w:pStyle w:val="TableHeading"/>
      </w:pPr>
      <w:r w:rsidRPr="009A40DD">
        <w:t xml:space="preserve">Table 1.2: </w:t>
      </w:r>
      <w:r w:rsidR="00F03E61">
        <w:rPr>
          <w:lang w:val="en-AU"/>
        </w:rPr>
        <w:t xml:space="preserve">Australian Trade and Investment Commission </w:t>
      </w:r>
      <w:r>
        <w:rPr>
          <w:lang w:val="en-AU"/>
        </w:rPr>
        <w:t xml:space="preserve">2022-23 </w:t>
      </w:r>
      <w:r w:rsidRPr="009A40DD">
        <w:t>Budget measures</w:t>
      </w:r>
    </w:p>
    <w:p w14:paraId="58F98D80" w14:textId="62F14CFC" w:rsidR="00F03F10" w:rsidRPr="00F03F10" w:rsidRDefault="00D72CD6" w:rsidP="00F03F10">
      <w:pPr>
        <w:pStyle w:val="TableGraphic"/>
        <w:rPr>
          <w:lang w:val="x-none" w:eastAsia="x-none"/>
        </w:rPr>
      </w:pPr>
      <w:r w:rsidRPr="00D72CD6">
        <w:rPr>
          <w:noProof/>
        </w:rPr>
        <w:drawing>
          <wp:inline distT="0" distB="0" distL="0" distR="0" wp14:anchorId="735C4E32" wp14:editId="0491A847">
            <wp:extent cx="4562475" cy="3781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562475" cy="3781425"/>
                    </a:xfrm>
                    <a:prstGeom prst="rect">
                      <a:avLst/>
                    </a:prstGeom>
                    <a:noFill/>
                    <a:ln>
                      <a:noFill/>
                    </a:ln>
                  </pic:spPr>
                </pic:pic>
              </a:graphicData>
            </a:graphic>
          </wp:inline>
        </w:drawing>
      </w:r>
    </w:p>
    <w:p w14:paraId="6BD142DF" w14:textId="0EB40422" w:rsidR="0026795D" w:rsidRDefault="0026795D" w:rsidP="00B714C1">
      <w:pPr>
        <w:pStyle w:val="ChartandTableFootnote"/>
      </w:pPr>
      <w:r w:rsidRPr="00704BB6">
        <w:t>Prepared on a Government Finance Statistics (Underlying Cash) basis. Figures displayed as a negative (-) represent a decrease in funds and a positive (+) represent an increase in funds.</w:t>
      </w:r>
    </w:p>
    <w:p w14:paraId="04F4E79C" w14:textId="77777777" w:rsidR="009F3F25" w:rsidRPr="009F3F25" w:rsidRDefault="009F3F25" w:rsidP="009F3F25">
      <w:pPr>
        <w:pStyle w:val="ChartandTableFootnote"/>
      </w:pPr>
      <w:r w:rsidRPr="009F3F25">
        <w:t>(a) Decision taken but not yet announced in the 2021-22 MYEFO, with the following impact:</w:t>
      </w:r>
    </w:p>
    <w:p w14:paraId="4265F448" w14:textId="77777777" w:rsidR="009F3F25" w:rsidRPr="009F3F25" w:rsidRDefault="009F3F25" w:rsidP="009F3F25">
      <w:pPr>
        <w:pStyle w:val="ChartandTableFootnote"/>
      </w:pPr>
      <w:r w:rsidRPr="009F3F25">
        <w:t>2022-23 $20.000 million, 2023-24 $20.000 million, 2024-25 $20.000 million and</w:t>
      </w:r>
    </w:p>
    <w:p w14:paraId="2B0F4F30" w14:textId="4EC54D19" w:rsidR="009F3F25" w:rsidRDefault="009F3F25" w:rsidP="009F3F25">
      <w:pPr>
        <w:pStyle w:val="ChartandTableFootnote"/>
      </w:pPr>
      <w:r w:rsidRPr="009F3F25">
        <w:t>2025-26 $20.000 million.</w:t>
      </w:r>
    </w:p>
    <w:p w14:paraId="3C202BF9" w14:textId="77777777" w:rsidR="009F3F25" w:rsidRPr="009F3F25" w:rsidRDefault="009F3F25" w:rsidP="009F3F25">
      <w:pPr>
        <w:pStyle w:val="ChartandTableFootnote"/>
      </w:pPr>
      <w:r w:rsidRPr="009F3F25">
        <w:t>(b) Decision taken but not yet announced in the 2021-22 MYEFO, with the following impact:</w:t>
      </w:r>
    </w:p>
    <w:p w14:paraId="022B905A" w14:textId="3943D104" w:rsidR="009F3F25" w:rsidRPr="009F3F25" w:rsidRDefault="009F3F25" w:rsidP="009F3F25">
      <w:pPr>
        <w:pStyle w:val="ChartandTableFootnote"/>
      </w:pPr>
      <w:r w:rsidRPr="009F3F25">
        <w:t>2021-22 $1.421 million; 2022-23 $4.594 million, 2023-24 $3.737 million, 2024-25 $2.771 million and 2025-26 $2.810 million.</w:t>
      </w:r>
    </w:p>
    <w:p w14:paraId="55FF5E19" w14:textId="77777777" w:rsidR="0026795D" w:rsidRDefault="0026795D" w:rsidP="0026795D">
      <w:pPr>
        <w:spacing w:after="0" w:line="240" w:lineRule="auto"/>
        <w:jc w:val="left"/>
        <w:rPr>
          <w:rFonts w:ascii="Arial Bold" w:hAnsi="Arial Bold"/>
          <w:b/>
        </w:rPr>
      </w:pPr>
      <w:r>
        <w:br w:type="page"/>
      </w:r>
    </w:p>
    <w:p w14:paraId="1E91999D" w14:textId="2AD21A6D" w:rsidR="0026795D" w:rsidRPr="00810C6A" w:rsidRDefault="0026795D" w:rsidP="0026795D">
      <w:pPr>
        <w:pStyle w:val="Heading2"/>
      </w:pPr>
      <w:bookmarkStart w:id="185" w:name="_Toc95217796"/>
      <w:bookmarkStart w:id="186" w:name="_Toc95217860"/>
      <w:bookmarkStart w:id="187" w:name="_Toc95229687"/>
      <w:bookmarkStart w:id="188" w:name="_Toc95288994"/>
      <w:bookmarkStart w:id="189" w:name="_Toc95291881"/>
      <w:bookmarkStart w:id="190" w:name="_Toc95293755"/>
      <w:bookmarkStart w:id="191" w:name="_Toc95296406"/>
      <w:bookmarkStart w:id="192" w:name="_Toc97387909"/>
      <w:bookmarkStart w:id="193" w:name="_Toc97540647"/>
      <w:bookmarkStart w:id="194" w:name="_Toc99111649"/>
      <w:r w:rsidRPr="00810C6A">
        <w:t>Section 2: Outcomes and planned performance</w:t>
      </w:r>
      <w:bookmarkEnd w:id="185"/>
      <w:bookmarkEnd w:id="186"/>
      <w:bookmarkEnd w:id="187"/>
      <w:bookmarkEnd w:id="188"/>
      <w:bookmarkEnd w:id="189"/>
      <w:bookmarkEnd w:id="190"/>
      <w:bookmarkEnd w:id="191"/>
      <w:bookmarkEnd w:id="192"/>
      <w:bookmarkEnd w:id="193"/>
      <w:bookmarkEnd w:id="194"/>
    </w:p>
    <w:p w14:paraId="52BEE0F8" w14:textId="77777777" w:rsidR="0026795D" w:rsidRPr="005E6F2B" w:rsidRDefault="0026795D" w:rsidP="0026795D">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466F0BB" w14:textId="77777777" w:rsidR="00F03E61" w:rsidRDefault="0026795D" w:rsidP="0026795D">
      <w:r w:rsidRPr="005E6F2B">
        <w:t>Each outcome is described below together with its related programs. The following provides detailed information on expenses for each outcome and program, further broken down by funding source</w:t>
      </w:r>
      <w:r w:rsidR="00F03E61">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26795D" w14:paraId="76E0AA78" w14:textId="77777777" w:rsidTr="00637CC0">
        <w:tc>
          <w:tcPr>
            <w:tcW w:w="7700" w:type="dxa"/>
          </w:tcPr>
          <w:p w14:paraId="6CAC9240" w14:textId="77777777" w:rsidR="0026795D" w:rsidRPr="006906E4" w:rsidRDefault="0026795D" w:rsidP="00637CC0">
            <w:pPr>
              <w:spacing w:before="120" w:after="120" w:line="240" w:lineRule="auto"/>
              <w:rPr>
                <w:b/>
              </w:rPr>
            </w:pPr>
            <w:r w:rsidRPr="006906E4">
              <w:rPr>
                <w:b/>
              </w:rPr>
              <w:t>Note:</w:t>
            </w:r>
          </w:p>
          <w:p w14:paraId="3373A08E" w14:textId="2C81772B" w:rsidR="0026795D" w:rsidRDefault="0026795D" w:rsidP="00637CC0">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 described in Portfolio Budget Statements will be read with broader information provided in an entity’s corporate plans and annual performance statements – included in Annual Reports </w:t>
            </w:r>
            <w:r w:rsidR="00D42DEE">
              <w:t>–</w:t>
            </w:r>
            <w:r>
              <w:t xml:space="preserve"> to provide a complete picture of an entity’s planned and actual performance.</w:t>
            </w:r>
          </w:p>
          <w:p w14:paraId="09D7F63A" w14:textId="77777777" w:rsidR="00F03E61" w:rsidRDefault="0026795D" w:rsidP="00F03E61">
            <w:pPr>
              <w:spacing w:after="0"/>
            </w:pPr>
            <w:r>
              <w:t xml:space="preserve">The most recent corporate plan for </w:t>
            </w:r>
            <w:r w:rsidR="00F03E61">
              <w:t xml:space="preserve">Austrade </w:t>
            </w:r>
            <w:r>
              <w:t>can be found at:</w:t>
            </w:r>
          </w:p>
          <w:p w14:paraId="4E5EE2B0" w14:textId="4AFD3FC1" w:rsidR="00F03E61" w:rsidRDefault="000F6D08" w:rsidP="00637CC0">
            <w:hyperlink r:id="rId99" w:history="1">
              <w:r w:rsidR="00F03E61" w:rsidRPr="00742706">
                <w:rPr>
                  <w:rStyle w:val="Hyperlink"/>
                </w:rPr>
                <w:t>https://www.austrade.gov.au/about/corporate-information/corporate-plan</w:t>
              </w:r>
            </w:hyperlink>
            <w:r w:rsidR="00DC2BDA">
              <w:t>.</w:t>
            </w:r>
            <w:r w:rsidR="00F03E61">
              <w:t xml:space="preserve"> </w:t>
            </w:r>
          </w:p>
          <w:p w14:paraId="13831C10" w14:textId="404B8CAB" w:rsidR="00DC2BDA" w:rsidRDefault="0026795D" w:rsidP="00DC2BDA">
            <w:pPr>
              <w:spacing w:after="0"/>
            </w:pPr>
            <w:r>
              <w:t xml:space="preserve">The most recent annual performance statement can be found at: </w:t>
            </w:r>
          </w:p>
          <w:p w14:paraId="2812DE23" w14:textId="46B553F3" w:rsidR="0026795D" w:rsidRDefault="000F6D08" w:rsidP="00637CC0">
            <w:hyperlink r:id="rId100" w:history="1">
              <w:r w:rsidR="00DC2BDA" w:rsidRPr="00B511DF">
                <w:rPr>
                  <w:rStyle w:val="Hyperlink"/>
                </w:rPr>
                <w:t>https://www.transparency.gov.au/annual-reports/australian-trade-and-investment-commission/reporting-year/2020-21</w:t>
              </w:r>
            </w:hyperlink>
            <w:r w:rsidR="00DC2BDA">
              <w:t xml:space="preserve">. </w:t>
            </w:r>
          </w:p>
        </w:tc>
      </w:tr>
    </w:tbl>
    <w:p w14:paraId="23F8C1EB" w14:textId="77777777" w:rsidR="0026795D" w:rsidRDefault="0026795D" w:rsidP="0026795D">
      <w:pPr>
        <w:rPr>
          <w:highlight w:val="yellow"/>
        </w:rPr>
      </w:pPr>
    </w:p>
    <w:p w14:paraId="193425D2" w14:textId="77777777" w:rsidR="0026795D" w:rsidRDefault="0026795D" w:rsidP="0026795D">
      <w:pPr>
        <w:pStyle w:val="Heading3"/>
        <w:sectPr w:rsidR="0026795D" w:rsidSect="00503FD8">
          <w:headerReference w:type="even" r:id="rId101"/>
          <w:headerReference w:type="default" r:id="rId102"/>
          <w:headerReference w:type="first" r:id="rId103"/>
          <w:footerReference w:type="first" r:id="rId104"/>
          <w:type w:val="oddPage"/>
          <w:pgSz w:w="11906" w:h="16838" w:code="9"/>
          <w:pgMar w:top="2835" w:right="2098" w:bottom="2466" w:left="2098" w:header="1814" w:footer="1814" w:gutter="0"/>
          <w:cols w:space="708"/>
          <w:titlePg/>
          <w:docGrid w:linePitch="360"/>
        </w:sectPr>
      </w:pPr>
    </w:p>
    <w:p w14:paraId="009BADC7" w14:textId="1D05D68D" w:rsidR="0026795D" w:rsidRPr="00F743D8" w:rsidRDefault="0026795D" w:rsidP="0026795D">
      <w:pPr>
        <w:pStyle w:val="Heading3"/>
      </w:pPr>
      <w:bookmarkStart w:id="195" w:name="_Toc95217797"/>
      <w:bookmarkStart w:id="196" w:name="_Toc95217861"/>
      <w:bookmarkStart w:id="197" w:name="_Toc95229688"/>
      <w:bookmarkStart w:id="198" w:name="_Toc95288995"/>
      <w:bookmarkStart w:id="199" w:name="_Toc95291882"/>
      <w:bookmarkStart w:id="200" w:name="_Toc95293756"/>
      <w:bookmarkStart w:id="201" w:name="_Toc95296407"/>
      <w:bookmarkStart w:id="202" w:name="_Toc97387910"/>
      <w:bookmarkStart w:id="203" w:name="_Toc97540648"/>
      <w:bookmarkStart w:id="204" w:name="_Toc99111650"/>
      <w:r>
        <w:t>2.1</w:t>
      </w:r>
      <w:r w:rsidRPr="00F743D8">
        <w:t xml:space="preserve"> </w:t>
      </w:r>
      <w:r w:rsidRPr="00F743D8">
        <w:tab/>
        <w:t xml:space="preserve">Budgeted expenses and performance for Outcome </w:t>
      </w:r>
      <w:r w:rsidR="00EE7083">
        <w:t>1</w:t>
      </w:r>
      <w:bookmarkEnd w:id="195"/>
      <w:bookmarkEnd w:id="196"/>
      <w:bookmarkEnd w:id="197"/>
      <w:bookmarkEnd w:id="198"/>
      <w:bookmarkEnd w:id="199"/>
      <w:bookmarkEnd w:id="200"/>
      <w:bookmarkEnd w:id="201"/>
      <w:bookmarkEnd w:id="202"/>
      <w:bookmarkEnd w:id="203"/>
      <w:bookmarkEnd w:id="20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26795D" w:rsidRPr="005E6F2B" w14:paraId="6E7C296D" w14:textId="77777777" w:rsidTr="00DC2BDA">
        <w:tc>
          <w:tcPr>
            <w:tcW w:w="7704" w:type="dxa"/>
            <w:shd w:val="clear" w:color="auto" w:fill="E6E6E6"/>
          </w:tcPr>
          <w:p w14:paraId="3DBF49BA" w14:textId="3B69D317" w:rsidR="0026795D" w:rsidRPr="005E6F2B" w:rsidRDefault="0026795D" w:rsidP="00637CC0">
            <w:pPr>
              <w:pStyle w:val="TableColumnHeadingLeft"/>
            </w:pPr>
            <w:r w:rsidRPr="005E6F2B">
              <w:t xml:space="preserve">Outcome </w:t>
            </w:r>
            <w:r w:rsidR="00EE7083">
              <w:t>1</w:t>
            </w:r>
            <w:r w:rsidRPr="005E6F2B">
              <w:t xml:space="preserve">: </w:t>
            </w:r>
            <w:r w:rsidR="00DC2BDA" w:rsidRPr="00DC2BDA">
              <w:t>Contribute to Australia’s economic prosperity by promoting Australia’s export and other international economic interests through the provision of information, advice and services to business, associations, institutions and government</w:t>
            </w:r>
          </w:p>
        </w:tc>
      </w:tr>
    </w:tbl>
    <w:p w14:paraId="2C4E3807" w14:textId="77777777" w:rsidR="0026795D" w:rsidRPr="005E6F2B" w:rsidRDefault="0026795D" w:rsidP="0026795D">
      <w:pPr>
        <w:pStyle w:val="NoSpacing"/>
      </w:pPr>
    </w:p>
    <w:p w14:paraId="4FC84114" w14:textId="20C4D64A" w:rsidR="0026795D" w:rsidRPr="005E6F2B" w:rsidRDefault="0026795D" w:rsidP="0026795D">
      <w:pPr>
        <w:pStyle w:val="Heading4"/>
      </w:pPr>
      <w:r w:rsidRPr="005E6F2B">
        <w:t xml:space="preserve">Linked programs </w:t>
      </w:r>
    </w:p>
    <w:tbl>
      <w:tblPr>
        <w:tblW w:w="4964" w:type="pct"/>
        <w:tblBorders>
          <w:top w:val="outset" w:sz="6" w:space="0" w:color="auto"/>
          <w:left w:val="outset" w:sz="6" w:space="0" w:color="auto"/>
          <w:bottom w:val="outset" w:sz="6" w:space="0" w:color="auto"/>
          <w:right w:val="outset" w:sz="6" w:space="0" w:color="auto"/>
        </w:tblBorders>
        <w:shd w:val="clear" w:color="auto" w:fill="FFFFFF" w:themeFill="background1"/>
        <w:tblCellMar>
          <w:top w:w="28" w:type="dxa"/>
          <w:left w:w="57" w:type="dxa"/>
          <w:bottom w:w="28" w:type="dxa"/>
          <w:right w:w="57" w:type="dxa"/>
        </w:tblCellMar>
        <w:tblLook w:val="04A0" w:firstRow="1" w:lastRow="0" w:firstColumn="1" w:lastColumn="0" w:noHBand="0" w:noVBand="1"/>
      </w:tblPr>
      <w:tblGrid>
        <w:gridCol w:w="7639"/>
      </w:tblGrid>
      <w:tr w:rsidR="00DC2BDA" w:rsidRPr="009255BB" w14:paraId="64D84F0E" w14:textId="77777777" w:rsidTr="00E326EC">
        <w:trPr>
          <w:trHeight w:val="300"/>
        </w:trPr>
        <w:tc>
          <w:tcPr>
            <w:tcW w:w="5000" w:type="pct"/>
            <w:tcBorders>
              <w:top w:val="single" w:sz="6" w:space="0" w:color="auto"/>
              <w:left w:val="single" w:sz="6" w:space="0" w:color="auto"/>
              <w:bottom w:val="dotted" w:sz="6" w:space="0" w:color="auto"/>
              <w:right w:val="single" w:sz="6" w:space="0" w:color="auto"/>
            </w:tcBorders>
            <w:shd w:val="clear" w:color="auto" w:fill="FFFFFF" w:themeFill="background1"/>
            <w:hideMark/>
          </w:tcPr>
          <w:p w14:paraId="536500B0" w14:textId="77777777" w:rsidR="00DC2BDA" w:rsidRPr="009255BB" w:rsidRDefault="00DC2BDA" w:rsidP="000814C9">
            <w:pPr>
              <w:pStyle w:val="paragraph"/>
              <w:textAlignment w:val="baseline"/>
              <w:rPr>
                <w:rFonts w:ascii="Segoe UI" w:hAnsi="Segoe UI" w:cs="Segoe UI"/>
                <w:i/>
                <w:iCs/>
                <w:color w:val="000000" w:themeColor="text1"/>
                <w:sz w:val="20"/>
                <w:szCs w:val="20"/>
              </w:rPr>
            </w:pPr>
            <w:r w:rsidRPr="009255BB">
              <w:rPr>
                <w:rStyle w:val="normaltextrun"/>
                <w:rFonts w:ascii="Book Antiqua" w:hAnsi="Book Antiqua" w:cs="Segoe UI"/>
                <w:b/>
                <w:bCs/>
                <w:color w:val="000000" w:themeColor="text1"/>
                <w:sz w:val="20"/>
                <w:szCs w:val="20"/>
              </w:rPr>
              <w:t>Department of Foreign Affairs and Trade</w:t>
            </w:r>
            <w:r w:rsidRPr="009255BB">
              <w:rPr>
                <w:rStyle w:val="normaltextrun"/>
                <w:rFonts w:ascii="Book Antiqua" w:hAnsi="Book Antiqua" w:cs="Segoe UI"/>
                <w:color w:val="000000" w:themeColor="text1"/>
                <w:sz w:val="20"/>
                <w:szCs w:val="20"/>
              </w:rPr>
              <w:t xml:space="preserve"> </w:t>
            </w:r>
            <w:r w:rsidRPr="009255BB">
              <w:rPr>
                <w:rStyle w:val="eop"/>
                <w:rFonts w:ascii="Book Antiqua" w:hAnsi="Book Antiqua" w:cs="Segoe UI"/>
                <w:i/>
                <w:iCs/>
                <w:color w:val="000000" w:themeColor="text1"/>
                <w:sz w:val="20"/>
                <w:szCs w:val="20"/>
              </w:rPr>
              <w:t xml:space="preserve"> </w:t>
            </w:r>
          </w:p>
        </w:tc>
      </w:tr>
      <w:tr w:rsidR="00DC2BDA" w:rsidRPr="009255BB" w14:paraId="0B85670F" w14:textId="77777777" w:rsidTr="00E326EC">
        <w:trPr>
          <w:trHeight w:val="300"/>
        </w:trPr>
        <w:tc>
          <w:tcPr>
            <w:tcW w:w="5000" w:type="pct"/>
            <w:tcBorders>
              <w:top w:val="dotted" w:sz="6" w:space="0" w:color="auto"/>
              <w:left w:val="single" w:sz="6" w:space="0" w:color="auto"/>
              <w:bottom w:val="single" w:sz="6" w:space="0" w:color="auto"/>
              <w:right w:val="single" w:sz="6" w:space="0" w:color="auto"/>
            </w:tcBorders>
            <w:shd w:val="clear" w:color="auto" w:fill="FFFFFF" w:themeFill="background1"/>
            <w:hideMark/>
          </w:tcPr>
          <w:p w14:paraId="595DBFB3" w14:textId="77777777" w:rsidR="00DC2BDA" w:rsidRPr="009255BB" w:rsidRDefault="00DC2BDA"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Programs</w:t>
            </w:r>
            <w:r w:rsidRPr="009255BB">
              <w:rPr>
                <w:rStyle w:val="eop"/>
                <w:rFonts w:ascii="Book Antiqua" w:hAnsi="Book Antiqua" w:cs="Segoe UI"/>
                <w:color w:val="000000" w:themeColor="text1"/>
                <w:sz w:val="20"/>
                <w:szCs w:val="20"/>
              </w:rPr>
              <w:t xml:space="preserve"> </w:t>
            </w:r>
          </w:p>
          <w:p w14:paraId="7C901A47" w14:textId="77777777" w:rsidR="00DC2BDA" w:rsidRPr="00DC2BDA" w:rsidRDefault="00DC2BDA" w:rsidP="00091F80">
            <w:pPr>
              <w:numPr>
                <w:ilvl w:val="0"/>
                <w:numId w:val="11"/>
              </w:numPr>
              <w:spacing w:before="60" w:after="60" w:line="240" w:lineRule="auto"/>
              <w:ind w:left="714" w:hanging="357"/>
              <w:rPr>
                <w:rStyle w:val="ExampletextCharChar"/>
                <w:i w:val="0"/>
                <w:iCs/>
                <w:color w:val="auto"/>
              </w:rPr>
            </w:pPr>
            <w:r w:rsidRPr="00DC2BDA">
              <w:rPr>
                <w:rStyle w:val="ExampletextCharChar"/>
                <w:i w:val="0"/>
                <w:iCs/>
                <w:color w:val="auto"/>
              </w:rPr>
              <w:t xml:space="preserve">Program 1.1 – Foreign Affairs and Trade Operations </w:t>
            </w:r>
          </w:p>
          <w:p w14:paraId="3F4D1758" w14:textId="77777777" w:rsidR="00DC2BDA" w:rsidRPr="009255BB" w:rsidRDefault="00DC2BDA" w:rsidP="00091F80">
            <w:pPr>
              <w:numPr>
                <w:ilvl w:val="0"/>
                <w:numId w:val="11"/>
              </w:numPr>
              <w:spacing w:before="60" w:after="60" w:line="240" w:lineRule="auto"/>
              <w:ind w:left="714" w:hanging="357"/>
              <w:rPr>
                <w:rFonts w:ascii="Calibri" w:hAnsi="Calibri" w:cs="Segoe UI"/>
                <w:color w:val="000000" w:themeColor="text1"/>
              </w:rPr>
            </w:pPr>
            <w:r w:rsidRPr="00DC2BDA">
              <w:rPr>
                <w:rStyle w:val="ExampletextCharChar"/>
                <w:i w:val="0"/>
                <w:iCs/>
                <w:color w:val="auto"/>
              </w:rPr>
              <w:t>Program 1.6 – Public Information Services and Public Diplomacy</w:t>
            </w:r>
          </w:p>
        </w:tc>
      </w:tr>
      <w:tr w:rsidR="00DC2BDA" w:rsidRPr="009255BB" w14:paraId="741851B9" w14:textId="77777777" w:rsidTr="00E326EC">
        <w:trPr>
          <w:trHeight w:val="300"/>
        </w:trPr>
        <w:tc>
          <w:tcPr>
            <w:tcW w:w="5000" w:type="pct"/>
            <w:tcBorders>
              <w:top w:val="outset" w:sz="6" w:space="0" w:color="auto"/>
              <w:left w:val="single" w:sz="6" w:space="0" w:color="auto"/>
              <w:bottom w:val="single" w:sz="6" w:space="0" w:color="auto"/>
              <w:right w:val="single" w:sz="6" w:space="0" w:color="auto"/>
            </w:tcBorders>
            <w:shd w:val="clear" w:color="auto" w:fill="FFFFFF" w:themeFill="background1"/>
            <w:hideMark/>
          </w:tcPr>
          <w:p w14:paraId="17CF66FE" w14:textId="77777777" w:rsidR="00DC2BDA" w:rsidRPr="009255BB" w:rsidRDefault="00DC2BDA"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Contribution to Outcome 1 made by linked programs</w:t>
            </w:r>
            <w:r w:rsidRPr="009255BB">
              <w:rPr>
                <w:rStyle w:val="eop"/>
                <w:rFonts w:ascii="Book Antiqua" w:hAnsi="Book Antiqua" w:cs="Segoe UI"/>
                <w:color w:val="000000" w:themeColor="text1"/>
                <w:sz w:val="20"/>
                <w:szCs w:val="20"/>
              </w:rPr>
              <w:t xml:space="preserve"> </w:t>
            </w:r>
          </w:p>
          <w:p w14:paraId="0AAEEF20" w14:textId="77777777" w:rsidR="00DC2BDA" w:rsidRPr="009255BB" w:rsidRDefault="00DC2BDA" w:rsidP="000814C9">
            <w:pPr>
              <w:pStyle w:val="paragraph"/>
              <w:jc w:val="both"/>
              <w:textAlignment w:val="baseline"/>
              <w:rPr>
                <w:rFonts w:ascii="Segoe UI" w:hAnsi="Segoe UI" w:cs="Segoe UI"/>
                <w:color w:val="000000" w:themeColor="text1"/>
                <w:sz w:val="20"/>
                <w:szCs w:val="20"/>
              </w:rPr>
            </w:pPr>
            <w:r w:rsidRPr="0079094D">
              <w:rPr>
                <w:rFonts w:ascii="Book Antiqua" w:hAnsi="Book Antiqua" w:cs="Segoe UI"/>
                <w:color w:val="000000"/>
                <w:sz w:val="20"/>
                <w:szCs w:val="20"/>
                <w:lang w:eastAsia="en-AU"/>
              </w:rPr>
              <w:t xml:space="preserve">DFAT and Austrade work closely across </w:t>
            </w:r>
            <w:proofErr w:type="gramStart"/>
            <w:r w:rsidRPr="0079094D">
              <w:rPr>
                <w:rFonts w:ascii="Book Antiqua" w:hAnsi="Book Antiqua" w:cs="Segoe UI"/>
                <w:color w:val="000000"/>
                <w:sz w:val="20"/>
                <w:szCs w:val="20"/>
                <w:lang w:eastAsia="en-AU"/>
              </w:rPr>
              <w:t>a number of</w:t>
            </w:r>
            <w:proofErr w:type="gramEnd"/>
            <w:r w:rsidRPr="0079094D">
              <w:rPr>
                <w:rFonts w:ascii="Book Antiqua" w:hAnsi="Book Antiqua" w:cs="Segoe UI"/>
                <w:color w:val="000000"/>
                <w:sz w:val="20"/>
                <w:szCs w:val="20"/>
                <w:lang w:eastAsia="en-AU"/>
              </w:rPr>
              <w:t xml:space="preserve"> areas to promote trade and investment; address non-tariff barriers to trade; support and facilitate business; increase science, technology and innovation links; and advocate to uphold the global rules-based trading system. This </w:t>
            </w:r>
            <w:r w:rsidRPr="0079094D">
              <w:rPr>
                <w:rFonts w:ascii="Book Antiqua" w:hAnsi="Book Antiqua" w:cs="Segoe UI"/>
                <w:sz w:val="20"/>
                <w:szCs w:val="20"/>
                <w:lang w:eastAsia="en-AU"/>
              </w:rPr>
              <w:t xml:space="preserve">cooperation results in more economic </w:t>
            </w:r>
            <w:r w:rsidRPr="0079094D">
              <w:rPr>
                <w:rFonts w:ascii="Book Antiqua" w:hAnsi="Book Antiqua" w:cs="Segoe UI"/>
                <w:color w:val="000000"/>
                <w:sz w:val="20"/>
                <w:szCs w:val="20"/>
                <w:lang w:eastAsia="en-AU"/>
              </w:rPr>
              <w:t xml:space="preserve">opportunities and contributes to the projection of a positive image of Australia as a destination for business, investment, tourism and study. </w:t>
            </w:r>
            <w:r w:rsidRPr="0079094D">
              <w:rPr>
                <w:rFonts w:ascii="Book Antiqua" w:hAnsi="Book Antiqua" w:cs="Segoe UI"/>
                <w:sz w:val="20"/>
                <w:szCs w:val="20"/>
                <w:lang w:eastAsia="en-AU"/>
              </w:rPr>
              <w:t xml:space="preserve"> </w:t>
            </w:r>
          </w:p>
        </w:tc>
      </w:tr>
      <w:tr w:rsidR="00DC2BDA" w:rsidRPr="009255BB" w14:paraId="0D9023EA" w14:textId="77777777" w:rsidTr="00E326EC">
        <w:trPr>
          <w:trHeight w:val="300"/>
        </w:trPr>
        <w:tc>
          <w:tcPr>
            <w:tcW w:w="5000" w:type="pct"/>
            <w:tcBorders>
              <w:top w:val="outset" w:sz="6" w:space="0" w:color="auto"/>
              <w:left w:val="single" w:sz="6" w:space="0" w:color="auto"/>
              <w:bottom w:val="dotted" w:sz="6" w:space="0" w:color="auto"/>
              <w:right w:val="single" w:sz="6" w:space="0" w:color="auto"/>
            </w:tcBorders>
            <w:shd w:val="clear" w:color="auto" w:fill="FFFFFF" w:themeFill="background1"/>
            <w:hideMark/>
          </w:tcPr>
          <w:p w14:paraId="640421C3" w14:textId="77777777" w:rsidR="00DC2BDA" w:rsidRPr="009255BB" w:rsidRDefault="00DC2BDA" w:rsidP="000814C9">
            <w:pPr>
              <w:pStyle w:val="paragraph"/>
              <w:textAlignment w:val="baseline"/>
              <w:rPr>
                <w:rFonts w:ascii="Segoe UI" w:hAnsi="Segoe UI" w:cs="Segoe UI"/>
                <w:iCs/>
                <w:color w:val="000000" w:themeColor="text1"/>
                <w:sz w:val="20"/>
                <w:szCs w:val="20"/>
              </w:rPr>
            </w:pPr>
            <w:r w:rsidRPr="009255BB">
              <w:rPr>
                <w:rStyle w:val="normaltextrun"/>
                <w:rFonts w:ascii="Book Antiqua" w:hAnsi="Book Antiqua" w:cs="Segoe UI"/>
                <w:b/>
                <w:bCs/>
                <w:color w:val="000000" w:themeColor="text1"/>
                <w:sz w:val="20"/>
                <w:szCs w:val="20"/>
              </w:rPr>
              <w:t>Department of Industry, Science, Energy and Resources</w:t>
            </w:r>
            <w:r w:rsidRPr="009255BB">
              <w:rPr>
                <w:rStyle w:val="eop"/>
                <w:rFonts w:ascii="Book Antiqua" w:hAnsi="Book Antiqua" w:cs="Segoe UI"/>
                <w:i/>
                <w:iCs/>
                <w:color w:val="000000" w:themeColor="text1"/>
                <w:sz w:val="20"/>
                <w:szCs w:val="20"/>
              </w:rPr>
              <w:t xml:space="preserve"> </w:t>
            </w:r>
          </w:p>
        </w:tc>
      </w:tr>
      <w:tr w:rsidR="00DC2BDA" w:rsidRPr="009255BB" w14:paraId="43A62341" w14:textId="77777777" w:rsidTr="00E326EC">
        <w:trPr>
          <w:trHeight w:val="300"/>
        </w:trPr>
        <w:tc>
          <w:tcPr>
            <w:tcW w:w="5000" w:type="pct"/>
            <w:tcBorders>
              <w:top w:val="dotted" w:sz="6" w:space="0" w:color="auto"/>
              <w:left w:val="single" w:sz="6" w:space="0" w:color="auto"/>
              <w:bottom w:val="single" w:sz="6" w:space="0" w:color="auto"/>
              <w:right w:val="single" w:sz="6" w:space="0" w:color="auto"/>
            </w:tcBorders>
            <w:shd w:val="clear" w:color="auto" w:fill="FFFFFF" w:themeFill="background1"/>
            <w:hideMark/>
          </w:tcPr>
          <w:p w14:paraId="6DBE74F6" w14:textId="77777777" w:rsidR="00DC2BDA" w:rsidRPr="009255BB" w:rsidRDefault="00DC2BDA"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Programs</w:t>
            </w:r>
            <w:r w:rsidRPr="009255BB">
              <w:rPr>
                <w:rStyle w:val="eop"/>
                <w:rFonts w:ascii="Book Antiqua" w:hAnsi="Book Antiqua" w:cs="Segoe UI"/>
                <w:color w:val="000000" w:themeColor="text1"/>
                <w:sz w:val="20"/>
                <w:szCs w:val="20"/>
              </w:rPr>
              <w:t xml:space="preserve"> </w:t>
            </w:r>
          </w:p>
          <w:p w14:paraId="3E9A00F8" w14:textId="7B69B20C" w:rsidR="00DC2BDA" w:rsidRPr="00DC2BDA" w:rsidRDefault="00DC2BDA" w:rsidP="0030516F">
            <w:pPr>
              <w:numPr>
                <w:ilvl w:val="0"/>
                <w:numId w:val="11"/>
              </w:numPr>
              <w:spacing w:before="60" w:after="60" w:line="240" w:lineRule="auto"/>
              <w:ind w:left="714" w:hanging="357"/>
              <w:jc w:val="left"/>
              <w:rPr>
                <w:rStyle w:val="ExampletextCharChar"/>
                <w:i w:val="0"/>
                <w:color w:val="auto"/>
              </w:rPr>
            </w:pPr>
            <w:r w:rsidRPr="00DC2BDA">
              <w:rPr>
                <w:rStyle w:val="ExampletextCharChar"/>
                <w:i w:val="0"/>
                <w:color w:val="auto"/>
              </w:rPr>
              <w:t xml:space="preserve">Program 1.1 – Investing in science, technology and commercialisation </w:t>
            </w:r>
          </w:p>
          <w:p w14:paraId="352410D2" w14:textId="4D6DEB40" w:rsidR="00DC2BDA" w:rsidRPr="009255BB" w:rsidRDefault="00DC2BDA" w:rsidP="0030516F">
            <w:pPr>
              <w:numPr>
                <w:ilvl w:val="0"/>
                <w:numId w:val="11"/>
              </w:numPr>
              <w:spacing w:before="60" w:after="60" w:line="240" w:lineRule="auto"/>
              <w:ind w:left="714" w:hanging="357"/>
              <w:jc w:val="left"/>
              <w:rPr>
                <w:rFonts w:ascii="Calibri" w:hAnsi="Calibri" w:cs="Segoe UI"/>
                <w:color w:val="000000" w:themeColor="text1"/>
              </w:rPr>
            </w:pPr>
            <w:r w:rsidRPr="00DC2BDA">
              <w:rPr>
                <w:rStyle w:val="ExampletextCharChar"/>
                <w:i w:val="0"/>
                <w:color w:val="auto"/>
              </w:rPr>
              <w:t>Program 2.2 – Growing innovative and competitive businesses, industries and regions</w:t>
            </w:r>
            <w:r w:rsidRPr="00DC2BDA">
              <w:rPr>
                <w:rStyle w:val="eop"/>
                <w:rFonts w:cs="Segoe UI"/>
              </w:rPr>
              <w:t xml:space="preserve"> </w:t>
            </w:r>
          </w:p>
        </w:tc>
      </w:tr>
      <w:tr w:rsidR="00DC2BDA" w:rsidRPr="009255BB" w14:paraId="51C16149" w14:textId="77777777" w:rsidTr="00E326EC">
        <w:trPr>
          <w:trHeight w:val="300"/>
        </w:trPr>
        <w:tc>
          <w:tcPr>
            <w:tcW w:w="5000" w:type="pct"/>
            <w:tcBorders>
              <w:top w:val="outset" w:sz="6" w:space="0" w:color="auto"/>
              <w:left w:val="single" w:sz="6" w:space="0" w:color="auto"/>
              <w:bottom w:val="single" w:sz="6" w:space="0" w:color="auto"/>
              <w:right w:val="single" w:sz="6" w:space="0" w:color="auto"/>
            </w:tcBorders>
            <w:shd w:val="clear" w:color="auto" w:fill="FFFFFF" w:themeFill="background1"/>
            <w:hideMark/>
          </w:tcPr>
          <w:p w14:paraId="57A33BB8" w14:textId="77777777" w:rsidR="00DC2BDA" w:rsidRPr="009255BB" w:rsidRDefault="00DC2BDA" w:rsidP="000814C9">
            <w:pPr>
              <w:pStyle w:val="paragraph"/>
              <w:jc w:val="both"/>
              <w:textAlignment w:val="baseline"/>
              <w:rPr>
                <w:rFonts w:ascii="Book Antiqua" w:eastAsia="Book Antiqua" w:hAnsi="Book Antiqua" w:cs="Book Antiqua"/>
                <w:color w:val="000000" w:themeColor="text1"/>
                <w:sz w:val="20"/>
                <w:szCs w:val="20"/>
              </w:rPr>
            </w:pPr>
            <w:r w:rsidRPr="009255BB">
              <w:rPr>
                <w:rStyle w:val="normaltextrun"/>
                <w:rFonts w:ascii="Book Antiqua" w:eastAsia="Book Antiqua" w:hAnsi="Book Antiqua" w:cs="Book Antiqua"/>
                <w:b/>
                <w:color w:val="000000" w:themeColor="text1"/>
                <w:sz w:val="20"/>
                <w:szCs w:val="20"/>
              </w:rPr>
              <w:t>Contribution to Outcome 1 made by linked programs</w:t>
            </w:r>
            <w:r w:rsidRPr="009255BB">
              <w:rPr>
                <w:rStyle w:val="eop"/>
                <w:rFonts w:ascii="Book Antiqua" w:eastAsia="Book Antiqua" w:hAnsi="Book Antiqua" w:cs="Book Antiqua"/>
                <w:color w:val="000000" w:themeColor="text1"/>
                <w:sz w:val="20"/>
                <w:szCs w:val="20"/>
              </w:rPr>
              <w:t xml:space="preserve"> </w:t>
            </w:r>
          </w:p>
          <w:p w14:paraId="2C36EA25" w14:textId="043415DA" w:rsidR="00DC2BDA" w:rsidRPr="009255BB" w:rsidRDefault="00E326EC" w:rsidP="000814C9">
            <w:pPr>
              <w:pStyle w:val="paragraph"/>
              <w:jc w:val="both"/>
              <w:textAlignment w:val="baseline"/>
              <w:rPr>
                <w:rFonts w:ascii="Book Antiqua" w:eastAsia="Book Antiqua" w:hAnsi="Book Antiqua" w:cs="Book Antiqua"/>
                <w:color w:val="000000" w:themeColor="text1"/>
                <w:sz w:val="20"/>
                <w:szCs w:val="20"/>
                <w:lang w:eastAsia="en-AU"/>
              </w:rPr>
            </w:pPr>
            <w:r>
              <w:rPr>
                <w:rFonts w:ascii="Book Antiqua" w:eastAsia="Book Antiqua" w:hAnsi="Book Antiqua" w:cs="Book Antiqua"/>
                <w:color w:val="000000"/>
                <w:sz w:val="20"/>
                <w:szCs w:val="20"/>
                <w:shd w:val="clear" w:color="auto" w:fill="FFFFFF"/>
                <w:lang w:eastAsia="en-AU"/>
              </w:rPr>
              <w:t xml:space="preserve">The </w:t>
            </w:r>
            <w:r w:rsidRPr="00AF4F00">
              <w:rPr>
                <w:rFonts w:ascii="Book Antiqua" w:eastAsia="Book Antiqua" w:hAnsi="Book Antiqua" w:cs="Book Antiqua"/>
                <w:color w:val="000000"/>
                <w:sz w:val="20"/>
                <w:szCs w:val="20"/>
                <w:shd w:val="clear" w:color="auto" w:fill="FFFFFF"/>
                <w:lang w:eastAsia="en-AU"/>
              </w:rPr>
              <w:t>D</w:t>
            </w:r>
            <w:r>
              <w:rPr>
                <w:rFonts w:ascii="Book Antiqua" w:eastAsia="Book Antiqua" w:hAnsi="Book Antiqua" w:cs="Book Antiqua"/>
                <w:color w:val="000000"/>
                <w:sz w:val="20"/>
                <w:szCs w:val="20"/>
                <w:shd w:val="clear" w:color="auto" w:fill="FFFFFF"/>
                <w:lang w:eastAsia="en-AU"/>
              </w:rPr>
              <w:t xml:space="preserve">epartment of </w:t>
            </w:r>
            <w:r w:rsidRPr="00AF4F00">
              <w:rPr>
                <w:rFonts w:ascii="Book Antiqua" w:eastAsia="Book Antiqua" w:hAnsi="Book Antiqua" w:cs="Book Antiqua"/>
                <w:color w:val="000000"/>
                <w:sz w:val="20"/>
                <w:szCs w:val="20"/>
                <w:shd w:val="clear" w:color="auto" w:fill="FFFFFF"/>
                <w:lang w:eastAsia="en-AU"/>
              </w:rPr>
              <w:t>I</w:t>
            </w:r>
            <w:r>
              <w:rPr>
                <w:rFonts w:ascii="Book Antiqua" w:eastAsia="Book Antiqua" w:hAnsi="Book Antiqua" w:cs="Book Antiqua"/>
                <w:color w:val="000000"/>
                <w:sz w:val="20"/>
                <w:szCs w:val="20"/>
                <w:shd w:val="clear" w:color="auto" w:fill="FFFFFF"/>
                <w:lang w:eastAsia="en-AU"/>
              </w:rPr>
              <w:t>ndustry, Science, Energy and Resources</w:t>
            </w:r>
            <w:r w:rsidR="0002580F">
              <w:rPr>
                <w:rFonts w:ascii="Book Antiqua" w:eastAsia="Book Antiqua" w:hAnsi="Book Antiqua" w:cs="Book Antiqua"/>
                <w:color w:val="000000"/>
                <w:sz w:val="20"/>
                <w:szCs w:val="20"/>
                <w:shd w:val="clear" w:color="auto" w:fill="FFFFFF"/>
                <w:lang w:eastAsia="en-AU"/>
              </w:rPr>
              <w:t>’</w:t>
            </w:r>
            <w:r>
              <w:rPr>
                <w:rFonts w:ascii="Book Antiqua" w:eastAsia="Book Antiqua" w:hAnsi="Book Antiqua" w:cs="Book Antiqua"/>
                <w:color w:val="000000"/>
                <w:sz w:val="20"/>
                <w:szCs w:val="20"/>
                <w:shd w:val="clear" w:color="auto" w:fill="FFFFFF"/>
                <w:lang w:eastAsia="en-AU"/>
              </w:rPr>
              <w:t xml:space="preserve"> (DI</w:t>
            </w:r>
            <w:r w:rsidRPr="00AF4F00">
              <w:rPr>
                <w:rFonts w:ascii="Book Antiqua" w:eastAsia="Book Antiqua" w:hAnsi="Book Antiqua" w:cs="Book Antiqua"/>
                <w:color w:val="000000"/>
                <w:sz w:val="20"/>
                <w:szCs w:val="20"/>
                <w:shd w:val="clear" w:color="auto" w:fill="FFFFFF"/>
                <w:lang w:eastAsia="en-AU"/>
              </w:rPr>
              <w:t>SER</w:t>
            </w:r>
            <w:r>
              <w:rPr>
                <w:rFonts w:ascii="Book Antiqua" w:eastAsia="Book Antiqua" w:hAnsi="Book Antiqua" w:cs="Book Antiqua"/>
                <w:color w:val="000000"/>
                <w:sz w:val="20"/>
                <w:szCs w:val="20"/>
                <w:shd w:val="clear" w:color="auto" w:fill="FFFFFF"/>
                <w:lang w:eastAsia="en-AU"/>
              </w:rPr>
              <w:t>)</w:t>
            </w:r>
            <w:r w:rsidRPr="00AF4F00">
              <w:rPr>
                <w:rFonts w:ascii="Book Antiqua" w:eastAsia="Book Antiqua" w:hAnsi="Book Antiqua" w:cs="Book Antiqua"/>
                <w:color w:val="000000"/>
                <w:sz w:val="20"/>
                <w:szCs w:val="20"/>
                <w:shd w:val="clear" w:color="auto" w:fill="FFFFFF"/>
                <w:lang w:eastAsia="en-AU"/>
              </w:rPr>
              <w:t xml:space="preserve"> </w:t>
            </w:r>
            <w:r w:rsidRPr="00AF4F00">
              <w:rPr>
                <w:rFonts w:ascii="Book Antiqua" w:eastAsia="Book Antiqua" w:hAnsi="Book Antiqua" w:cs="Book Antiqua"/>
                <w:color w:val="000000"/>
                <w:sz w:val="20"/>
                <w:szCs w:val="20"/>
                <w:lang w:eastAsia="en-AU"/>
              </w:rPr>
              <w:t xml:space="preserve">administration of the Modern Manufacturing Strategy requires cooperation with Austrade on </w:t>
            </w:r>
            <w:r w:rsidRPr="00AF4F00">
              <w:rPr>
                <w:rFonts w:ascii="Book Antiqua" w:eastAsia="Book Antiqua" w:hAnsi="Book Antiqua" w:cs="Book Antiqua"/>
                <w:color w:val="000000" w:themeColor="text1"/>
                <w:sz w:val="20"/>
                <w:szCs w:val="20"/>
                <w:lang w:eastAsia="en-AU"/>
              </w:rPr>
              <w:t>N</w:t>
            </w:r>
            <w:r w:rsidRPr="00AF4F00">
              <w:rPr>
                <w:rFonts w:ascii="Book Antiqua" w:eastAsia="Book Antiqua" w:hAnsi="Book Antiqua" w:cs="Book Antiqua"/>
                <w:color w:val="000000"/>
                <w:sz w:val="20"/>
                <w:szCs w:val="20"/>
                <w:lang w:eastAsia="en-AU"/>
              </w:rPr>
              <w:t xml:space="preserve">ational </w:t>
            </w:r>
            <w:r w:rsidRPr="00AF4F00">
              <w:rPr>
                <w:rFonts w:ascii="Book Antiqua" w:eastAsia="Book Antiqua" w:hAnsi="Book Antiqua" w:cs="Book Antiqua"/>
                <w:color w:val="000000" w:themeColor="text1"/>
                <w:sz w:val="20"/>
                <w:szCs w:val="20"/>
                <w:lang w:eastAsia="en-AU"/>
              </w:rPr>
              <w:t>Manufacturing P</w:t>
            </w:r>
            <w:r w:rsidRPr="00AF4F00">
              <w:rPr>
                <w:rFonts w:ascii="Book Antiqua" w:eastAsia="Book Antiqua" w:hAnsi="Book Antiqua" w:cs="Book Antiqua"/>
                <w:color w:val="000000"/>
                <w:sz w:val="20"/>
                <w:szCs w:val="20"/>
                <w:lang w:eastAsia="en-AU"/>
              </w:rPr>
              <w:t xml:space="preserve">riorities. DISER and Austrade also cooperate to grow the Australian space industry through </w:t>
            </w:r>
            <w:r w:rsidRPr="00AF4F00">
              <w:rPr>
                <w:rFonts w:ascii="Book Antiqua" w:eastAsia="Book Antiqua" w:hAnsi="Book Antiqua" w:cs="Book Antiqua"/>
                <w:color w:val="000000" w:themeColor="text1"/>
                <w:sz w:val="20"/>
                <w:szCs w:val="20"/>
                <w:lang w:eastAsia="en-AU"/>
              </w:rPr>
              <w:t>the Advancing Space: Australian Civil Space Strategy 2019</w:t>
            </w:r>
            <w:r w:rsidR="00D42DEE">
              <w:rPr>
                <w:rFonts w:ascii="Book Antiqua" w:eastAsia="Book Antiqua" w:hAnsi="Book Antiqua" w:cs="Book Antiqua"/>
                <w:color w:val="000000" w:themeColor="text1"/>
                <w:sz w:val="20"/>
                <w:szCs w:val="20"/>
                <w:lang w:eastAsia="en-AU"/>
              </w:rPr>
              <w:t>–20</w:t>
            </w:r>
            <w:r w:rsidRPr="00AF4F00">
              <w:rPr>
                <w:rFonts w:ascii="Book Antiqua" w:eastAsia="Book Antiqua" w:hAnsi="Book Antiqua" w:cs="Book Antiqua"/>
                <w:color w:val="000000" w:themeColor="text1"/>
                <w:sz w:val="20"/>
                <w:szCs w:val="20"/>
                <w:lang w:eastAsia="en-AU"/>
              </w:rPr>
              <w:t>28 with the Australian Space Agency</w:t>
            </w:r>
            <w:r w:rsidRPr="00AF4F00">
              <w:rPr>
                <w:rFonts w:ascii="Book Antiqua" w:eastAsia="Book Antiqua" w:hAnsi="Book Antiqua" w:cs="Book Antiqua"/>
                <w:color w:val="000000"/>
                <w:sz w:val="20"/>
                <w:szCs w:val="20"/>
                <w:lang w:eastAsia="en-AU"/>
              </w:rPr>
              <w:t>.</w:t>
            </w:r>
            <w:r w:rsidR="0002580F">
              <w:rPr>
                <w:rFonts w:ascii="Book Antiqua" w:eastAsia="Book Antiqua" w:hAnsi="Book Antiqua" w:cs="Book Antiqua"/>
                <w:color w:val="000000"/>
                <w:sz w:val="20"/>
                <w:szCs w:val="20"/>
                <w:lang w:eastAsia="en-AU"/>
              </w:rPr>
              <w:t xml:space="preserve"> </w:t>
            </w:r>
            <w:r w:rsidRPr="00AF4F00">
              <w:rPr>
                <w:rFonts w:ascii="Book Antiqua" w:eastAsia="Book Antiqua" w:hAnsi="Book Antiqua" w:cs="Book Antiqua"/>
                <w:color w:val="000000" w:themeColor="text1"/>
                <w:sz w:val="20"/>
                <w:szCs w:val="20"/>
                <w:lang w:eastAsia="en-AU"/>
              </w:rPr>
              <w:t>DISER</w:t>
            </w:r>
            <w:r w:rsidR="0002580F">
              <w:rPr>
                <w:rFonts w:ascii="Book Antiqua" w:eastAsia="Book Antiqua" w:hAnsi="Book Antiqua" w:cs="Book Antiqua"/>
                <w:color w:val="000000" w:themeColor="text1"/>
                <w:sz w:val="20"/>
                <w:szCs w:val="20"/>
                <w:lang w:eastAsia="en-AU"/>
              </w:rPr>
              <w:t xml:space="preserve"> cooperates with Austrade to grow Australia’s cyber security industry in support of the 2020 Cyber Security Stra</w:t>
            </w:r>
            <w:r w:rsidR="00E55A87">
              <w:rPr>
                <w:rFonts w:ascii="Book Antiqua" w:eastAsia="Book Antiqua" w:hAnsi="Book Antiqua" w:cs="Book Antiqua"/>
                <w:color w:val="000000" w:themeColor="text1"/>
                <w:sz w:val="20"/>
                <w:szCs w:val="20"/>
                <w:lang w:eastAsia="en-AU"/>
              </w:rPr>
              <w:t>t</w:t>
            </w:r>
            <w:r w:rsidR="0002580F">
              <w:rPr>
                <w:rFonts w:ascii="Book Antiqua" w:eastAsia="Book Antiqua" w:hAnsi="Book Antiqua" w:cs="Book Antiqua"/>
                <w:color w:val="000000" w:themeColor="text1"/>
                <w:sz w:val="20"/>
                <w:szCs w:val="20"/>
                <w:lang w:eastAsia="en-AU"/>
              </w:rPr>
              <w:t xml:space="preserve">egy and 2021 Digital Economy Strategy. </w:t>
            </w:r>
          </w:p>
        </w:tc>
      </w:tr>
    </w:tbl>
    <w:p w14:paraId="75F8C84C" w14:textId="77777777" w:rsidR="00E326EC" w:rsidRDefault="00E326EC" w:rsidP="00E326EC">
      <w:pPr>
        <w:pStyle w:val="Source"/>
      </w:pPr>
      <w:r w:rsidRPr="00AA499C">
        <w:t xml:space="preserve">Table </w:t>
      </w:r>
      <w:proofErr w:type="gramStart"/>
      <w:r w:rsidRPr="00AA499C">
        <w:t xml:space="preserve">continued </w:t>
      </w:r>
      <w:r>
        <w:t>on</w:t>
      </w:r>
      <w:proofErr w:type="gramEnd"/>
      <w:r>
        <w:t xml:space="preserve"> the </w:t>
      </w:r>
      <w:r w:rsidRPr="00AA499C">
        <w:t>next page</w:t>
      </w:r>
      <w:r>
        <w:t>.</w:t>
      </w:r>
    </w:p>
    <w:p w14:paraId="0AFD8FB5" w14:textId="3757F03B" w:rsidR="00E326EC" w:rsidRDefault="00E326EC"/>
    <w:p w14:paraId="43A7D44F" w14:textId="77777777" w:rsidR="00E326EC" w:rsidRDefault="00E326EC">
      <w:pPr>
        <w:spacing w:after="0" w:line="240" w:lineRule="auto"/>
        <w:jc w:val="left"/>
      </w:pPr>
      <w:r>
        <w:br w:type="page"/>
      </w:r>
    </w:p>
    <w:p w14:paraId="359885F6" w14:textId="280BD7AD" w:rsidR="00E326EC" w:rsidRDefault="00E326EC" w:rsidP="00E326EC">
      <w:pPr>
        <w:pStyle w:val="Heading4"/>
      </w:pPr>
      <w:r w:rsidRPr="005E6F2B">
        <w:t xml:space="preserve">Linked programs </w:t>
      </w:r>
      <w:r>
        <w:t>(continued)</w:t>
      </w:r>
    </w:p>
    <w:tbl>
      <w:tblPr>
        <w:tblW w:w="4973" w:type="pct"/>
        <w:tblInd w:w="-8" w:type="dxa"/>
        <w:tblBorders>
          <w:top w:val="outset" w:sz="6" w:space="0" w:color="auto"/>
          <w:left w:val="outset" w:sz="6" w:space="0" w:color="auto"/>
          <w:bottom w:val="outset" w:sz="6" w:space="0" w:color="auto"/>
          <w:right w:val="outset" w:sz="6" w:space="0" w:color="auto"/>
        </w:tblBorders>
        <w:shd w:val="clear" w:color="auto" w:fill="FFFFFF" w:themeFill="background1"/>
        <w:tblCellMar>
          <w:top w:w="28" w:type="dxa"/>
          <w:left w:w="57" w:type="dxa"/>
          <w:bottom w:w="28" w:type="dxa"/>
          <w:right w:w="57" w:type="dxa"/>
        </w:tblCellMar>
        <w:tblLook w:val="04A0" w:firstRow="1" w:lastRow="0" w:firstColumn="1" w:lastColumn="0" w:noHBand="0" w:noVBand="1"/>
      </w:tblPr>
      <w:tblGrid>
        <w:gridCol w:w="7652"/>
      </w:tblGrid>
      <w:tr w:rsidR="00E958F7" w:rsidRPr="009255BB" w14:paraId="069D9482" w14:textId="77777777" w:rsidTr="00E958F7">
        <w:trPr>
          <w:trHeight w:val="311"/>
        </w:trPr>
        <w:tc>
          <w:tcPr>
            <w:tcW w:w="5000" w:type="pct"/>
            <w:tcBorders>
              <w:top w:val="outset" w:sz="6" w:space="0" w:color="auto"/>
              <w:left w:val="single" w:sz="6" w:space="0" w:color="auto"/>
              <w:bottom w:val="dotted" w:sz="6" w:space="0" w:color="auto"/>
              <w:right w:val="single" w:sz="6" w:space="0" w:color="auto"/>
            </w:tcBorders>
            <w:shd w:val="clear" w:color="auto" w:fill="FFFFFF" w:themeFill="background1"/>
            <w:hideMark/>
          </w:tcPr>
          <w:p w14:paraId="07C0B2F2"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Department of Education, Skills and Employment</w:t>
            </w:r>
            <w:r w:rsidRPr="009255BB">
              <w:rPr>
                <w:rStyle w:val="eop"/>
                <w:rFonts w:ascii="Book Antiqua" w:hAnsi="Book Antiqua" w:cs="Segoe UI"/>
                <w:color w:val="000000" w:themeColor="text1"/>
                <w:sz w:val="20"/>
                <w:szCs w:val="20"/>
              </w:rPr>
              <w:t xml:space="preserve"> </w:t>
            </w:r>
          </w:p>
        </w:tc>
      </w:tr>
      <w:tr w:rsidR="00E958F7" w:rsidRPr="009255BB" w14:paraId="1B7D9FAE" w14:textId="77777777" w:rsidTr="00E958F7">
        <w:trPr>
          <w:trHeight w:val="300"/>
        </w:trPr>
        <w:tc>
          <w:tcPr>
            <w:tcW w:w="5000" w:type="pct"/>
            <w:tcBorders>
              <w:top w:val="dotted" w:sz="6" w:space="0" w:color="auto"/>
              <w:left w:val="single" w:sz="6" w:space="0" w:color="auto"/>
              <w:bottom w:val="single" w:sz="6" w:space="0" w:color="auto"/>
              <w:right w:val="single" w:sz="6" w:space="0" w:color="auto"/>
            </w:tcBorders>
            <w:shd w:val="clear" w:color="auto" w:fill="FFFFFF" w:themeFill="background1"/>
            <w:hideMark/>
          </w:tcPr>
          <w:p w14:paraId="6656E13E"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Programs</w:t>
            </w:r>
            <w:r w:rsidRPr="009255BB">
              <w:rPr>
                <w:rStyle w:val="eop"/>
                <w:rFonts w:ascii="Book Antiqua" w:hAnsi="Book Antiqua" w:cs="Segoe UI"/>
                <w:color w:val="000000" w:themeColor="text1"/>
                <w:sz w:val="20"/>
                <w:szCs w:val="20"/>
              </w:rPr>
              <w:t xml:space="preserve"> </w:t>
            </w:r>
          </w:p>
          <w:p w14:paraId="2E0BF332" w14:textId="77777777" w:rsidR="00E958F7" w:rsidRPr="00E958F7" w:rsidRDefault="00E958F7" w:rsidP="00091F80">
            <w:pPr>
              <w:numPr>
                <w:ilvl w:val="0"/>
                <w:numId w:val="11"/>
              </w:numPr>
              <w:spacing w:before="60" w:after="60" w:line="240" w:lineRule="auto"/>
              <w:ind w:left="714" w:hanging="357"/>
              <w:rPr>
                <w:rFonts w:cs="Segoe UI"/>
                <w:i/>
                <w:iCs/>
                <w:color w:val="000000" w:themeColor="text1"/>
              </w:rPr>
            </w:pPr>
            <w:r w:rsidRPr="00E958F7">
              <w:rPr>
                <w:rStyle w:val="ExampletextCharChar"/>
                <w:i w:val="0"/>
                <w:iCs/>
                <w:color w:val="auto"/>
              </w:rPr>
              <w:t>Program 2.7 – International Education Support</w:t>
            </w:r>
            <w:r w:rsidRPr="00E958F7">
              <w:rPr>
                <w:rStyle w:val="eop"/>
                <w:rFonts w:cs="Segoe UI"/>
                <w:i/>
                <w:iCs/>
                <w:color w:val="000000" w:themeColor="text1"/>
              </w:rPr>
              <w:t xml:space="preserve"> </w:t>
            </w:r>
          </w:p>
        </w:tc>
      </w:tr>
      <w:tr w:rsidR="00E958F7" w:rsidRPr="009255BB" w14:paraId="3B5BF072" w14:textId="77777777" w:rsidTr="00E958F7">
        <w:trPr>
          <w:trHeight w:val="1345"/>
        </w:trPr>
        <w:tc>
          <w:tcPr>
            <w:tcW w:w="5000" w:type="pct"/>
            <w:tcBorders>
              <w:top w:val="outset" w:sz="6" w:space="0" w:color="auto"/>
              <w:left w:val="single" w:sz="6" w:space="0" w:color="auto"/>
              <w:bottom w:val="outset" w:sz="6" w:space="0" w:color="auto"/>
              <w:right w:val="single" w:sz="6" w:space="0" w:color="auto"/>
            </w:tcBorders>
            <w:shd w:val="clear" w:color="auto" w:fill="FFFFFF" w:themeFill="background1"/>
            <w:hideMark/>
          </w:tcPr>
          <w:p w14:paraId="3D6399DF"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Contribution to Outcome 1 made by linked program</w:t>
            </w:r>
            <w:r w:rsidRPr="009255BB">
              <w:rPr>
                <w:rStyle w:val="eop"/>
                <w:rFonts w:ascii="Book Antiqua" w:hAnsi="Book Antiqua" w:cs="Segoe UI"/>
                <w:color w:val="000000" w:themeColor="text1"/>
                <w:sz w:val="20"/>
                <w:szCs w:val="20"/>
              </w:rPr>
              <w:t xml:space="preserve"> </w:t>
            </w:r>
          </w:p>
          <w:p w14:paraId="3112DAAD" w14:textId="2C6E9DA7" w:rsidR="00E958F7" w:rsidRPr="009255BB" w:rsidRDefault="00E958F7" w:rsidP="000814C9">
            <w:pPr>
              <w:pStyle w:val="paragraph"/>
              <w:jc w:val="both"/>
              <w:textAlignment w:val="baseline"/>
              <w:rPr>
                <w:rFonts w:ascii="Segoe UI" w:hAnsi="Segoe UI" w:cs="Segoe UI"/>
                <w:color w:val="000000" w:themeColor="text1"/>
                <w:sz w:val="20"/>
                <w:szCs w:val="20"/>
              </w:rPr>
            </w:pPr>
            <w:r w:rsidRPr="00243371">
              <w:rPr>
                <w:rFonts w:ascii="Book Antiqua" w:hAnsi="Book Antiqua" w:cs="Segoe UI"/>
                <w:color w:val="000000" w:themeColor="text1"/>
                <w:sz w:val="20"/>
                <w:szCs w:val="20"/>
                <w:lang w:eastAsia="en-AU"/>
              </w:rPr>
              <w:t xml:space="preserve">Program 2.7 builds partnerships through engagement with foreign governments to advance Australia’s education </w:t>
            </w:r>
            <w:r w:rsidR="0002580F">
              <w:rPr>
                <w:rFonts w:ascii="Book Antiqua" w:hAnsi="Book Antiqua" w:cs="Segoe UI"/>
                <w:color w:val="000000" w:themeColor="text1"/>
                <w:sz w:val="20"/>
                <w:szCs w:val="20"/>
                <w:lang w:eastAsia="en-AU"/>
              </w:rPr>
              <w:t xml:space="preserve">sector </w:t>
            </w:r>
            <w:r w:rsidRPr="00243371">
              <w:rPr>
                <w:rFonts w:ascii="Book Antiqua" w:hAnsi="Book Antiqua" w:cs="Segoe UI"/>
                <w:color w:val="000000" w:themeColor="text1"/>
                <w:sz w:val="20"/>
                <w:szCs w:val="20"/>
                <w:lang w:eastAsia="en-AU"/>
              </w:rPr>
              <w:t xml:space="preserve">and reputation. </w:t>
            </w:r>
            <w:r w:rsidR="0002580F">
              <w:rPr>
                <w:rFonts w:ascii="Book Antiqua" w:hAnsi="Book Antiqua" w:cs="Segoe UI"/>
                <w:color w:val="000000" w:themeColor="text1"/>
                <w:sz w:val="20"/>
                <w:szCs w:val="20"/>
                <w:lang w:eastAsia="en-AU"/>
              </w:rPr>
              <w:t xml:space="preserve">The Program </w:t>
            </w:r>
            <w:r w:rsidRPr="00243371">
              <w:rPr>
                <w:rFonts w:ascii="Book Antiqua" w:hAnsi="Book Antiqua" w:cs="Segoe UI"/>
                <w:color w:val="000000" w:themeColor="text1"/>
                <w:sz w:val="20"/>
                <w:szCs w:val="20"/>
                <w:lang w:eastAsia="en-AU"/>
              </w:rPr>
              <w:t>also ensures policy and legislation aligns with quality education</w:t>
            </w:r>
            <w:r w:rsidR="0002580F">
              <w:rPr>
                <w:rFonts w:ascii="Book Antiqua" w:hAnsi="Book Antiqua" w:cs="Segoe UI"/>
                <w:color w:val="000000" w:themeColor="text1"/>
                <w:sz w:val="20"/>
                <w:szCs w:val="20"/>
                <w:lang w:eastAsia="en-AU"/>
              </w:rPr>
              <w:t>al</w:t>
            </w:r>
            <w:r w:rsidRPr="00243371">
              <w:rPr>
                <w:rFonts w:ascii="Book Antiqua" w:hAnsi="Book Antiqua" w:cs="Segoe UI"/>
                <w:color w:val="000000" w:themeColor="text1"/>
                <w:sz w:val="20"/>
                <w:szCs w:val="20"/>
                <w:lang w:eastAsia="en-AU"/>
              </w:rPr>
              <w:t xml:space="preserve"> outcomes. </w:t>
            </w:r>
            <w:r w:rsidR="0002580F">
              <w:rPr>
                <w:rFonts w:ascii="Book Antiqua" w:hAnsi="Book Antiqua" w:cs="Segoe UI"/>
                <w:color w:val="000000" w:themeColor="text1"/>
                <w:sz w:val="20"/>
                <w:szCs w:val="20"/>
                <w:lang w:eastAsia="en-AU"/>
              </w:rPr>
              <w:t xml:space="preserve">The </w:t>
            </w:r>
            <w:r w:rsidRPr="00243371">
              <w:rPr>
                <w:rFonts w:ascii="Book Antiqua" w:hAnsi="Book Antiqua" w:cs="Segoe UI"/>
                <w:color w:val="000000" w:themeColor="text1"/>
                <w:sz w:val="20"/>
                <w:szCs w:val="20"/>
                <w:lang w:eastAsia="en-AU"/>
              </w:rPr>
              <w:t>Australian Strategy for International Education 2021</w:t>
            </w:r>
            <w:r w:rsidR="0030516F">
              <w:rPr>
                <w:rFonts w:ascii="Book Antiqua" w:hAnsi="Book Antiqua" w:cs="Segoe UI"/>
                <w:color w:val="000000" w:themeColor="text1"/>
                <w:sz w:val="20"/>
                <w:szCs w:val="20"/>
                <w:lang w:eastAsia="en-AU"/>
              </w:rPr>
              <w:t>–20</w:t>
            </w:r>
            <w:r w:rsidRPr="00243371">
              <w:rPr>
                <w:rFonts w:ascii="Book Antiqua" w:hAnsi="Book Antiqua" w:cs="Segoe UI"/>
                <w:color w:val="000000" w:themeColor="text1"/>
                <w:sz w:val="20"/>
                <w:szCs w:val="20"/>
                <w:lang w:eastAsia="en-AU"/>
              </w:rPr>
              <w:t>30, led by the Department of Education, Skills and Employment</w:t>
            </w:r>
            <w:r w:rsidR="0002580F">
              <w:rPr>
                <w:rFonts w:ascii="Book Antiqua" w:hAnsi="Book Antiqua" w:cs="Segoe UI"/>
                <w:color w:val="000000" w:themeColor="text1"/>
                <w:sz w:val="20"/>
                <w:szCs w:val="20"/>
                <w:lang w:eastAsia="en-AU"/>
              </w:rPr>
              <w:t>,</w:t>
            </w:r>
            <w:r w:rsidRPr="00243371">
              <w:rPr>
                <w:rFonts w:ascii="Book Antiqua" w:hAnsi="Book Antiqua" w:cs="Segoe UI"/>
                <w:color w:val="000000" w:themeColor="text1"/>
                <w:sz w:val="20"/>
                <w:szCs w:val="20"/>
                <w:lang w:eastAsia="en-AU"/>
              </w:rPr>
              <w:t xml:space="preserve"> strengthens the fundamentals of the international education sector and complements Austrade’s focus on enabling the sector’s ongoing international growth.  </w:t>
            </w:r>
          </w:p>
        </w:tc>
      </w:tr>
      <w:tr w:rsidR="00E958F7" w:rsidRPr="009255BB" w14:paraId="70B33F16" w14:textId="77777777" w:rsidTr="00E958F7">
        <w:tblPrEx>
          <w:tblCellMar>
            <w:top w:w="0" w:type="dxa"/>
            <w:bottom w:w="0" w:type="dxa"/>
          </w:tblCellMar>
        </w:tblPrEx>
        <w:trPr>
          <w:trHeight w:val="300"/>
        </w:trPr>
        <w:tc>
          <w:tcPr>
            <w:tcW w:w="5000" w:type="pct"/>
            <w:tcBorders>
              <w:top w:val="outset" w:sz="6" w:space="0" w:color="auto"/>
              <w:left w:val="single" w:sz="6" w:space="0" w:color="auto"/>
              <w:bottom w:val="dotted" w:sz="4" w:space="0" w:color="auto"/>
              <w:right w:val="single" w:sz="6" w:space="0" w:color="auto"/>
            </w:tcBorders>
            <w:shd w:val="clear" w:color="auto" w:fill="FFFFFF" w:themeFill="background1"/>
            <w:hideMark/>
          </w:tcPr>
          <w:p w14:paraId="512417D6" w14:textId="77777777" w:rsidR="00E958F7" w:rsidRPr="009255BB" w:rsidRDefault="00E958F7" w:rsidP="000814C9">
            <w:pPr>
              <w:pStyle w:val="paragraph"/>
              <w:textAlignment w:val="baseline"/>
              <w:rPr>
                <w:rFonts w:ascii="Segoe UI" w:hAnsi="Segoe UI" w:cs="Segoe UI"/>
                <w:i/>
                <w:iCs/>
                <w:color w:val="000000" w:themeColor="text1"/>
                <w:sz w:val="20"/>
                <w:szCs w:val="20"/>
              </w:rPr>
            </w:pPr>
            <w:r w:rsidRPr="009255BB">
              <w:rPr>
                <w:rStyle w:val="normaltextrun"/>
                <w:rFonts w:ascii="Book Antiqua" w:hAnsi="Book Antiqua" w:cs="Segoe UI"/>
                <w:b/>
                <w:bCs/>
                <w:color w:val="000000" w:themeColor="text1"/>
                <w:sz w:val="20"/>
                <w:szCs w:val="20"/>
              </w:rPr>
              <w:t>Department of Agriculture, Water and the Environment</w:t>
            </w:r>
            <w:r w:rsidRPr="009255BB">
              <w:rPr>
                <w:rStyle w:val="eop"/>
                <w:rFonts w:ascii="Book Antiqua" w:hAnsi="Book Antiqua" w:cs="Segoe UI"/>
                <w:i/>
                <w:iCs/>
                <w:color w:val="000000" w:themeColor="text1"/>
                <w:sz w:val="20"/>
                <w:szCs w:val="20"/>
              </w:rPr>
              <w:t xml:space="preserve"> </w:t>
            </w:r>
          </w:p>
        </w:tc>
      </w:tr>
      <w:tr w:rsidR="00E958F7" w:rsidRPr="009255BB" w14:paraId="1EEF943A" w14:textId="77777777" w:rsidTr="00E958F7">
        <w:tblPrEx>
          <w:tblCellMar>
            <w:top w:w="0" w:type="dxa"/>
            <w:bottom w:w="0" w:type="dxa"/>
          </w:tblCellMar>
        </w:tblPrEx>
        <w:trPr>
          <w:trHeight w:val="300"/>
        </w:trPr>
        <w:tc>
          <w:tcPr>
            <w:tcW w:w="5000" w:type="pct"/>
            <w:tcBorders>
              <w:top w:val="dotted" w:sz="4" w:space="0" w:color="auto"/>
              <w:left w:val="single" w:sz="6" w:space="0" w:color="auto"/>
              <w:bottom w:val="single" w:sz="6" w:space="0" w:color="auto"/>
              <w:right w:val="single" w:sz="6" w:space="0" w:color="auto"/>
            </w:tcBorders>
            <w:shd w:val="clear" w:color="auto" w:fill="FFFFFF" w:themeFill="background1"/>
            <w:hideMark/>
          </w:tcPr>
          <w:p w14:paraId="278820BC"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Programs</w:t>
            </w:r>
            <w:r w:rsidRPr="009255BB">
              <w:rPr>
                <w:rStyle w:val="eop"/>
                <w:rFonts w:ascii="Book Antiqua" w:hAnsi="Book Antiqua" w:cs="Segoe UI"/>
                <w:color w:val="000000" w:themeColor="text1"/>
                <w:sz w:val="20"/>
                <w:szCs w:val="20"/>
              </w:rPr>
              <w:t xml:space="preserve"> </w:t>
            </w:r>
          </w:p>
          <w:p w14:paraId="2C5C9BF2" w14:textId="77777777" w:rsidR="00E958F7" w:rsidRPr="00E958F7" w:rsidRDefault="00E958F7" w:rsidP="00091F80">
            <w:pPr>
              <w:numPr>
                <w:ilvl w:val="0"/>
                <w:numId w:val="11"/>
              </w:numPr>
              <w:spacing w:before="60" w:after="60" w:line="240" w:lineRule="auto"/>
              <w:ind w:left="714" w:hanging="357"/>
              <w:rPr>
                <w:rStyle w:val="ExampletextCharChar"/>
                <w:i w:val="0"/>
                <w:color w:val="auto"/>
              </w:rPr>
            </w:pPr>
            <w:r w:rsidRPr="00E958F7">
              <w:rPr>
                <w:rStyle w:val="ExampletextCharChar"/>
                <w:i w:val="0"/>
                <w:color w:val="auto"/>
              </w:rPr>
              <w:t xml:space="preserve">Program 3.13 – International Market Access </w:t>
            </w:r>
          </w:p>
          <w:p w14:paraId="77D76FF9" w14:textId="77777777" w:rsidR="00E958F7" w:rsidRPr="009255BB" w:rsidRDefault="00E958F7" w:rsidP="00091F80">
            <w:pPr>
              <w:numPr>
                <w:ilvl w:val="0"/>
                <w:numId w:val="11"/>
              </w:numPr>
              <w:spacing w:before="60" w:after="60" w:line="240" w:lineRule="auto"/>
              <w:ind w:left="714" w:hanging="357"/>
              <w:rPr>
                <w:rFonts w:ascii="Calibri" w:hAnsi="Calibri" w:cs="Segoe UI"/>
                <w:color w:val="000000" w:themeColor="text1"/>
              </w:rPr>
            </w:pPr>
            <w:r w:rsidRPr="00E958F7">
              <w:rPr>
                <w:rStyle w:val="ExampletextCharChar"/>
                <w:i w:val="0"/>
                <w:color w:val="auto"/>
              </w:rPr>
              <w:t>Program 4.1 – Biosecurity and Export Services</w:t>
            </w:r>
            <w:r w:rsidRPr="009255BB">
              <w:rPr>
                <w:rStyle w:val="eop"/>
                <w:rFonts w:cs="Segoe UI"/>
                <w:color w:val="000000" w:themeColor="text1"/>
              </w:rPr>
              <w:t xml:space="preserve"> </w:t>
            </w:r>
          </w:p>
        </w:tc>
      </w:tr>
      <w:tr w:rsidR="00E958F7" w:rsidRPr="009255BB" w14:paraId="3FE05606" w14:textId="77777777" w:rsidTr="00E958F7">
        <w:tblPrEx>
          <w:tblCellMar>
            <w:top w:w="0" w:type="dxa"/>
            <w:bottom w:w="0" w:type="dxa"/>
          </w:tblCellMar>
        </w:tblPrEx>
        <w:trPr>
          <w:trHeight w:val="300"/>
        </w:trPr>
        <w:tc>
          <w:tcPr>
            <w:tcW w:w="5000" w:type="pct"/>
            <w:tcBorders>
              <w:top w:val="outset" w:sz="6" w:space="0" w:color="auto"/>
              <w:left w:val="single" w:sz="6" w:space="0" w:color="auto"/>
              <w:bottom w:val="single" w:sz="6" w:space="0" w:color="auto"/>
              <w:right w:val="single" w:sz="6" w:space="0" w:color="auto"/>
            </w:tcBorders>
            <w:shd w:val="clear" w:color="auto" w:fill="FFFFFF" w:themeFill="background1"/>
            <w:hideMark/>
          </w:tcPr>
          <w:p w14:paraId="681636C8"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color w:val="000000" w:themeColor="text1"/>
                <w:sz w:val="20"/>
                <w:szCs w:val="20"/>
              </w:rPr>
              <w:t>Contribution to Outcome 1 made by linked programs</w:t>
            </w:r>
            <w:r w:rsidRPr="009255BB">
              <w:rPr>
                <w:rStyle w:val="eop"/>
                <w:rFonts w:ascii="Book Antiqua" w:hAnsi="Book Antiqua" w:cs="Segoe UI"/>
                <w:color w:val="000000" w:themeColor="text1"/>
                <w:sz w:val="20"/>
                <w:szCs w:val="20"/>
              </w:rPr>
              <w:t xml:space="preserve"> </w:t>
            </w:r>
          </w:p>
          <w:p w14:paraId="37407BF6" w14:textId="16E0BE94" w:rsidR="00E958F7" w:rsidRPr="009255BB" w:rsidRDefault="00E958F7" w:rsidP="000814C9">
            <w:pPr>
              <w:pStyle w:val="paragraph"/>
              <w:jc w:val="both"/>
              <w:textAlignment w:val="baseline"/>
              <w:rPr>
                <w:rFonts w:ascii="Segoe UI" w:hAnsi="Segoe UI" w:cs="Segoe UI"/>
                <w:color w:val="000000" w:themeColor="text1"/>
                <w:sz w:val="20"/>
                <w:szCs w:val="20"/>
              </w:rPr>
            </w:pPr>
            <w:r w:rsidRPr="0079094D">
              <w:rPr>
                <w:rFonts w:ascii="Book Antiqua" w:hAnsi="Book Antiqua" w:cs="Segoe UI"/>
                <w:color w:val="000000"/>
                <w:sz w:val="20"/>
                <w:szCs w:val="20"/>
                <w:lang w:eastAsia="en-AU"/>
              </w:rPr>
              <w:t xml:space="preserve">The Department of Agriculture, Water and the Environment and </w:t>
            </w:r>
            <w:r w:rsidR="00E53ECC">
              <w:rPr>
                <w:rFonts w:ascii="Book Antiqua" w:hAnsi="Book Antiqua" w:cs="Segoe UI"/>
                <w:color w:val="000000"/>
                <w:sz w:val="20"/>
                <w:szCs w:val="20"/>
                <w:lang w:eastAsia="en-AU"/>
              </w:rPr>
              <w:t xml:space="preserve">Austrade </w:t>
            </w:r>
            <w:r w:rsidRPr="0079094D">
              <w:rPr>
                <w:rFonts w:ascii="Book Antiqua" w:hAnsi="Book Antiqua" w:cs="Segoe UI"/>
                <w:color w:val="000000"/>
                <w:sz w:val="20"/>
                <w:szCs w:val="20"/>
                <w:lang w:eastAsia="en-AU"/>
              </w:rPr>
              <w:t xml:space="preserve">work together to achieve the best outcomes for Australian agricultural, fisheries and forestry exports, including through improved market access and addressing non-tariff measures. The agencies also work cooperatively to deliver whole-of-government programs such as the </w:t>
            </w:r>
            <w:r w:rsidRPr="0079094D">
              <w:rPr>
                <w:rFonts w:ascii="Book Antiqua" w:eastAsia="Book Antiqua" w:hAnsi="Book Antiqua" w:cs="Book Antiqua"/>
                <w:sz w:val="20"/>
                <w:szCs w:val="20"/>
                <w:lang w:eastAsia="en-AU"/>
              </w:rPr>
              <w:t>Agri-Business Expansion Initiative and the Non-Tariff Barrier Action Plan</w:t>
            </w:r>
            <w:r w:rsidRPr="0079094D">
              <w:rPr>
                <w:rFonts w:ascii="Book Antiqua" w:hAnsi="Book Antiqua" w:cs="Segoe UI"/>
                <w:color w:val="000000"/>
                <w:sz w:val="20"/>
                <w:szCs w:val="20"/>
                <w:lang w:eastAsia="en-AU"/>
              </w:rPr>
              <w:t xml:space="preserve">. The department also undertakes activities to preserve Australia’s favourable animal and plant health status, helping maintain overseas markets. </w:t>
            </w:r>
            <w:r w:rsidRPr="0079094D">
              <w:rPr>
                <w:rFonts w:ascii="Book Antiqua" w:hAnsi="Book Antiqua" w:cs="Segoe UI"/>
                <w:sz w:val="20"/>
                <w:szCs w:val="20"/>
                <w:lang w:eastAsia="en-AU"/>
              </w:rPr>
              <w:t xml:space="preserve"> </w:t>
            </w:r>
          </w:p>
        </w:tc>
      </w:tr>
      <w:tr w:rsidR="00E958F7" w:rsidRPr="009255BB" w14:paraId="679B951A" w14:textId="77777777" w:rsidTr="00E958F7">
        <w:tblPrEx>
          <w:tblCellMar>
            <w:top w:w="0" w:type="dxa"/>
            <w:bottom w:w="0" w:type="dxa"/>
          </w:tblCellMar>
        </w:tblPrEx>
        <w:trPr>
          <w:trHeight w:val="300"/>
        </w:trPr>
        <w:tc>
          <w:tcPr>
            <w:tcW w:w="5000" w:type="pct"/>
            <w:tcBorders>
              <w:top w:val="outset" w:sz="6" w:space="0" w:color="auto"/>
              <w:left w:val="single" w:sz="6" w:space="0" w:color="auto"/>
              <w:bottom w:val="dotted" w:sz="6" w:space="0" w:color="auto"/>
              <w:right w:val="single" w:sz="6" w:space="0" w:color="auto"/>
            </w:tcBorders>
            <w:shd w:val="clear" w:color="auto" w:fill="FFFFFF" w:themeFill="background1"/>
            <w:hideMark/>
          </w:tcPr>
          <w:p w14:paraId="1C50ECDD" w14:textId="77777777" w:rsidR="00E958F7" w:rsidRPr="009255BB" w:rsidRDefault="00E958F7" w:rsidP="000814C9">
            <w:pPr>
              <w:pStyle w:val="paragraph"/>
              <w:textAlignment w:val="baseline"/>
              <w:rPr>
                <w:rFonts w:ascii="Segoe UI" w:hAnsi="Segoe UI" w:cs="Segoe UI"/>
                <w:i/>
                <w:iCs/>
                <w:color w:val="000000" w:themeColor="text1"/>
                <w:sz w:val="20"/>
                <w:szCs w:val="20"/>
              </w:rPr>
            </w:pPr>
            <w:r w:rsidRPr="009255BB">
              <w:rPr>
                <w:rStyle w:val="normaltextrun"/>
                <w:rFonts w:ascii="Book Antiqua" w:hAnsi="Book Antiqua" w:cs="Segoe UI"/>
                <w:b/>
                <w:bCs/>
                <w:color w:val="000000" w:themeColor="text1"/>
                <w:sz w:val="20"/>
                <w:szCs w:val="20"/>
              </w:rPr>
              <w:t>Tourism Australia</w:t>
            </w:r>
            <w:r w:rsidRPr="009255BB">
              <w:rPr>
                <w:rStyle w:val="eop"/>
                <w:rFonts w:ascii="Book Antiqua" w:hAnsi="Book Antiqua" w:cs="Segoe UI"/>
                <w:i/>
                <w:iCs/>
                <w:color w:val="000000" w:themeColor="text1"/>
                <w:sz w:val="20"/>
                <w:szCs w:val="20"/>
              </w:rPr>
              <w:t xml:space="preserve"> </w:t>
            </w:r>
          </w:p>
        </w:tc>
      </w:tr>
      <w:tr w:rsidR="00E958F7" w:rsidRPr="009255BB" w14:paraId="21E70C48" w14:textId="77777777" w:rsidTr="00E958F7">
        <w:tblPrEx>
          <w:tblCellMar>
            <w:top w:w="0" w:type="dxa"/>
            <w:bottom w:w="0" w:type="dxa"/>
          </w:tblCellMar>
        </w:tblPrEx>
        <w:trPr>
          <w:trHeight w:val="300"/>
        </w:trPr>
        <w:tc>
          <w:tcPr>
            <w:tcW w:w="5000" w:type="pct"/>
            <w:tcBorders>
              <w:top w:val="dotted" w:sz="6" w:space="0" w:color="auto"/>
              <w:left w:val="single" w:sz="6" w:space="0" w:color="auto"/>
              <w:bottom w:val="single" w:sz="6" w:space="0" w:color="auto"/>
              <w:right w:val="single" w:sz="6" w:space="0" w:color="auto"/>
            </w:tcBorders>
            <w:shd w:val="clear" w:color="auto" w:fill="FFFFFF" w:themeFill="background1"/>
            <w:hideMark/>
          </w:tcPr>
          <w:p w14:paraId="56B3F6D6"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Programs</w:t>
            </w:r>
            <w:r w:rsidRPr="009255BB">
              <w:rPr>
                <w:rStyle w:val="eop"/>
                <w:rFonts w:ascii="Book Antiqua" w:hAnsi="Book Antiqua" w:cs="Segoe UI"/>
                <w:color w:val="000000" w:themeColor="text1"/>
                <w:sz w:val="20"/>
                <w:szCs w:val="20"/>
              </w:rPr>
              <w:t xml:space="preserve"> </w:t>
            </w:r>
          </w:p>
          <w:p w14:paraId="51115B43" w14:textId="325D7A6E" w:rsidR="00E958F7" w:rsidRPr="00E958F7" w:rsidRDefault="00E958F7" w:rsidP="0030516F">
            <w:pPr>
              <w:numPr>
                <w:ilvl w:val="0"/>
                <w:numId w:val="11"/>
              </w:numPr>
              <w:spacing w:before="60" w:after="60" w:line="240" w:lineRule="auto"/>
              <w:ind w:left="714" w:hanging="357"/>
              <w:jc w:val="left"/>
              <w:rPr>
                <w:rFonts w:cs="Segoe UI"/>
                <w:i/>
                <w:iCs/>
                <w:color w:val="000000" w:themeColor="text1"/>
              </w:rPr>
            </w:pPr>
            <w:r w:rsidRPr="00E958F7">
              <w:rPr>
                <w:rStyle w:val="ExampletextCharChar"/>
                <w:i w:val="0"/>
                <w:color w:val="auto"/>
              </w:rPr>
              <w:t>Program 1.1</w:t>
            </w:r>
            <w:r>
              <w:rPr>
                <w:rStyle w:val="ExampletextCharChar"/>
                <w:i w:val="0"/>
                <w:color w:val="auto"/>
              </w:rPr>
              <w:t xml:space="preserve"> –</w:t>
            </w:r>
            <w:r w:rsidR="00551232">
              <w:rPr>
                <w:rStyle w:val="ExampletextCharChar"/>
                <w:i w:val="0"/>
                <w:color w:val="auto"/>
              </w:rPr>
              <w:t xml:space="preserve"> </w:t>
            </w:r>
            <w:r w:rsidRPr="00E958F7">
              <w:rPr>
                <w:rStyle w:val="ExampletextCharChar"/>
                <w:i w:val="0"/>
                <w:color w:val="auto"/>
              </w:rPr>
              <w:t>Grow demand and foster a competitive and sustainable Australian tourism industry through partnership marketing to targeted global consumers in key markets</w:t>
            </w:r>
            <w:r w:rsidRPr="00E958F7">
              <w:rPr>
                <w:rStyle w:val="eop"/>
                <w:rFonts w:cs="Segoe UI"/>
                <w:i/>
                <w:iCs/>
                <w:color w:val="000000" w:themeColor="text1"/>
              </w:rPr>
              <w:t xml:space="preserve"> </w:t>
            </w:r>
          </w:p>
        </w:tc>
      </w:tr>
      <w:tr w:rsidR="00E958F7" w:rsidRPr="009255BB" w14:paraId="5572DF6D" w14:textId="77777777" w:rsidTr="00E958F7">
        <w:tblPrEx>
          <w:tblCellMar>
            <w:top w:w="0" w:type="dxa"/>
            <w:bottom w:w="0" w:type="dxa"/>
          </w:tblCellMar>
        </w:tblPrEx>
        <w:trPr>
          <w:trHeight w:val="300"/>
        </w:trPr>
        <w:tc>
          <w:tcPr>
            <w:tcW w:w="5000" w:type="pct"/>
            <w:tcBorders>
              <w:top w:val="outset" w:sz="6" w:space="0" w:color="auto"/>
              <w:left w:val="single" w:sz="6" w:space="0" w:color="auto"/>
              <w:bottom w:val="single" w:sz="6" w:space="0" w:color="auto"/>
              <w:right w:val="single" w:sz="6" w:space="0" w:color="auto"/>
            </w:tcBorders>
            <w:shd w:val="clear" w:color="auto" w:fill="FFFFFF" w:themeFill="background1"/>
            <w:hideMark/>
          </w:tcPr>
          <w:p w14:paraId="37CEF20F"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Contribution to Outcome 1 made by linked program</w:t>
            </w:r>
            <w:r w:rsidRPr="009255BB">
              <w:rPr>
                <w:rStyle w:val="eop"/>
                <w:rFonts w:ascii="Book Antiqua" w:hAnsi="Book Antiqua" w:cs="Segoe UI"/>
                <w:color w:val="000000" w:themeColor="text1"/>
                <w:sz w:val="20"/>
                <w:szCs w:val="20"/>
              </w:rPr>
              <w:t xml:space="preserve"> </w:t>
            </w:r>
          </w:p>
          <w:p w14:paraId="1929035E"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color w:val="000000" w:themeColor="text1"/>
                <w:sz w:val="20"/>
                <w:szCs w:val="20"/>
              </w:rPr>
              <w:t>Austrade provides research and policy support to Tourism Australia’s activities of promoting the export of Australian tourism services. These exports contribute to Australia’s prosperity.</w:t>
            </w:r>
            <w:r w:rsidRPr="009255BB">
              <w:rPr>
                <w:rStyle w:val="eop"/>
                <w:rFonts w:ascii="Book Antiqua" w:hAnsi="Book Antiqua" w:cs="Segoe UI"/>
                <w:color w:val="000000" w:themeColor="text1"/>
                <w:sz w:val="20"/>
                <w:szCs w:val="20"/>
              </w:rPr>
              <w:t xml:space="preserve"> </w:t>
            </w:r>
          </w:p>
        </w:tc>
      </w:tr>
    </w:tbl>
    <w:p w14:paraId="56650E07" w14:textId="77777777" w:rsidR="00E958F7" w:rsidRDefault="00E958F7" w:rsidP="00E958F7">
      <w:pPr>
        <w:pStyle w:val="Source"/>
      </w:pPr>
      <w:r w:rsidRPr="00AA499C">
        <w:t xml:space="preserve">Table </w:t>
      </w:r>
      <w:proofErr w:type="gramStart"/>
      <w:r w:rsidRPr="00AA499C">
        <w:t xml:space="preserve">continued </w:t>
      </w:r>
      <w:r>
        <w:t>on</w:t>
      </w:r>
      <w:proofErr w:type="gramEnd"/>
      <w:r>
        <w:t xml:space="preserve"> the </w:t>
      </w:r>
      <w:r w:rsidRPr="00AA499C">
        <w:t>next page</w:t>
      </w:r>
      <w:r>
        <w:t>.</w:t>
      </w:r>
    </w:p>
    <w:p w14:paraId="5354FBC5" w14:textId="24EC995B" w:rsidR="00E958F7" w:rsidRDefault="00E958F7"/>
    <w:p w14:paraId="23C3EDEF" w14:textId="77777777" w:rsidR="00E958F7" w:rsidRDefault="00E958F7">
      <w:pPr>
        <w:spacing w:after="0" w:line="240" w:lineRule="auto"/>
        <w:jc w:val="left"/>
      </w:pPr>
      <w:r>
        <w:br w:type="page"/>
      </w:r>
    </w:p>
    <w:p w14:paraId="39156353" w14:textId="77777777" w:rsidR="00E958F7" w:rsidRDefault="00E958F7" w:rsidP="00E958F7">
      <w:pPr>
        <w:pStyle w:val="Heading4"/>
      </w:pPr>
      <w:r w:rsidRPr="005E6F2B">
        <w:t xml:space="preserve">Linked programs </w:t>
      </w:r>
      <w:r>
        <w:t>(continued)</w:t>
      </w:r>
    </w:p>
    <w:tbl>
      <w:tblPr>
        <w:tblW w:w="5000" w:type="pct"/>
        <w:tblBorders>
          <w:top w:val="outset" w:sz="6" w:space="0" w:color="auto"/>
          <w:left w:val="outset" w:sz="6" w:space="0" w:color="auto"/>
          <w:bottom w:val="outset" w:sz="6" w:space="0" w:color="auto"/>
          <w:right w:val="outset" w:sz="6" w:space="0" w:color="auto"/>
        </w:tblBorders>
        <w:shd w:val="clear" w:color="auto" w:fill="FFFFFF" w:themeFill="background1"/>
        <w:tblCellMar>
          <w:left w:w="57" w:type="dxa"/>
          <w:right w:w="57" w:type="dxa"/>
        </w:tblCellMar>
        <w:tblLook w:val="04A0" w:firstRow="1" w:lastRow="0" w:firstColumn="1" w:lastColumn="0" w:noHBand="0" w:noVBand="1"/>
      </w:tblPr>
      <w:tblGrid>
        <w:gridCol w:w="7694"/>
      </w:tblGrid>
      <w:tr w:rsidR="00E958F7" w:rsidRPr="009255BB" w14:paraId="0FD66C40" w14:textId="77777777" w:rsidTr="00E958F7">
        <w:trPr>
          <w:trHeight w:val="300"/>
        </w:trPr>
        <w:tc>
          <w:tcPr>
            <w:tcW w:w="5000" w:type="pct"/>
            <w:tcBorders>
              <w:top w:val="outset" w:sz="6" w:space="0" w:color="auto"/>
              <w:left w:val="single" w:sz="6" w:space="0" w:color="auto"/>
              <w:bottom w:val="dotted" w:sz="6" w:space="0" w:color="auto"/>
              <w:right w:val="single" w:sz="6" w:space="0" w:color="auto"/>
            </w:tcBorders>
            <w:shd w:val="clear" w:color="auto" w:fill="FFFFFF" w:themeFill="background1"/>
            <w:hideMark/>
          </w:tcPr>
          <w:p w14:paraId="32F22DDE" w14:textId="77777777" w:rsidR="00E958F7" w:rsidRPr="009255BB" w:rsidRDefault="00E958F7" w:rsidP="000814C9">
            <w:pPr>
              <w:pStyle w:val="paragraph"/>
              <w:textAlignment w:val="baseline"/>
              <w:rPr>
                <w:rFonts w:ascii="Segoe UI" w:hAnsi="Segoe UI" w:cs="Segoe UI"/>
                <w:i/>
                <w:iCs/>
                <w:color w:val="000000" w:themeColor="text1"/>
                <w:sz w:val="20"/>
                <w:szCs w:val="20"/>
              </w:rPr>
            </w:pPr>
            <w:r w:rsidRPr="009255BB">
              <w:rPr>
                <w:rStyle w:val="normaltextrun"/>
                <w:rFonts w:ascii="Book Antiqua" w:hAnsi="Book Antiqua" w:cs="Segoe UI"/>
                <w:b/>
                <w:bCs/>
                <w:color w:val="000000" w:themeColor="text1"/>
                <w:sz w:val="20"/>
                <w:szCs w:val="20"/>
              </w:rPr>
              <w:t>Department of Defence</w:t>
            </w:r>
            <w:r w:rsidRPr="009255BB">
              <w:rPr>
                <w:rStyle w:val="eop"/>
                <w:rFonts w:ascii="Book Antiqua" w:hAnsi="Book Antiqua" w:cs="Segoe UI"/>
                <w:i/>
                <w:iCs/>
                <w:color w:val="000000" w:themeColor="text1"/>
                <w:sz w:val="20"/>
                <w:szCs w:val="20"/>
              </w:rPr>
              <w:t xml:space="preserve"> </w:t>
            </w:r>
          </w:p>
        </w:tc>
      </w:tr>
      <w:tr w:rsidR="00E958F7" w:rsidRPr="009255BB" w14:paraId="1C073AA1" w14:textId="77777777" w:rsidTr="00E958F7">
        <w:trPr>
          <w:trHeight w:val="300"/>
        </w:trPr>
        <w:tc>
          <w:tcPr>
            <w:tcW w:w="5000" w:type="pct"/>
            <w:tcBorders>
              <w:top w:val="dotted" w:sz="6" w:space="0" w:color="auto"/>
              <w:left w:val="single" w:sz="6" w:space="0" w:color="auto"/>
              <w:bottom w:val="single" w:sz="6" w:space="0" w:color="auto"/>
              <w:right w:val="single" w:sz="6" w:space="0" w:color="auto"/>
            </w:tcBorders>
            <w:shd w:val="clear" w:color="auto" w:fill="FFFFFF" w:themeFill="background1"/>
            <w:hideMark/>
          </w:tcPr>
          <w:p w14:paraId="30039B7B"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Programs</w:t>
            </w:r>
            <w:r w:rsidRPr="009255BB">
              <w:rPr>
                <w:rStyle w:val="eop"/>
                <w:rFonts w:ascii="Book Antiqua" w:hAnsi="Book Antiqua" w:cs="Segoe UI"/>
                <w:color w:val="000000" w:themeColor="text1"/>
                <w:sz w:val="20"/>
                <w:szCs w:val="20"/>
              </w:rPr>
              <w:t xml:space="preserve"> </w:t>
            </w:r>
          </w:p>
          <w:p w14:paraId="15709B6C" w14:textId="77777777" w:rsidR="00E958F7" w:rsidRPr="00E958F7" w:rsidRDefault="00E958F7" w:rsidP="00091F80">
            <w:pPr>
              <w:numPr>
                <w:ilvl w:val="0"/>
                <w:numId w:val="11"/>
              </w:numPr>
              <w:spacing w:before="60" w:after="60" w:line="240" w:lineRule="auto"/>
              <w:ind w:left="714" w:hanging="357"/>
              <w:rPr>
                <w:rFonts w:cs="Segoe UI"/>
                <w:i/>
                <w:iCs/>
                <w:color w:val="000000" w:themeColor="text1"/>
              </w:rPr>
            </w:pPr>
            <w:r w:rsidRPr="00E958F7">
              <w:rPr>
                <w:rStyle w:val="ExampletextCharChar"/>
                <w:i w:val="0"/>
                <w:iCs/>
                <w:color w:val="auto"/>
              </w:rPr>
              <w:t>Program 2.1 – Strategic Policy and Intelligence</w:t>
            </w:r>
            <w:r w:rsidRPr="00E958F7">
              <w:rPr>
                <w:rStyle w:val="eop"/>
                <w:rFonts w:cs="Segoe UI"/>
                <w:i/>
                <w:iCs/>
                <w:color w:val="000000" w:themeColor="text1"/>
              </w:rPr>
              <w:t xml:space="preserve"> </w:t>
            </w:r>
          </w:p>
        </w:tc>
      </w:tr>
      <w:tr w:rsidR="00E958F7" w:rsidRPr="009255BB" w14:paraId="0AA2AC4A" w14:textId="77777777" w:rsidTr="00E53ECC">
        <w:trPr>
          <w:trHeight w:val="1558"/>
        </w:trPr>
        <w:tc>
          <w:tcPr>
            <w:tcW w:w="5000" w:type="pct"/>
            <w:tcBorders>
              <w:top w:val="outset" w:sz="6" w:space="0" w:color="auto"/>
              <w:left w:val="single" w:sz="6" w:space="0" w:color="auto"/>
              <w:bottom w:val="single" w:sz="4" w:space="0" w:color="auto"/>
              <w:right w:val="single" w:sz="6" w:space="0" w:color="auto"/>
            </w:tcBorders>
            <w:shd w:val="clear" w:color="auto" w:fill="FFFFFF" w:themeFill="background1"/>
            <w:hideMark/>
          </w:tcPr>
          <w:p w14:paraId="5C60F566"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Contribution to Outcome 1 made by linked program</w:t>
            </w:r>
            <w:r w:rsidRPr="009255BB">
              <w:rPr>
                <w:rStyle w:val="eop"/>
                <w:rFonts w:ascii="Book Antiqua" w:hAnsi="Book Antiqua" w:cs="Segoe UI"/>
                <w:color w:val="000000" w:themeColor="text1"/>
                <w:sz w:val="20"/>
                <w:szCs w:val="20"/>
              </w:rPr>
              <w:t xml:space="preserve"> </w:t>
            </w:r>
          </w:p>
          <w:p w14:paraId="0EB32BC4" w14:textId="7029A0EC" w:rsidR="00E958F7" w:rsidRPr="009255BB" w:rsidRDefault="00E958F7" w:rsidP="000814C9">
            <w:pPr>
              <w:pStyle w:val="paragraph"/>
              <w:jc w:val="both"/>
              <w:textAlignment w:val="baseline"/>
              <w:rPr>
                <w:rFonts w:ascii="Segoe UI" w:hAnsi="Segoe UI" w:cs="Segoe UI"/>
                <w:color w:val="000000" w:themeColor="text1"/>
                <w:sz w:val="20"/>
                <w:szCs w:val="20"/>
              </w:rPr>
            </w:pPr>
            <w:r w:rsidRPr="0079094D">
              <w:rPr>
                <w:rFonts w:ascii="Book Antiqua" w:hAnsi="Book Antiqua" w:cs="Segoe UI"/>
                <w:color w:val="000000"/>
                <w:sz w:val="20"/>
                <w:szCs w:val="20"/>
                <w:lang w:eastAsia="en-AU"/>
              </w:rPr>
              <w:t>Implementation of the Government’s Defence Export Strategy is led by the Department of Defence through the Australian Defence Export Office. This is providing a whole</w:t>
            </w:r>
            <w:r>
              <w:rPr>
                <w:rFonts w:ascii="Book Antiqua" w:hAnsi="Book Antiqua" w:cs="Segoe UI"/>
                <w:color w:val="000000"/>
                <w:sz w:val="20"/>
                <w:szCs w:val="20"/>
                <w:lang w:eastAsia="en-AU"/>
              </w:rPr>
              <w:t>-</w:t>
            </w:r>
            <w:r w:rsidRPr="0079094D">
              <w:rPr>
                <w:rFonts w:ascii="Book Antiqua" w:hAnsi="Book Antiqua" w:cs="Segoe UI"/>
                <w:color w:val="000000"/>
                <w:sz w:val="20"/>
                <w:szCs w:val="20"/>
                <w:lang w:eastAsia="en-AU"/>
              </w:rPr>
              <w:t>of</w:t>
            </w:r>
            <w:r>
              <w:rPr>
                <w:rFonts w:ascii="Book Antiqua" w:hAnsi="Book Antiqua" w:cs="Segoe UI"/>
                <w:color w:val="000000"/>
                <w:sz w:val="20"/>
                <w:szCs w:val="20"/>
                <w:lang w:eastAsia="en-AU"/>
              </w:rPr>
              <w:t>-</w:t>
            </w:r>
            <w:r w:rsidRPr="0079094D">
              <w:rPr>
                <w:rFonts w:ascii="Book Antiqua" w:hAnsi="Book Antiqua" w:cs="Segoe UI"/>
                <w:color w:val="000000"/>
                <w:sz w:val="20"/>
                <w:szCs w:val="20"/>
                <w:lang w:eastAsia="en-AU"/>
              </w:rPr>
              <w:t>government coordinated approach to supporting Australian defence industry, and cooperation with Austrade is focuse</w:t>
            </w:r>
            <w:r w:rsidR="00E53ECC">
              <w:rPr>
                <w:rFonts w:ascii="Book Antiqua" w:hAnsi="Book Antiqua" w:cs="Segoe UI"/>
                <w:color w:val="000000"/>
                <w:sz w:val="20"/>
                <w:szCs w:val="20"/>
                <w:lang w:eastAsia="en-AU"/>
              </w:rPr>
              <w:t xml:space="preserve">d on </w:t>
            </w:r>
            <w:r w:rsidRPr="0079094D">
              <w:rPr>
                <w:rFonts w:ascii="Book Antiqua" w:hAnsi="Book Antiqua" w:cs="Segoe UI"/>
                <w:color w:val="000000"/>
                <w:sz w:val="20"/>
                <w:szCs w:val="20"/>
                <w:lang w:eastAsia="en-AU"/>
              </w:rPr>
              <w:t xml:space="preserve">growing exports to underpin sustainability and growth aligned with national priorities. </w:t>
            </w:r>
            <w:r w:rsidRPr="0079094D">
              <w:rPr>
                <w:rFonts w:ascii="Book Antiqua" w:hAnsi="Book Antiqua" w:cs="Segoe UI"/>
                <w:sz w:val="20"/>
                <w:szCs w:val="20"/>
                <w:lang w:eastAsia="en-AU"/>
              </w:rPr>
              <w:t xml:space="preserve"> </w:t>
            </w:r>
          </w:p>
        </w:tc>
      </w:tr>
      <w:tr w:rsidR="00E958F7" w:rsidRPr="009255BB" w14:paraId="6E941D20" w14:textId="77777777" w:rsidTr="00E53ECC">
        <w:trPr>
          <w:trHeight w:val="300"/>
        </w:trPr>
        <w:tc>
          <w:tcPr>
            <w:tcW w:w="5000" w:type="pct"/>
            <w:tcBorders>
              <w:top w:val="single" w:sz="4" w:space="0" w:color="auto"/>
              <w:left w:val="single" w:sz="6" w:space="0" w:color="auto"/>
              <w:bottom w:val="dotted" w:sz="6" w:space="0" w:color="auto"/>
              <w:right w:val="single" w:sz="6" w:space="0" w:color="auto"/>
            </w:tcBorders>
            <w:shd w:val="clear" w:color="auto" w:fill="FFFFFF" w:themeFill="background1"/>
            <w:hideMark/>
          </w:tcPr>
          <w:p w14:paraId="5AA7B33D" w14:textId="77777777" w:rsidR="00E958F7" w:rsidRPr="009255BB" w:rsidRDefault="00E958F7" w:rsidP="000814C9">
            <w:pPr>
              <w:pStyle w:val="paragraph"/>
              <w:textAlignment w:val="baseline"/>
              <w:rPr>
                <w:rFonts w:ascii="Segoe UI" w:hAnsi="Segoe UI" w:cs="Segoe UI"/>
                <w:i/>
                <w:iCs/>
                <w:color w:val="000000" w:themeColor="text1"/>
                <w:sz w:val="20"/>
                <w:szCs w:val="20"/>
              </w:rPr>
            </w:pPr>
            <w:r w:rsidRPr="009255BB">
              <w:rPr>
                <w:rStyle w:val="normaltextrun"/>
                <w:rFonts w:ascii="Book Antiqua" w:hAnsi="Book Antiqua" w:cs="Segoe UI"/>
                <w:b/>
                <w:bCs/>
                <w:color w:val="000000" w:themeColor="text1"/>
                <w:sz w:val="20"/>
                <w:szCs w:val="20"/>
              </w:rPr>
              <w:t>Department of Infrastructure, Transport, Regional Development and Communications</w:t>
            </w:r>
            <w:r w:rsidRPr="009255BB">
              <w:rPr>
                <w:rStyle w:val="eop"/>
                <w:rFonts w:ascii="Book Antiqua" w:hAnsi="Book Antiqua" w:cs="Segoe UI"/>
                <w:i/>
                <w:iCs/>
                <w:color w:val="000000" w:themeColor="text1"/>
                <w:sz w:val="20"/>
                <w:szCs w:val="20"/>
              </w:rPr>
              <w:t xml:space="preserve"> </w:t>
            </w:r>
          </w:p>
        </w:tc>
      </w:tr>
      <w:tr w:rsidR="00E958F7" w:rsidRPr="009255BB" w14:paraId="67F635E4" w14:textId="77777777" w:rsidTr="00E53ECC">
        <w:trPr>
          <w:trHeight w:val="300"/>
        </w:trPr>
        <w:tc>
          <w:tcPr>
            <w:tcW w:w="5000" w:type="pct"/>
            <w:tcBorders>
              <w:top w:val="dotted" w:sz="6" w:space="0" w:color="auto"/>
              <w:left w:val="single" w:sz="6" w:space="0" w:color="auto"/>
              <w:bottom w:val="single" w:sz="4" w:space="0" w:color="auto"/>
              <w:right w:val="single" w:sz="6" w:space="0" w:color="auto"/>
            </w:tcBorders>
            <w:shd w:val="clear" w:color="auto" w:fill="FFFFFF" w:themeFill="background1"/>
            <w:hideMark/>
          </w:tcPr>
          <w:p w14:paraId="432E3907"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Programs</w:t>
            </w:r>
            <w:r w:rsidRPr="009255BB">
              <w:rPr>
                <w:rStyle w:val="eop"/>
                <w:rFonts w:ascii="Book Antiqua" w:hAnsi="Book Antiqua" w:cs="Segoe UI"/>
                <w:color w:val="000000" w:themeColor="text1"/>
                <w:sz w:val="20"/>
                <w:szCs w:val="20"/>
              </w:rPr>
              <w:t xml:space="preserve"> </w:t>
            </w:r>
          </w:p>
          <w:p w14:paraId="5F4EAAAA" w14:textId="77777777" w:rsidR="00E958F7" w:rsidRPr="00E958F7" w:rsidRDefault="00E958F7" w:rsidP="00091F80">
            <w:pPr>
              <w:numPr>
                <w:ilvl w:val="0"/>
                <w:numId w:val="11"/>
              </w:numPr>
              <w:spacing w:before="60" w:after="60" w:line="240" w:lineRule="auto"/>
              <w:ind w:left="714" w:hanging="357"/>
              <w:rPr>
                <w:rFonts w:cs="Segoe UI"/>
                <w:i/>
                <w:color w:val="000000" w:themeColor="text1"/>
              </w:rPr>
            </w:pPr>
            <w:r w:rsidRPr="00E958F7">
              <w:rPr>
                <w:rStyle w:val="ExampletextCharChar"/>
                <w:i w:val="0"/>
                <w:color w:val="auto"/>
              </w:rPr>
              <w:t>Program 3.1 – Regional Development</w:t>
            </w:r>
            <w:r w:rsidRPr="00E958F7">
              <w:rPr>
                <w:rStyle w:val="eop"/>
                <w:rFonts w:cs="Segoe UI"/>
                <w:i/>
                <w:color w:val="000000" w:themeColor="text1"/>
              </w:rPr>
              <w:t xml:space="preserve"> </w:t>
            </w:r>
          </w:p>
        </w:tc>
      </w:tr>
      <w:tr w:rsidR="00E958F7" w:rsidRPr="009255BB" w14:paraId="257136FC" w14:textId="77777777" w:rsidTr="00E53ECC">
        <w:trPr>
          <w:trHeight w:val="300"/>
        </w:trPr>
        <w:tc>
          <w:tcPr>
            <w:tcW w:w="5000" w:type="pct"/>
            <w:tcBorders>
              <w:top w:val="single" w:sz="4" w:space="0" w:color="auto"/>
              <w:left w:val="single" w:sz="6" w:space="0" w:color="auto"/>
              <w:bottom w:val="single" w:sz="6" w:space="0" w:color="auto"/>
              <w:right w:val="single" w:sz="6" w:space="0" w:color="auto"/>
            </w:tcBorders>
            <w:shd w:val="clear" w:color="auto" w:fill="FFFFFF" w:themeFill="background1"/>
            <w:hideMark/>
          </w:tcPr>
          <w:p w14:paraId="6B7E4883" w14:textId="77777777" w:rsidR="00E958F7" w:rsidRPr="009255BB" w:rsidRDefault="00E958F7" w:rsidP="000814C9">
            <w:pPr>
              <w:pStyle w:val="paragraph"/>
              <w:jc w:val="both"/>
              <w:textAlignment w:val="baseline"/>
              <w:rPr>
                <w:rFonts w:ascii="Segoe UI" w:hAnsi="Segoe UI" w:cs="Segoe UI"/>
                <w:color w:val="000000" w:themeColor="text1"/>
                <w:sz w:val="20"/>
                <w:szCs w:val="20"/>
              </w:rPr>
            </w:pPr>
            <w:r w:rsidRPr="009255BB">
              <w:rPr>
                <w:rStyle w:val="normaltextrun"/>
                <w:rFonts w:ascii="Book Antiqua" w:hAnsi="Book Antiqua" w:cs="Segoe UI"/>
                <w:b/>
                <w:bCs/>
                <w:color w:val="000000" w:themeColor="text1"/>
                <w:sz w:val="20"/>
                <w:szCs w:val="20"/>
              </w:rPr>
              <w:t>Contribution to Outcome 1 made by linked program</w:t>
            </w:r>
            <w:r w:rsidRPr="009255BB">
              <w:rPr>
                <w:rStyle w:val="eop"/>
                <w:rFonts w:ascii="Book Antiqua" w:hAnsi="Book Antiqua" w:cs="Segoe UI"/>
                <w:color w:val="000000" w:themeColor="text1"/>
                <w:sz w:val="20"/>
                <w:szCs w:val="20"/>
              </w:rPr>
              <w:t xml:space="preserve"> </w:t>
            </w:r>
          </w:p>
          <w:p w14:paraId="66B0BDE0" w14:textId="74CC887D" w:rsidR="00E958F7" w:rsidRPr="009255BB" w:rsidRDefault="00E958F7" w:rsidP="000814C9">
            <w:pPr>
              <w:pStyle w:val="paragraph"/>
              <w:jc w:val="both"/>
              <w:textAlignment w:val="baseline"/>
              <w:rPr>
                <w:rFonts w:ascii="Segoe UI" w:hAnsi="Segoe UI" w:cs="Segoe UI"/>
                <w:color w:val="000000" w:themeColor="text1"/>
                <w:sz w:val="20"/>
                <w:szCs w:val="20"/>
              </w:rPr>
            </w:pPr>
            <w:r w:rsidRPr="0079094D">
              <w:rPr>
                <w:rFonts w:ascii="Book Antiqua" w:hAnsi="Book Antiqua" w:cs="Segoe UI"/>
                <w:sz w:val="20"/>
                <w:szCs w:val="20"/>
                <w:lang w:eastAsia="en-AU"/>
              </w:rPr>
              <w:t>The Department of Infrastructure, Transport, Regional Development and Communications supports tourism demand-driving infrastructure in Australia’s regions through the Government’s Building Better Regions Fund, and cooperation on the International Freight Assistance Mechanism</w:t>
            </w:r>
            <w:r w:rsidR="00E53ECC">
              <w:rPr>
                <w:rFonts w:ascii="Book Antiqua" w:hAnsi="Book Antiqua" w:cs="Segoe UI"/>
                <w:sz w:val="20"/>
                <w:szCs w:val="20"/>
                <w:lang w:eastAsia="en-AU"/>
              </w:rPr>
              <w:t xml:space="preserve"> (IFAM) program wind-down</w:t>
            </w:r>
            <w:r w:rsidRPr="0079094D">
              <w:rPr>
                <w:rFonts w:ascii="Book Antiqua" w:hAnsi="Book Antiqua" w:cs="Segoe UI"/>
                <w:sz w:val="20"/>
                <w:szCs w:val="20"/>
                <w:lang w:eastAsia="en-AU"/>
              </w:rPr>
              <w:t>.</w:t>
            </w:r>
            <w:r w:rsidR="00E53ECC">
              <w:rPr>
                <w:rFonts w:ascii="Book Antiqua" w:hAnsi="Book Antiqua" w:cs="Segoe UI"/>
                <w:sz w:val="20"/>
                <w:szCs w:val="20"/>
                <w:lang w:eastAsia="en-AU"/>
              </w:rPr>
              <w:t xml:space="preserve"> </w:t>
            </w:r>
            <w:r w:rsidR="00E53ECC" w:rsidRPr="00E53ECC">
              <w:rPr>
                <w:rFonts w:ascii="Book Antiqua" w:hAnsi="Book Antiqua" w:cs="Segoe UI"/>
                <w:sz w:val="20"/>
                <w:szCs w:val="20"/>
                <w:lang w:eastAsia="en-AU"/>
              </w:rPr>
              <w:t>We will jointly finalise the operation of IFAM in July 2022, which has been keeping global air links open whil</w:t>
            </w:r>
            <w:r w:rsidR="00E53ECC">
              <w:rPr>
                <w:rFonts w:ascii="Book Antiqua" w:hAnsi="Book Antiqua" w:cs="Segoe UI"/>
                <w:sz w:val="20"/>
                <w:szCs w:val="20"/>
                <w:lang w:eastAsia="en-AU"/>
              </w:rPr>
              <w:t>e</w:t>
            </w:r>
            <w:r w:rsidR="00E53ECC" w:rsidRPr="00E53ECC">
              <w:rPr>
                <w:rFonts w:ascii="Book Antiqua" w:hAnsi="Book Antiqua" w:cs="Segoe UI"/>
                <w:sz w:val="20"/>
                <w:szCs w:val="20"/>
                <w:lang w:eastAsia="en-AU"/>
              </w:rPr>
              <w:t xml:space="preserve"> global trade disruptions persist</w:t>
            </w:r>
            <w:r w:rsidR="00E53ECC">
              <w:rPr>
                <w:rFonts w:ascii="Book Antiqua" w:hAnsi="Book Antiqua" w:cs="Segoe UI"/>
                <w:sz w:val="20"/>
                <w:szCs w:val="20"/>
                <w:lang w:eastAsia="en-AU"/>
              </w:rPr>
              <w:t xml:space="preserve">. </w:t>
            </w:r>
          </w:p>
        </w:tc>
      </w:tr>
    </w:tbl>
    <w:p w14:paraId="4107E1E2" w14:textId="0D777846" w:rsidR="0026795D" w:rsidRPr="006906E4" w:rsidRDefault="0026795D" w:rsidP="0026795D">
      <w:pPr>
        <w:rPr>
          <w:color w:val="FF0000"/>
        </w:rPr>
      </w:pPr>
    </w:p>
    <w:p w14:paraId="66717CA8" w14:textId="1B5B68F3" w:rsidR="0026795D" w:rsidRPr="00E26389" w:rsidRDefault="0026795D" w:rsidP="0026795D">
      <w:pPr>
        <w:pStyle w:val="Heading5"/>
        <w:rPr>
          <w:b/>
          <w:bCs w:val="0"/>
        </w:rPr>
      </w:pPr>
      <w:r w:rsidRPr="00E26389">
        <w:rPr>
          <w:b/>
          <w:bCs w:val="0"/>
        </w:rPr>
        <w:br w:type="page"/>
        <w:t xml:space="preserve">Budgeted expenses for Outcome </w:t>
      </w:r>
      <w:r w:rsidR="004439CF" w:rsidRPr="00E26389">
        <w:rPr>
          <w:b/>
          <w:bCs w:val="0"/>
        </w:rPr>
        <w:t>1</w:t>
      </w:r>
    </w:p>
    <w:p w14:paraId="2AC825E7" w14:textId="77777777" w:rsidR="0026795D" w:rsidRDefault="0026795D" w:rsidP="0026795D">
      <w:r w:rsidRPr="00950281">
        <w:t>This table shows how much the entity intends to spend (on an accrual basis) on achieving the outcome, broken down by program, as well as by Administered an</w:t>
      </w:r>
      <w:r>
        <w:t>d Departmental funding sources.</w:t>
      </w:r>
    </w:p>
    <w:p w14:paraId="5B62E5D5" w14:textId="05EDE55B" w:rsidR="0026795D" w:rsidRPr="004439CF" w:rsidRDefault="0026795D" w:rsidP="004439CF">
      <w:pPr>
        <w:pStyle w:val="TableHeading"/>
        <w:rPr>
          <w:lang w:val="en-AU"/>
        </w:rPr>
      </w:pPr>
      <w:r w:rsidRPr="004439CF">
        <w:t>Table 2.</w:t>
      </w:r>
      <w:r w:rsidR="004439CF">
        <w:rPr>
          <w:lang w:val="en-AU"/>
        </w:rPr>
        <w:t>1</w:t>
      </w:r>
      <w:r w:rsidRPr="004439CF">
        <w:t xml:space="preserve">.1: Budgeted expenses for Outcome </w:t>
      </w:r>
      <w:r w:rsidR="004439CF">
        <w:rPr>
          <w:lang w:val="en-AU"/>
        </w:rPr>
        <w:t>1</w:t>
      </w:r>
    </w:p>
    <w:p w14:paraId="7C181130" w14:textId="6424F719" w:rsidR="0026795D" w:rsidRDefault="00D72CD6" w:rsidP="0026795D">
      <w:pPr>
        <w:pStyle w:val="TableHeading"/>
      </w:pPr>
      <w:r w:rsidRPr="00D72CD6">
        <w:rPr>
          <w:noProof/>
        </w:rPr>
        <w:drawing>
          <wp:inline distT="0" distB="0" distL="0" distR="0" wp14:anchorId="18065870" wp14:editId="11B4E795">
            <wp:extent cx="4743450" cy="3752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43450" cy="3752850"/>
                    </a:xfrm>
                    <a:prstGeom prst="rect">
                      <a:avLst/>
                    </a:prstGeom>
                    <a:noFill/>
                    <a:ln>
                      <a:noFill/>
                    </a:ln>
                  </pic:spPr>
                </pic:pic>
              </a:graphicData>
            </a:graphic>
          </wp:inline>
        </w:drawing>
      </w:r>
    </w:p>
    <w:p w14:paraId="3AFD0594" w14:textId="77777777" w:rsidR="004439CF" w:rsidRDefault="004439CF" w:rsidP="004439CF">
      <w:pPr>
        <w:pStyle w:val="Source"/>
      </w:pPr>
      <w:r w:rsidRPr="00AA499C">
        <w:t xml:space="preserve">Table </w:t>
      </w:r>
      <w:proofErr w:type="gramStart"/>
      <w:r w:rsidRPr="00AA499C">
        <w:t xml:space="preserve">continued </w:t>
      </w:r>
      <w:r>
        <w:t>on</w:t>
      </w:r>
      <w:proofErr w:type="gramEnd"/>
      <w:r>
        <w:t xml:space="preserve"> the </w:t>
      </w:r>
      <w:r w:rsidRPr="00AA499C">
        <w:t>next page</w:t>
      </w:r>
      <w:r>
        <w:t>.</w:t>
      </w:r>
    </w:p>
    <w:p w14:paraId="42586575" w14:textId="77777777" w:rsidR="0026795D" w:rsidRDefault="0026795D" w:rsidP="00C354BB">
      <w:pPr>
        <w:pStyle w:val="Source"/>
      </w:pPr>
    </w:p>
    <w:p w14:paraId="54391FA1" w14:textId="1CC7B19C" w:rsidR="004439CF" w:rsidRPr="00AD42E2" w:rsidRDefault="0026795D" w:rsidP="004439CF">
      <w:pPr>
        <w:pStyle w:val="TableHeading"/>
      </w:pPr>
      <w:r>
        <w:br w:type="page"/>
      </w:r>
    </w:p>
    <w:p w14:paraId="65B08B09" w14:textId="7B8E91E9" w:rsidR="0026795D" w:rsidRDefault="0026795D" w:rsidP="0026795D">
      <w:pPr>
        <w:pStyle w:val="TableHeadingcontinued"/>
      </w:pPr>
      <w:r w:rsidRPr="00AD42E2">
        <w:t>Table 2.</w:t>
      </w:r>
      <w:r w:rsidR="004439CF">
        <w:t>1</w:t>
      </w:r>
      <w:r w:rsidRPr="00AD42E2">
        <w:t xml:space="preserve">.1: Budgeted expenses for Outcome </w:t>
      </w:r>
      <w:r w:rsidR="004439CF">
        <w:t>1</w:t>
      </w:r>
      <w:r>
        <w:t xml:space="preserve"> (continued)</w:t>
      </w:r>
    </w:p>
    <w:p w14:paraId="40D2BD93" w14:textId="53C5D3EF" w:rsidR="0026795D" w:rsidRDefault="00D72CD6" w:rsidP="0026795D">
      <w:pPr>
        <w:pStyle w:val="TableGraphic"/>
      </w:pPr>
      <w:r w:rsidRPr="00D72CD6">
        <w:rPr>
          <w:noProof/>
        </w:rPr>
        <w:drawing>
          <wp:inline distT="0" distB="0" distL="0" distR="0" wp14:anchorId="42F3A1FE" wp14:editId="04B94CD9">
            <wp:extent cx="4743450" cy="2933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43450" cy="2933700"/>
                    </a:xfrm>
                    <a:prstGeom prst="rect">
                      <a:avLst/>
                    </a:prstGeom>
                    <a:noFill/>
                    <a:ln>
                      <a:noFill/>
                    </a:ln>
                  </pic:spPr>
                </pic:pic>
              </a:graphicData>
            </a:graphic>
          </wp:inline>
        </w:drawing>
      </w:r>
    </w:p>
    <w:p w14:paraId="6FBF7A0E" w14:textId="77777777" w:rsidR="0026795D" w:rsidRPr="00950281" w:rsidRDefault="0026795D" w:rsidP="00091F80">
      <w:pPr>
        <w:pStyle w:val="ChartandTableFootnoteAlpha"/>
        <w:numPr>
          <w:ilvl w:val="0"/>
          <w:numId w:val="30"/>
        </w:numPr>
      </w:pPr>
      <w:r w:rsidRPr="00950281">
        <w:t>E</w:t>
      </w:r>
      <w:r>
        <w:t>stimated e</w:t>
      </w:r>
      <w:r w:rsidRPr="00950281">
        <w:t xml:space="preserve">xpenses </w:t>
      </w:r>
      <w:r>
        <w:t>incurred in relation to receipts retained under section 74 of the PGPA Act</w:t>
      </w:r>
      <w:r w:rsidRPr="006922DC">
        <w:t>.</w:t>
      </w:r>
    </w:p>
    <w:p w14:paraId="1FBA5A22" w14:textId="31840557" w:rsidR="0026795D" w:rsidRPr="00F03F10" w:rsidRDefault="0026795D" w:rsidP="0026795D">
      <w:pPr>
        <w:pStyle w:val="ChartandTableFootnoteAlpha"/>
      </w:pPr>
      <w:r w:rsidRPr="00F03F10">
        <w:t>Expenses not requiring appropriation in the Budget year are made up of depreciation expenses, amortisation expenses, make good expenses</w:t>
      </w:r>
      <w:r w:rsidR="00492A40">
        <w:t xml:space="preserve"> and</w:t>
      </w:r>
      <w:r w:rsidRPr="00F03F10">
        <w:t xml:space="preserve"> audit fees.</w:t>
      </w:r>
    </w:p>
    <w:p w14:paraId="39A772C1" w14:textId="77777777" w:rsidR="0026795D" w:rsidRPr="00446612" w:rsidRDefault="0026795D" w:rsidP="0026795D">
      <w:pPr>
        <w:pStyle w:val="ChartandTableFootnote"/>
      </w:pPr>
      <w:r w:rsidRPr="00446612">
        <w:t>Note: Departmental appropriation splits and totals are indicative estimates and may change in the course of the budget year as government priorities change.</w:t>
      </w:r>
    </w:p>
    <w:p w14:paraId="67EA3964" w14:textId="77777777" w:rsidR="0026795D" w:rsidRPr="00446612" w:rsidRDefault="0026795D" w:rsidP="0026795D">
      <w:pPr>
        <w:pStyle w:val="NoSpacing"/>
      </w:pPr>
    </w:p>
    <w:p w14:paraId="4B7AA165" w14:textId="252B1123" w:rsidR="0026795D" w:rsidRDefault="0026795D" w:rsidP="0026795D">
      <w:pPr>
        <w:spacing w:after="0"/>
        <w:rPr>
          <w:b/>
          <w:color w:val="FF0000"/>
        </w:rPr>
      </w:pPr>
      <w:r>
        <w:rPr>
          <w:highlight w:val="yellow"/>
        </w:rPr>
        <w:br w:type="page"/>
      </w:r>
      <w:r w:rsidRPr="00B166C6">
        <w:rPr>
          <w:rStyle w:val="TableHeadingChar"/>
        </w:rPr>
        <w:t>Table 2.</w:t>
      </w:r>
      <w:r w:rsidR="004439CF">
        <w:rPr>
          <w:rStyle w:val="TableHeadingChar"/>
          <w:lang w:val="en-AU"/>
        </w:rPr>
        <w:t>1</w:t>
      </w:r>
      <w:r w:rsidRPr="00B166C6">
        <w:rPr>
          <w:rStyle w:val="TableHeadingChar"/>
        </w:rPr>
        <w:t xml:space="preserve">.2: Program components of Outcome </w:t>
      </w:r>
      <w:r w:rsidR="004439CF">
        <w:rPr>
          <w:rStyle w:val="TableHeadingChar"/>
          <w:lang w:val="en-AU"/>
        </w:rPr>
        <w:t>1</w:t>
      </w:r>
      <w:r>
        <w:t xml:space="preserve"> </w:t>
      </w:r>
    </w:p>
    <w:p w14:paraId="3A8E781C" w14:textId="0F208A8F" w:rsidR="0026795D" w:rsidRPr="00C978F2" w:rsidRDefault="00D72CD6" w:rsidP="0026795D">
      <w:pPr>
        <w:pStyle w:val="TableGraphic"/>
      </w:pPr>
      <w:r w:rsidRPr="00D72CD6">
        <w:rPr>
          <w:noProof/>
        </w:rPr>
        <w:drawing>
          <wp:inline distT="0" distB="0" distL="0" distR="0" wp14:anchorId="23262F63" wp14:editId="7430CC75">
            <wp:extent cx="4724400" cy="68199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24400" cy="6819900"/>
                    </a:xfrm>
                    <a:prstGeom prst="rect">
                      <a:avLst/>
                    </a:prstGeom>
                    <a:noFill/>
                    <a:ln>
                      <a:noFill/>
                    </a:ln>
                  </pic:spPr>
                </pic:pic>
              </a:graphicData>
            </a:graphic>
          </wp:inline>
        </w:drawing>
      </w:r>
    </w:p>
    <w:p w14:paraId="24A984BC" w14:textId="03240DD7" w:rsidR="0026795D" w:rsidRPr="004439CF" w:rsidRDefault="0026795D" w:rsidP="0026795D">
      <w:pPr>
        <w:pStyle w:val="TableHeading"/>
        <w:rPr>
          <w:lang w:val="en-AU"/>
        </w:rPr>
      </w:pPr>
      <w:r>
        <w:rPr>
          <w:highlight w:val="yellow"/>
          <w:lang w:val="en-US"/>
        </w:rPr>
        <w:br w:type="page"/>
      </w:r>
      <w:r w:rsidRPr="00F71634">
        <w:t>Table 2.</w:t>
      </w:r>
      <w:r w:rsidR="004439CF">
        <w:rPr>
          <w:lang w:val="en-AU"/>
        </w:rPr>
        <w:t>1</w:t>
      </w:r>
      <w:r w:rsidRPr="00F71634">
        <w:t xml:space="preserve">.3: Performance </w:t>
      </w:r>
      <w:r>
        <w:rPr>
          <w:lang w:val="en-AU"/>
        </w:rPr>
        <w:t>measure</w:t>
      </w:r>
      <w:r w:rsidRPr="00F71634">
        <w:t xml:space="preserve"> for Outcome </w:t>
      </w:r>
      <w:r w:rsidR="004439CF">
        <w:rPr>
          <w:lang w:val="en-AU"/>
        </w:rPr>
        <w:t>1</w:t>
      </w:r>
    </w:p>
    <w:p w14:paraId="1655E768" w14:textId="490404E5" w:rsidR="0026795D" w:rsidRPr="00F71634" w:rsidRDefault="0026795D" w:rsidP="0026795D">
      <w:r w:rsidRPr="001B2F81">
        <w:t>Table 2.</w:t>
      </w:r>
      <w:r w:rsidR="004439CF">
        <w:t>1</w:t>
      </w:r>
      <w:r w:rsidRPr="001B2F81">
        <w:t>.</w:t>
      </w:r>
      <w:r>
        <w:t>3</w:t>
      </w:r>
      <w:r w:rsidRPr="001B2F81">
        <w:t xml:space="preserve"> details the performance measures for each program associated with Outcome</w:t>
      </w:r>
      <w:r w:rsidR="003D7DC8">
        <w:t> </w:t>
      </w:r>
      <w:r w:rsidR="004439CF">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092D46">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6795D" w:rsidRPr="001B2F81" w14:paraId="775B60AF" w14:textId="77777777" w:rsidTr="00637CC0">
        <w:trPr>
          <w:trHeight w:val="569"/>
          <w:tblHeader/>
        </w:trPr>
        <w:tc>
          <w:tcPr>
            <w:tcW w:w="7796" w:type="dxa"/>
            <w:gridSpan w:val="3"/>
            <w:shd w:val="clear" w:color="auto" w:fill="F2F2F2"/>
          </w:tcPr>
          <w:p w14:paraId="789B42B7" w14:textId="55B54713" w:rsidR="0026795D" w:rsidRPr="00C41058" w:rsidRDefault="0026795D" w:rsidP="00637CC0">
            <w:pPr>
              <w:pStyle w:val="TableColumnHeadingLeft"/>
            </w:pPr>
            <w:r w:rsidRPr="00C41058">
              <w:rPr>
                <w:rStyle w:val="TableHeadingChar"/>
                <w:b/>
              </w:rPr>
              <w:t xml:space="preserve">Outcome </w:t>
            </w:r>
            <w:r w:rsidR="004439CF">
              <w:rPr>
                <w:rStyle w:val="TableHeadingChar"/>
                <w:b/>
                <w:lang w:val="en-AU"/>
              </w:rPr>
              <w:t>1</w:t>
            </w:r>
            <w:r w:rsidRPr="00C41058">
              <w:t xml:space="preserve"> </w:t>
            </w:r>
            <w:r w:rsidRPr="004439CF">
              <w:rPr>
                <w:bCs/>
              </w:rPr>
              <w:t>–</w:t>
            </w:r>
            <w:r w:rsidR="004439CF" w:rsidRPr="004439CF">
              <w:rPr>
                <w:bCs/>
              </w:rPr>
              <w:t xml:space="preserve"> Contribute to Australia’s economic prosperity by promoting Australia’s export and other international economic interests through the provision of information, advice and services to business, associations, institutions and government</w:t>
            </w:r>
            <w:r w:rsidRPr="00C41058">
              <w:rPr>
                <w:b w:val="0"/>
              </w:rPr>
              <w:t xml:space="preserve"> </w:t>
            </w:r>
          </w:p>
        </w:tc>
      </w:tr>
      <w:tr w:rsidR="0026795D" w:rsidRPr="001B2F81" w14:paraId="4CF2F924" w14:textId="77777777" w:rsidTr="00D82A6C">
        <w:trPr>
          <w:trHeight w:val="323"/>
          <w:tblHeader/>
        </w:trPr>
        <w:tc>
          <w:tcPr>
            <w:tcW w:w="7796" w:type="dxa"/>
            <w:gridSpan w:val="3"/>
            <w:shd w:val="clear" w:color="auto" w:fill="F2F2F2"/>
          </w:tcPr>
          <w:p w14:paraId="4FDC2E8F" w14:textId="76664FD5" w:rsidR="0026795D" w:rsidRPr="008A7CC8" w:rsidRDefault="0026795D" w:rsidP="00D82A6C">
            <w:pPr>
              <w:pStyle w:val="TableTextLeft"/>
              <w:ind w:right="-107"/>
              <w:rPr>
                <w:szCs w:val="18"/>
              </w:rPr>
            </w:pPr>
            <w:r w:rsidRPr="008A7CC8">
              <w:rPr>
                <w:b/>
                <w:szCs w:val="18"/>
              </w:rPr>
              <w:t xml:space="preserve">Program </w:t>
            </w:r>
            <w:r w:rsidR="004439CF" w:rsidRPr="008A7CC8">
              <w:rPr>
                <w:b/>
                <w:szCs w:val="18"/>
              </w:rPr>
              <w:t xml:space="preserve">1.1 – Promotion of Australia’s export and other international economic interests </w:t>
            </w:r>
          </w:p>
        </w:tc>
      </w:tr>
      <w:tr w:rsidR="00C44B2A" w14:paraId="5C87B6E4" w14:textId="77777777" w:rsidTr="00551232">
        <w:trPr>
          <w:trHeight w:val="3532"/>
        </w:trPr>
        <w:tc>
          <w:tcPr>
            <w:tcW w:w="1560" w:type="dxa"/>
            <w:tcBorders>
              <w:top w:val="single" w:sz="4" w:space="0" w:color="auto"/>
              <w:left w:val="single" w:sz="4" w:space="0" w:color="auto"/>
              <w:bottom w:val="double" w:sz="4" w:space="0" w:color="auto"/>
              <w:right w:val="single" w:sz="4" w:space="0" w:color="auto"/>
            </w:tcBorders>
          </w:tcPr>
          <w:p w14:paraId="0E54C1F8" w14:textId="47A3EEA2" w:rsidR="00C44B2A" w:rsidRPr="00C44B2A" w:rsidRDefault="00D82A6C" w:rsidP="00C44B2A">
            <w:pPr>
              <w:tabs>
                <w:tab w:val="left" w:pos="709"/>
              </w:tabs>
              <w:spacing w:before="60"/>
              <w:rPr>
                <w:rFonts w:ascii="Arial" w:hAnsi="Arial" w:cs="Arial"/>
                <w:b/>
                <w:sz w:val="16"/>
                <w:szCs w:val="16"/>
              </w:rPr>
            </w:pPr>
            <w:r>
              <w:rPr>
                <w:rFonts w:ascii="Arial" w:hAnsi="Arial" w:cs="Arial"/>
                <w:b/>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tcPr>
          <w:p w14:paraId="64A1F074" w14:textId="77777777" w:rsidR="00C44B2A" w:rsidRPr="00C44B2A" w:rsidRDefault="00C44B2A" w:rsidP="00D82A6C">
            <w:pPr>
              <w:tabs>
                <w:tab w:val="left" w:pos="709"/>
              </w:tabs>
              <w:spacing w:before="60" w:after="60"/>
              <w:rPr>
                <w:rFonts w:ascii="Arial" w:hAnsi="Arial" w:cs="Arial"/>
                <w:bCs/>
                <w:sz w:val="16"/>
                <w:szCs w:val="16"/>
              </w:rPr>
            </w:pPr>
            <w:r w:rsidRPr="00C44B2A">
              <w:rPr>
                <w:rFonts w:ascii="Arial" w:hAnsi="Arial" w:cs="Arial"/>
                <w:bCs/>
                <w:sz w:val="16"/>
                <w:szCs w:val="16"/>
              </w:rPr>
              <w:t>Austrade:</w:t>
            </w:r>
          </w:p>
          <w:p w14:paraId="3392762C" w14:textId="77777777" w:rsidR="00C44B2A" w:rsidRPr="00C44B2A" w:rsidRDefault="00C44B2A" w:rsidP="00091F80">
            <w:pPr>
              <w:pStyle w:val="TableParagraph"/>
              <w:numPr>
                <w:ilvl w:val="0"/>
                <w:numId w:val="36"/>
              </w:numPr>
              <w:tabs>
                <w:tab w:val="left" w:pos="423"/>
              </w:tabs>
              <w:spacing w:before="63" w:line="235" w:lineRule="auto"/>
              <w:ind w:left="419" w:right="34" w:hanging="215"/>
              <w:rPr>
                <w:rFonts w:eastAsia="Times New Roman"/>
                <w:bCs/>
                <w:sz w:val="16"/>
                <w:szCs w:val="16"/>
                <w:lang w:val="en-AU" w:eastAsia="en-AU"/>
              </w:rPr>
            </w:pPr>
            <w:r w:rsidRPr="00C44B2A">
              <w:rPr>
                <w:rFonts w:eastAsia="Times New Roman"/>
                <w:bCs/>
                <w:sz w:val="16"/>
                <w:szCs w:val="16"/>
                <w:lang w:val="en-AU" w:eastAsia="en-AU"/>
              </w:rPr>
              <w:t>connects export-ready Australian businesses to overseas opportunities and works with them to achieve commercial outcomes</w:t>
            </w:r>
          </w:p>
          <w:p w14:paraId="14CC3C45" w14:textId="77777777" w:rsidR="00C44B2A" w:rsidRPr="00C44B2A" w:rsidRDefault="00C44B2A" w:rsidP="00091F80">
            <w:pPr>
              <w:pStyle w:val="TableParagraph"/>
              <w:numPr>
                <w:ilvl w:val="0"/>
                <w:numId w:val="36"/>
              </w:numPr>
              <w:tabs>
                <w:tab w:val="left" w:pos="423"/>
              </w:tabs>
              <w:spacing w:before="63"/>
              <w:ind w:right="34"/>
              <w:rPr>
                <w:rFonts w:eastAsia="Times New Roman"/>
                <w:bCs/>
                <w:sz w:val="16"/>
                <w:szCs w:val="16"/>
                <w:lang w:val="en-AU" w:eastAsia="en-AU"/>
              </w:rPr>
            </w:pPr>
            <w:r w:rsidRPr="00C44B2A">
              <w:rPr>
                <w:rFonts w:eastAsia="Times New Roman"/>
                <w:bCs/>
                <w:sz w:val="16"/>
                <w:szCs w:val="16"/>
                <w:lang w:val="en-AU" w:eastAsia="en-AU"/>
              </w:rPr>
              <w:t>wins productive foreign investment</w:t>
            </w:r>
          </w:p>
          <w:p w14:paraId="7A30E513" w14:textId="77777777" w:rsidR="00C44B2A" w:rsidRPr="00C44B2A" w:rsidRDefault="00C44B2A" w:rsidP="00091F80">
            <w:pPr>
              <w:pStyle w:val="TableParagraph"/>
              <w:numPr>
                <w:ilvl w:val="0"/>
                <w:numId w:val="36"/>
              </w:numPr>
              <w:tabs>
                <w:tab w:val="left" w:pos="423"/>
              </w:tabs>
              <w:spacing w:before="63"/>
              <w:ind w:right="34"/>
              <w:rPr>
                <w:rFonts w:eastAsia="Times New Roman"/>
                <w:bCs/>
                <w:sz w:val="16"/>
                <w:szCs w:val="16"/>
                <w:lang w:val="en-AU" w:eastAsia="en-AU"/>
              </w:rPr>
            </w:pPr>
            <w:r w:rsidRPr="00C44B2A">
              <w:rPr>
                <w:rFonts w:eastAsia="Times New Roman"/>
                <w:bCs/>
                <w:sz w:val="16"/>
                <w:szCs w:val="16"/>
                <w:lang w:val="en-AU" w:eastAsia="en-AU"/>
              </w:rPr>
              <w:t>promotes Australian capability internationally</w:t>
            </w:r>
          </w:p>
          <w:p w14:paraId="40D10B14" w14:textId="77777777" w:rsidR="00C44B2A" w:rsidRPr="00C44B2A" w:rsidRDefault="00C44B2A" w:rsidP="00091F80">
            <w:pPr>
              <w:pStyle w:val="TableParagraph"/>
              <w:numPr>
                <w:ilvl w:val="0"/>
                <w:numId w:val="36"/>
              </w:numPr>
              <w:tabs>
                <w:tab w:val="left" w:pos="423"/>
              </w:tabs>
              <w:spacing w:before="63" w:line="232" w:lineRule="auto"/>
              <w:ind w:right="34"/>
              <w:rPr>
                <w:rFonts w:eastAsia="Times New Roman"/>
                <w:bCs/>
                <w:sz w:val="16"/>
                <w:szCs w:val="16"/>
                <w:lang w:val="en-AU" w:eastAsia="en-AU"/>
              </w:rPr>
            </w:pPr>
            <w:r w:rsidRPr="00C44B2A">
              <w:rPr>
                <w:rFonts w:eastAsia="Times New Roman"/>
                <w:bCs/>
                <w:sz w:val="16"/>
                <w:szCs w:val="16"/>
                <w:lang w:val="en-AU" w:eastAsia="en-AU"/>
              </w:rPr>
              <w:t>works with priority industry sectors to drive sustained long-term growth of Australian exports</w:t>
            </w:r>
          </w:p>
          <w:p w14:paraId="2EA2DDCD" w14:textId="77777777" w:rsidR="00C44B2A" w:rsidRPr="00C44B2A" w:rsidRDefault="00C44B2A" w:rsidP="00091F80">
            <w:pPr>
              <w:pStyle w:val="TableParagraph"/>
              <w:numPr>
                <w:ilvl w:val="0"/>
                <w:numId w:val="36"/>
              </w:numPr>
              <w:tabs>
                <w:tab w:val="left" w:pos="423"/>
              </w:tabs>
              <w:spacing w:before="63"/>
              <w:ind w:right="34"/>
              <w:rPr>
                <w:rFonts w:eastAsia="Times New Roman"/>
                <w:bCs/>
                <w:sz w:val="16"/>
                <w:szCs w:val="16"/>
                <w:lang w:val="en-AU" w:eastAsia="en-AU"/>
              </w:rPr>
            </w:pPr>
            <w:r w:rsidRPr="00C44B2A">
              <w:rPr>
                <w:rFonts w:eastAsia="Times New Roman"/>
                <w:bCs/>
                <w:sz w:val="16"/>
                <w:szCs w:val="16"/>
                <w:lang w:val="en-AU" w:eastAsia="en-AU"/>
              </w:rPr>
              <w:t>reduces the time, cost and risk for its clients</w:t>
            </w:r>
          </w:p>
          <w:p w14:paraId="3923CBA7" w14:textId="77777777" w:rsidR="00C44B2A" w:rsidRPr="00C44B2A" w:rsidRDefault="00C44B2A" w:rsidP="00091F80">
            <w:pPr>
              <w:pStyle w:val="TableParagraph"/>
              <w:numPr>
                <w:ilvl w:val="0"/>
                <w:numId w:val="36"/>
              </w:numPr>
              <w:tabs>
                <w:tab w:val="left" w:pos="423"/>
              </w:tabs>
              <w:spacing w:before="63" w:line="235" w:lineRule="auto"/>
              <w:ind w:right="34"/>
              <w:rPr>
                <w:rFonts w:eastAsia="Times New Roman"/>
                <w:bCs/>
                <w:sz w:val="16"/>
                <w:szCs w:val="16"/>
                <w:lang w:val="en-AU" w:eastAsia="en-AU"/>
              </w:rPr>
            </w:pPr>
            <w:r w:rsidRPr="00C44B2A">
              <w:rPr>
                <w:rFonts w:eastAsia="Times New Roman"/>
                <w:bCs/>
                <w:sz w:val="16"/>
                <w:szCs w:val="16"/>
                <w:lang w:val="en-AU" w:eastAsia="en-AU"/>
              </w:rPr>
              <w:t>provides authoritative commercial insights and information to help clients make informed business decisions</w:t>
            </w:r>
          </w:p>
          <w:p w14:paraId="2D4898C4" w14:textId="77777777" w:rsidR="00C44B2A" w:rsidRPr="00C44B2A" w:rsidRDefault="00C44B2A" w:rsidP="00091F80">
            <w:pPr>
              <w:pStyle w:val="TableParagraph"/>
              <w:numPr>
                <w:ilvl w:val="0"/>
                <w:numId w:val="36"/>
              </w:numPr>
              <w:tabs>
                <w:tab w:val="left" w:pos="423"/>
              </w:tabs>
              <w:spacing w:before="63" w:line="232" w:lineRule="auto"/>
              <w:ind w:right="34"/>
              <w:rPr>
                <w:rFonts w:eastAsia="Times New Roman"/>
                <w:bCs/>
                <w:sz w:val="16"/>
                <w:szCs w:val="16"/>
                <w:lang w:val="en-AU" w:eastAsia="en-AU"/>
              </w:rPr>
            </w:pPr>
            <w:r w:rsidRPr="00C44B2A">
              <w:rPr>
                <w:rFonts w:eastAsia="Times New Roman"/>
                <w:bCs/>
                <w:sz w:val="16"/>
                <w:szCs w:val="16"/>
                <w:lang w:val="en-AU" w:eastAsia="en-AU"/>
              </w:rPr>
              <w:t>informs and influences policy to support positive trade and investment outcomes, including for tourism and international education</w:t>
            </w:r>
          </w:p>
          <w:p w14:paraId="1F842107" w14:textId="77777777" w:rsidR="00D82A6C" w:rsidRPr="00D82A6C" w:rsidRDefault="00C44B2A" w:rsidP="00091F80">
            <w:pPr>
              <w:pStyle w:val="TableParagraph"/>
              <w:numPr>
                <w:ilvl w:val="0"/>
                <w:numId w:val="36"/>
              </w:numPr>
              <w:tabs>
                <w:tab w:val="left" w:pos="423"/>
              </w:tabs>
              <w:spacing w:before="63"/>
              <w:ind w:left="420" w:right="34"/>
              <w:rPr>
                <w:rFonts w:eastAsia="Times New Roman"/>
                <w:bCs/>
                <w:sz w:val="16"/>
                <w:szCs w:val="16"/>
                <w:lang w:val="en-AU" w:eastAsia="en-AU"/>
              </w:rPr>
            </w:pPr>
            <w:r w:rsidRPr="00C44B2A">
              <w:rPr>
                <w:rFonts w:eastAsia="Times New Roman"/>
                <w:bCs/>
                <w:sz w:val="16"/>
                <w:szCs w:val="16"/>
                <w:lang w:val="en-AU" w:eastAsia="en-AU"/>
              </w:rPr>
              <w:t xml:space="preserve">supports Australia’s regional exporters through the </w:t>
            </w:r>
            <w:proofErr w:type="spellStart"/>
            <w:r w:rsidRPr="00C44B2A">
              <w:rPr>
                <w:rFonts w:eastAsia="Times New Roman"/>
                <w:bCs/>
                <w:sz w:val="16"/>
                <w:szCs w:val="16"/>
                <w:lang w:val="en-AU" w:eastAsia="en-AU"/>
              </w:rPr>
              <w:t>TradeStart</w:t>
            </w:r>
            <w:proofErr w:type="spellEnd"/>
            <w:r w:rsidRPr="00C44B2A">
              <w:rPr>
                <w:rFonts w:eastAsia="Times New Roman"/>
                <w:bCs/>
                <w:sz w:val="16"/>
                <w:szCs w:val="16"/>
                <w:lang w:val="en-AU" w:eastAsia="en-AU"/>
              </w:rPr>
              <w:t xml:space="preserve"> </w:t>
            </w:r>
            <w:r w:rsidRPr="00E26389">
              <w:rPr>
                <w:bCs/>
                <w:sz w:val="16"/>
                <w:szCs w:val="16"/>
              </w:rPr>
              <w:t>network</w:t>
            </w:r>
          </w:p>
          <w:p w14:paraId="48D989C9" w14:textId="6EDDB4A6" w:rsidR="00C44B2A" w:rsidRPr="00E26389" w:rsidRDefault="00D82A6C" w:rsidP="00091F80">
            <w:pPr>
              <w:pStyle w:val="TableParagraph"/>
              <w:numPr>
                <w:ilvl w:val="0"/>
                <w:numId w:val="36"/>
              </w:numPr>
              <w:tabs>
                <w:tab w:val="left" w:pos="423"/>
              </w:tabs>
              <w:spacing w:before="63"/>
              <w:ind w:left="420" w:right="-107"/>
              <w:rPr>
                <w:rFonts w:eastAsia="Times New Roman"/>
                <w:bCs/>
                <w:sz w:val="16"/>
                <w:szCs w:val="16"/>
                <w:lang w:val="en-AU" w:eastAsia="en-AU"/>
              </w:rPr>
            </w:pPr>
            <w:r>
              <w:rPr>
                <w:bCs/>
                <w:sz w:val="16"/>
                <w:szCs w:val="16"/>
              </w:rPr>
              <w:t>supports businesses through the delivery of grant and other support programs</w:t>
            </w:r>
            <w:r w:rsidR="00C44B2A" w:rsidRPr="00E26389">
              <w:rPr>
                <w:bCs/>
                <w:sz w:val="16"/>
                <w:szCs w:val="16"/>
              </w:rPr>
              <w:t>.</w:t>
            </w:r>
          </w:p>
        </w:tc>
      </w:tr>
      <w:tr w:rsidR="00D82A6C" w:rsidRPr="0071257A" w14:paraId="29650F66" w14:textId="77777777" w:rsidTr="00C23155">
        <w:trPr>
          <w:trHeight w:val="258"/>
        </w:trPr>
        <w:tc>
          <w:tcPr>
            <w:tcW w:w="1560" w:type="dxa"/>
            <w:tcBorders>
              <w:top w:val="double" w:sz="4" w:space="0" w:color="auto"/>
              <w:bottom w:val="single" w:sz="4" w:space="0" w:color="auto"/>
              <w:right w:val="single" w:sz="4" w:space="0" w:color="auto"/>
            </w:tcBorders>
          </w:tcPr>
          <w:p w14:paraId="37DC4C95"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Year</w:t>
            </w:r>
          </w:p>
          <w:p w14:paraId="1972B30B" w14:textId="77777777" w:rsidR="00D82A6C" w:rsidRPr="0071257A" w:rsidRDefault="00D82A6C" w:rsidP="00C23155">
            <w:pPr>
              <w:spacing w:before="60" w:after="60" w:line="240" w:lineRule="auto"/>
              <w:rPr>
                <w:rFonts w:ascii="Arial" w:hAnsi="Arial"/>
                <w:b/>
                <w:sz w:val="16"/>
                <w:szCs w:val="16"/>
              </w:rPr>
            </w:pPr>
          </w:p>
        </w:tc>
        <w:tc>
          <w:tcPr>
            <w:tcW w:w="3118" w:type="dxa"/>
            <w:tcBorders>
              <w:top w:val="double" w:sz="4" w:space="0" w:color="auto"/>
              <w:left w:val="single" w:sz="4" w:space="0" w:color="auto"/>
              <w:bottom w:val="single" w:sz="4" w:space="0" w:color="auto"/>
              <w:right w:val="single" w:sz="4" w:space="0" w:color="auto"/>
            </w:tcBorders>
          </w:tcPr>
          <w:p w14:paraId="604B6856" w14:textId="77777777" w:rsidR="00D82A6C" w:rsidRPr="0071257A" w:rsidRDefault="00D82A6C" w:rsidP="00C23155">
            <w:pPr>
              <w:spacing w:before="60" w:after="60" w:line="240" w:lineRule="auto"/>
              <w:rPr>
                <w:rFonts w:ascii="Arial" w:hAnsi="Arial" w:cs="Arial"/>
                <w:b/>
                <w:sz w:val="16"/>
                <w:szCs w:val="16"/>
              </w:rPr>
            </w:pPr>
            <w:r w:rsidRPr="0071257A">
              <w:rPr>
                <w:rFonts w:ascii="Arial" w:hAnsi="Arial" w:cs="Arial"/>
                <w:b/>
                <w:sz w:val="16"/>
                <w:szCs w:val="16"/>
              </w:rPr>
              <w:t>Performance measures</w:t>
            </w:r>
          </w:p>
        </w:tc>
        <w:tc>
          <w:tcPr>
            <w:tcW w:w="3118" w:type="dxa"/>
            <w:tcBorders>
              <w:top w:val="double" w:sz="4" w:space="0" w:color="auto"/>
              <w:left w:val="single" w:sz="4" w:space="0" w:color="auto"/>
              <w:bottom w:val="single" w:sz="4" w:space="0" w:color="auto"/>
            </w:tcBorders>
          </w:tcPr>
          <w:p w14:paraId="47EEA60D" w14:textId="77777777" w:rsidR="00D82A6C" w:rsidRPr="0071257A" w:rsidRDefault="00D82A6C" w:rsidP="00C23155">
            <w:pPr>
              <w:spacing w:before="60" w:after="60" w:line="240" w:lineRule="auto"/>
              <w:rPr>
                <w:rFonts w:ascii="Arial" w:hAnsi="Arial" w:cs="Arial"/>
                <w:b/>
                <w:sz w:val="16"/>
                <w:szCs w:val="16"/>
              </w:rPr>
            </w:pPr>
            <w:r w:rsidRPr="0071257A">
              <w:rPr>
                <w:rFonts w:ascii="Arial" w:hAnsi="Arial" w:cs="Arial"/>
                <w:b/>
                <w:sz w:val="16"/>
                <w:szCs w:val="16"/>
              </w:rPr>
              <w:t>Expected Performance Results</w:t>
            </w:r>
          </w:p>
        </w:tc>
      </w:tr>
      <w:tr w:rsidR="00D82A6C" w:rsidRPr="0071257A" w14:paraId="344A3330" w14:textId="77777777" w:rsidTr="00C23155">
        <w:trPr>
          <w:trHeight w:val="642"/>
        </w:trPr>
        <w:tc>
          <w:tcPr>
            <w:tcW w:w="1560" w:type="dxa"/>
            <w:tcBorders>
              <w:top w:val="single" w:sz="4" w:space="0" w:color="auto"/>
              <w:bottom w:val="dotted" w:sz="4" w:space="0" w:color="auto"/>
              <w:right w:val="single" w:sz="4" w:space="0" w:color="auto"/>
            </w:tcBorders>
          </w:tcPr>
          <w:p w14:paraId="250C8B42" w14:textId="77777777" w:rsidR="00D82A6C" w:rsidRPr="0071257A" w:rsidRDefault="00D82A6C" w:rsidP="00C23155">
            <w:pPr>
              <w:spacing w:before="60" w:after="60" w:line="240" w:lineRule="auto"/>
              <w:rPr>
                <w:rFonts w:ascii="Arial" w:hAnsi="Arial"/>
                <w:sz w:val="16"/>
                <w:szCs w:val="16"/>
              </w:rPr>
            </w:pPr>
            <w:r w:rsidRPr="0071257A">
              <w:rPr>
                <w:rFonts w:ascii="Arial" w:hAnsi="Arial"/>
                <w:sz w:val="16"/>
                <w:szCs w:val="16"/>
              </w:rPr>
              <w:t xml:space="preserve">Current year </w:t>
            </w:r>
          </w:p>
          <w:p w14:paraId="5B2C9233" w14:textId="77777777" w:rsidR="00D82A6C" w:rsidRPr="0071257A" w:rsidRDefault="00D82A6C" w:rsidP="00C23155">
            <w:pPr>
              <w:spacing w:before="60" w:after="60" w:line="240" w:lineRule="auto"/>
              <w:rPr>
                <w:rFonts w:ascii="Arial" w:hAnsi="Arial"/>
                <w:sz w:val="16"/>
                <w:szCs w:val="16"/>
              </w:rPr>
            </w:pPr>
            <w:r w:rsidRPr="0071257A">
              <w:rPr>
                <w:rFonts w:ascii="Arial" w:hAnsi="Arial"/>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14:paraId="57F1945B" w14:textId="77777777" w:rsidR="00D82A6C" w:rsidRPr="0071257A" w:rsidRDefault="00D82A6C" w:rsidP="00551232">
            <w:pPr>
              <w:spacing w:before="60" w:after="60" w:line="240" w:lineRule="auto"/>
              <w:jc w:val="left"/>
              <w:rPr>
                <w:rFonts w:ascii="Arial" w:hAnsi="Arial"/>
                <w:i/>
                <w:color w:val="0070C0"/>
                <w:sz w:val="16"/>
                <w:szCs w:val="16"/>
              </w:rPr>
            </w:pPr>
            <w:r w:rsidRPr="0071257A">
              <w:rPr>
                <w:rFonts w:ascii="Arial" w:hAnsi="Arial"/>
                <w:sz w:val="16"/>
              </w:rPr>
              <w:t>High level of satisfaction for Austrade’s clients with Austrade’s services.</w:t>
            </w:r>
          </w:p>
        </w:tc>
        <w:tc>
          <w:tcPr>
            <w:tcW w:w="3118" w:type="dxa"/>
            <w:tcBorders>
              <w:top w:val="single" w:sz="4" w:space="0" w:color="auto"/>
              <w:left w:val="single" w:sz="4" w:space="0" w:color="auto"/>
              <w:bottom w:val="dotted" w:sz="4" w:space="0" w:color="auto"/>
            </w:tcBorders>
          </w:tcPr>
          <w:p w14:paraId="69D53B20" w14:textId="77777777" w:rsidR="00D82A6C" w:rsidRPr="0071257A" w:rsidRDefault="00D82A6C" w:rsidP="00551232">
            <w:pPr>
              <w:spacing w:before="60" w:after="60" w:line="240" w:lineRule="auto"/>
              <w:jc w:val="left"/>
              <w:rPr>
                <w:rFonts w:ascii="Arial" w:hAnsi="Arial"/>
                <w:i/>
                <w:color w:val="0070C0"/>
                <w:sz w:val="16"/>
                <w:szCs w:val="16"/>
              </w:rPr>
            </w:pPr>
            <w:r>
              <w:rPr>
                <w:rFonts w:ascii="Arial" w:hAnsi="Arial"/>
                <w:sz w:val="16"/>
              </w:rPr>
              <w:t xml:space="preserve">On track. </w:t>
            </w:r>
            <w:r w:rsidRPr="0071257A">
              <w:rPr>
                <w:rFonts w:ascii="Arial" w:hAnsi="Arial"/>
                <w:sz w:val="16"/>
              </w:rPr>
              <w:t>Austrade expects th</w:t>
            </w:r>
            <w:r>
              <w:rPr>
                <w:rFonts w:ascii="Arial" w:hAnsi="Arial"/>
                <w:sz w:val="16"/>
              </w:rPr>
              <w:t>e</w:t>
            </w:r>
            <w:r w:rsidRPr="0071257A">
              <w:rPr>
                <w:rFonts w:ascii="Arial" w:hAnsi="Arial"/>
                <w:sz w:val="16"/>
              </w:rPr>
              <w:t xml:space="preserve"> level of satisfaction to be at least 85 per cent, as measured in an annual survey.</w:t>
            </w:r>
          </w:p>
        </w:tc>
      </w:tr>
      <w:tr w:rsidR="00D82A6C" w:rsidRPr="0071257A" w14:paraId="40A172E3" w14:textId="77777777" w:rsidTr="00C23155">
        <w:trPr>
          <w:trHeight w:val="100"/>
        </w:trPr>
        <w:tc>
          <w:tcPr>
            <w:tcW w:w="1560" w:type="dxa"/>
            <w:tcBorders>
              <w:top w:val="single" w:sz="4" w:space="0" w:color="auto"/>
              <w:bottom w:val="dotted" w:sz="4" w:space="0" w:color="auto"/>
              <w:right w:val="single" w:sz="4" w:space="0" w:color="auto"/>
            </w:tcBorders>
          </w:tcPr>
          <w:p w14:paraId="1D9A75E2"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Year</w:t>
            </w:r>
          </w:p>
          <w:p w14:paraId="49A9107B" w14:textId="77777777" w:rsidR="00D82A6C" w:rsidRPr="0071257A" w:rsidRDefault="00D82A6C" w:rsidP="00C23155">
            <w:pPr>
              <w:spacing w:before="60" w:after="60" w:line="240" w:lineRule="auto"/>
              <w:rPr>
                <w:rFonts w:ascii="Arial" w:hAnsi="Arial"/>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75EA0D0E"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Performance measures</w:t>
            </w:r>
          </w:p>
        </w:tc>
        <w:tc>
          <w:tcPr>
            <w:tcW w:w="3118" w:type="dxa"/>
            <w:tcBorders>
              <w:top w:val="single" w:sz="4" w:space="0" w:color="auto"/>
              <w:left w:val="single" w:sz="4" w:space="0" w:color="auto"/>
              <w:bottom w:val="dotted" w:sz="4" w:space="0" w:color="auto"/>
            </w:tcBorders>
          </w:tcPr>
          <w:p w14:paraId="2F03D224"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Planned Performance Results</w:t>
            </w:r>
          </w:p>
        </w:tc>
      </w:tr>
      <w:tr w:rsidR="00D82A6C" w:rsidRPr="0071257A" w14:paraId="60744D37" w14:textId="77777777" w:rsidTr="00464EAA">
        <w:trPr>
          <w:trHeight w:val="100"/>
        </w:trPr>
        <w:tc>
          <w:tcPr>
            <w:tcW w:w="1560" w:type="dxa"/>
            <w:tcBorders>
              <w:top w:val="single" w:sz="4" w:space="0" w:color="auto"/>
              <w:bottom w:val="dotted" w:sz="4" w:space="0" w:color="auto"/>
              <w:right w:val="single" w:sz="4" w:space="0" w:color="auto"/>
            </w:tcBorders>
          </w:tcPr>
          <w:p w14:paraId="5428B916" w14:textId="77777777" w:rsidR="00551232" w:rsidRDefault="00D82A6C" w:rsidP="00D82A6C">
            <w:pPr>
              <w:spacing w:before="60" w:after="60" w:line="240" w:lineRule="auto"/>
              <w:jc w:val="left"/>
              <w:rPr>
                <w:rFonts w:ascii="Arial" w:hAnsi="Arial"/>
                <w:sz w:val="16"/>
                <w:szCs w:val="16"/>
              </w:rPr>
            </w:pPr>
            <w:r w:rsidRPr="00D82A6C">
              <w:rPr>
                <w:rFonts w:ascii="Arial" w:hAnsi="Arial"/>
                <w:sz w:val="16"/>
                <w:szCs w:val="16"/>
              </w:rPr>
              <w:t xml:space="preserve">Budget Year    </w:t>
            </w:r>
          </w:p>
          <w:p w14:paraId="0CC15711" w14:textId="1F8F3674" w:rsidR="00D82A6C" w:rsidRPr="00D82A6C" w:rsidRDefault="00D82A6C" w:rsidP="00D82A6C">
            <w:pPr>
              <w:spacing w:before="60" w:after="60" w:line="240" w:lineRule="auto"/>
              <w:jc w:val="left"/>
              <w:rPr>
                <w:rFonts w:ascii="Arial" w:hAnsi="Arial"/>
                <w:sz w:val="16"/>
                <w:szCs w:val="16"/>
              </w:rPr>
            </w:pPr>
            <w:r w:rsidRPr="00D82A6C">
              <w:rPr>
                <w:rFonts w:ascii="Arial" w:hAnsi="Arial"/>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7035F087" w14:textId="77777777" w:rsidR="00D82A6C" w:rsidRPr="0071257A" w:rsidRDefault="00D82A6C" w:rsidP="00551232">
            <w:pPr>
              <w:spacing w:before="60" w:after="60" w:line="240" w:lineRule="auto"/>
              <w:jc w:val="left"/>
              <w:rPr>
                <w:rFonts w:ascii="Arial" w:hAnsi="Arial"/>
                <w:i/>
                <w:color w:val="0070C0"/>
                <w:sz w:val="18"/>
              </w:rPr>
            </w:pPr>
            <w:r w:rsidRPr="0071257A">
              <w:rPr>
                <w:rFonts w:ascii="Arial" w:hAnsi="Arial"/>
                <w:sz w:val="16"/>
              </w:rPr>
              <w:t>High level of satisfaction for Austrade’s clients with Austrade’s services.</w:t>
            </w:r>
          </w:p>
        </w:tc>
        <w:tc>
          <w:tcPr>
            <w:tcW w:w="3118" w:type="dxa"/>
            <w:tcBorders>
              <w:top w:val="single" w:sz="4" w:space="0" w:color="auto"/>
              <w:left w:val="single" w:sz="4" w:space="0" w:color="auto"/>
              <w:bottom w:val="dotted" w:sz="4" w:space="0" w:color="auto"/>
            </w:tcBorders>
          </w:tcPr>
          <w:p w14:paraId="60596493" w14:textId="77777777" w:rsidR="00D82A6C" w:rsidRPr="0071257A" w:rsidRDefault="00D82A6C" w:rsidP="00551232">
            <w:pPr>
              <w:spacing w:before="60" w:after="60" w:line="240" w:lineRule="auto"/>
              <w:jc w:val="left"/>
              <w:rPr>
                <w:color w:val="0070C0"/>
              </w:rPr>
            </w:pPr>
            <w:r>
              <w:rPr>
                <w:rFonts w:ascii="Arial" w:hAnsi="Arial"/>
                <w:sz w:val="16"/>
              </w:rPr>
              <w:t>Maintained or improved compared to the previous year.</w:t>
            </w:r>
          </w:p>
        </w:tc>
      </w:tr>
      <w:tr w:rsidR="00D82A6C" w:rsidRPr="0071257A" w14:paraId="6E026989" w14:textId="77777777" w:rsidTr="00464EAA">
        <w:trPr>
          <w:trHeight w:val="491"/>
        </w:trPr>
        <w:tc>
          <w:tcPr>
            <w:tcW w:w="1560" w:type="dxa"/>
            <w:tcBorders>
              <w:top w:val="dotted" w:sz="4" w:space="0" w:color="auto"/>
              <w:bottom w:val="single" w:sz="4" w:space="0" w:color="auto"/>
              <w:right w:val="single" w:sz="4" w:space="0" w:color="auto"/>
            </w:tcBorders>
          </w:tcPr>
          <w:p w14:paraId="68C333CF" w14:textId="77777777" w:rsidR="00D82A6C" w:rsidRPr="00D82A6C" w:rsidRDefault="00D82A6C" w:rsidP="00C23155">
            <w:pPr>
              <w:spacing w:before="60" w:after="60" w:line="240" w:lineRule="auto"/>
              <w:rPr>
                <w:rFonts w:ascii="Arial" w:hAnsi="Arial"/>
                <w:sz w:val="16"/>
                <w:szCs w:val="16"/>
              </w:rPr>
            </w:pPr>
            <w:r w:rsidRPr="00D82A6C">
              <w:rPr>
                <w:rFonts w:ascii="Arial" w:hAnsi="Arial"/>
                <w:sz w:val="16"/>
                <w:szCs w:val="16"/>
              </w:rPr>
              <w:t xml:space="preserve">Forward Estimates </w:t>
            </w:r>
          </w:p>
          <w:p w14:paraId="23A77D91" w14:textId="77777777" w:rsidR="00D82A6C" w:rsidRPr="00D82A6C" w:rsidRDefault="00D82A6C" w:rsidP="00C23155">
            <w:pPr>
              <w:spacing w:before="60" w:after="60" w:line="240" w:lineRule="auto"/>
              <w:rPr>
                <w:rFonts w:ascii="Arial" w:hAnsi="Arial"/>
                <w:sz w:val="16"/>
                <w:szCs w:val="16"/>
              </w:rPr>
            </w:pPr>
            <w:r w:rsidRPr="00D82A6C">
              <w:rPr>
                <w:rFonts w:ascii="Arial" w:hAnsi="Arial"/>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6B88F6B2" w14:textId="77777777" w:rsidR="00D82A6C" w:rsidRPr="0071257A" w:rsidRDefault="00D82A6C" w:rsidP="00C23155">
            <w:pPr>
              <w:spacing w:before="60" w:after="60" w:line="240" w:lineRule="auto"/>
              <w:rPr>
                <w:rFonts w:ascii="Arial" w:hAnsi="Arial"/>
                <w:b/>
                <w:color w:val="0070C0"/>
                <w:sz w:val="18"/>
              </w:rPr>
            </w:pPr>
            <w:r w:rsidRPr="0071257A">
              <w:rPr>
                <w:rFonts w:ascii="Arial" w:hAnsi="Arial"/>
                <w:sz w:val="16"/>
              </w:rPr>
              <w:t>As per 2022-23.</w:t>
            </w:r>
          </w:p>
        </w:tc>
        <w:tc>
          <w:tcPr>
            <w:tcW w:w="3118" w:type="dxa"/>
            <w:tcBorders>
              <w:top w:val="dotted" w:sz="4" w:space="0" w:color="auto"/>
              <w:left w:val="single" w:sz="4" w:space="0" w:color="auto"/>
              <w:bottom w:val="single" w:sz="4" w:space="0" w:color="auto"/>
            </w:tcBorders>
          </w:tcPr>
          <w:p w14:paraId="006CEE66" w14:textId="77777777" w:rsidR="00D82A6C" w:rsidRPr="0071257A" w:rsidRDefault="00D82A6C" w:rsidP="00C23155">
            <w:pPr>
              <w:spacing w:before="60" w:after="60" w:line="240" w:lineRule="auto"/>
              <w:rPr>
                <w:rFonts w:ascii="Arial" w:hAnsi="Arial"/>
                <w:b/>
                <w:color w:val="0070C0"/>
                <w:sz w:val="18"/>
              </w:rPr>
            </w:pPr>
            <w:r w:rsidRPr="0071257A">
              <w:rPr>
                <w:rFonts w:ascii="Arial" w:hAnsi="Arial"/>
                <w:sz w:val="16"/>
              </w:rPr>
              <w:t>As per 2022-23.</w:t>
            </w:r>
          </w:p>
        </w:tc>
      </w:tr>
    </w:tbl>
    <w:p w14:paraId="0B66ECA7" w14:textId="60800C2E" w:rsidR="00C44B2A" w:rsidRDefault="00C44B2A" w:rsidP="00C354BB">
      <w:pPr>
        <w:pStyle w:val="Source"/>
        <w:rPr>
          <w:color w:val="000000"/>
          <w:lang w:eastAsia="x-none"/>
        </w:rPr>
      </w:pPr>
      <w:r>
        <w:rPr>
          <w:color w:val="000000"/>
          <w:lang w:eastAsia="x-none"/>
        </w:rPr>
        <w:t xml:space="preserve">Table </w:t>
      </w:r>
      <w:proofErr w:type="gramStart"/>
      <w:r w:rsidRPr="00C354BB">
        <w:t>continued</w:t>
      </w:r>
      <w:r>
        <w:rPr>
          <w:color w:val="000000"/>
          <w:lang w:eastAsia="x-none"/>
        </w:rPr>
        <w:t xml:space="preserve"> on</w:t>
      </w:r>
      <w:proofErr w:type="gramEnd"/>
      <w:r>
        <w:rPr>
          <w:color w:val="000000"/>
          <w:lang w:eastAsia="x-none"/>
        </w:rPr>
        <w:t xml:space="preserve"> the next page.</w:t>
      </w:r>
    </w:p>
    <w:p w14:paraId="715CA82C" w14:textId="77777777" w:rsidR="00D82A6C" w:rsidRDefault="00D82A6C">
      <w:pPr>
        <w:spacing w:after="0" w:line="240" w:lineRule="auto"/>
        <w:jc w:val="left"/>
        <w:rPr>
          <w:rFonts w:ascii="Arial" w:hAnsi="Arial"/>
          <w:b/>
          <w:color w:val="000000"/>
          <w:lang w:val="x-none" w:eastAsia="x-none"/>
        </w:rPr>
      </w:pPr>
      <w:r>
        <w:br w:type="page"/>
      </w:r>
    </w:p>
    <w:p w14:paraId="73BB5BFE" w14:textId="2A5DF3BF" w:rsidR="00C44B2A" w:rsidRPr="003B6455" w:rsidRDefault="00C44B2A" w:rsidP="00C44B2A">
      <w:pPr>
        <w:pStyle w:val="TableHeading"/>
        <w:rPr>
          <w:lang w:val="en-AU"/>
        </w:rPr>
      </w:pPr>
      <w:r w:rsidRPr="00F71634">
        <w:t>Table 2.</w:t>
      </w:r>
      <w:r>
        <w:rPr>
          <w:lang w:val="en-AU"/>
        </w:rPr>
        <w:t>1</w:t>
      </w:r>
      <w:r w:rsidRPr="00F71634">
        <w:t xml:space="preserve">.3: Performance criteria for Outcome </w:t>
      </w:r>
      <w:r>
        <w:rPr>
          <w:lang w:val="en-AU"/>
        </w:rPr>
        <w:t>1 (continued)</w:t>
      </w:r>
    </w:p>
    <w:tbl>
      <w:tblPr>
        <w:tblW w:w="50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118"/>
        <w:gridCol w:w="3116"/>
      </w:tblGrid>
      <w:tr w:rsidR="00C44B2A" w:rsidRPr="00AA7DFC" w14:paraId="224D6B6C" w14:textId="77777777" w:rsidTr="00D82A6C">
        <w:tc>
          <w:tcPr>
            <w:tcW w:w="5000" w:type="pct"/>
            <w:gridSpan w:val="3"/>
            <w:shd w:val="clear" w:color="auto" w:fill="F2F2F2" w:themeFill="background1" w:themeFillShade="F2"/>
          </w:tcPr>
          <w:p w14:paraId="75C50493" w14:textId="77777777" w:rsidR="00C44B2A" w:rsidRPr="008A7CC8" w:rsidRDefault="00C44B2A" w:rsidP="000814C9">
            <w:pPr>
              <w:tabs>
                <w:tab w:val="left" w:pos="709"/>
              </w:tabs>
              <w:spacing w:before="60" w:after="60"/>
              <w:rPr>
                <w:rFonts w:ascii="Arial" w:hAnsi="Arial" w:cs="Arial"/>
                <w:color w:val="000000"/>
                <w:sz w:val="18"/>
                <w:szCs w:val="18"/>
              </w:rPr>
            </w:pPr>
            <w:r w:rsidRPr="008A7CC8">
              <w:rPr>
                <w:rFonts w:ascii="Arial" w:hAnsi="Arial" w:cs="Arial"/>
                <w:b/>
                <w:color w:val="000000"/>
                <w:sz w:val="18"/>
                <w:szCs w:val="18"/>
              </w:rPr>
              <w:t>Program 1.2</w:t>
            </w:r>
            <w:r w:rsidRPr="008A7CC8">
              <w:rPr>
                <w:rFonts w:ascii="Arial" w:hAnsi="Arial" w:cs="Arial"/>
                <w:color w:val="000000"/>
                <w:sz w:val="18"/>
                <w:szCs w:val="18"/>
              </w:rPr>
              <w:t xml:space="preserve"> – </w:t>
            </w:r>
            <w:r w:rsidRPr="008A7CC8">
              <w:rPr>
                <w:rFonts w:ascii="Arial" w:hAnsi="Arial" w:cs="Arial"/>
                <w:b/>
                <w:color w:val="000000"/>
                <w:sz w:val="18"/>
                <w:szCs w:val="18"/>
              </w:rPr>
              <w:t>Programs to promote Australia’s export and other international economic interests</w:t>
            </w:r>
          </w:p>
        </w:tc>
      </w:tr>
      <w:tr w:rsidR="00C44B2A" w:rsidRPr="00AA7DFC" w14:paraId="54E57BB8" w14:textId="77777777" w:rsidTr="00551232">
        <w:trPr>
          <w:trHeight w:val="786"/>
        </w:trPr>
        <w:tc>
          <w:tcPr>
            <w:tcW w:w="1001" w:type="pct"/>
            <w:tcBorders>
              <w:bottom w:val="double" w:sz="4" w:space="0" w:color="auto"/>
            </w:tcBorders>
          </w:tcPr>
          <w:p w14:paraId="0F1ED6FE" w14:textId="392AFB12" w:rsidR="00C44B2A" w:rsidRPr="00AA7DFC" w:rsidRDefault="00D82A6C" w:rsidP="000814C9">
            <w:pPr>
              <w:tabs>
                <w:tab w:val="left" w:pos="709"/>
              </w:tabs>
              <w:spacing w:before="60" w:after="60"/>
              <w:rPr>
                <w:rFonts w:ascii="Arial" w:hAnsi="Arial" w:cs="Arial"/>
                <w:b/>
                <w:sz w:val="16"/>
                <w:szCs w:val="16"/>
              </w:rPr>
            </w:pPr>
            <w:r>
              <w:rPr>
                <w:rFonts w:ascii="Arial" w:hAnsi="Arial" w:cs="Arial"/>
                <w:b/>
                <w:sz w:val="16"/>
                <w:szCs w:val="16"/>
              </w:rPr>
              <w:t xml:space="preserve">Key Activities </w:t>
            </w:r>
          </w:p>
        </w:tc>
        <w:tc>
          <w:tcPr>
            <w:tcW w:w="3999" w:type="pct"/>
            <w:gridSpan w:val="2"/>
            <w:tcBorders>
              <w:bottom w:val="double" w:sz="4" w:space="0" w:color="auto"/>
            </w:tcBorders>
          </w:tcPr>
          <w:p w14:paraId="2D2A9010" w14:textId="10938481" w:rsidR="00C44B2A" w:rsidRPr="00AA7DFC" w:rsidRDefault="00C44B2A" w:rsidP="00551232">
            <w:pPr>
              <w:spacing w:before="60" w:after="60" w:line="240" w:lineRule="auto"/>
              <w:jc w:val="left"/>
              <w:rPr>
                <w:rFonts w:ascii="Arial" w:hAnsi="Arial" w:cs="Arial"/>
                <w:color w:val="000000"/>
                <w:sz w:val="16"/>
                <w:szCs w:val="16"/>
              </w:rPr>
            </w:pPr>
            <w:r w:rsidRPr="00551232">
              <w:rPr>
                <w:rFonts w:ascii="Arial" w:hAnsi="Arial" w:cs="Arial"/>
                <w:color w:val="000000"/>
                <w:sz w:val="16"/>
                <w:szCs w:val="16"/>
              </w:rPr>
              <w:t>Austrade administers programs that support Australian businesses’ engagement in international business. It provides financial assistance for exporters through programs like the Export Market Development Grant</w:t>
            </w:r>
            <w:r w:rsidR="003B66CC" w:rsidRPr="00551232">
              <w:rPr>
                <w:rFonts w:ascii="Arial" w:hAnsi="Arial" w:cs="Arial"/>
                <w:color w:val="000000"/>
                <w:sz w:val="16"/>
                <w:szCs w:val="16"/>
              </w:rPr>
              <w:t>s</w:t>
            </w:r>
            <w:r w:rsidRPr="00551232">
              <w:rPr>
                <w:rFonts w:ascii="Arial" w:hAnsi="Arial" w:cs="Arial"/>
                <w:color w:val="000000"/>
                <w:sz w:val="16"/>
                <w:szCs w:val="16"/>
              </w:rPr>
              <w:t xml:space="preserve"> (EMDG)</w:t>
            </w:r>
            <w:r w:rsidR="003B66CC" w:rsidRPr="00551232">
              <w:rPr>
                <w:rFonts w:ascii="Arial" w:hAnsi="Arial" w:cs="Arial"/>
                <w:color w:val="000000"/>
                <w:sz w:val="16"/>
                <w:szCs w:val="16"/>
              </w:rPr>
              <w:t xml:space="preserve"> Scheme</w:t>
            </w:r>
            <w:r w:rsidRPr="00551232">
              <w:rPr>
                <w:rFonts w:ascii="Arial" w:hAnsi="Arial" w:cs="Arial"/>
                <w:color w:val="000000"/>
                <w:sz w:val="16"/>
                <w:szCs w:val="16"/>
              </w:rPr>
              <w:t>.</w:t>
            </w:r>
            <w:r w:rsidRPr="00AA7DFC">
              <w:rPr>
                <w:rFonts w:ascii="Arial" w:hAnsi="Arial" w:cs="Arial"/>
                <w:color w:val="000000"/>
                <w:sz w:val="16"/>
                <w:szCs w:val="16"/>
              </w:rPr>
              <w:t xml:space="preserve"> </w:t>
            </w:r>
          </w:p>
        </w:tc>
      </w:tr>
      <w:tr w:rsidR="00D82A6C" w:rsidRPr="0071257A" w14:paraId="020B7361" w14:textId="77777777" w:rsidTr="00D82A6C">
        <w:trPr>
          <w:trHeight w:val="258"/>
        </w:trPr>
        <w:tc>
          <w:tcPr>
            <w:tcW w:w="1001" w:type="pct"/>
            <w:tcBorders>
              <w:top w:val="double" w:sz="4" w:space="0" w:color="auto"/>
              <w:bottom w:val="single" w:sz="4" w:space="0" w:color="auto"/>
              <w:right w:val="single" w:sz="4" w:space="0" w:color="auto"/>
            </w:tcBorders>
          </w:tcPr>
          <w:p w14:paraId="4655E220"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Year</w:t>
            </w:r>
          </w:p>
          <w:p w14:paraId="67D0C648" w14:textId="77777777" w:rsidR="00D82A6C" w:rsidRPr="0071257A" w:rsidRDefault="00D82A6C" w:rsidP="00C23155">
            <w:pPr>
              <w:spacing w:before="60" w:after="60" w:line="240" w:lineRule="auto"/>
              <w:rPr>
                <w:rFonts w:ascii="Arial" w:hAnsi="Arial"/>
                <w:b/>
                <w:sz w:val="16"/>
                <w:szCs w:val="16"/>
              </w:rPr>
            </w:pPr>
          </w:p>
        </w:tc>
        <w:tc>
          <w:tcPr>
            <w:tcW w:w="2000" w:type="pct"/>
            <w:tcBorders>
              <w:top w:val="double" w:sz="4" w:space="0" w:color="auto"/>
              <w:left w:val="single" w:sz="4" w:space="0" w:color="auto"/>
              <w:bottom w:val="single" w:sz="4" w:space="0" w:color="auto"/>
              <w:right w:val="single" w:sz="4" w:space="0" w:color="auto"/>
            </w:tcBorders>
          </w:tcPr>
          <w:p w14:paraId="4F539E22" w14:textId="77777777" w:rsidR="00D82A6C" w:rsidRPr="0071257A" w:rsidRDefault="00D82A6C" w:rsidP="00C23155">
            <w:pPr>
              <w:spacing w:before="60" w:after="60" w:line="240" w:lineRule="auto"/>
              <w:rPr>
                <w:rFonts w:ascii="Arial" w:hAnsi="Arial" w:cs="Arial"/>
                <w:b/>
                <w:sz w:val="16"/>
                <w:szCs w:val="16"/>
              </w:rPr>
            </w:pPr>
            <w:r w:rsidRPr="0071257A">
              <w:rPr>
                <w:rFonts w:ascii="Arial" w:hAnsi="Arial" w:cs="Arial"/>
                <w:b/>
                <w:sz w:val="16"/>
                <w:szCs w:val="16"/>
              </w:rPr>
              <w:t>Performance measures</w:t>
            </w:r>
          </w:p>
        </w:tc>
        <w:tc>
          <w:tcPr>
            <w:tcW w:w="1999" w:type="pct"/>
            <w:tcBorders>
              <w:top w:val="double" w:sz="4" w:space="0" w:color="auto"/>
              <w:left w:val="single" w:sz="4" w:space="0" w:color="auto"/>
              <w:bottom w:val="single" w:sz="4" w:space="0" w:color="auto"/>
            </w:tcBorders>
          </w:tcPr>
          <w:p w14:paraId="55E6605B" w14:textId="77777777" w:rsidR="00D82A6C" w:rsidRPr="0071257A" w:rsidRDefault="00D82A6C" w:rsidP="00C23155">
            <w:pPr>
              <w:spacing w:before="60" w:after="60" w:line="240" w:lineRule="auto"/>
              <w:rPr>
                <w:rFonts w:ascii="Arial" w:hAnsi="Arial" w:cs="Arial"/>
                <w:b/>
                <w:sz w:val="16"/>
                <w:szCs w:val="16"/>
              </w:rPr>
            </w:pPr>
            <w:r w:rsidRPr="0071257A">
              <w:rPr>
                <w:rFonts w:ascii="Arial" w:hAnsi="Arial" w:cs="Arial"/>
                <w:b/>
                <w:sz w:val="16"/>
                <w:szCs w:val="16"/>
              </w:rPr>
              <w:t>Expected Performance Results</w:t>
            </w:r>
          </w:p>
        </w:tc>
      </w:tr>
      <w:tr w:rsidR="00D82A6C" w:rsidRPr="00840305" w14:paraId="5CFF254C" w14:textId="77777777" w:rsidTr="00D82A6C">
        <w:trPr>
          <w:trHeight w:val="642"/>
        </w:trPr>
        <w:tc>
          <w:tcPr>
            <w:tcW w:w="1001" w:type="pct"/>
            <w:tcBorders>
              <w:top w:val="single" w:sz="4" w:space="0" w:color="auto"/>
              <w:bottom w:val="dotted" w:sz="4" w:space="0" w:color="auto"/>
              <w:right w:val="single" w:sz="4" w:space="0" w:color="auto"/>
            </w:tcBorders>
          </w:tcPr>
          <w:p w14:paraId="0C560E6F" w14:textId="77777777" w:rsidR="00D82A6C" w:rsidRPr="0071257A" w:rsidRDefault="00D82A6C" w:rsidP="00C23155">
            <w:pPr>
              <w:spacing w:before="60" w:after="60" w:line="240" w:lineRule="auto"/>
              <w:rPr>
                <w:rFonts w:ascii="Arial" w:hAnsi="Arial"/>
                <w:sz w:val="16"/>
                <w:szCs w:val="16"/>
              </w:rPr>
            </w:pPr>
            <w:r w:rsidRPr="0071257A">
              <w:rPr>
                <w:rFonts w:ascii="Arial" w:hAnsi="Arial"/>
                <w:sz w:val="16"/>
                <w:szCs w:val="16"/>
              </w:rPr>
              <w:t xml:space="preserve">Current year </w:t>
            </w:r>
          </w:p>
          <w:p w14:paraId="77F9CFEA" w14:textId="77777777" w:rsidR="00D82A6C" w:rsidRPr="0071257A" w:rsidRDefault="00D82A6C" w:rsidP="00C23155">
            <w:pPr>
              <w:spacing w:before="60" w:after="60" w:line="240" w:lineRule="auto"/>
              <w:rPr>
                <w:rFonts w:ascii="Arial" w:hAnsi="Arial"/>
                <w:sz w:val="16"/>
                <w:szCs w:val="16"/>
              </w:rPr>
            </w:pPr>
            <w:r w:rsidRPr="0071257A">
              <w:rPr>
                <w:rFonts w:ascii="Arial" w:hAnsi="Arial"/>
                <w:sz w:val="16"/>
                <w:szCs w:val="16"/>
              </w:rPr>
              <w:t>2021-22</w:t>
            </w:r>
          </w:p>
        </w:tc>
        <w:tc>
          <w:tcPr>
            <w:tcW w:w="2000" w:type="pct"/>
            <w:tcBorders>
              <w:top w:val="single" w:sz="4" w:space="0" w:color="auto"/>
              <w:left w:val="single" w:sz="4" w:space="0" w:color="auto"/>
              <w:bottom w:val="dotted" w:sz="4" w:space="0" w:color="auto"/>
              <w:right w:val="single" w:sz="4" w:space="0" w:color="auto"/>
            </w:tcBorders>
          </w:tcPr>
          <w:p w14:paraId="45AA2F74" w14:textId="77777777" w:rsidR="00D82A6C" w:rsidRPr="0071257A" w:rsidRDefault="00D82A6C" w:rsidP="00551232">
            <w:pPr>
              <w:spacing w:before="60" w:after="60" w:line="240" w:lineRule="auto"/>
              <w:jc w:val="left"/>
              <w:rPr>
                <w:rFonts w:ascii="Arial" w:hAnsi="Arial"/>
                <w:i/>
                <w:color w:val="0070C0"/>
                <w:sz w:val="16"/>
                <w:szCs w:val="16"/>
              </w:rPr>
            </w:pPr>
            <w:r w:rsidRPr="0071257A">
              <w:rPr>
                <w:rFonts w:ascii="Arial" w:hAnsi="Arial" w:cs="Arial"/>
                <w:color w:val="000000"/>
                <w:sz w:val="16"/>
                <w:szCs w:val="16"/>
              </w:rPr>
              <w:t>EMDG recipients report that the receipt of a grant encouraged them to increase their export promotion activities.</w:t>
            </w:r>
          </w:p>
        </w:tc>
        <w:tc>
          <w:tcPr>
            <w:tcW w:w="1999" w:type="pct"/>
            <w:tcBorders>
              <w:top w:val="single" w:sz="4" w:space="0" w:color="auto"/>
              <w:left w:val="single" w:sz="4" w:space="0" w:color="auto"/>
              <w:bottom w:val="dotted" w:sz="4" w:space="0" w:color="auto"/>
            </w:tcBorders>
          </w:tcPr>
          <w:p w14:paraId="2CEB6143" w14:textId="77777777" w:rsidR="00D82A6C" w:rsidRPr="00840305" w:rsidRDefault="00D82A6C" w:rsidP="00551232">
            <w:pPr>
              <w:spacing w:before="60" w:after="60" w:line="240" w:lineRule="auto"/>
              <w:jc w:val="left"/>
              <w:rPr>
                <w:rFonts w:ascii="Arial" w:hAnsi="Arial" w:cs="Arial"/>
                <w:color w:val="000000"/>
                <w:sz w:val="16"/>
                <w:szCs w:val="16"/>
              </w:rPr>
            </w:pPr>
            <w:r>
              <w:rPr>
                <w:rFonts w:ascii="Arial" w:hAnsi="Arial" w:cs="Arial"/>
                <w:color w:val="000000"/>
                <w:sz w:val="16"/>
                <w:szCs w:val="16"/>
              </w:rPr>
              <w:t xml:space="preserve">On track. </w:t>
            </w:r>
            <w:r w:rsidRPr="00AB3AC8">
              <w:rPr>
                <w:rFonts w:ascii="Arial" w:hAnsi="Arial" w:cs="Arial"/>
                <w:color w:val="000000"/>
                <w:sz w:val="16"/>
                <w:szCs w:val="16"/>
              </w:rPr>
              <w:t>Austrade e</w:t>
            </w:r>
            <w:r w:rsidRPr="0071257A">
              <w:rPr>
                <w:rFonts w:ascii="Arial" w:hAnsi="Arial" w:cs="Arial"/>
                <w:color w:val="000000"/>
                <w:sz w:val="16"/>
                <w:szCs w:val="16"/>
              </w:rPr>
              <w:t>xpects at least 70 per cent of EMDG recipients report that receiving a grant encouraged them to increase their export promotion activities</w:t>
            </w:r>
            <w:r w:rsidRPr="00AB3AC8">
              <w:rPr>
                <w:rFonts w:ascii="Arial" w:hAnsi="Arial" w:cs="Arial"/>
                <w:color w:val="000000"/>
                <w:sz w:val="16"/>
                <w:szCs w:val="16"/>
              </w:rPr>
              <w:t>.</w:t>
            </w:r>
          </w:p>
        </w:tc>
      </w:tr>
      <w:tr w:rsidR="00D82A6C" w:rsidRPr="0071257A" w14:paraId="1B27D473" w14:textId="77777777" w:rsidTr="00D82A6C">
        <w:trPr>
          <w:trHeight w:val="100"/>
        </w:trPr>
        <w:tc>
          <w:tcPr>
            <w:tcW w:w="1001" w:type="pct"/>
            <w:tcBorders>
              <w:top w:val="single" w:sz="4" w:space="0" w:color="auto"/>
              <w:bottom w:val="dotted" w:sz="4" w:space="0" w:color="auto"/>
              <w:right w:val="single" w:sz="4" w:space="0" w:color="auto"/>
            </w:tcBorders>
          </w:tcPr>
          <w:p w14:paraId="4346CC45"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Year</w:t>
            </w:r>
          </w:p>
          <w:p w14:paraId="0E174FFB" w14:textId="77777777" w:rsidR="00D82A6C" w:rsidRPr="0071257A" w:rsidRDefault="00D82A6C" w:rsidP="00C23155">
            <w:pPr>
              <w:spacing w:before="60" w:after="60" w:line="240" w:lineRule="auto"/>
              <w:rPr>
                <w:rFonts w:ascii="Arial" w:hAnsi="Arial"/>
                <w:b/>
                <w:sz w:val="16"/>
                <w:szCs w:val="16"/>
              </w:rPr>
            </w:pPr>
          </w:p>
        </w:tc>
        <w:tc>
          <w:tcPr>
            <w:tcW w:w="2000" w:type="pct"/>
            <w:tcBorders>
              <w:top w:val="single" w:sz="4" w:space="0" w:color="auto"/>
              <w:left w:val="single" w:sz="4" w:space="0" w:color="auto"/>
              <w:bottom w:val="dotted" w:sz="4" w:space="0" w:color="auto"/>
              <w:right w:val="single" w:sz="4" w:space="0" w:color="auto"/>
            </w:tcBorders>
          </w:tcPr>
          <w:p w14:paraId="2F640CA7"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Performance measures</w:t>
            </w:r>
          </w:p>
        </w:tc>
        <w:tc>
          <w:tcPr>
            <w:tcW w:w="1999" w:type="pct"/>
            <w:tcBorders>
              <w:top w:val="single" w:sz="4" w:space="0" w:color="auto"/>
              <w:left w:val="single" w:sz="4" w:space="0" w:color="auto"/>
              <w:bottom w:val="dotted" w:sz="4" w:space="0" w:color="auto"/>
            </w:tcBorders>
          </w:tcPr>
          <w:p w14:paraId="2C462C8C" w14:textId="77777777" w:rsidR="00D82A6C" w:rsidRPr="0071257A" w:rsidRDefault="00D82A6C" w:rsidP="00C23155">
            <w:pPr>
              <w:spacing w:before="60" w:after="60" w:line="240" w:lineRule="auto"/>
              <w:rPr>
                <w:rFonts w:ascii="Arial" w:hAnsi="Arial"/>
                <w:b/>
                <w:sz w:val="16"/>
                <w:szCs w:val="16"/>
              </w:rPr>
            </w:pPr>
            <w:r w:rsidRPr="0071257A">
              <w:rPr>
                <w:rFonts w:ascii="Arial" w:hAnsi="Arial"/>
                <w:b/>
                <w:sz w:val="16"/>
                <w:szCs w:val="16"/>
              </w:rPr>
              <w:t>Planned Performance Results</w:t>
            </w:r>
          </w:p>
        </w:tc>
      </w:tr>
      <w:tr w:rsidR="00D82A6C" w:rsidRPr="00E73E65" w14:paraId="5417C649" w14:textId="77777777" w:rsidTr="00464EAA">
        <w:trPr>
          <w:trHeight w:val="100"/>
        </w:trPr>
        <w:tc>
          <w:tcPr>
            <w:tcW w:w="1001" w:type="pct"/>
            <w:tcBorders>
              <w:top w:val="single" w:sz="4" w:space="0" w:color="auto"/>
              <w:bottom w:val="dotted" w:sz="4" w:space="0" w:color="auto"/>
              <w:right w:val="single" w:sz="4" w:space="0" w:color="auto"/>
            </w:tcBorders>
          </w:tcPr>
          <w:p w14:paraId="24ABA70B" w14:textId="77777777" w:rsidR="00551232" w:rsidRDefault="00D82A6C" w:rsidP="00D82A6C">
            <w:pPr>
              <w:spacing w:before="60" w:after="60" w:line="240" w:lineRule="auto"/>
              <w:jc w:val="left"/>
              <w:rPr>
                <w:rFonts w:ascii="Arial" w:hAnsi="Arial"/>
                <w:sz w:val="16"/>
                <w:szCs w:val="16"/>
              </w:rPr>
            </w:pPr>
            <w:r w:rsidRPr="00D82A6C">
              <w:rPr>
                <w:rFonts w:ascii="Arial" w:hAnsi="Arial"/>
                <w:sz w:val="16"/>
                <w:szCs w:val="16"/>
              </w:rPr>
              <w:t xml:space="preserve">Budget Year    </w:t>
            </w:r>
          </w:p>
          <w:p w14:paraId="620DEE3B" w14:textId="47E48413" w:rsidR="00D82A6C" w:rsidRPr="00D82A6C" w:rsidRDefault="00D82A6C" w:rsidP="00D82A6C">
            <w:pPr>
              <w:spacing w:before="60" w:after="60" w:line="240" w:lineRule="auto"/>
              <w:jc w:val="left"/>
              <w:rPr>
                <w:rFonts w:ascii="Arial" w:hAnsi="Arial"/>
                <w:sz w:val="16"/>
                <w:szCs w:val="16"/>
              </w:rPr>
            </w:pPr>
            <w:r w:rsidRPr="00D82A6C">
              <w:rPr>
                <w:rFonts w:ascii="Arial" w:hAnsi="Arial"/>
                <w:sz w:val="16"/>
                <w:szCs w:val="16"/>
              </w:rPr>
              <w:t>2022-23</w:t>
            </w:r>
          </w:p>
        </w:tc>
        <w:tc>
          <w:tcPr>
            <w:tcW w:w="2000" w:type="pct"/>
            <w:tcBorders>
              <w:top w:val="single" w:sz="4" w:space="0" w:color="auto"/>
              <w:left w:val="single" w:sz="4" w:space="0" w:color="auto"/>
              <w:bottom w:val="dotted" w:sz="4" w:space="0" w:color="auto"/>
              <w:right w:val="single" w:sz="4" w:space="0" w:color="auto"/>
            </w:tcBorders>
          </w:tcPr>
          <w:p w14:paraId="4B793EF3" w14:textId="77777777" w:rsidR="00D82A6C" w:rsidRPr="0071257A" w:rsidRDefault="00D82A6C" w:rsidP="00551232">
            <w:pPr>
              <w:spacing w:before="60" w:after="60" w:line="240" w:lineRule="auto"/>
              <w:jc w:val="left"/>
              <w:rPr>
                <w:rFonts w:ascii="Arial" w:hAnsi="Arial"/>
                <w:i/>
                <w:color w:val="0070C0"/>
                <w:sz w:val="18"/>
              </w:rPr>
            </w:pPr>
            <w:r w:rsidRPr="0071257A">
              <w:rPr>
                <w:rFonts w:ascii="Arial" w:hAnsi="Arial" w:cs="Arial"/>
                <w:color w:val="000000"/>
                <w:sz w:val="16"/>
                <w:szCs w:val="16"/>
              </w:rPr>
              <w:t>EMDG recipients report that the receipt of a grant encouraged them to increase their export promotion activities</w:t>
            </w:r>
            <w:r w:rsidRPr="0071257A">
              <w:rPr>
                <w:rFonts w:ascii="Arial" w:hAnsi="Arial"/>
                <w:sz w:val="16"/>
              </w:rPr>
              <w:t>.</w:t>
            </w:r>
          </w:p>
        </w:tc>
        <w:tc>
          <w:tcPr>
            <w:tcW w:w="1999" w:type="pct"/>
            <w:tcBorders>
              <w:top w:val="single" w:sz="4" w:space="0" w:color="auto"/>
              <w:left w:val="single" w:sz="4" w:space="0" w:color="auto"/>
              <w:bottom w:val="dotted" w:sz="4" w:space="0" w:color="auto"/>
            </w:tcBorders>
          </w:tcPr>
          <w:p w14:paraId="0570D13D" w14:textId="77777777" w:rsidR="00D82A6C" w:rsidRPr="00E73E65" w:rsidRDefault="00D82A6C" w:rsidP="00551232">
            <w:pPr>
              <w:spacing w:before="60" w:after="60" w:line="240" w:lineRule="auto"/>
              <w:jc w:val="left"/>
              <w:rPr>
                <w:rFonts w:ascii="Arial" w:hAnsi="Arial"/>
                <w:color w:val="0070C0"/>
                <w:sz w:val="18"/>
              </w:rPr>
            </w:pPr>
            <w:r>
              <w:rPr>
                <w:rFonts w:ascii="Arial" w:hAnsi="Arial"/>
                <w:sz w:val="16"/>
              </w:rPr>
              <w:t>Maintained or improved compared to the previous year.</w:t>
            </w:r>
          </w:p>
        </w:tc>
      </w:tr>
      <w:tr w:rsidR="00D82A6C" w:rsidRPr="0071257A" w14:paraId="6E5873D9" w14:textId="77777777" w:rsidTr="00464EAA">
        <w:trPr>
          <w:trHeight w:val="491"/>
        </w:trPr>
        <w:tc>
          <w:tcPr>
            <w:tcW w:w="1001" w:type="pct"/>
            <w:tcBorders>
              <w:top w:val="dotted" w:sz="4" w:space="0" w:color="auto"/>
              <w:bottom w:val="single" w:sz="4" w:space="0" w:color="auto"/>
              <w:right w:val="single" w:sz="4" w:space="0" w:color="auto"/>
            </w:tcBorders>
          </w:tcPr>
          <w:p w14:paraId="2F1EB00B" w14:textId="77777777" w:rsidR="00D82A6C" w:rsidRPr="00D82A6C" w:rsidRDefault="00D82A6C" w:rsidP="00D82A6C">
            <w:pPr>
              <w:spacing w:before="60" w:after="60" w:line="240" w:lineRule="auto"/>
              <w:jc w:val="left"/>
              <w:rPr>
                <w:rFonts w:ascii="Arial" w:hAnsi="Arial"/>
                <w:sz w:val="16"/>
                <w:szCs w:val="16"/>
              </w:rPr>
            </w:pPr>
            <w:r w:rsidRPr="00D82A6C">
              <w:rPr>
                <w:rFonts w:ascii="Arial" w:hAnsi="Arial"/>
                <w:sz w:val="16"/>
                <w:szCs w:val="16"/>
              </w:rPr>
              <w:t xml:space="preserve">Forward Estimates </w:t>
            </w:r>
          </w:p>
          <w:p w14:paraId="47546173" w14:textId="77777777" w:rsidR="00D82A6C" w:rsidRPr="00D82A6C" w:rsidRDefault="00D82A6C" w:rsidP="00D82A6C">
            <w:pPr>
              <w:spacing w:before="60" w:after="60" w:line="240" w:lineRule="auto"/>
              <w:jc w:val="left"/>
              <w:rPr>
                <w:rFonts w:ascii="Arial" w:hAnsi="Arial"/>
                <w:sz w:val="16"/>
                <w:szCs w:val="16"/>
              </w:rPr>
            </w:pPr>
            <w:r w:rsidRPr="00D82A6C">
              <w:rPr>
                <w:rFonts w:ascii="Arial" w:hAnsi="Arial"/>
                <w:sz w:val="16"/>
                <w:szCs w:val="16"/>
              </w:rPr>
              <w:t>2023-26</w:t>
            </w:r>
          </w:p>
        </w:tc>
        <w:tc>
          <w:tcPr>
            <w:tcW w:w="2000" w:type="pct"/>
            <w:tcBorders>
              <w:top w:val="dotted" w:sz="4" w:space="0" w:color="auto"/>
              <w:left w:val="single" w:sz="4" w:space="0" w:color="auto"/>
              <w:bottom w:val="single" w:sz="4" w:space="0" w:color="auto"/>
              <w:right w:val="single" w:sz="4" w:space="0" w:color="auto"/>
            </w:tcBorders>
          </w:tcPr>
          <w:p w14:paraId="0B2B4F40" w14:textId="77777777" w:rsidR="00D82A6C" w:rsidRPr="0071257A" w:rsidRDefault="00D82A6C" w:rsidP="00C23155">
            <w:pPr>
              <w:spacing w:before="60" w:after="60" w:line="240" w:lineRule="auto"/>
              <w:rPr>
                <w:rFonts w:ascii="Arial" w:hAnsi="Arial"/>
                <w:b/>
                <w:color w:val="0070C0"/>
                <w:sz w:val="18"/>
              </w:rPr>
            </w:pPr>
            <w:r w:rsidRPr="0071257A">
              <w:rPr>
                <w:rFonts w:ascii="Arial" w:hAnsi="Arial"/>
                <w:sz w:val="16"/>
              </w:rPr>
              <w:t>As per 2022-23.</w:t>
            </w:r>
          </w:p>
        </w:tc>
        <w:tc>
          <w:tcPr>
            <w:tcW w:w="1999" w:type="pct"/>
            <w:tcBorders>
              <w:top w:val="dotted" w:sz="4" w:space="0" w:color="auto"/>
              <w:left w:val="single" w:sz="4" w:space="0" w:color="auto"/>
              <w:bottom w:val="single" w:sz="4" w:space="0" w:color="auto"/>
            </w:tcBorders>
          </w:tcPr>
          <w:p w14:paraId="178BEEE5" w14:textId="77777777" w:rsidR="00D82A6C" w:rsidRPr="0071257A" w:rsidRDefault="00D82A6C" w:rsidP="00C23155">
            <w:pPr>
              <w:spacing w:before="60" w:after="60" w:line="240" w:lineRule="auto"/>
              <w:rPr>
                <w:rFonts w:ascii="Arial" w:hAnsi="Arial"/>
                <w:b/>
                <w:color w:val="0070C0"/>
                <w:sz w:val="18"/>
              </w:rPr>
            </w:pPr>
            <w:r w:rsidRPr="0071257A">
              <w:rPr>
                <w:rFonts w:ascii="Arial" w:hAnsi="Arial"/>
                <w:sz w:val="16"/>
              </w:rPr>
              <w:t>As per 2022-23.</w:t>
            </w:r>
          </w:p>
        </w:tc>
      </w:tr>
    </w:tbl>
    <w:p w14:paraId="2B601B87" w14:textId="3EED4BA3" w:rsidR="00C44B2A" w:rsidRDefault="00C44B2A" w:rsidP="00C44B2A">
      <w:pPr>
        <w:spacing w:after="0"/>
        <w:rPr>
          <w:rFonts w:ascii="Arial" w:hAnsi="Arial"/>
          <w:color w:val="000000"/>
          <w:sz w:val="16"/>
          <w:lang w:eastAsia="x-none"/>
        </w:rPr>
      </w:pPr>
    </w:p>
    <w:p w14:paraId="2C888A69" w14:textId="4A3EE001" w:rsidR="00EE7083" w:rsidRPr="00D82A6C" w:rsidRDefault="0026795D" w:rsidP="00D82A6C">
      <w:pPr>
        <w:pStyle w:val="Heading5"/>
        <w:rPr>
          <w:b/>
          <w:bCs w:val="0"/>
        </w:rPr>
      </w:pPr>
      <w:r w:rsidRPr="005B6A94">
        <w:br w:type="page"/>
      </w:r>
      <w:bookmarkStart w:id="205" w:name="_Toc95217798"/>
      <w:bookmarkStart w:id="206" w:name="_Toc95217862"/>
      <w:bookmarkStart w:id="207" w:name="_Toc95229689"/>
      <w:bookmarkStart w:id="208" w:name="_Toc95288996"/>
      <w:bookmarkStart w:id="209" w:name="_Toc95291883"/>
      <w:bookmarkStart w:id="210" w:name="_Toc95293757"/>
      <w:bookmarkStart w:id="211" w:name="_Toc95296408"/>
      <w:r w:rsidR="00EE7083" w:rsidRPr="00D82A6C">
        <w:rPr>
          <w:b/>
          <w:bCs w:val="0"/>
        </w:rPr>
        <w:t xml:space="preserve">2.2 </w:t>
      </w:r>
      <w:r w:rsidR="00EE7083" w:rsidRPr="00D82A6C">
        <w:rPr>
          <w:b/>
          <w:bCs w:val="0"/>
        </w:rPr>
        <w:tab/>
        <w:t>Budgeted expenses and performance for Outcome 2</w:t>
      </w:r>
      <w:bookmarkEnd w:id="205"/>
      <w:bookmarkEnd w:id="206"/>
      <w:bookmarkEnd w:id="207"/>
      <w:bookmarkEnd w:id="208"/>
      <w:bookmarkEnd w:id="209"/>
      <w:bookmarkEnd w:id="210"/>
      <w:bookmarkEnd w:id="2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E7083" w:rsidRPr="005E6F2B" w14:paraId="15BDFAE4" w14:textId="77777777" w:rsidTr="00C44B2A">
        <w:tc>
          <w:tcPr>
            <w:tcW w:w="7704" w:type="dxa"/>
            <w:shd w:val="clear" w:color="auto" w:fill="E6E6E6"/>
          </w:tcPr>
          <w:p w14:paraId="1BBBFBF7" w14:textId="64F05DFF" w:rsidR="00EE7083" w:rsidRPr="005E6F2B" w:rsidRDefault="00EE7083" w:rsidP="00637CC0">
            <w:pPr>
              <w:pStyle w:val="TableColumnHeadingLeft"/>
            </w:pPr>
            <w:r w:rsidRPr="005E6F2B">
              <w:t xml:space="preserve">Outcome </w:t>
            </w:r>
            <w:r>
              <w:t>2</w:t>
            </w:r>
            <w:r w:rsidRPr="005E6F2B">
              <w:t xml:space="preserve">: </w:t>
            </w:r>
            <w:r w:rsidR="00C44B2A">
              <w:t>The protection and welfare of Australians abroad through timely and responsive consular and passport services in specific locations overseas</w:t>
            </w:r>
            <w:r w:rsidR="00C44B2A" w:rsidRPr="005E6F2B">
              <w:t xml:space="preserve"> </w:t>
            </w:r>
          </w:p>
        </w:tc>
      </w:tr>
    </w:tbl>
    <w:p w14:paraId="344EAD3C" w14:textId="77777777" w:rsidR="00EE7083" w:rsidRPr="005E6F2B" w:rsidRDefault="00EE7083" w:rsidP="00EE7083">
      <w:pPr>
        <w:pStyle w:val="NoSpacing"/>
      </w:pPr>
    </w:p>
    <w:p w14:paraId="4958974F" w14:textId="399401A4" w:rsidR="00EE7083" w:rsidRDefault="00EE7083" w:rsidP="00EE7083">
      <w:pPr>
        <w:pStyle w:val="Heading4"/>
      </w:pPr>
      <w:r w:rsidRPr="005E6F2B">
        <w:t xml:space="preserve">Linked programs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00"/>
      </w:tblGrid>
      <w:tr w:rsidR="00C44B2A" w14:paraId="66D8CC76" w14:textId="77777777" w:rsidTr="00C44B2A">
        <w:trPr>
          <w:trHeight w:val="364"/>
        </w:trPr>
        <w:tc>
          <w:tcPr>
            <w:tcW w:w="5000" w:type="pct"/>
            <w:tcBorders>
              <w:bottom w:val="dotted" w:sz="4" w:space="0" w:color="000000" w:themeColor="text1"/>
            </w:tcBorders>
          </w:tcPr>
          <w:p w14:paraId="3EF562B7" w14:textId="77777777" w:rsidR="00C44B2A" w:rsidRDefault="00C44B2A" w:rsidP="000814C9">
            <w:pPr>
              <w:pStyle w:val="TableParagraph"/>
              <w:spacing w:before="56"/>
              <w:ind w:left="105"/>
              <w:rPr>
                <w:rFonts w:ascii="Book Antiqua"/>
                <w:b/>
                <w:sz w:val="20"/>
              </w:rPr>
            </w:pPr>
            <w:r>
              <w:rPr>
                <w:rFonts w:ascii="Book Antiqua"/>
                <w:b/>
                <w:sz w:val="20"/>
              </w:rPr>
              <w:t>Department of Foreign Affairs and Trade</w:t>
            </w:r>
          </w:p>
        </w:tc>
      </w:tr>
      <w:tr w:rsidR="00C44B2A" w14:paraId="6762A752" w14:textId="77777777" w:rsidTr="00C44B2A">
        <w:trPr>
          <w:trHeight w:val="1651"/>
        </w:trPr>
        <w:tc>
          <w:tcPr>
            <w:tcW w:w="5000" w:type="pct"/>
            <w:tcBorders>
              <w:top w:val="dotted" w:sz="4" w:space="0" w:color="000000" w:themeColor="text1"/>
            </w:tcBorders>
          </w:tcPr>
          <w:p w14:paraId="2628BDBC" w14:textId="77777777" w:rsidR="00C44B2A" w:rsidRDefault="00C44B2A" w:rsidP="000814C9">
            <w:pPr>
              <w:pStyle w:val="TableParagraph"/>
              <w:spacing w:before="80"/>
              <w:ind w:left="105"/>
              <w:rPr>
                <w:rFonts w:ascii="Book Antiqua"/>
                <w:b/>
                <w:sz w:val="20"/>
              </w:rPr>
            </w:pPr>
            <w:r>
              <w:rPr>
                <w:rFonts w:ascii="Book Antiqua"/>
                <w:b/>
                <w:sz w:val="20"/>
              </w:rPr>
              <w:t>Programs</w:t>
            </w:r>
          </w:p>
          <w:p w14:paraId="04039A3C" w14:textId="77777777" w:rsidR="00C44B2A" w:rsidRPr="00C44B2A" w:rsidRDefault="00C44B2A" w:rsidP="00091F80">
            <w:pPr>
              <w:numPr>
                <w:ilvl w:val="0"/>
                <w:numId w:val="11"/>
              </w:numPr>
              <w:spacing w:before="60" w:after="60" w:line="240" w:lineRule="auto"/>
              <w:ind w:left="714" w:hanging="357"/>
              <w:rPr>
                <w:rStyle w:val="ExampletextCharChar"/>
                <w:i w:val="0"/>
                <w:iCs/>
                <w:color w:val="auto"/>
              </w:rPr>
            </w:pPr>
            <w:r w:rsidRPr="00C44B2A">
              <w:rPr>
                <w:rStyle w:val="ExampletextCharChar"/>
                <w:i w:val="0"/>
                <w:iCs/>
                <w:color w:val="auto"/>
              </w:rPr>
              <w:t>Program 2.1 – Consular Services</w:t>
            </w:r>
          </w:p>
          <w:p w14:paraId="1940A779" w14:textId="77777777" w:rsidR="00C44B2A" w:rsidRPr="00C44B2A" w:rsidRDefault="00C44B2A" w:rsidP="00091F80">
            <w:pPr>
              <w:numPr>
                <w:ilvl w:val="0"/>
                <w:numId w:val="11"/>
              </w:numPr>
              <w:spacing w:before="60" w:after="60" w:line="240" w:lineRule="auto"/>
              <w:ind w:left="714" w:hanging="357"/>
              <w:rPr>
                <w:rStyle w:val="ExampletextCharChar"/>
                <w:i w:val="0"/>
                <w:iCs/>
                <w:color w:val="auto"/>
              </w:rPr>
            </w:pPr>
            <w:r w:rsidRPr="00C44B2A">
              <w:rPr>
                <w:rStyle w:val="ExampletextCharChar"/>
                <w:i w:val="0"/>
                <w:iCs/>
                <w:color w:val="auto"/>
              </w:rPr>
              <w:t>Program 2.2 – Passport Services</w:t>
            </w:r>
          </w:p>
          <w:p w14:paraId="60657EDC" w14:textId="77777777" w:rsidR="00C44B2A" w:rsidRPr="00C44B2A" w:rsidRDefault="00C44B2A" w:rsidP="00091F80">
            <w:pPr>
              <w:numPr>
                <w:ilvl w:val="0"/>
                <w:numId w:val="11"/>
              </w:numPr>
              <w:spacing w:before="60" w:after="60" w:line="240" w:lineRule="auto"/>
              <w:ind w:left="714" w:hanging="357"/>
              <w:rPr>
                <w:rStyle w:val="ExampletextCharChar"/>
                <w:i w:val="0"/>
                <w:iCs/>
                <w:color w:val="auto"/>
              </w:rPr>
            </w:pPr>
            <w:r w:rsidRPr="00C44B2A">
              <w:rPr>
                <w:rStyle w:val="ExampletextCharChar"/>
                <w:i w:val="0"/>
                <w:iCs/>
                <w:color w:val="auto"/>
              </w:rPr>
              <w:t>Program 3.1 – Foreign Affairs and Trade Security and IT</w:t>
            </w:r>
          </w:p>
          <w:p w14:paraId="30C096B7" w14:textId="77777777" w:rsidR="00C44B2A" w:rsidRDefault="00C44B2A" w:rsidP="00091F80">
            <w:pPr>
              <w:numPr>
                <w:ilvl w:val="0"/>
                <w:numId w:val="11"/>
              </w:numPr>
              <w:spacing w:before="60" w:after="60" w:line="240" w:lineRule="auto"/>
              <w:ind w:left="714" w:hanging="357"/>
            </w:pPr>
            <w:r w:rsidRPr="00C44B2A">
              <w:rPr>
                <w:rStyle w:val="ExampletextCharChar"/>
                <w:i w:val="0"/>
                <w:iCs/>
                <w:color w:val="auto"/>
              </w:rPr>
              <w:t>Program 3.2 – Overseas Property</w:t>
            </w:r>
          </w:p>
        </w:tc>
      </w:tr>
      <w:tr w:rsidR="00C44B2A" w14:paraId="2FB3E2BB" w14:textId="77777777" w:rsidTr="00C44B2A">
        <w:trPr>
          <w:trHeight w:val="1219"/>
        </w:trPr>
        <w:tc>
          <w:tcPr>
            <w:tcW w:w="5000" w:type="pct"/>
          </w:tcPr>
          <w:p w14:paraId="4EB9E182" w14:textId="77777777" w:rsidR="00C44B2A" w:rsidRDefault="00C44B2A" w:rsidP="000814C9">
            <w:pPr>
              <w:pStyle w:val="TableParagraph"/>
              <w:spacing w:before="80"/>
              <w:ind w:left="105"/>
              <w:jc w:val="both"/>
              <w:rPr>
                <w:rFonts w:ascii="Book Antiqua"/>
                <w:b/>
                <w:sz w:val="20"/>
              </w:rPr>
            </w:pPr>
            <w:r>
              <w:rPr>
                <w:rFonts w:ascii="Book Antiqua"/>
                <w:b/>
                <w:sz w:val="20"/>
              </w:rPr>
              <w:t>Contribution to Outcome 2 made by linked programs</w:t>
            </w:r>
          </w:p>
          <w:p w14:paraId="4C0D2792" w14:textId="5D34A69C" w:rsidR="00C44B2A" w:rsidRDefault="00C44B2A" w:rsidP="000814C9">
            <w:pPr>
              <w:pStyle w:val="TableParagraph"/>
              <w:spacing w:before="77" w:line="249" w:lineRule="auto"/>
              <w:ind w:left="105" w:right="90"/>
              <w:jc w:val="both"/>
              <w:rPr>
                <w:rFonts w:ascii="Book Antiqua"/>
                <w:sz w:val="20"/>
              </w:rPr>
            </w:pPr>
            <w:r w:rsidRPr="00363C15">
              <w:rPr>
                <w:rFonts w:ascii="Book Antiqua"/>
                <w:sz w:val="20"/>
              </w:rPr>
              <w:t>Austrade delivers consular and passport services on behalf of the Australian</w:t>
            </w:r>
            <w:r w:rsidR="003B66CC">
              <w:rPr>
                <w:rFonts w:ascii="Book Antiqua"/>
                <w:sz w:val="20"/>
              </w:rPr>
              <w:t> </w:t>
            </w:r>
            <w:r w:rsidRPr="00363C15">
              <w:rPr>
                <w:rFonts w:ascii="Book Antiqua"/>
                <w:sz w:val="20"/>
              </w:rPr>
              <w:t>Government in locations where DFAT does not have a presence. Where an Austrade office is located within a DFAT-managed mission</w:t>
            </w:r>
            <w:r w:rsidR="00D82A6C">
              <w:rPr>
                <w:rFonts w:ascii="Book Antiqua"/>
                <w:sz w:val="20"/>
              </w:rPr>
              <w:t xml:space="preserve"> or </w:t>
            </w:r>
            <w:r w:rsidRPr="00363C15">
              <w:rPr>
                <w:rFonts w:ascii="Book Antiqua"/>
                <w:sz w:val="20"/>
              </w:rPr>
              <w:t xml:space="preserve">post, DFAT is responsible for the safety and security of that Austrade presence. </w:t>
            </w:r>
          </w:p>
        </w:tc>
      </w:tr>
    </w:tbl>
    <w:p w14:paraId="7E0FBEBA" w14:textId="1FF6F31C" w:rsidR="00C44B2A" w:rsidRDefault="00C44B2A" w:rsidP="00C44B2A"/>
    <w:p w14:paraId="249C550D" w14:textId="48029E92" w:rsidR="00EE7083" w:rsidRPr="00E26389" w:rsidRDefault="00EE7083" w:rsidP="00EE7083">
      <w:pPr>
        <w:pStyle w:val="Heading5"/>
        <w:rPr>
          <w:b/>
          <w:bCs w:val="0"/>
        </w:rPr>
      </w:pPr>
      <w:r w:rsidRPr="00E26389">
        <w:rPr>
          <w:b/>
          <w:bCs w:val="0"/>
        </w:rPr>
        <w:br w:type="page"/>
        <w:t>Budgeted expenses for Outcome 2</w:t>
      </w:r>
    </w:p>
    <w:p w14:paraId="1C77991C" w14:textId="77777777" w:rsidR="00EE7083" w:rsidRDefault="00EE7083" w:rsidP="00EE7083">
      <w:r w:rsidRPr="00950281">
        <w:t>This table shows how much the entity intends to spend (on an accrual basis) on achieving the outcome, broken down by program, as well as by Administered an</w:t>
      </w:r>
      <w:r>
        <w:t>d Departmental funding sources.</w:t>
      </w:r>
    </w:p>
    <w:p w14:paraId="3339824B" w14:textId="4503CB76" w:rsidR="00EE7083" w:rsidRPr="00C44B2A" w:rsidRDefault="00EE7083" w:rsidP="00C44B2A">
      <w:pPr>
        <w:pStyle w:val="TableHeading"/>
        <w:rPr>
          <w:lang w:val="en-AU"/>
        </w:rPr>
      </w:pPr>
      <w:r w:rsidRPr="00C44B2A">
        <w:t>Table 2.</w:t>
      </w:r>
      <w:r w:rsidR="00C44B2A">
        <w:rPr>
          <w:lang w:val="en-AU"/>
        </w:rPr>
        <w:t>2</w:t>
      </w:r>
      <w:r w:rsidRPr="00C44B2A">
        <w:t xml:space="preserve">.1: Budgeted expenses for Outcome </w:t>
      </w:r>
      <w:r w:rsidR="00C44B2A">
        <w:rPr>
          <w:lang w:val="en-AU"/>
        </w:rPr>
        <w:t>2</w:t>
      </w:r>
    </w:p>
    <w:p w14:paraId="404836C9" w14:textId="1920070A" w:rsidR="00EE7083" w:rsidRDefault="00D72CD6" w:rsidP="00EE7083">
      <w:pPr>
        <w:pStyle w:val="TableHeading"/>
      </w:pPr>
      <w:r w:rsidRPr="00D72CD6">
        <w:rPr>
          <w:noProof/>
        </w:rPr>
        <w:drawing>
          <wp:inline distT="0" distB="0" distL="0" distR="0" wp14:anchorId="32093126" wp14:editId="6183D21A">
            <wp:extent cx="4657725" cy="3086100"/>
            <wp:effectExtent l="0" t="0" r="952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57725" cy="3086100"/>
                    </a:xfrm>
                    <a:prstGeom prst="rect">
                      <a:avLst/>
                    </a:prstGeom>
                    <a:noFill/>
                    <a:ln>
                      <a:noFill/>
                    </a:ln>
                  </pic:spPr>
                </pic:pic>
              </a:graphicData>
            </a:graphic>
          </wp:inline>
        </w:drawing>
      </w:r>
    </w:p>
    <w:p w14:paraId="0A08A6F2" w14:textId="77777777" w:rsidR="00EE7083" w:rsidRPr="00950281" w:rsidRDefault="00EE7083" w:rsidP="00091F80">
      <w:pPr>
        <w:pStyle w:val="ChartandTableFootnoteAlpha"/>
        <w:numPr>
          <w:ilvl w:val="0"/>
          <w:numId w:val="33"/>
        </w:numPr>
      </w:pPr>
      <w:r w:rsidRPr="00950281">
        <w:t>E</w:t>
      </w:r>
      <w:r>
        <w:t>stimated e</w:t>
      </w:r>
      <w:r w:rsidRPr="00950281">
        <w:t xml:space="preserve">xpenses </w:t>
      </w:r>
      <w:r>
        <w:t>incurred in relation to receipts retained under section 74 of the PGPA Act</w:t>
      </w:r>
      <w:r w:rsidRPr="006922DC">
        <w:t>.</w:t>
      </w:r>
    </w:p>
    <w:p w14:paraId="58AEBBD3" w14:textId="77777777" w:rsidR="00EE7083" w:rsidRPr="00446612" w:rsidRDefault="00EE7083" w:rsidP="00EE7083">
      <w:pPr>
        <w:pStyle w:val="ChartandTableFootnote"/>
      </w:pPr>
      <w:r w:rsidRPr="00446612">
        <w:t>Note: Departmental appropriation splits and totals are indicative estimates and may change in the course of the budget year as government priorities change.</w:t>
      </w:r>
    </w:p>
    <w:p w14:paraId="426868C4" w14:textId="77777777" w:rsidR="00EE7083" w:rsidRPr="00446612" w:rsidRDefault="00EE7083" w:rsidP="00EE7083">
      <w:pPr>
        <w:pStyle w:val="NoSpacing"/>
      </w:pPr>
    </w:p>
    <w:p w14:paraId="48A2CBD6" w14:textId="24D07219" w:rsidR="00C44B2A" w:rsidRPr="00F71634" w:rsidRDefault="00EE7083" w:rsidP="00C44B2A">
      <w:pPr>
        <w:spacing w:after="0"/>
      </w:pPr>
      <w:r>
        <w:rPr>
          <w:highlight w:val="yellow"/>
        </w:rPr>
        <w:br w:type="page"/>
      </w:r>
    </w:p>
    <w:p w14:paraId="6D7B086F" w14:textId="25DF83A3" w:rsidR="00EE7083" w:rsidRPr="00C44B2A" w:rsidRDefault="00EE7083" w:rsidP="00EE7083">
      <w:pPr>
        <w:pStyle w:val="TableHeading"/>
        <w:rPr>
          <w:lang w:val="en-AU"/>
        </w:rPr>
      </w:pPr>
      <w:r w:rsidRPr="00F71634">
        <w:t>Table 2.</w:t>
      </w:r>
      <w:r w:rsidR="00C44B2A">
        <w:rPr>
          <w:lang w:val="en-AU"/>
        </w:rPr>
        <w:t>2</w:t>
      </w:r>
      <w:r w:rsidRPr="00F71634">
        <w:t xml:space="preserve">.3: Performance </w:t>
      </w:r>
      <w:r>
        <w:rPr>
          <w:lang w:val="en-AU"/>
        </w:rPr>
        <w:t>measure</w:t>
      </w:r>
      <w:r w:rsidRPr="00F71634">
        <w:t xml:space="preserve"> for Outcome </w:t>
      </w:r>
      <w:r w:rsidR="00C44B2A">
        <w:rPr>
          <w:lang w:val="en-AU"/>
        </w:rPr>
        <w:t>2</w:t>
      </w:r>
    </w:p>
    <w:p w14:paraId="23FF6D3B" w14:textId="438960FF" w:rsidR="00EE7083" w:rsidRPr="00F71634" w:rsidRDefault="00EE7083" w:rsidP="00EE7083">
      <w:r w:rsidRPr="001B2F81">
        <w:t>Table 2.</w:t>
      </w:r>
      <w:r w:rsidR="00C44B2A">
        <w:t>2</w:t>
      </w:r>
      <w:r w:rsidRPr="001B2F81">
        <w:t>.</w:t>
      </w:r>
      <w:r>
        <w:t>3</w:t>
      </w:r>
      <w:r w:rsidRPr="001B2F81">
        <w:t xml:space="preserve"> details the performance measures for each program associated with Outcome</w:t>
      </w:r>
      <w:r w:rsidR="003D7DC8">
        <w:t> </w:t>
      </w:r>
      <w:r w:rsidR="00C44B2A">
        <w:t>2</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092D46">
        <w:t>–</w:t>
      </w:r>
      <w:r>
        <w:t>23</w:t>
      </w:r>
      <w:r w:rsidRPr="001B2F81">
        <w:t xml:space="preserve"> Budget measures that have created new programs or materially changed existing programs </w:t>
      </w:r>
      <w:r>
        <w:t>are</w:t>
      </w:r>
      <w:r w:rsidRPr="001B2F81">
        <w:t xml:space="preserve"> provided.</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9"/>
      </w:tblGrid>
      <w:tr w:rsidR="00EE7083" w:rsidRPr="001B2F81" w14:paraId="52EB409F" w14:textId="77777777" w:rsidTr="00D82A6C">
        <w:trPr>
          <w:trHeight w:val="569"/>
          <w:tblHeader/>
        </w:trPr>
        <w:tc>
          <w:tcPr>
            <w:tcW w:w="7797" w:type="dxa"/>
            <w:gridSpan w:val="3"/>
            <w:shd w:val="clear" w:color="auto" w:fill="F2F2F2"/>
          </w:tcPr>
          <w:p w14:paraId="190E4149" w14:textId="546B18AD" w:rsidR="00EE7083" w:rsidRPr="00C41058" w:rsidRDefault="00EE7083" w:rsidP="00637CC0">
            <w:pPr>
              <w:pStyle w:val="TableColumnHeadingLeft"/>
            </w:pPr>
            <w:r w:rsidRPr="00C41058">
              <w:rPr>
                <w:rStyle w:val="TableHeadingChar"/>
                <w:b/>
              </w:rPr>
              <w:t xml:space="preserve">Outcome </w:t>
            </w:r>
            <w:r w:rsidR="00C44B2A" w:rsidRPr="00C44B2A">
              <w:rPr>
                <w:rStyle w:val="TableHeadingChar"/>
                <w:b/>
              </w:rPr>
              <w:t>2 – The protection and welfare of Australians abroad through timely and responsive consular and passport services in specific locations overseas</w:t>
            </w:r>
          </w:p>
        </w:tc>
      </w:tr>
      <w:tr w:rsidR="00EE7083" w:rsidRPr="001B2F81" w14:paraId="5FC6C31C" w14:textId="77777777" w:rsidTr="00D82A6C">
        <w:trPr>
          <w:trHeight w:val="60"/>
          <w:tblHeader/>
        </w:trPr>
        <w:tc>
          <w:tcPr>
            <w:tcW w:w="7797" w:type="dxa"/>
            <w:gridSpan w:val="3"/>
            <w:shd w:val="clear" w:color="auto" w:fill="F2F2F2"/>
          </w:tcPr>
          <w:p w14:paraId="353C2791" w14:textId="568E2151" w:rsidR="00EE7083" w:rsidRPr="001242D8" w:rsidRDefault="00EE7083" w:rsidP="00637CC0">
            <w:pPr>
              <w:pStyle w:val="TableTextLeft"/>
              <w:rPr>
                <w:rFonts w:eastAsia="Arial"/>
                <w:b/>
                <w:szCs w:val="18"/>
              </w:rPr>
            </w:pPr>
            <w:r w:rsidRPr="001242D8">
              <w:rPr>
                <w:b/>
                <w:szCs w:val="18"/>
              </w:rPr>
              <w:t xml:space="preserve">Program </w:t>
            </w:r>
            <w:r w:rsidR="00C44B2A" w:rsidRPr="001242D8">
              <w:rPr>
                <w:b/>
                <w:szCs w:val="18"/>
              </w:rPr>
              <w:t xml:space="preserve">2.1 – Consular and Passport Services </w:t>
            </w:r>
          </w:p>
        </w:tc>
      </w:tr>
      <w:tr w:rsidR="00EE7083" w:rsidRPr="001B2F81" w14:paraId="22C922EA" w14:textId="77777777" w:rsidTr="00551232">
        <w:trPr>
          <w:trHeight w:val="1144"/>
        </w:trPr>
        <w:tc>
          <w:tcPr>
            <w:tcW w:w="1560" w:type="dxa"/>
            <w:tcBorders>
              <w:bottom w:val="double" w:sz="4" w:space="0" w:color="auto"/>
            </w:tcBorders>
          </w:tcPr>
          <w:p w14:paraId="6737F66A" w14:textId="7FEF2CB4" w:rsidR="00EE7083" w:rsidRPr="00160C23" w:rsidRDefault="00EE7083" w:rsidP="00637CC0">
            <w:pPr>
              <w:tabs>
                <w:tab w:val="left" w:pos="709"/>
              </w:tabs>
              <w:spacing w:before="60"/>
              <w:rPr>
                <w:rFonts w:ascii="Arial" w:hAnsi="Arial" w:cs="Arial"/>
                <w:b/>
                <w:sz w:val="16"/>
                <w:szCs w:val="16"/>
              </w:rPr>
            </w:pPr>
            <w:r w:rsidRPr="00160C23">
              <w:rPr>
                <w:rFonts w:ascii="Arial" w:hAnsi="Arial" w:cs="Arial"/>
                <w:b/>
                <w:sz w:val="16"/>
                <w:szCs w:val="16"/>
              </w:rPr>
              <w:t xml:space="preserve">Key Activities </w:t>
            </w:r>
          </w:p>
        </w:tc>
        <w:tc>
          <w:tcPr>
            <w:tcW w:w="6237" w:type="dxa"/>
            <w:gridSpan w:val="2"/>
            <w:tcBorders>
              <w:bottom w:val="double" w:sz="4" w:space="0" w:color="auto"/>
            </w:tcBorders>
          </w:tcPr>
          <w:p w14:paraId="68F53A44" w14:textId="7583DE84" w:rsidR="00EE7083" w:rsidRPr="00160C23" w:rsidRDefault="00D82A6C" w:rsidP="00551232">
            <w:pPr>
              <w:spacing w:before="60" w:after="60" w:line="240" w:lineRule="auto"/>
              <w:jc w:val="left"/>
              <w:rPr>
                <w:rFonts w:ascii="Arial" w:hAnsi="Arial" w:cs="Arial"/>
                <w:i/>
                <w:sz w:val="16"/>
                <w:szCs w:val="16"/>
              </w:rPr>
            </w:pPr>
            <w:r w:rsidRPr="00551232">
              <w:rPr>
                <w:rFonts w:ascii="Arial" w:hAnsi="Arial" w:cs="Arial"/>
                <w:color w:val="000000"/>
                <w:sz w:val="16"/>
                <w:szCs w:val="16"/>
              </w:rPr>
              <w:t>In overseas locations where Austrade has designated consular management responsibilities, Austrade will continue to place a high priority on helping Australians through the delivery of effective consular services, efficient passport services and practical contingency planning, in accordance with DFAT’s Consular Services and Passports Client Services charters</w:t>
            </w:r>
            <w:r w:rsidR="00EE7083" w:rsidRPr="00551232">
              <w:rPr>
                <w:rFonts w:ascii="Arial" w:hAnsi="Arial" w:cs="Arial"/>
                <w:color w:val="000000"/>
                <w:sz w:val="16"/>
                <w:szCs w:val="16"/>
              </w:rPr>
              <w:t>.</w:t>
            </w:r>
          </w:p>
        </w:tc>
      </w:tr>
      <w:tr w:rsidR="00EE7083" w:rsidRPr="001B2F81" w14:paraId="7DEFACBB" w14:textId="77777777" w:rsidTr="00173D7B">
        <w:trPr>
          <w:trHeight w:val="258"/>
        </w:trPr>
        <w:tc>
          <w:tcPr>
            <w:tcW w:w="1560" w:type="dxa"/>
            <w:tcBorders>
              <w:top w:val="double" w:sz="4" w:space="0" w:color="auto"/>
              <w:bottom w:val="single" w:sz="4" w:space="0" w:color="auto"/>
              <w:right w:val="single" w:sz="4" w:space="0" w:color="auto"/>
            </w:tcBorders>
          </w:tcPr>
          <w:p w14:paraId="194D272E" w14:textId="77777777" w:rsidR="00EE7083" w:rsidRPr="00160C23" w:rsidRDefault="00EE7083" w:rsidP="00637CC0">
            <w:pPr>
              <w:pStyle w:val="TableTextBase"/>
              <w:rPr>
                <w:b/>
                <w:sz w:val="16"/>
                <w:szCs w:val="16"/>
              </w:rPr>
            </w:pPr>
            <w:r w:rsidRPr="00160C23">
              <w:rPr>
                <w:b/>
                <w:sz w:val="16"/>
                <w:szCs w:val="16"/>
              </w:rPr>
              <w:t>Year</w:t>
            </w:r>
          </w:p>
          <w:p w14:paraId="3FE4BDB8" w14:textId="77777777" w:rsidR="00EE7083" w:rsidRPr="00160C23" w:rsidRDefault="00EE7083" w:rsidP="00637CC0">
            <w:pPr>
              <w:pStyle w:val="TableTextBase"/>
              <w:rPr>
                <w:b/>
                <w:sz w:val="16"/>
                <w:szCs w:val="16"/>
              </w:rPr>
            </w:pPr>
          </w:p>
        </w:tc>
        <w:tc>
          <w:tcPr>
            <w:tcW w:w="3118" w:type="dxa"/>
            <w:tcBorders>
              <w:top w:val="double" w:sz="4" w:space="0" w:color="auto"/>
              <w:left w:val="single" w:sz="4" w:space="0" w:color="auto"/>
              <w:bottom w:val="single" w:sz="4" w:space="0" w:color="auto"/>
              <w:right w:val="single" w:sz="4" w:space="0" w:color="auto"/>
            </w:tcBorders>
          </w:tcPr>
          <w:p w14:paraId="454F038D" w14:textId="77777777" w:rsidR="00EE7083" w:rsidRPr="00160C23" w:rsidRDefault="00EE7083" w:rsidP="00637CC0">
            <w:pPr>
              <w:pStyle w:val="TableTextBase"/>
              <w:rPr>
                <w:rFonts w:cs="Arial"/>
                <w:b/>
                <w:sz w:val="16"/>
                <w:szCs w:val="16"/>
              </w:rPr>
            </w:pPr>
            <w:r w:rsidRPr="00160C23">
              <w:rPr>
                <w:rFonts w:cs="Arial"/>
                <w:b/>
                <w:sz w:val="16"/>
                <w:szCs w:val="16"/>
              </w:rPr>
              <w:t>Performance measures</w:t>
            </w:r>
          </w:p>
        </w:tc>
        <w:tc>
          <w:tcPr>
            <w:tcW w:w="3119" w:type="dxa"/>
            <w:tcBorders>
              <w:top w:val="double" w:sz="4" w:space="0" w:color="auto"/>
              <w:left w:val="single" w:sz="4" w:space="0" w:color="auto"/>
              <w:bottom w:val="single" w:sz="4" w:space="0" w:color="auto"/>
            </w:tcBorders>
          </w:tcPr>
          <w:p w14:paraId="03480B8C" w14:textId="77777777" w:rsidR="00EE7083" w:rsidRPr="00160C23" w:rsidRDefault="00EE7083" w:rsidP="00637CC0">
            <w:pPr>
              <w:pStyle w:val="TableTextBase"/>
              <w:rPr>
                <w:rFonts w:cs="Arial"/>
                <w:b/>
                <w:sz w:val="16"/>
                <w:szCs w:val="16"/>
              </w:rPr>
            </w:pPr>
            <w:r w:rsidRPr="00160C23">
              <w:rPr>
                <w:rFonts w:cs="Arial"/>
                <w:b/>
                <w:sz w:val="16"/>
                <w:szCs w:val="16"/>
              </w:rPr>
              <w:t>Expected Performance Results</w:t>
            </w:r>
          </w:p>
        </w:tc>
      </w:tr>
      <w:tr w:rsidR="00EE7083" w:rsidRPr="001B2F81" w14:paraId="5F42DEA0" w14:textId="77777777" w:rsidTr="00173D7B">
        <w:trPr>
          <w:trHeight w:val="642"/>
        </w:trPr>
        <w:tc>
          <w:tcPr>
            <w:tcW w:w="1560" w:type="dxa"/>
            <w:tcBorders>
              <w:top w:val="single" w:sz="4" w:space="0" w:color="auto"/>
              <w:bottom w:val="dotted" w:sz="4" w:space="0" w:color="auto"/>
              <w:right w:val="single" w:sz="4" w:space="0" w:color="auto"/>
            </w:tcBorders>
          </w:tcPr>
          <w:p w14:paraId="6EC28EF3" w14:textId="77777777" w:rsidR="00EE7083" w:rsidRPr="00160C23" w:rsidRDefault="00EE7083" w:rsidP="00637CC0">
            <w:pPr>
              <w:pStyle w:val="TableTextBase"/>
              <w:rPr>
                <w:sz w:val="16"/>
                <w:szCs w:val="16"/>
              </w:rPr>
            </w:pPr>
            <w:r w:rsidRPr="00160C23">
              <w:rPr>
                <w:sz w:val="16"/>
                <w:szCs w:val="16"/>
              </w:rPr>
              <w:t xml:space="preserve">Current year </w:t>
            </w:r>
          </w:p>
          <w:p w14:paraId="5A3BA4E6" w14:textId="77777777" w:rsidR="00EE7083" w:rsidRPr="00160C23" w:rsidRDefault="00EE7083" w:rsidP="00637CC0">
            <w:pPr>
              <w:pStyle w:val="TableTextBase"/>
              <w:rPr>
                <w:sz w:val="16"/>
                <w:szCs w:val="16"/>
              </w:rPr>
            </w:pPr>
            <w:r w:rsidRPr="00160C23">
              <w:rPr>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14:paraId="3D31F727" w14:textId="1238D45D" w:rsidR="00EE7083" w:rsidRPr="00173D7B" w:rsidRDefault="00D82A6C" w:rsidP="00551232">
            <w:pPr>
              <w:pStyle w:val="TableTextBase"/>
              <w:rPr>
                <w:iCs/>
                <w:sz w:val="16"/>
                <w:szCs w:val="16"/>
              </w:rPr>
            </w:pPr>
            <w:r w:rsidRPr="00173D7B">
              <w:rPr>
                <w:iCs/>
                <w:sz w:val="16"/>
                <w:szCs w:val="16"/>
              </w:rPr>
              <w:t>Effective delivery of consular and passport services to Australians overseas</w:t>
            </w:r>
            <w:r w:rsidR="00173D7B" w:rsidRPr="00173D7B">
              <w:rPr>
                <w:iCs/>
                <w:sz w:val="16"/>
                <w:szCs w:val="16"/>
              </w:rPr>
              <w:t>.</w:t>
            </w:r>
          </w:p>
          <w:p w14:paraId="40E366B7" w14:textId="77777777" w:rsidR="00EE7083" w:rsidRPr="00160C23" w:rsidRDefault="00EE7083" w:rsidP="00551232">
            <w:pPr>
              <w:pStyle w:val="TableTextBase"/>
              <w:rPr>
                <w:i/>
                <w:color w:val="0070C0"/>
                <w:sz w:val="16"/>
                <w:szCs w:val="16"/>
              </w:rPr>
            </w:pPr>
          </w:p>
        </w:tc>
        <w:tc>
          <w:tcPr>
            <w:tcW w:w="3119" w:type="dxa"/>
            <w:tcBorders>
              <w:top w:val="single" w:sz="4" w:space="0" w:color="auto"/>
              <w:left w:val="single" w:sz="4" w:space="0" w:color="auto"/>
              <w:bottom w:val="dotted" w:sz="4" w:space="0" w:color="auto"/>
            </w:tcBorders>
          </w:tcPr>
          <w:p w14:paraId="6EE84242" w14:textId="1090436B" w:rsidR="00EE7083" w:rsidRPr="00173D7B" w:rsidRDefault="00173D7B" w:rsidP="00551232">
            <w:pPr>
              <w:pStyle w:val="TableTextBase"/>
              <w:rPr>
                <w:iCs/>
                <w:sz w:val="16"/>
                <w:szCs w:val="16"/>
              </w:rPr>
            </w:pPr>
            <w:r w:rsidRPr="00173D7B">
              <w:rPr>
                <w:iCs/>
                <w:sz w:val="16"/>
                <w:szCs w:val="16"/>
              </w:rPr>
              <w:t>On track. Austrade expects that at least 97 per cent of routine passport applications are processed accurately as per Australian Passport Office benchmark</w:t>
            </w:r>
            <w:r w:rsidR="00EE7083" w:rsidRPr="00173D7B">
              <w:rPr>
                <w:iCs/>
                <w:sz w:val="16"/>
                <w:szCs w:val="16"/>
              </w:rPr>
              <w:t>.</w:t>
            </w:r>
          </w:p>
        </w:tc>
      </w:tr>
      <w:tr w:rsidR="00EE7083" w:rsidRPr="001B2F81" w14:paraId="13B7D667" w14:textId="77777777" w:rsidTr="00173D7B">
        <w:trPr>
          <w:trHeight w:val="100"/>
        </w:trPr>
        <w:tc>
          <w:tcPr>
            <w:tcW w:w="1560" w:type="dxa"/>
            <w:tcBorders>
              <w:top w:val="single" w:sz="4" w:space="0" w:color="auto"/>
              <w:bottom w:val="dotted" w:sz="4" w:space="0" w:color="auto"/>
              <w:right w:val="single" w:sz="4" w:space="0" w:color="auto"/>
            </w:tcBorders>
          </w:tcPr>
          <w:p w14:paraId="23639BAF" w14:textId="77777777" w:rsidR="00EE7083" w:rsidRPr="00160C23" w:rsidRDefault="00EE7083" w:rsidP="00637CC0">
            <w:pPr>
              <w:pStyle w:val="TableTextBase"/>
              <w:rPr>
                <w:b/>
                <w:sz w:val="16"/>
                <w:szCs w:val="16"/>
              </w:rPr>
            </w:pPr>
            <w:r w:rsidRPr="00160C23">
              <w:rPr>
                <w:b/>
                <w:sz w:val="16"/>
                <w:szCs w:val="16"/>
              </w:rPr>
              <w:t>Year</w:t>
            </w:r>
          </w:p>
          <w:p w14:paraId="3F585035" w14:textId="77777777" w:rsidR="00EE7083" w:rsidRPr="00160C23" w:rsidRDefault="00EE7083" w:rsidP="00637CC0">
            <w:pPr>
              <w:pStyle w:val="TableTextBase"/>
              <w:rPr>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3A09CD9B" w14:textId="77777777" w:rsidR="00EE7083" w:rsidRPr="00160C23" w:rsidRDefault="00EE7083" w:rsidP="00637CC0">
            <w:pPr>
              <w:pStyle w:val="TableTextBase"/>
              <w:rPr>
                <w:b/>
                <w:sz w:val="16"/>
                <w:szCs w:val="16"/>
              </w:rPr>
            </w:pPr>
            <w:r w:rsidRPr="00160C23">
              <w:rPr>
                <w:b/>
                <w:sz w:val="16"/>
                <w:szCs w:val="16"/>
              </w:rPr>
              <w:t>Performance measures</w:t>
            </w:r>
          </w:p>
        </w:tc>
        <w:tc>
          <w:tcPr>
            <w:tcW w:w="3119" w:type="dxa"/>
            <w:tcBorders>
              <w:top w:val="single" w:sz="4" w:space="0" w:color="auto"/>
              <w:left w:val="single" w:sz="4" w:space="0" w:color="auto"/>
              <w:bottom w:val="dotted" w:sz="4" w:space="0" w:color="auto"/>
            </w:tcBorders>
          </w:tcPr>
          <w:p w14:paraId="252190AC" w14:textId="43A300C7" w:rsidR="00EE7083" w:rsidRPr="00160C23" w:rsidRDefault="000814C9" w:rsidP="00637CC0">
            <w:pPr>
              <w:pStyle w:val="TableTextBase"/>
              <w:rPr>
                <w:b/>
                <w:sz w:val="16"/>
                <w:szCs w:val="16"/>
              </w:rPr>
            </w:pPr>
            <w:r>
              <w:rPr>
                <w:b/>
                <w:sz w:val="16"/>
                <w:szCs w:val="16"/>
              </w:rPr>
              <w:t>Planned</w:t>
            </w:r>
            <w:r w:rsidR="00EE7083" w:rsidRPr="00160C23">
              <w:rPr>
                <w:b/>
                <w:sz w:val="16"/>
                <w:szCs w:val="16"/>
              </w:rPr>
              <w:t xml:space="preserve"> Performance Results</w:t>
            </w:r>
          </w:p>
        </w:tc>
      </w:tr>
      <w:tr w:rsidR="00EE7083" w:rsidRPr="001B2F81" w14:paraId="445BB808" w14:textId="77777777" w:rsidTr="00464EAA">
        <w:trPr>
          <w:trHeight w:val="100"/>
        </w:trPr>
        <w:tc>
          <w:tcPr>
            <w:tcW w:w="1560" w:type="dxa"/>
            <w:tcBorders>
              <w:top w:val="single" w:sz="4" w:space="0" w:color="auto"/>
              <w:bottom w:val="dotted" w:sz="4" w:space="0" w:color="auto"/>
              <w:right w:val="single" w:sz="4" w:space="0" w:color="auto"/>
            </w:tcBorders>
          </w:tcPr>
          <w:p w14:paraId="2F5D385F" w14:textId="77777777" w:rsidR="00551232" w:rsidRDefault="00EE7083" w:rsidP="00637CC0">
            <w:pPr>
              <w:pStyle w:val="TableTextBase"/>
              <w:rPr>
                <w:sz w:val="16"/>
                <w:szCs w:val="16"/>
              </w:rPr>
            </w:pPr>
            <w:r w:rsidRPr="00D82A6C">
              <w:rPr>
                <w:sz w:val="16"/>
                <w:szCs w:val="16"/>
              </w:rPr>
              <w:t xml:space="preserve">Budget Year    </w:t>
            </w:r>
          </w:p>
          <w:p w14:paraId="0EA8DE93" w14:textId="4D401B1E" w:rsidR="00EE7083" w:rsidRPr="00D82A6C" w:rsidRDefault="00EE7083" w:rsidP="00637CC0">
            <w:pPr>
              <w:pStyle w:val="TableTextBase"/>
              <w:rPr>
                <w:sz w:val="16"/>
                <w:szCs w:val="16"/>
              </w:rPr>
            </w:pPr>
            <w:r w:rsidRPr="00D82A6C">
              <w:rPr>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6FCA5F10" w14:textId="015D2D04" w:rsidR="00EE7083" w:rsidRPr="00173D7B" w:rsidRDefault="00173D7B" w:rsidP="00551232">
            <w:pPr>
              <w:pStyle w:val="TableTextBase"/>
              <w:rPr>
                <w:iCs/>
                <w:sz w:val="16"/>
                <w:szCs w:val="16"/>
              </w:rPr>
            </w:pPr>
            <w:r w:rsidRPr="00173D7B">
              <w:rPr>
                <w:iCs/>
                <w:sz w:val="16"/>
                <w:szCs w:val="16"/>
              </w:rPr>
              <w:t>Effective delivery of consular and passport services to Australians overseas.</w:t>
            </w:r>
          </w:p>
        </w:tc>
        <w:tc>
          <w:tcPr>
            <w:tcW w:w="3119" w:type="dxa"/>
            <w:tcBorders>
              <w:top w:val="single" w:sz="4" w:space="0" w:color="auto"/>
              <w:left w:val="single" w:sz="4" w:space="0" w:color="auto"/>
              <w:bottom w:val="dotted" w:sz="4" w:space="0" w:color="auto"/>
            </w:tcBorders>
          </w:tcPr>
          <w:p w14:paraId="41ADD1F0" w14:textId="10C820F2" w:rsidR="00EE7083" w:rsidRPr="00173D7B" w:rsidRDefault="00173D7B" w:rsidP="00551232">
            <w:pPr>
              <w:pStyle w:val="TableTextBase"/>
              <w:rPr>
                <w:iCs/>
                <w:sz w:val="16"/>
                <w:szCs w:val="18"/>
              </w:rPr>
            </w:pPr>
            <w:r w:rsidRPr="00173D7B">
              <w:rPr>
                <w:iCs/>
                <w:sz w:val="16"/>
                <w:szCs w:val="18"/>
              </w:rPr>
              <w:t>Maintained or improved compared to the previous year.</w:t>
            </w:r>
          </w:p>
        </w:tc>
      </w:tr>
      <w:tr w:rsidR="00173D7B" w:rsidRPr="001B2F81" w14:paraId="3A553A93" w14:textId="77777777" w:rsidTr="00464EAA">
        <w:trPr>
          <w:trHeight w:val="491"/>
        </w:trPr>
        <w:tc>
          <w:tcPr>
            <w:tcW w:w="1560" w:type="dxa"/>
            <w:tcBorders>
              <w:top w:val="dotted" w:sz="4" w:space="0" w:color="auto"/>
              <w:bottom w:val="single" w:sz="4" w:space="0" w:color="auto"/>
              <w:right w:val="single" w:sz="4" w:space="0" w:color="auto"/>
            </w:tcBorders>
          </w:tcPr>
          <w:p w14:paraId="0DAFEE90" w14:textId="77777777" w:rsidR="00173D7B" w:rsidRPr="00D82A6C" w:rsidRDefault="00173D7B" w:rsidP="00173D7B">
            <w:pPr>
              <w:pStyle w:val="TableTextBase"/>
              <w:rPr>
                <w:sz w:val="16"/>
                <w:szCs w:val="16"/>
              </w:rPr>
            </w:pPr>
            <w:r w:rsidRPr="00D82A6C">
              <w:rPr>
                <w:sz w:val="16"/>
                <w:szCs w:val="16"/>
              </w:rPr>
              <w:t xml:space="preserve">Forward Estimates </w:t>
            </w:r>
          </w:p>
          <w:p w14:paraId="315FD41E" w14:textId="77777777" w:rsidR="00173D7B" w:rsidRPr="00D82A6C" w:rsidRDefault="00173D7B" w:rsidP="00173D7B">
            <w:pPr>
              <w:pStyle w:val="TableTextBase"/>
              <w:rPr>
                <w:sz w:val="16"/>
                <w:szCs w:val="16"/>
              </w:rPr>
            </w:pPr>
            <w:r w:rsidRPr="00D82A6C">
              <w:rPr>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32CBF5E5" w14:textId="5E01BAD3" w:rsidR="00173D7B" w:rsidRPr="00173D7B" w:rsidRDefault="00173D7B" w:rsidP="00173D7B">
            <w:pPr>
              <w:pStyle w:val="TableTextBase"/>
              <w:rPr>
                <w:b/>
                <w:iCs/>
                <w:sz w:val="16"/>
                <w:szCs w:val="18"/>
              </w:rPr>
            </w:pPr>
            <w:r w:rsidRPr="00173D7B">
              <w:rPr>
                <w:iCs/>
                <w:sz w:val="16"/>
                <w:szCs w:val="18"/>
              </w:rPr>
              <w:t>As per 2022-23.</w:t>
            </w:r>
          </w:p>
        </w:tc>
        <w:tc>
          <w:tcPr>
            <w:tcW w:w="3119" w:type="dxa"/>
            <w:tcBorders>
              <w:top w:val="dotted" w:sz="4" w:space="0" w:color="auto"/>
              <w:left w:val="single" w:sz="4" w:space="0" w:color="auto"/>
              <w:bottom w:val="single" w:sz="4" w:space="0" w:color="auto"/>
            </w:tcBorders>
          </w:tcPr>
          <w:p w14:paraId="55A51CF8" w14:textId="4C4AF1AB" w:rsidR="00173D7B" w:rsidRPr="00173D7B" w:rsidRDefault="00173D7B" w:rsidP="00173D7B">
            <w:pPr>
              <w:pStyle w:val="TableTextBase"/>
              <w:rPr>
                <w:b/>
                <w:iCs/>
                <w:sz w:val="16"/>
                <w:szCs w:val="18"/>
              </w:rPr>
            </w:pPr>
            <w:r w:rsidRPr="00173D7B">
              <w:rPr>
                <w:iCs/>
                <w:sz w:val="16"/>
                <w:szCs w:val="18"/>
              </w:rPr>
              <w:t>As per 2022-23.</w:t>
            </w:r>
          </w:p>
        </w:tc>
      </w:tr>
    </w:tbl>
    <w:p w14:paraId="56F6C000" w14:textId="47DE5FDF" w:rsidR="0026795D" w:rsidRPr="00AD42E2" w:rsidRDefault="00EE7083" w:rsidP="00EE7083">
      <w:pPr>
        <w:pStyle w:val="Heading2"/>
      </w:pPr>
      <w:r w:rsidRPr="005B6A94">
        <w:br w:type="page"/>
      </w:r>
      <w:bookmarkStart w:id="212" w:name="_Toc95217799"/>
      <w:bookmarkStart w:id="213" w:name="_Toc95217863"/>
      <w:bookmarkStart w:id="214" w:name="_Toc95229690"/>
      <w:bookmarkStart w:id="215" w:name="_Toc95288997"/>
      <w:bookmarkStart w:id="216" w:name="_Toc95291884"/>
      <w:bookmarkStart w:id="217" w:name="_Toc95293758"/>
      <w:bookmarkStart w:id="218" w:name="_Toc95296409"/>
      <w:bookmarkStart w:id="219" w:name="_Toc97387911"/>
      <w:bookmarkStart w:id="220" w:name="_Toc97540649"/>
      <w:bookmarkStart w:id="221" w:name="_Toc99111651"/>
      <w:r w:rsidR="0026795D" w:rsidRPr="00AD42E2">
        <w:t>Section 3: Budgeted financial statements</w:t>
      </w:r>
      <w:bookmarkEnd w:id="212"/>
      <w:bookmarkEnd w:id="213"/>
      <w:bookmarkEnd w:id="214"/>
      <w:bookmarkEnd w:id="215"/>
      <w:bookmarkEnd w:id="216"/>
      <w:bookmarkEnd w:id="217"/>
      <w:bookmarkEnd w:id="218"/>
      <w:bookmarkEnd w:id="219"/>
      <w:bookmarkEnd w:id="220"/>
      <w:bookmarkEnd w:id="221"/>
    </w:p>
    <w:p w14:paraId="5330A048" w14:textId="3F6CEEE7" w:rsidR="0026795D" w:rsidRDefault="0026795D" w:rsidP="0026795D">
      <w:r>
        <w:t>Section 3 presents budgeted financial statements which provide a comprehensive snapshot of entity finances for the 2022</w:t>
      </w:r>
      <w:r w:rsidR="00092D46">
        <w:t>–</w:t>
      </w:r>
      <w:r>
        <w:t>23</w:t>
      </w:r>
      <w:r w:rsidR="00092D46">
        <w:rPr>
          <w:color w:val="00B050"/>
        </w:rPr>
        <w:t xml:space="preserve"> </w:t>
      </w:r>
      <w:r w:rsidR="00092D46">
        <w:t>Bu</w:t>
      </w:r>
      <w:r>
        <w:t xml:space="preserve">dget year, including the impact of </w:t>
      </w:r>
      <w:r w:rsidR="00092D46">
        <w:t>B</w:t>
      </w:r>
      <w:r>
        <w:t>udget measures and resourcing on financial statements.</w:t>
      </w:r>
    </w:p>
    <w:p w14:paraId="0B81D3A9" w14:textId="77777777" w:rsidR="0026795D" w:rsidRPr="005328A9" w:rsidRDefault="0026795D" w:rsidP="0026795D">
      <w:pPr>
        <w:pStyle w:val="Heading3"/>
      </w:pPr>
      <w:bookmarkStart w:id="222" w:name="_Toc95217800"/>
      <w:bookmarkStart w:id="223" w:name="_Toc95217864"/>
      <w:bookmarkStart w:id="224" w:name="_Toc95229691"/>
      <w:bookmarkStart w:id="225" w:name="_Toc95288998"/>
      <w:bookmarkStart w:id="226" w:name="_Toc95291885"/>
      <w:bookmarkStart w:id="227" w:name="_Toc95293759"/>
      <w:bookmarkStart w:id="228" w:name="_Toc95296410"/>
      <w:bookmarkStart w:id="229" w:name="_Toc97387912"/>
      <w:bookmarkStart w:id="230" w:name="_Toc97540650"/>
      <w:bookmarkStart w:id="231" w:name="_Toc99111652"/>
      <w:r w:rsidRPr="005328A9">
        <w:t>3.1</w:t>
      </w:r>
      <w:r w:rsidRPr="005328A9">
        <w:tab/>
        <w:t>Budgeted financial statements</w:t>
      </w:r>
      <w:bookmarkEnd w:id="222"/>
      <w:bookmarkEnd w:id="223"/>
      <w:bookmarkEnd w:id="224"/>
      <w:bookmarkEnd w:id="225"/>
      <w:bookmarkEnd w:id="226"/>
      <w:bookmarkEnd w:id="227"/>
      <w:bookmarkEnd w:id="228"/>
      <w:bookmarkEnd w:id="229"/>
      <w:bookmarkEnd w:id="230"/>
      <w:bookmarkEnd w:id="231"/>
    </w:p>
    <w:p w14:paraId="0EA1A448" w14:textId="77777777" w:rsidR="0026795D" w:rsidRDefault="0026795D" w:rsidP="0026795D">
      <w:pPr>
        <w:pStyle w:val="Heading4"/>
      </w:pPr>
      <w:r>
        <w:t>3.1.1</w:t>
      </w:r>
      <w:r>
        <w:tab/>
        <w:t>Differences between entity resourcing and financial statements</w:t>
      </w:r>
    </w:p>
    <w:p w14:paraId="7083D181" w14:textId="09EBC44F" w:rsidR="00E93162" w:rsidRPr="00E93162" w:rsidRDefault="00E93162" w:rsidP="00E93162">
      <w:pPr>
        <w:pStyle w:val="ExampleText0"/>
        <w:spacing w:after="160"/>
        <w:jc w:val="both"/>
        <w:rPr>
          <w:i w:val="0"/>
          <w:iCs/>
          <w:color w:val="auto"/>
        </w:rPr>
      </w:pPr>
      <w:r w:rsidRPr="00E93162">
        <w:rPr>
          <w:i w:val="0"/>
          <w:iCs/>
          <w:color w:val="auto"/>
        </w:rPr>
        <w:t>There has been no difference between the resource information presented in the Budget Papers and in Austrade’s Portfolio Budget Statements.</w:t>
      </w:r>
    </w:p>
    <w:p w14:paraId="623C4B86" w14:textId="77777777" w:rsidR="0026795D" w:rsidRDefault="0026795D" w:rsidP="0026795D">
      <w:pPr>
        <w:pStyle w:val="Heading4"/>
      </w:pPr>
      <w:r>
        <w:t>3.1.2</w:t>
      </w:r>
      <w:r>
        <w:tab/>
        <w:t>Explanatory notes and analysis of budgeted financial statements</w:t>
      </w:r>
    </w:p>
    <w:p w14:paraId="1FA892D0" w14:textId="77777777" w:rsidR="00E93162" w:rsidRPr="00E93162" w:rsidRDefault="00E93162" w:rsidP="00E93162">
      <w:pPr>
        <w:pStyle w:val="ExampleText0"/>
        <w:spacing w:after="160"/>
        <w:jc w:val="both"/>
        <w:rPr>
          <w:i w:val="0"/>
          <w:iCs/>
          <w:color w:val="auto"/>
        </w:rPr>
      </w:pPr>
      <w:r w:rsidRPr="00E93162">
        <w:rPr>
          <w:i w:val="0"/>
          <w:iCs/>
          <w:color w:val="auto"/>
        </w:rPr>
        <w:t>An analysis of Austrade’s budgeted financial statements, as reflected in the departmental financial statements and administered schedules, is provided below.</w:t>
      </w:r>
    </w:p>
    <w:p w14:paraId="2114F5C7" w14:textId="035A0272" w:rsidR="00E93162" w:rsidRPr="00E93162" w:rsidRDefault="00E93162" w:rsidP="00E93162">
      <w:pPr>
        <w:pStyle w:val="Heading4"/>
        <w:jc w:val="both"/>
      </w:pPr>
      <w:r w:rsidRPr="00E93162">
        <w:t xml:space="preserve">Departmental </w:t>
      </w:r>
      <w:r>
        <w:t>f</w:t>
      </w:r>
      <w:r w:rsidRPr="00E93162">
        <w:t xml:space="preserve">inancial </w:t>
      </w:r>
      <w:r>
        <w:t>s</w:t>
      </w:r>
      <w:r w:rsidRPr="00E93162">
        <w:t>tatements</w:t>
      </w:r>
    </w:p>
    <w:p w14:paraId="3C25A052" w14:textId="77777777" w:rsidR="00E93162" w:rsidRPr="00E93162" w:rsidRDefault="00E93162" w:rsidP="00E93162">
      <w:pPr>
        <w:pStyle w:val="ExampleText0"/>
        <w:spacing w:after="160"/>
        <w:jc w:val="both"/>
        <w:rPr>
          <w:i w:val="0"/>
          <w:iCs/>
          <w:color w:val="auto"/>
        </w:rPr>
      </w:pPr>
      <w:r w:rsidRPr="00E93162">
        <w:rPr>
          <w:i w:val="0"/>
          <w:iCs/>
          <w:color w:val="auto"/>
        </w:rPr>
        <w:t>The departmental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p>
    <w:p w14:paraId="0A843924" w14:textId="77777777" w:rsidR="00E93162" w:rsidRPr="00E93162" w:rsidRDefault="00E93162" w:rsidP="00E93162">
      <w:pPr>
        <w:pStyle w:val="Heading4"/>
        <w:jc w:val="both"/>
      </w:pPr>
      <w:r w:rsidRPr="00E93162">
        <w:t>Budgeted departmental comprehensive income statement</w:t>
      </w:r>
    </w:p>
    <w:p w14:paraId="0D90DB45" w14:textId="154C8B15" w:rsidR="00E93162" w:rsidRPr="00E93162" w:rsidRDefault="00E93162" w:rsidP="00E93162">
      <w:pPr>
        <w:pStyle w:val="ExampleText0"/>
        <w:spacing w:after="160"/>
        <w:jc w:val="both"/>
        <w:rPr>
          <w:i w:val="0"/>
          <w:iCs/>
          <w:color w:val="auto"/>
        </w:rPr>
      </w:pPr>
      <w:r w:rsidRPr="00E93162">
        <w:rPr>
          <w:i w:val="0"/>
          <w:iCs/>
          <w:color w:val="auto"/>
        </w:rPr>
        <w:t>This statement provides estimated actual financial results for 202</w:t>
      </w:r>
      <w:r>
        <w:rPr>
          <w:i w:val="0"/>
          <w:iCs/>
          <w:color w:val="auto"/>
        </w:rPr>
        <w:t>1</w:t>
      </w:r>
      <w:r w:rsidR="00092D46">
        <w:rPr>
          <w:i w:val="0"/>
          <w:iCs/>
          <w:color w:val="auto"/>
        </w:rPr>
        <w:t>–</w:t>
      </w:r>
      <w:r w:rsidRPr="00E93162">
        <w:rPr>
          <w:i w:val="0"/>
          <w:iCs/>
          <w:color w:val="auto"/>
        </w:rPr>
        <w:t>2</w:t>
      </w:r>
      <w:r>
        <w:rPr>
          <w:i w:val="0"/>
          <w:iCs/>
          <w:color w:val="auto"/>
        </w:rPr>
        <w:t>2</w:t>
      </w:r>
      <w:r w:rsidRPr="00E93162">
        <w:rPr>
          <w:i w:val="0"/>
          <w:iCs/>
          <w:color w:val="auto"/>
        </w:rPr>
        <w:t xml:space="preserve"> and the estimated revenue and expenses for 202</w:t>
      </w:r>
      <w:r>
        <w:rPr>
          <w:i w:val="0"/>
          <w:iCs/>
          <w:color w:val="auto"/>
        </w:rPr>
        <w:t>2</w:t>
      </w:r>
      <w:r w:rsidR="00092D46">
        <w:rPr>
          <w:i w:val="0"/>
          <w:iCs/>
          <w:color w:val="auto"/>
        </w:rPr>
        <w:t>–</w:t>
      </w:r>
      <w:r w:rsidRPr="00E93162">
        <w:rPr>
          <w:i w:val="0"/>
          <w:iCs/>
          <w:color w:val="auto"/>
        </w:rPr>
        <w:t>2</w:t>
      </w:r>
      <w:r>
        <w:rPr>
          <w:i w:val="0"/>
          <w:iCs/>
          <w:color w:val="auto"/>
        </w:rPr>
        <w:t>3</w:t>
      </w:r>
      <w:r w:rsidRPr="00E93162">
        <w:rPr>
          <w:i w:val="0"/>
          <w:iCs/>
          <w:color w:val="auto"/>
        </w:rPr>
        <w:t xml:space="preserve"> and forward years. </w:t>
      </w:r>
    </w:p>
    <w:p w14:paraId="09389A98" w14:textId="33FB5BE6" w:rsidR="00E93162" w:rsidRPr="00E93162" w:rsidRDefault="00E93162" w:rsidP="00E93162">
      <w:pPr>
        <w:pStyle w:val="ExampleText0"/>
        <w:spacing w:after="160"/>
        <w:jc w:val="both"/>
        <w:rPr>
          <w:i w:val="0"/>
          <w:iCs/>
          <w:color w:val="auto"/>
        </w:rPr>
      </w:pPr>
      <w:r w:rsidRPr="00E93162">
        <w:rPr>
          <w:i w:val="0"/>
          <w:iCs/>
          <w:color w:val="auto"/>
        </w:rPr>
        <w:t>Total income in 202</w:t>
      </w:r>
      <w:r>
        <w:rPr>
          <w:i w:val="0"/>
          <w:iCs/>
          <w:color w:val="auto"/>
        </w:rPr>
        <w:t>2</w:t>
      </w:r>
      <w:r w:rsidR="00092D46">
        <w:rPr>
          <w:i w:val="0"/>
          <w:iCs/>
          <w:color w:val="auto"/>
        </w:rPr>
        <w:t>–</w:t>
      </w:r>
      <w:r w:rsidRPr="00E93162">
        <w:rPr>
          <w:i w:val="0"/>
          <w:iCs/>
          <w:color w:val="auto"/>
        </w:rPr>
        <w:t>2</w:t>
      </w:r>
      <w:r>
        <w:rPr>
          <w:i w:val="0"/>
          <w:iCs/>
          <w:color w:val="auto"/>
        </w:rPr>
        <w:t>3</w:t>
      </w:r>
      <w:r w:rsidRPr="00E93162">
        <w:rPr>
          <w:i w:val="0"/>
          <w:iCs/>
          <w:color w:val="auto"/>
        </w:rPr>
        <w:t xml:space="preserve"> is estimated to be $</w:t>
      </w:r>
      <w:r w:rsidR="00C23155">
        <w:rPr>
          <w:i w:val="0"/>
          <w:iCs/>
          <w:color w:val="auto"/>
        </w:rPr>
        <w:t>2</w:t>
      </w:r>
      <w:r w:rsidR="00FF2B4D">
        <w:rPr>
          <w:i w:val="0"/>
          <w:iCs/>
          <w:color w:val="auto"/>
        </w:rPr>
        <w:t>79</w:t>
      </w:r>
      <w:r w:rsidR="00C23155">
        <w:rPr>
          <w:i w:val="0"/>
          <w:iCs/>
          <w:color w:val="auto"/>
        </w:rPr>
        <w:t>.</w:t>
      </w:r>
      <w:r w:rsidR="00FF2B4D">
        <w:rPr>
          <w:i w:val="0"/>
          <w:iCs/>
          <w:color w:val="auto"/>
        </w:rPr>
        <w:t>8</w:t>
      </w:r>
      <w:r w:rsidR="00C23155">
        <w:rPr>
          <w:i w:val="0"/>
          <w:iCs/>
          <w:color w:val="auto"/>
        </w:rPr>
        <w:t xml:space="preserve"> </w:t>
      </w:r>
      <w:r w:rsidRPr="00E93162">
        <w:rPr>
          <w:i w:val="0"/>
          <w:iCs/>
          <w:color w:val="auto"/>
        </w:rPr>
        <w:t xml:space="preserve">million and includes </w:t>
      </w:r>
      <w:r w:rsidRPr="00B20BB7">
        <w:rPr>
          <w:i w:val="0"/>
          <w:iCs/>
          <w:color w:val="auto"/>
        </w:rPr>
        <w:t>$</w:t>
      </w:r>
      <w:r w:rsidR="005B3A50">
        <w:rPr>
          <w:i w:val="0"/>
          <w:iCs/>
          <w:color w:val="auto"/>
        </w:rPr>
        <w:t>2</w:t>
      </w:r>
      <w:r w:rsidR="00FF2B4D">
        <w:rPr>
          <w:i w:val="0"/>
          <w:iCs/>
          <w:color w:val="auto"/>
        </w:rPr>
        <w:t>2</w:t>
      </w:r>
      <w:r w:rsidR="00B20BB7" w:rsidRPr="00B20BB7">
        <w:rPr>
          <w:i w:val="0"/>
          <w:iCs/>
          <w:color w:val="auto"/>
        </w:rPr>
        <w:t>.</w:t>
      </w:r>
      <w:r w:rsidR="005B3A50">
        <w:rPr>
          <w:i w:val="0"/>
          <w:iCs/>
          <w:color w:val="auto"/>
        </w:rPr>
        <w:t>6</w:t>
      </w:r>
      <w:r w:rsidR="00C23155" w:rsidRPr="00B20BB7">
        <w:rPr>
          <w:i w:val="0"/>
          <w:iCs/>
          <w:color w:val="auto"/>
        </w:rPr>
        <w:t xml:space="preserve"> </w:t>
      </w:r>
      <w:r w:rsidRPr="00B20BB7">
        <w:rPr>
          <w:i w:val="0"/>
          <w:iCs/>
          <w:color w:val="auto"/>
        </w:rPr>
        <w:t>million</w:t>
      </w:r>
      <w:r w:rsidRPr="00E93162">
        <w:rPr>
          <w:i w:val="0"/>
          <w:iCs/>
          <w:color w:val="auto"/>
        </w:rPr>
        <w:t xml:space="preserve"> in funding for the new measures outlined in Table 1.2</w:t>
      </w:r>
      <w:r w:rsidR="002E4D10">
        <w:rPr>
          <w:i w:val="0"/>
          <w:iCs/>
          <w:color w:val="auto"/>
        </w:rPr>
        <w:t xml:space="preserve">: Australian Trade and Investment Commission </w:t>
      </w:r>
      <w:r w:rsidRPr="00E93162">
        <w:rPr>
          <w:i w:val="0"/>
          <w:iCs/>
          <w:color w:val="auto"/>
        </w:rPr>
        <w:t>202</w:t>
      </w:r>
      <w:r w:rsidR="002E4D10">
        <w:rPr>
          <w:i w:val="0"/>
          <w:iCs/>
          <w:color w:val="auto"/>
        </w:rPr>
        <w:t>2</w:t>
      </w:r>
      <w:r w:rsidR="00092D46">
        <w:rPr>
          <w:i w:val="0"/>
          <w:iCs/>
          <w:color w:val="auto"/>
        </w:rPr>
        <w:t>–</w:t>
      </w:r>
      <w:r w:rsidRPr="00E93162">
        <w:rPr>
          <w:i w:val="0"/>
          <w:iCs/>
          <w:color w:val="auto"/>
        </w:rPr>
        <w:t>2</w:t>
      </w:r>
      <w:r w:rsidR="002E4D10">
        <w:rPr>
          <w:i w:val="0"/>
          <w:iCs/>
          <w:color w:val="auto"/>
        </w:rPr>
        <w:t>3</w:t>
      </w:r>
      <w:r w:rsidRPr="00E93162">
        <w:rPr>
          <w:i w:val="0"/>
          <w:iCs/>
          <w:color w:val="auto"/>
        </w:rPr>
        <w:t xml:space="preserve"> Budget Measures.  </w:t>
      </w:r>
    </w:p>
    <w:p w14:paraId="5B8F795B" w14:textId="56DC6C2A" w:rsidR="00E93162" w:rsidRPr="00E93162" w:rsidRDefault="00E93162" w:rsidP="00E93162">
      <w:pPr>
        <w:pStyle w:val="ExampleText0"/>
        <w:spacing w:after="160"/>
        <w:jc w:val="both"/>
        <w:rPr>
          <w:i w:val="0"/>
          <w:iCs/>
          <w:color w:val="auto"/>
        </w:rPr>
      </w:pPr>
      <w:r w:rsidRPr="00E93162">
        <w:rPr>
          <w:i w:val="0"/>
          <w:iCs/>
          <w:color w:val="auto"/>
        </w:rPr>
        <w:t>The recognition of expense for lease assets and payments under AASB 16 is presented in Table 3.1</w:t>
      </w:r>
      <w:r w:rsidR="002E4D10">
        <w:rPr>
          <w:i w:val="0"/>
          <w:iCs/>
          <w:color w:val="auto"/>
        </w:rPr>
        <w:t>:</w:t>
      </w:r>
      <w:r w:rsidRPr="00E93162">
        <w:rPr>
          <w:i w:val="0"/>
          <w:iCs/>
          <w:color w:val="auto"/>
        </w:rPr>
        <w:t xml:space="preserve"> Comprehensive Income Statement.</w:t>
      </w:r>
    </w:p>
    <w:p w14:paraId="2A2F847B" w14:textId="77777777" w:rsidR="00E93162" w:rsidRPr="00E93162" w:rsidRDefault="00E93162" w:rsidP="00E93162">
      <w:pPr>
        <w:pStyle w:val="Heading4"/>
        <w:jc w:val="both"/>
      </w:pPr>
      <w:r w:rsidRPr="00E93162">
        <w:t>Budgeted departmental balance sheet</w:t>
      </w:r>
    </w:p>
    <w:p w14:paraId="7BFA3626" w14:textId="0035FF36" w:rsidR="00E93162" w:rsidRPr="00E93162" w:rsidRDefault="00E93162" w:rsidP="00E93162">
      <w:pPr>
        <w:pStyle w:val="ExampleText0"/>
        <w:spacing w:after="160"/>
        <w:jc w:val="both"/>
        <w:rPr>
          <w:i w:val="0"/>
          <w:iCs/>
          <w:color w:val="auto"/>
        </w:rPr>
      </w:pPr>
      <w:r w:rsidRPr="00E93162">
        <w:rPr>
          <w:i w:val="0"/>
          <w:iCs/>
          <w:color w:val="auto"/>
        </w:rPr>
        <w:t>This statement discloses the estimated end of year financial position for Austrade. Austrade’s budgeted net asset position at the end of 202</w:t>
      </w:r>
      <w:r>
        <w:rPr>
          <w:i w:val="0"/>
          <w:iCs/>
          <w:color w:val="auto"/>
        </w:rPr>
        <w:t>2</w:t>
      </w:r>
      <w:r w:rsidR="00092D46">
        <w:rPr>
          <w:i w:val="0"/>
          <w:iCs/>
          <w:color w:val="auto"/>
        </w:rPr>
        <w:t>–</w:t>
      </w:r>
      <w:r w:rsidRPr="00E93162">
        <w:rPr>
          <w:i w:val="0"/>
          <w:iCs/>
          <w:color w:val="auto"/>
        </w:rPr>
        <w:t>2</w:t>
      </w:r>
      <w:r>
        <w:rPr>
          <w:i w:val="0"/>
          <w:iCs/>
          <w:color w:val="auto"/>
        </w:rPr>
        <w:t>3</w:t>
      </w:r>
      <w:r w:rsidRPr="00E93162">
        <w:rPr>
          <w:i w:val="0"/>
          <w:iCs/>
          <w:color w:val="auto"/>
        </w:rPr>
        <w:t xml:space="preserve"> of $</w:t>
      </w:r>
      <w:r w:rsidR="00FF2B4D">
        <w:rPr>
          <w:i w:val="0"/>
          <w:iCs/>
          <w:color w:val="auto"/>
        </w:rPr>
        <w:t>54</w:t>
      </w:r>
      <w:r w:rsidR="00C23155">
        <w:rPr>
          <w:i w:val="0"/>
          <w:iCs/>
          <w:color w:val="auto"/>
        </w:rPr>
        <w:t>.</w:t>
      </w:r>
      <w:r w:rsidR="00FF2B4D">
        <w:rPr>
          <w:i w:val="0"/>
          <w:iCs/>
          <w:color w:val="auto"/>
        </w:rPr>
        <w:t>9</w:t>
      </w:r>
      <w:r w:rsidR="00C23155">
        <w:rPr>
          <w:i w:val="0"/>
          <w:iCs/>
          <w:color w:val="auto"/>
        </w:rPr>
        <w:t xml:space="preserve"> </w:t>
      </w:r>
      <w:r w:rsidRPr="00E93162">
        <w:rPr>
          <w:i w:val="0"/>
          <w:iCs/>
          <w:color w:val="auto"/>
        </w:rPr>
        <w:t xml:space="preserve">million, </w:t>
      </w:r>
      <w:r w:rsidR="00C23155">
        <w:rPr>
          <w:i w:val="0"/>
          <w:iCs/>
          <w:color w:val="auto"/>
        </w:rPr>
        <w:t>a</w:t>
      </w:r>
      <w:r w:rsidR="00FF2B4D">
        <w:rPr>
          <w:i w:val="0"/>
          <w:iCs/>
          <w:color w:val="auto"/>
        </w:rPr>
        <w:t xml:space="preserve">n increase of </w:t>
      </w:r>
      <w:r w:rsidRPr="00E93162">
        <w:rPr>
          <w:i w:val="0"/>
          <w:iCs/>
          <w:color w:val="auto"/>
        </w:rPr>
        <w:t>$</w:t>
      </w:r>
      <w:r w:rsidR="00FF2B4D">
        <w:rPr>
          <w:i w:val="0"/>
          <w:iCs/>
          <w:color w:val="auto"/>
        </w:rPr>
        <w:t>4</w:t>
      </w:r>
      <w:r w:rsidR="00C23155">
        <w:rPr>
          <w:i w:val="0"/>
          <w:iCs/>
          <w:color w:val="auto"/>
        </w:rPr>
        <w:t>.</w:t>
      </w:r>
      <w:r w:rsidR="00FF2B4D">
        <w:rPr>
          <w:i w:val="0"/>
          <w:iCs/>
          <w:color w:val="auto"/>
        </w:rPr>
        <w:t>8</w:t>
      </w:r>
      <w:r>
        <w:rPr>
          <w:i w:val="0"/>
          <w:iCs/>
          <w:color w:val="auto"/>
        </w:rPr>
        <w:t xml:space="preserve"> </w:t>
      </w:r>
      <w:r w:rsidRPr="00E93162">
        <w:rPr>
          <w:i w:val="0"/>
          <w:iCs/>
          <w:color w:val="auto"/>
        </w:rPr>
        <w:t xml:space="preserve">million </w:t>
      </w:r>
      <w:r w:rsidR="00FF2B4D">
        <w:rPr>
          <w:i w:val="0"/>
          <w:iCs/>
          <w:color w:val="auto"/>
        </w:rPr>
        <w:t xml:space="preserve">from </w:t>
      </w:r>
      <w:r w:rsidRPr="00E93162">
        <w:rPr>
          <w:i w:val="0"/>
          <w:iCs/>
          <w:color w:val="auto"/>
        </w:rPr>
        <w:t>the closing 202</w:t>
      </w:r>
      <w:r>
        <w:rPr>
          <w:i w:val="0"/>
          <w:iCs/>
          <w:color w:val="auto"/>
        </w:rPr>
        <w:t>1</w:t>
      </w:r>
      <w:r w:rsidR="00092D46">
        <w:rPr>
          <w:i w:val="0"/>
          <w:iCs/>
          <w:color w:val="auto"/>
        </w:rPr>
        <w:t>–</w:t>
      </w:r>
      <w:r w:rsidRPr="00E93162">
        <w:rPr>
          <w:i w:val="0"/>
          <w:iCs/>
          <w:color w:val="auto"/>
        </w:rPr>
        <w:t>2</w:t>
      </w:r>
      <w:r>
        <w:rPr>
          <w:i w:val="0"/>
          <w:iCs/>
          <w:color w:val="auto"/>
        </w:rPr>
        <w:t>2</w:t>
      </w:r>
      <w:r w:rsidRPr="00E93162">
        <w:rPr>
          <w:i w:val="0"/>
          <w:iCs/>
          <w:color w:val="auto"/>
        </w:rPr>
        <w:t xml:space="preserve"> position. </w:t>
      </w:r>
    </w:p>
    <w:p w14:paraId="48FC5D58" w14:textId="77777777" w:rsidR="00E93162" w:rsidRPr="00E93162" w:rsidRDefault="00E93162" w:rsidP="00E93162">
      <w:pPr>
        <w:pStyle w:val="Heading4"/>
        <w:jc w:val="both"/>
      </w:pPr>
      <w:r w:rsidRPr="00E93162">
        <w:t>Departmental capital budget statement</w:t>
      </w:r>
    </w:p>
    <w:p w14:paraId="537758DA" w14:textId="31D7513C" w:rsidR="00E93162" w:rsidRPr="00E93162" w:rsidRDefault="00E93162" w:rsidP="00E93162">
      <w:pPr>
        <w:pStyle w:val="ExampleText0"/>
        <w:spacing w:after="160"/>
        <w:jc w:val="both"/>
        <w:rPr>
          <w:i w:val="0"/>
          <w:iCs/>
          <w:color w:val="auto"/>
        </w:rPr>
      </w:pPr>
      <w:r w:rsidRPr="00E93162">
        <w:rPr>
          <w:i w:val="0"/>
          <w:iCs/>
          <w:color w:val="auto"/>
        </w:rPr>
        <w:t>This statement shows all planned departmental capital expenditure on non-financial assets, whether funded through capital appropriations, additional equity, borrowings, or funds from internal sources.</w:t>
      </w:r>
    </w:p>
    <w:p w14:paraId="249889A0" w14:textId="77777777" w:rsidR="00E93162" w:rsidRPr="00E93162" w:rsidRDefault="00E93162" w:rsidP="00E93162">
      <w:pPr>
        <w:pStyle w:val="Heading4"/>
        <w:jc w:val="both"/>
      </w:pPr>
      <w:r w:rsidRPr="00E93162">
        <w:t>Departmental statement of asset movements</w:t>
      </w:r>
    </w:p>
    <w:p w14:paraId="0AE47E38" w14:textId="77777777" w:rsidR="00E93162" w:rsidRPr="00E93162" w:rsidRDefault="00E93162" w:rsidP="00E93162">
      <w:pPr>
        <w:pStyle w:val="ExampleText0"/>
        <w:spacing w:after="160"/>
        <w:jc w:val="both"/>
        <w:rPr>
          <w:i w:val="0"/>
          <w:iCs/>
          <w:color w:val="auto"/>
        </w:rPr>
      </w:pPr>
      <w:r w:rsidRPr="00E93162">
        <w:rPr>
          <w:i w:val="0"/>
          <w:iCs/>
          <w:color w:val="auto"/>
        </w:rPr>
        <w:t>This statement shows budgeted acquisitions and disposals of non-financial assets during the budget year.</w:t>
      </w:r>
    </w:p>
    <w:p w14:paraId="7ACADB92" w14:textId="77777777" w:rsidR="00E93162" w:rsidRPr="00E93162" w:rsidRDefault="00E93162" w:rsidP="00E93162">
      <w:pPr>
        <w:pStyle w:val="Heading4"/>
        <w:jc w:val="both"/>
      </w:pPr>
      <w:r w:rsidRPr="00E93162">
        <w:t>Schedule of administered activity</w:t>
      </w:r>
    </w:p>
    <w:p w14:paraId="535656D7" w14:textId="77777777" w:rsidR="00E93162" w:rsidRPr="00E93162" w:rsidRDefault="00E93162" w:rsidP="00E93162">
      <w:pPr>
        <w:pStyle w:val="ExampleText0"/>
        <w:spacing w:after="160"/>
        <w:jc w:val="both"/>
        <w:rPr>
          <w:i w:val="0"/>
          <w:iCs/>
          <w:color w:val="auto"/>
        </w:rPr>
      </w:pPr>
      <w:r w:rsidRPr="00E93162">
        <w:rPr>
          <w:i w:val="0"/>
          <w:iCs/>
          <w:color w:val="auto"/>
        </w:rPr>
        <w:t>Details of transactions administered by Austrade on behalf of the Government are shown in the following schedules to the financial statements.</w:t>
      </w:r>
    </w:p>
    <w:p w14:paraId="324E580A" w14:textId="77777777" w:rsidR="00E93162" w:rsidRPr="00E93162" w:rsidRDefault="00E93162" w:rsidP="00E93162">
      <w:pPr>
        <w:pStyle w:val="Heading4"/>
        <w:jc w:val="both"/>
      </w:pPr>
      <w:r w:rsidRPr="00E93162">
        <w:t>Schedule of budgeted income and expenses administered on behalf of Government</w:t>
      </w:r>
    </w:p>
    <w:p w14:paraId="02943A9F" w14:textId="77777777" w:rsidR="00E93162" w:rsidRPr="00E93162" w:rsidRDefault="00E93162" w:rsidP="00E93162">
      <w:pPr>
        <w:pStyle w:val="ExampleText0"/>
        <w:spacing w:after="160"/>
        <w:jc w:val="both"/>
        <w:rPr>
          <w:i w:val="0"/>
          <w:iCs/>
          <w:color w:val="auto"/>
        </w:rPr>
      </w:pPr>
      <w:r w:rsidRPr="00E93162">
        <w:rPr>
          <w:i w:val="0"/>
          <w:iCs/>
          <w:color w:val="auto"/>
        </w:rPr>
        <w:t>This schedule discloses revenue and expenses administered on behalf of the Government.</w:t>
      </w:r>
    </w:p>
    <w:p w14:paraId="0B99A814" w14:textId="64A755BA" w:rsidR="00E93162" w:rsidRPr="00E93162" w:rsidRDefault="00E93162" w:rsidP="00E93162">
      <w:pPr>
        <w:pStyle w:val="ExampleText0"/>
        <w:spacing w:after="160"/>
        <w:jc w:val="both"/>
        <w:rPr>
          <w:i w:val="0"/>
          <w:iCs/>
          <w:color w:val="auto"/>
        </w:rPr>
      </w:pPr>
      <w:r w:rsidRPr="00E93162">
        <w:rPr>
          <w:i w:val="0"/>
          <w:iCs/>
          <w:color w:val="auto"/>
        </w:rPr>
        <w:t>Administered expenses of $</w:t>
      </w:r>
      <w:r w:rsidR="00F53130">
        <w:rPr>
          <w:i w:val="0"/>
          <w:iCs/>
          <w:color w:val="auto"/>
        </w:rPr>
        <w:t>206</w:t>
      </w:r>
      <w:r w:rsidR="00C23155">
        <w:rPr>
          <w:i w:val="0"/>
          <w:iCs/>
          <w:color w:val="auto"/>
        </w:rPr>
        <w:t>.</w:t>
      </w:r>
      <w:r w:rsidR="00F53130">
        <w:rPr>
          <w:i w:val="0"/>
          <w:iCs/>
          <w:color w:val="auto"/>
        </w:rPr>
        <w:t>3</w:t>
      </w:r>
      <w:r w:rsidR="00C23155">
        <w:rPr>
          <w:i w:val="0"/>
          <w:iCs/>
          <w:color w:val="auto"/>
        </w:rPr>
        <w:t xml:space="preserve"> </w:t>
      </w:r>
      <w:r w:rsidRPr="00E93162">
        <w:rPr>
          <w:i w:val="0"/>
          <w:iCs/>
          <w:color w:val="auto"/>
        </w:rPr>
        <w:t>million for 202</w:t>
      </w:r>
      <w:r>
        <w:rPr>
          <w:i w:val="0"/>
          <w:iCs/>
          <w:color w:val="auto"/>
        </w:rPr>
        <w:t>2</w:t>
      </w:r>
      <w:r w:rsidR="00092D46">
        <w:rPr>
          <w:i w:val="0"/>
          <w:iCs/>
          <w:color w:val="auto"/>
        </w:rPr>
        <w:t>–</w:t>
      </w:r>
      <w:r w:rsidRPr="00E93162">
        <w:rPr>
          <w:i w:val="0"/>
          <w:iCs/>
          <w:color w:val="auto"/>
        </w:rPr>
        <w:t>2</w:t>
      </w:r>
      <w:r>
        <w:rPr>
          <w:i w:val="0"/>
          <w:iCs/>
          <w:color w:val="auto"/>
        </w:rPr>
        <w:t>3</w:t>
      </w:r>
      <w:r w:rsidRPr="00E93162">
        <w:rPr>
          <w:i w:val="0"/>
          <w:iCs/>
          <w:color w:val="auto"/>
        </w:rPr>
        <w:t xml:space="preserve"> relate to</w:t>
      </w:r>
      <w:r>
        <w:rPr>
          <w:i w:val="0"/>
          <w:iCs/>
          <w:color w:val="auto"/>
        </w:rPr>
        <w:t xml:space="preserve"> </w:t>
      </w:r>
      <w:r w:rsidR="00C23155">
        <w:rPr>
          <w:i w:val="0"/>
          <w:iCs/>
          <w:color w:val="auto"/>
        </w:rPr>
        <w:t>the International Freight Assistance Mechanism (IFAM) ($36.</w:t>
      </w:r>
      <w:r w:rsidR="00B20BB7">
        <w:rPr>
          <w:i w:val="0"/>
          <w:iCs/>
          <w:color w:val="auto"/>
        </w:rPr>
        <w:t>9</w:t>
      </w:r>
      <w:r w:rsidR="00C23155">
        <w:rPr>
          <w:i w:val="0"/>
          <w:iCs/>
          <w:color w:val="auto"/>
        </w:rPr>
        <w:t xml:space="preserve"> million), </w:t>
      </w:r>
      <w:r w:rsidR="003158D2" w:rsidRPr="003158D2">
        <w:rPr>
          <w:i w:val="0"/>
          <w:iCs/>
          <w:color w:val="auto"/>
        </w:rPr>
        <w:t>Export Market Development Grants (EMDG) Scheme ($1</w:t>
      </w:r>
      <w:r w:rsidR="00B20BB7">
        <w:rPr>
          <w:i w:val="0"/>
          <w:iCs/>
          <w:color w:val="auto"/>
        </w:rPr>
        <w:t>5</w:t>
      </w:r>
      <w:r w:rsidR="003158D2" w:rsidRPr="003158D2">
        <w:rPr>
          <w:i w:val="0"/>
          <w:iCs/>
          <w:color w:val="auto"/>
        </w:rPr>
        <w:t>7.9 million), National Tourism Icons Program ($4.0 million)</w:t>
      </w:r>
      <w:r w:rsidR="00F53130">
        <w:rPr>
          <w:i w:val="0"/>
          <w:iCs/>
          <w:color w:val="auto"/>
        </w:rPr>
        <w:t xml:space="preserve"> and </w:t>
      </w:r>
      <w:r w:rsidR="007F6BB7" w:rsidRPr="007F6BB7">
        <w:rPr>
          <w:i w:val="0"/>
          <w:iCs/>
          <w:color w:val="auto"/>
        </w:rPr>
        <w:t>Tourism Tropical North Queensland ($7.5 million)</w:t>
      </w:r>
      <w:r w:rsidR="003158D2" w:rsidRPr="003158D2">
        <w:rPr>
          <w:i w:val="0"/>
          <w:iCs/>
          <w:color w:val="auto"/>
        </w:rPr>
        <w:t>. The EMDG Scheme comprise</w:t>
      </w:r>
      <w:r w:rsidR="00092D46">
        <w:rPr>
          <w:i w:val="0"/>
          <w:iCs/>
          <w:color w:val="auto"/>
        </w:rPr>
        <w:t xml:space="preserve">s </w:t>
      </w:r>
      <w:r w:rsidR="003158D2" w:rsidRPr="003158D2">
        <w:rPr>
          <w:i w:val="0"/>
          <w:iCs/>
          <w:color w:val="auto"/>
        </w:rPr>
        <w:t>$1</w:t>
      </w:r>
      <w:r w:rsidR="00B20BB7">
        <w:rPr>
          <w:i w:val="0"/>
          <w:iCs/>
          <w:color w:val="auto"/>
        </w:rPr>
        <w:t>50</w:t>
      </w:r>
      <w:r w:rsidR="003158D2" w:rsidRPr="003158D2">
        <w:rPr>
          <w:i w:val="0"/>
          <w:iCs/>
          <w:color w:val="auto"/>
        </w:rPr>
        <w:t>.0 million in grant expenditure and $</w:t>
      </w:r>
      <w:r w:rsidR="00B20BB7">
        <w:rPr>
          <w:i w:val="0"/>
          <w:iCs/>
          <w:color w:val="auto"/>
        </w:rPr>
        <w:t>7</w:t>
      </w:r>
      <w:r w:rsidR="003158D2" w:rsidRPr="003158D2">
        <w:rPr>
          <w:i w:val="0"/>
          <w:iCs/>
          <w:color w:val="auto"/>
        </w:rPr>
        <w:t xml:space="preserve">.9 million in expenditure for the costs of administration on behalf of the Government. </w:t>
      </w:r>
    </w:p>
    <w:p w14:paraId="20D1B13B" w14:textId="77777777" w:rsidR="00E93162" w:rsidRPr="00E93162" w:rsidRDefault="00E93162" w:rsidP="00E93162">
      <w:pPr>
        <w:pStyle w:val="Heading4"/>
        <w:jc w:val="both"/>
      </w:pPr>
      <w:r w:rsidRPr="00E93162">
        <w:t>Schedule of budgeted assets and liabilities administered on behalf of Government</w:t>
      </w:r>
    </w:p>
    <w:p w14:paraId="2788E41D" w14:textId="77777777" w:rsidR="00E93162" w:rsidRPr="00E93162" w:rsidRDefault="00E93162" w:rsidP="00E93162">
      <w:pPr>
        <w:pStyle w:val="ExampleText0"/>
        <w:spacing w:after="160"/>
        <w:jc w:val="both"/>
        <w:rPr>
          <w:i w:val="0"/>
          <w:iCs/>
          <w:color w:val="auto"/>
        </w:rPr>
      </w:pPr>
      <w:r w:rsidRPr="00E93162">
        <w:rPr>
          <w:i w:val="0"/>
          <w:iCs/>
          <w:color w:val="auto"/>
        </w:rPr>
        <w:t>This schedule identifies the assets and liabilities administered on behalf of the Government.</w:t>
      </w:r>
    </w:p>
    <w:p w14:paraId="49A40643" w14:textId="2AE06705" w:rsidR="00E93162" w:rsidRPr="00E93162" w:rsidRDefault="00E93162" w:rsidP="00E93162">
      <w:pPr>
        <w:pStyle w:val="ExampleText0"/>
        <w:spacing w:after="160"/>
        <w:jc w:val="both"/>
        <w:rPr>
          <w:i w:val="0"/>
          <w:iCs/>
          <w:color w:val="auto"/>
        </w:rPr>
      </w:pPr>
      <w:r w:rsidRPr="00E93162">
        <w:rPr>
          <w:i w:val="0"/>
          <w:iCs/>
          <w:color w:val="auto"/>
        </w:rPr>
        <w:t>Total administered assets and liabilities for 202</w:t>
      </w:r>
      <w:r>
        <w:rPr>
          <w:i w:val="0"/>
          <w:iCs/>
          <w:color w:val="auto"/>
        </w:rPr>
        <w:t>2</w:t>
      </w:r>
      <w:r w:rsidR="00092D46">
        <w:rPr>
          <w:i w:val="0"/>
          <w:iCs/>
          <w:color w:val="auto"/>
        </w:rPr>
        <w:t>–</w:t>
      </w:r>
      <w:r w:rsidRPr="00E93162">
        <w:rPr>
          <w:i w:val="0"/>
          <w:iCs/>
          <w:color w:val="auto"/>
        </w:rPr>
        <w:t>2</w:t>
      </w:r>
      <w:r>
        <w:rPr>
          <w:i w:val="0"/>
          <w:iCs/>
          <w:color w:val="auto"/>
        </w:rPr>
        <w:t>3</w:t>
      </w:r>
      <w:r w:rsidRPr="00E93162">
        <w:rPr>
          <w:i w:val="0"/>
          <w:iCs/>
          <w:color w:val="auto"/>
        </w:rPr>
        <w:t xml:space="preserve"> </w:t>
      </w:r>
      <w:proofErr w:type="gramStart"/>
      <w:r w:rsidRPr="00E93162">
        <w:rPr>
          <w:i w:val="0"/>
          <w:iCs/>
          <w:color w:val="auto"/>
        </w:rPr>
        <w:t>are</w:t>
      </w:r>
      <w:proofErr w:type="gramEnd"/>
      <w:r w:rsidRPr="00E93162">
        <w:rPr>
          <w:i w:val="0"/>
          <w:iCs/>
          <w:color w:val="auto"/>
        </w:rPr>
        <w:t xml:space="preserve"> estimated at $</w:t>
      </w:r>
      <w:r w:rsidR="003158D2">
        <w:rPr>
          <w:i w:val="0"/>
          <w:iCs/>
          <w:color w:val="auto"/>
        </w:rPr>
        <w:t>1</w:t>
      </w:r>
      <w:r w:rsidR="008C6A7F">
        <w:rPr>
          <w:i w:val="0"/>
          <w:iCs/>
          <w:color w:val="auto"/>
        </w:rPr>
        <w:t>.1</w:t>
      </w:r>
      <w:r>
        <w:rPr>
          <w:i w:val="0"/>
          <w:iCs/>
          <w:color w:val="auto"/>
        </w:rPr>
        <w:t xml:space="preserve"> </w:t>
      </w:r>
      <w:r w:rsidRPr="00E93162">
        <w:rPr>
          <w:i w:val="0"/>
          <w:iCs/>
          <w:color w:val="auto"/>
        </w:rPr>
        <w:t>million and $</w:t>
      </w:r>
      <w:r w:rsidR="003158D2">
        <w:rPr>
          <w:i w:val="0"/>
          <w:iCs/>
          <w:color w:val="auto"/>
        </w:rPr>
        <w:t xml:space="preserve">24.3 </w:t>
      </w:r>
      <w:r w:rsidRPr="00E93162">
        <w:rPr>
          <w:i w:val="0"/>
          <w:iCs/>
          <w:color w:val="auto"/>
        </w:rPr>
        <w:t>million respectively.</w:t>
      </w:r>
    </w:p>
    <w:p w14:paraId="349112BE" w14:textId="77777777" w:rsidR="00E93162" w:rsidRPr="00E93162" w:rsidRDefault="00E93162" w:rsidP="00E93162">
      <w:pPr>
        <w:pStyle w:val="Heading4"/>
        <w:jc w:val="both"/>
      </w:pPr>
      <w:r w:rsidRPr="00E93162">
        <w:t>Schedule of budgeted administered cash flows</w:t>
      </w:r>
    </w:p>
    <w:p w14:paraId="63C4CCA8" w14:textId="39D819B6" w:rsidR="00E93162" w:rsidRPr="00E93162" w:rsidRDefault="00E93162" w:rsidP="00E93162">
      <w:pPr>
        <w:pStyle w:val="ExampleText0"/>
        <w:spacing w:after="160"/>
        <w:jc w:val="both"/>
        <w:rPr>
          <w:i w:val="0"/>
          <w:iCs/>
          <w:color w:val="auto"/>
        </w:rPr>
      </w:pPr>
      <w:r w:rsidRPr="00E93162">
        <w:rPr>
          <w:i w:val="0"/>
          <w:iCs/>
          <w:color w:val="auto"/>
        </w:rPr>
        <w:t>This schedule shows cash flows administered on behalf of the Government. All cash received is expected to be expended on the relevant programs.</w:t>
      </w:r>
    </w:p>
    <w:p w14:paraId="51815F8C" w14:textId="77777777" w:rsidR="0026795D" w:rsidRDefault="0026795D" w:rsidP="0026795D">
      <w:pPr>
        <w:jc w:val="left"/>
      </w:pPr>
      <w:r>
        <w:br w:type="page"/>
      </w:r>
      <w:r w:rsidRPr="00D232B7">
        <w:rPr>
          <w:rStyle w:val="TableHeadingChar"/>
        </w:rPr>
        <w:t>3.2.</w:t>
      </w:r>
      <w:r w:rsidRPr="00D232B7">
        <w:rPr>
          <w:rStyle w:val="TableHeadingChar"/>
        </w:rPr>
        <w:tab/>
        <w:t>Budgeted financial statements tables</w:t>
      </w:r>
    </w:p>
    <w:p w14:paraId="6B3B65B5" w14:textId="77777777" w:rsidR="0026795D" w:rsidRDefault="0026795D" w:rsidP="0026795D">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60B9C783" w14:textId="3BC2149E" w:rsidR="0026795D" w:rsidRDefault="0026795D" w:rsidP="0026795D">
      <w:pPr>
        <w:pStyle w:val="TableGraphic"/>
      </w:pPr>
      <w:r w:rsidRPr="00D52088">
        <w:rPr>
          <w:noProof/>
        </w:rPr>
        <w:t xml:space="preserve"> </w:t>
      </w:r>
      <w:r w:rsidR="00D72CD6" w:rsidRPr="00D72CD6">
        <w:rPr>
          <w:noProof/>
        </w:rPr>
        <w:drawing>
          <wp:inline distT="0" distB="0" distL="0" distR="0" wp14:anchorId="0CA1FAC4" wp14:editId="03F727E4">
            <wp:extent cx="4838700" cy="39814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838700" cy="3981450"/>
                    </a:xfrm>
                    <a:prstGeom prst="rect">
                      <a:avLst/>
                    </a:prstGeom>
                    <a:noFill/>
                    <a:ln>
                      <a:noFill/>
                    </a:ln>
                  </pic:spPr>
                </pic:pic>
              </a:graphicData>
            </a:graphic>
          </wp:inline>
        </w:drawing>
      </w:r>
    </w:p>
    <w:p w14:paraId="667956F5" w14:textId="6B33560A" w:rsidR="00E93162" w:rsidRPr="005A6467" w:rsidRDefault="00E93162" w:rsidP="00E93162">
      <w:pPr>
        <w:pStyle w:val="ChartandTableFootnoteAlpha"/>
        <w:numPr>
          <w:ilvl w:val="0"/>
          <w:numId w:val="0"/>
        </w:numPr>
        <w:ind w:left="284" w:hanging="284"/>
        <w:rPr>
          <w:rFonts w:cs="Arial"/>
        </w:rPr>
      </w:pPr>
      <w:r>
        <w:rPr>
          <w:rFonts w:cs="Arial"/>
        </w:rPr>
        <w:t xml:space="preserve">Table </w:t>
      </w:r>
      <w:proofErr w:type="gramStart"/>
      <w:r>
        <w:rPr>
          <w:rFonts w:cs="Arial"/>
        </w:rPr>
        <w:t>continued on</w:t>
      </w:r>
      <w:proofErr w:type="gramEnd"/>
      <w:r>
        <w:rPr>
          <w:rFonts w:cs="Arial"/>
        </w:rPr>
        <w:t xml:space="preserve"> the next page.</w:t>
      </w:r>
    </w:p>
    <w:p w14:paraId="5227E90C" w14:textId="77777777" w:rsidR="0026795D" w:rsidRDefault="0026795D" w:rsidP="0026795D">
      <w:pPr>
        <w:pStyle w:val="TableHeadingcontinued"/>
        <w:rPr>
          <w:snapToGrid w:val="0"/>
        </w:rPr>
      </w:pPr>
      <w:r>
        <w:br w:type="page"/>
      </w: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14:paraId="60243FE2" w14:textId="77777777" w:rsidR="0026795D" w:rsidRPr="003819E1" w:rsidRDefault="0026795D" w:rsidP="0026795D">
      <w:pPr>
        <w:pStyle w:val="TableGraphic"/>
        <w:rPr>
          <w:rFonts w:ascii="Arial" w:hAnsi="Arial" w:cs="Arial"/>
        </w:rPr>
      </w:pPr>
    </w:p>
    <w:p w14:paraId="69B3A8BA" w14:textId="77777777" w:rsidR="0026795D" w:rsidRPr="003819E1" w:rsidRDefault="0026795D" w:rsidP="0026795D">
      <w:pPr>
        <w:pStyle w:val="TableHeadingNoTable"/>
        <w:spacing w:after="0"/>
      </w:pPr>
      <w:r w:rsidRPr="003819E1">
        <w:t>Note: Impact of net cash appropriation arrangements</w:t>
      </w:r>
    </w:p>
    <w:p w14:paraId="2C5CC96E" w14:textId="0F4D9659" w:rsidR="0026795D" w:rsidRPr="009D54F3" w:rsidRDefault="0026795D" w:rsidP="0026795D">
      <w:pPr>
        <w:pStyle w:val="TableGraphic"/>
        <w:rPr>
          <w:rFonts w:ascii="Arial" w:hAnsi="Arial" w:cs="Arial"/>
        </w:rPr>
      </w:pPr>
      <w:r w:rsidRPr="00D52088">
        <w:rPr>
          <w:noProof/>
        </w:rPr>
        <w:t xml:space="preserve"> </w:t>
      </w:r>
      <w:r w:rsidR="00D72CD6" w:rsidRPr="00D72CD6">
        <w:rPr>
          <w:noProof/>
        </w:rPr>
        <w:drawing>
          <wp:inline distT="0" distB="0" distL="0" distR="0" wp14:anchorId="0EA26165" wp14:editId="32CD76A6">
            <wp:extent cx="4838700" cy="2447925"/>
            <wp:effectExtent l="0" t="0" r="0"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38700" cy="2447925"/>
                    </a:xfrm>
                    <a:prstGeom prst="rect">
                      <a:avLst/>
                    </a:prstGeom>
                    <a:noFill/>
                    <a:ln>
                      <a:noFill/>
                    </a:ln>
                  </pic:spPr>
                </pic:pic>
              </a:graphicData>
            </a:graphic>
          </wp:inline>
        </w:drawing>
      </w:r>
    </w:p>
    <w:p w14:paraId="62160353" w14:textId="559A64DA" w:rsidR="00417E86" w:rsidRDefault="00417E86" w:rsidP="00417E86">
      <w:pPr>
        <w:pStyle w:val="ChartandTableFootnoteAlpha"/>
        <w:numPr>
          <w:ilvl w:val="0"/>
          <w:numId w:val="0"/>
        </w:numPr>
        <w:ind w:left="284" w:hanging="284"/>
        <w:rPr>
          <w:rFonts w:cs="Arial"/>
        </w:rPr>
      </w:pPr>
      <w:r w:rsidRPr="009D54F3">
        <w:rPr>
          <w:rFonts w:cs="Arial"/>
        </w:rPr>
        <w:t>Prepared on Australian Accounting Standards basis.</w:t>
      </w:r>
    </w:p>
    <w:p w14:paraId="7EA83CFA" w14:textId="24CCDBB9" w:rsidR="0026795D" w:rsidRPr="00271BF5" w:rsidRDefault="0026795D" w:rsidP="00091F80">
      <w:pPr>
        <w:pStyle w:val="ChartandTableFootnoteAlpha"/>
        <w:numPr>
          <w:ilvl w:val="0"/>
          <w:numId w:val="29"/>
        </w:numPr>
        <w:rPr>
          <w:rFonts w:cs="Arial"/>
        </w:rPr>
      </w:pPr>
      <w:r w:rsidRPr="00271BF5">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7382F9E" w14:textId="77777777" w:rsidR="0026795D" w:rsidRPr="002A0F2E" w:rsidRDefault="0026795D" w:rsidP="00091F80">
      <w:pPr>
        <w:pStyle w:val="ChartandTableFootnoteAlpha"/>
        <w:numPr>
          <w:ilvl w:val="0"/>
          <w:numId w:val="12"/>
        </w:numPr>
      </w:pPr>
      <w:r w:rsidRPr="00D52088">
        <w:t>Applies leases under AASB 16 Leases.</w:t>
      </w:r>
    </w:p>
    <w:p w14:paraId="61879058" w14:textId="541363C3" w:rsidR="0026795D" w:rsidRDefault="0026795D" w:rsidP="0026795D">
      <w:pPr>
        <w:pStyle w:val="Source"/>
        <w:rPr>
          <w:rFonts w:cs="Arial"/>
        </w:rPr>
      </w:pPr>
    </w:p>
    <w:p w14:paraId="0248B8CC" w14:textId="77777777" w:rsidR="0026795D" w:rsidRDefault="0026795D" w:rsidP="0026795D">
      <w:pPr>
        <w:pStyle w:val="TableHeading"/>
      </w:pPr>
      <w:r>
        <w:br w:type="page"/>
      </w:r>
      <w:r w:rsidRPr="00E4582E">
        <w:t>Table</w:t>
      </w:r>
      <w:r>
        <w:t xml:space="preserve"> 3.</w:t>
      </w:r>
      <w:r w:rsidRPr="00E4582E">
        <w:t>2: Budg</w:t>
      </w:r>
      <w:r>
        <w:t xml:space="preserve">eted departmental balance sheet </w:t>
      </w:r>
      <w:r w:rsidRPr="00E4582E">
        <w:t>(as at 30 June)</w:t>
      </w:r>
    </w:p>
    <w:p w14:paraId="3AE60BE7" w14:textId="7823A9F0" w:rsidR="0026795D" w:rsidRPr="00F626C2" w:rsidRDefault="00D72CD6" w:rsidP="0026795D">
      <w:pPr>
        <w:pStyle w:val="TableGraphic"/>
      </w:pPr>
      <w:r w:rsidRPr="00D72CD6">
        <w:rPr>
          <w:noProof/>
        </w:rPr>
        <w:drawing>
          <wp:inline distT="0" distB="0" distL="0" distR="0" wp14:anchorId="3E5FC6BC" wp14:editId="17BAE659">
            <wp:extent cx="4600575" cy="54387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00575" cy="5438775"/>
                    </a:xfrm>
                    <a:prstGeom prst="rect">
                      <a:avLst/>
                    </a:prstGeom>
                    <a:noFill/>
                    <a:ln>
                      <a:noFill/>
                    </a:ln>
                  </pic:spPr>
                </pic:pic>
              </a:graphicData>
            </a:graphic>
          </wp:inline>
        </w:drawing>
      </w:r>
    </w:p>
    <w:p w14:paraId="278387FA" w14:textId="77777777" w:rsidR="0026795D" w:rsidRPr="00132F9E" w:rsidRDefault="0026795D" w:rsidP="0026795D">
      <w:pPr>
        <w:pStyle w:val="Source"/>
        <w:rPr>
          <w:rFonts w:cs="Arial"/>
        </w:rPr>
      </w:pPr>
      <w:r w:rsidRPr="00132F9E">
        <w:rPr>
          <w:rFonts w:cs="Arial"/>
        </w:rPr>
        <w:t>Prepared on Australian Accounting Standards basis.</w:t>
      </w:r>
    </w:p>
    <w:p w14:paraId="7C044182" w14:textId="77777777" w:rsidR="0026795D" w:rsidRPr="00132F9E" w:rsidRDefault="0026795D" w:rsidP="0026795D">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4A520133" w14:textId="77777777" w:rsidR="0026795D" w:rsidRPr="00152B2B" w:rsidRDefault="0026795D" w:rsidP="0026795D"/>
    <w:p w14:paraId="4704EDCC" w14:textId="77777777" w:rsidR="0026795D" w:rsidRPr="00152B2B" w:rsidRDefault="0026795D" w:rsidP="0026795D"/>
    <w:p w14:paraId="23239702" w14:textId="77777777" w:rsidR="0026795D" w:rsidRDefault="0026795D" w:rsidP="0026795D">
      <w:pPr>
        <w:pStyle w:val="TableHeading"/>
        <w:rPr>
          <w:rFonts w:ascii="Times New Roman" w:hAnsi="Times New Roman"/>
        </w:rPr>
      </w:pPr>
      <w:r>
        <w:br w:type="page"/>
      </w:r>
      <w:r w:rsidRPr="00AD42E2">
        <w:t>Table 3.3: Departmental statement of changes in equity — summary of</w:t>
      </w:r>
      <w:r>
        <w:t xml:space="preserve"> movement (Budget year </w:t>
      </w:r>
      <w:r>
        <w:rPr>
          <w:lang w:val="en-AU"/>
        </w:rPr>
        <w:t>2022-23</w:t>
      </w:r>
      <w:r w:rsidRPr="00D30CBA">
        <w:t>)</w:t>
      </w: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14:paraId="2764F0C9" w14:textId="619A05E8" w:rsidR="0026795D" w:rsidRDefault="0026795D" w:rsidP="0026795D">
      <w:pPr>
        <w:pStyle w:val="TableGraphic"/>
      </w:pPr>
      <w:r>
        <w:fldChar w:fldCharType="end"/>
      </w:r>
      <w:r w:rsidRPr="002376AD">
        <w:t xml:space="preserve"> </w:t>
      </w:r>
      <w:r w:rsidR="00D72CD6" w:rsidRPr="00D72CD6">
        <w:rPr>
          <w:noProof/>
        </w:rPr>
        <w:drawing>
          <wp:inline distT="0" distB="0" distL="0" distR="0" wp14:anchorId="2698404B" wp14:editId="125BAA1E">
            <wp:extent cx="4105275" cy="3295650"/>
            <wp:effectExtent l="0" t="0" r="952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105275" cy="3295650"/>
                    </a:xfrm>
                    <a:prstGeom prst="rect">
                      <a:avLst/>
                    </a:prstGeom>
                    <a:noFill/>
                    <a:ln>
                      <a:noFill/>
                    </a:ln>
                  </pic:spPr>
                </pic:pic>
              </a:graphicData>
            </a:graphic>
          </wp:inline>
        </w:drawing>
      </w:r>
    </w:p>
    <w:p w14:paraId="381C5E03" w14:textId="02003A27" w:rsidR="0026795D" w:rsidRPr="00326544" w:rsidRDefault="0026795D" w:rsidP="00326544">
      <w:pPr>
        <w:pStyle w:val="TableGraphic"/>
        <w:rPr>
          <w:rFonts w:ascii="Arial" w:hAnsi="Arial" w:cs="Arial"/>
          <w:sz w:val="16"/>
          <w:szCs w:val="16"/>
        </w:rPr>
      </w:pPr>
      <w:r w:rsidRPr="00D606C2">
        <w:rPr>
          <w:rFonts w:ascii="Arial" w:hAnsi="Arial" w:cs="Arial"/>
          <w:sz w:val="16"/>
        </w:rPr>
        <w:t>Prepared on Australian Accounting Standards basis</w:t>
      </w:r>
      <w:r w:rsidR="00326544">
        <w:rPr>
          <w:rFonts w:ascii="Arial" w:hAnsi="Arial" w:cs="Arial"/>
          <w:sz w:val="16"/>
        </w:rPr>
        <w:t>.</w:t>
      </w:r>
    </w:p>
    <w:p w14:paraId="334F7A6C" w14:textId="77777777" w:rsidR="0026795D" w:rsidRPr="00A00283" w:rsidRDefault="0026795D" w:rsidP="0026795D">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0B185934" w14:textId="6C598C3A" w:rsidR="0026795D" w:rsidRPr="00F10305" w:rsidRDefault="00D72CD6" w:rsidP="0026795D">
      <w:pPr>
        <w:pStyle w:val="TableGraphic"/>
        <w:tabs>
          <w:tab w:val="left" w:pos="6237"/>
        </w:tabs>
      </w:pPr>
      <w:r w:rsidRPr="00D72CD6">
        <w:rPr>
          <w:noProof/>
        </w:rPr>
        <w:drawing>
          <wp:inline distT="0" distB="0" distL="0" distR="0" wp14:anchorId="2D5A6BB3" wp14:editId="34F66A52">
            <wp:extent cx="4619625" cy="57245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619625" cy="5724525"/>
                    </a:xfrm>
                    <a:prstGeom prst="rect">
                      <a:avLst/>
                    </a:prstGeom>
                    <a:noFill/>
                    <a:ln>
                      <a:noFill/>
                    </a:ln>
                  </pic:spPr>
                </pic:pic>
              </a:graphicData>
            </a:graphic>
          </wp:inline>
        </w:drawing>
      </w:r>
    </w:p>
    <w:p w14:paraId="370305E7" w14:textId="77777777" w:rsidR="0026795D" w:rsidRPr="00132F9E" w:rsidRDefault="0026795D" w:rsidP="0026795D">
      <w:pPr>
        <w:pStyle w:val="TableGraphic"/>
        <w:rPr>
          <w:rFonts w:ascii="Arial" w:hAnsi="Arial" w:cs="Arial"/>
          <w:sz w:val="16"/>
          <w:szCs w:val="16"/>
        </w:rPr>
      </w:pPr>
      <w:r w:rsidRPr="00132F9E">
        <w:rPr>
          <w:rFonts w:ascii="Arial" w:hAnsi="Arial" w:cs="Arial"/>
          <w:sz w:val="16"/>
          <w:szCs w:val="16"/>
        </w:rPr>
        <w:t>Prepared on Australian Accounting Standards basis.</w:t>
      </w:r>
    </w:p>
    <w:p w14:paraId="0A0645FD" w14:textId="77777777" w:rsidR="0026795D" w:rsidRPr="00132F9E" w:rsidRDefault="0026795D" w:rsidP="0026795D">
      <w:pPr>
        <w:pStyle w:val="NoSpacing"/>
        <w:rPr>
          <w:rFonts w:ascii="Arial" w:hAnsi="Arial" w:cs="Arial"/>
          <w:sz w:val="16"/>
          <w:szCs w:val="16"/>
        </w:rPr>
      </w:pPr>
    </w:p>
    <w:p w14:paraId="2DB7B0EF" w14:textId="77777777" w:rsidR="0026795D" w:rsidRPr="00A00283" w:rsidRDefault="0026795D" w:rsidP="0026795D">
      <w:pPr>
        <w:pStyle w:val="TableHeading"/>
      </w:pPr>
      <w:r>
        <w:br w:type="page"/>
      </w:r>
      <w:r w:rsidRPr="00D30CBA">
        <w:t>Table</w:t>
      </w:r>
      <w:r>
        <w:t xml:space="preserve"> 3.5</w:t>
      </w:r>
      <w:r w:rsidRPr="00D30CBA">
        <w:t xml:space="preserve">: </w:t>
      </w:r>
      <w:r>
        <w:t>Departmental capital budget statement (for the period ended 30 June)</w:t>
      </w:r>
    </w:p>
    <w:p w14:paraId="7B0B993C" w14:textId="51CEF859" w:rsidR="0026795D" w:rsidRDefault="00D72CD6" w:rsidP="0026795D">
      <w:pPr>
        <w:pStyle w:val="TableGraphic"/>
      </w:pPr>
      <w:r w:rsidRPr="00D72CD6">
        <w:rPr>
          <w:noProof/>
        </w:rPr>
        <w:drawing>
          <wp:inline distT="0" distB="0" distL="0" distR="0" wp14:anchorId="6C804428" wp14:editId="238C20B1">
            <wp:extent cx="4772025" cy="31908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772025" cy="3190875"/>
                    </a:xfrm>
                    <a:prstGeom prst="rect">
                      <a:avLst/>
                    </a:prstGeom>
                    <a:noFill/>
                    <a:ln>
                      <a:noFill/>
                    </a:ln>
                  </pic:spPr>
                </pic:pic>
              </a:graphicData>
            </a:graphic>
          </wp:inline>
        </w:drawing>
      </w:r>
    </w:p>
    <w:p w14:paraId="07029FE4" w14:textId="77777777" w:rsidR="0026795D" w:rsidRPr="00132F9E" w:rsidRDefault="0026795D" w:rsidP="0026795D">
      <w:pPr>
        <w:pStyle w:val="TableGraphic"/>
        <w:rPr>
          <w:rFonts w:ascii="Arial" w:hAnsi="Arial" w:cs="Arial"/>
          <w:sz w:val="16"/>
          <w:szCs w:val="16"/>
        </w:rPr>
      </w:pPr>
      <w:r w:rsidRPr="00132F9E">
        <w:rPr>
          <w:rFonts w:ascii="Arial" w:hAnsi="Arial" w:cs="Arial"/>
          <w:sz w:val="16"/>
          <w:szCs w:val="16"/>
        </w:rPr>
        <w:t>Prepared on Australian Accounting Standards basis.</w:t>
      </w:r>
    </w:p>
    <w:p w14:paraId="0ABCA282" w14:textId="77777777" w:rsidR="0026795D" w:rsidRPr="00271BF5" w:rsidRDefault="0026795D" w:rsidP="00091F80">
      <w:pPr>
        <w:pStyle w:val="ChartandTableFootnoteAlpha"/>
        <w:numPr>
          <w:ilvl w:val="0"/>
          <w:numId w:val="28"/>
        </w:numPr>
        <w:rPr>
          <w:rFonts w:cs="Arial"/>
          <w:szCs w:val="16"/>
        </w:rPr>
      </w:pPr>
      <w:r w:rsidRPr="00271BF5">
        <w:rPr>
          <w:rFonts w:cs="Arial"/>
          <w:szCs w:val="16"/>
        </w:rPr>
        <w:t>Includes both current Bill 2 and prior Act 2/4/6 appropriations.</w:t>
      </w:r>
    </w:p>
    <w:p w14:paraId="609127C4" w14:textId="552DFDF4" w:rsidR="0026795D" w:rsidRPr="00326544" w:rsidRDefault="00326544" w:rsidP="00FA3BF1">
      <w:pPr>
        <w:pStyle w:val="ChartandTableFootnoteAlpha"/>
        <w:rPr>
          <w:rFonts w:cs="Arial"/>
          <w:szCs w:val="16"/>
        </w:rPr>
      </w:pPr>
      <w:r>
        <w:rPr>
          <w:rFonts w:cs="Arial"/>
          <w:szCs w:val="16"/>
        </w:rPr>
        <w:t xml:space="preserve">Does not include annual finance lease costs. </w:t>
      </w:r>
      <w:r w:rsidR="0026795D" w:rsidRPr="00132F9E">
        <w:rPr>
          <w:rFonts w:cs="Arial"/>
          <w:szCs w:val="16"/>
        </w:rPr>
        <w:t>Includes purchases from current and previous years’ Departmental capital budgets (DCBs).</w:t>
      </w:r>
    </w:p>
    <w:p w14:paraId="3BAF77D3" w14:textId="77777777" w:rsidR="0026795D" w:rsidRDefault="0026795D" w:rsidP="0026795D">
      <w:pPr>
        <w:spacing w:after="0" w:line="240" w:lineRule="auto"/>
        <w:jc w:val="left"/>
      </w:pPr>
      <w:r>
        <w:br w:type="page"/>
      </w:r>
    </w:p>
    <w:p w14:paraId="5594A986" w14:textId="77777777" w:rsidR="0026795D" w:rsidRDefault="0026795D" w:rsidP="0026795D">
      <w:pPr>
        <w:pStyle w:val="TableHeading"/>
      </w:pPr>
      <w:r w:rsidRPr="00B31EE8">
        <w:t>Table 3.6: Statement of departmental asset movements (Budget year 2022-23</w:t>
      </w:r>
      <w:r>
        <w:t>)</w:t>
      </w:r>
    </w:p>
    <w:p w14:paraId="43386BA5" w14:textId="72DA020C" w:rsidR="0026795D" w:rsidRPr="00F03F10" w:rsidRDefault="00F03F10" w:rsidP="0026795D">
      <w:pPr>
        <w:pStyle w:val="TableGraphic"/>
        <w:rPr>
          <w:color w:val="000000" w:themeColor="text1"/>
          <w:lang w:eastAsia="x-none"/>
        </w:rPr>
      </w:pPr>
      <w:r w:rsidRPr="00F03F10">
        <w:t xml:space="preserve"> </w:t>
      </w:r>
      <w:r w:rsidR="00D72CD6" w:rsidRPr="00D72CD6">
        <w:rPr>
          <w:noProof/>
        </w:rPr>
        <w:drawing>
          <wp:inline distT="0" distB="0" distL="0" distR="0" wp14:anchorId="3C16952E" wp14:editId="37B9ED86">
            <wp:extent cx="4248150" cy="48672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48150" cy="4867275"/>
                    </a:xfrm>
                    <a:prstGeom prst="rect">
                      <a:avLst/>
                    </a:prstGeom>
                    <a:noFill/>
                    <a:ln>
                      <a:noFill/>
                    </a:ln>
                  </pic:spPr>
                </pic:pic>
              </a:graphicData>
            </a:graphic>
          </wp:inline>
        </w:drawing>
      </w:r>
    </w:p>
    <w:p w14:paraId="0FDD1B03" w14:textId="77777777" w:rsidR="0026795D" w:rsidRPr="002E5D24" w:rsidRDefault="0026795D" w:rsidP="0026795D">
      <w:pPr>
        <w:pStyle w:val="ChartandTableFootnote"/>
      </w:pPr>
      <w:r w:rsidRPr="00132F9E">
        <w:t>Prepared on Australian Accounting Standards basis.</w:t>
      </w:r>
    </w:p>
    <w:p w14:paraId="3061F1F8" w14:textId="0C43B413" w:rsidR="0026795D" w:rsidRPr="00124728" w:rsidRDefault="0026795D" w:rsidP="00091F80">
      <w:pPr>
        <w:pStyle w:val="ChartandTableFootnoteAlpha"/>
        <w:numPr>
          <w:ilvl w:val="0"/>
          <w:numId w:val="27"/>
        </w:numPr>
        <w:rPr>
          <w:rFonts w:cs="Arial"/>
          <w:szCs w:val="16"/>
        </w:rPr>
      </w:pPr>
      <w:r w:rsidRPr="00124728">
        <w:rPr>
          <w:rFonts w:cs="Arial"/>
          <w:szCs w:val="16"/>
        </w:rPr>
        <w:t>‘Appropriation equity’ refers to equity injections appropriations provided through Appropriation Bill (No. 2) 2022-23</w:t>
      </w:r>
      <w:r w:rsidR="004F3C27">
        <w:rPr>
          <w:rFonts w:cs="Arial"/>
          <w:szCs w:val="16"/>
        </w:rPr>
        <w:t>.</w:t>
      </w:r>
    </w:p>
    <w:p w14:paraId="388C938E" w14:textId="3982BDE9" w:rsidR="0026795D" w:rsidRPr="00132F9E" w:rsidRDefault="0026795D" w:rsidP="00091F80">
      <w:pPr>
        <w:pStyle w:val="ChartandTableFootnoteAlpha"/>
        <w:numPr>
          <w:ilvl w:val="0"/>
          <w:numId w:val="8"/>
        </w:numPr>
        <w:rPr>
          <w:rFonts w:cs="Arial"/>
          <w:szCs w:val="16"/>
        </w:rPr>
      </w:pPr>
      <w:r w:rsidRPr="00132F9E">
        <w:rPr>
          <w:rFonts w:cs="Arial"/>
          <w:szCs w:val="16"/>
        </w:rPr>
        <w:t xml:space="preserve">‘Appropriation ordinary annual services’ refers to funding provided through Appropriation Bill (No. 1) </w:t>
      </w:r>
      <w:r>
        <w:rPr>
          <w:rFonts w:cs="Arial"/>
          <w:szCs w:val="16"/>
        </w:rPr>
        <w:t>2022</w:t>
      </w:r>
      <w:r w:rsidR="00A54F28">
        <w:rPr>
          <w:rFonts w:cs="Arial"/>
          <w:szCs w:val="16"/>
        </w:rPr>
        <w:noBreakHyphen/>
      </w:r>
      <w:r>
        <w:rPr>
          <w:rFonts w:cs="Arial"/>
          <w:szCs w:val="16"/>
        </w:rPr>
        <w:t>23</w:t>
      </w:r>
      <w:r w:rsidRPr="00132F9E">
        <w:rPr>
          <w:rFonts w:cs="Arial"/>
          <w:szCs w:val="16"/>
        </w:rPr>
        <w:t xml:space="preserve"> for depreciation/amortisation expenses, DCBs or other operational expenses.</w:t>
      </w:r>
    </w:p>
    <w:p w14:paraId="642445B3" w14:textId="77777777" w:rsidR="0026795D" w:rsidRDefault="0026795D" w:rsidP="0026795D">
      <w:pPr>
        <w:pStyle w:val="NoSpacing"/>
      </w:pPr>
    </w:p>
    <w:p w14:paraId="5E92BF5D" w14:textId="77777777" w:rsidR="0026795D" w:rsidRDefault="0026795D" w:rsidP="0026795D">
      <w:pPr>
        <w:pStyle w:val="ExampleText0"/>
        <w:sectPr w:rsidR="0026795D" w:rsidSect="00503FD8">
          <w:headerReference w:type="even" r:id="rId116"/>
          <w:headerReference w:type="default" r:id="rId117"/>
          <w:footerReference w:type="default" r:id="rId118"/>
          <w:headerReference w:type="first" r:id="rId119"/>
          <w:pgSz w:w="11906" w:h="16838" w:code="9"/>
          <w:pgMar w:top="2835" w:right="2098" w:bottom="2466" w:left="2098" w:header="1814" w:footer="1814" w:gutter="0"/>
          <w:cols w:space="708"/>
          <w:titlePg/>
          <w:docGrid w:linePitch="360"/>
        </w:sectPr>
      </w:pPr>
    </w:p>
    <w:p w14:paraId="3EC43CBC" w14:textId="77777777" w:rsidR="0026795D" w:rsidRDefault="0026795D" w:rsidP="0026795D">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095ACBFF" w14:textId="472C3A7B" w:rsidR="0026795D" w:rsidRDefault="00D72CD6" w:rsidP="0026795D">
      <w:pPr>
        <w:pStyle w:val="TableGraphic"/>
      </w:pPr>
      <w:r w:rsidRPr="00D72CD6">
        <w:rPr>
          <w:noProof/>
        </w:rPr>
        <w:drawing>
          <wp:inline distT="0" distB="0" distL="0" distR="0" wp14:anchorId="46E2514A" wp14:editId="77CE7A06">
            <wp:extent cx="4752975" cy="18669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52975" cy="1866900"/>
                    </a:xfrm>
                    <a:prstGeom prst="rect">
                      <a:avLst/>
                    </a:prstGeom>
                    <a:noFill/>
                    <a:ln>
                      <a:noFill/>
                    </a:ln>
                  </pic:spPr>
                </pic:pic>
              </a:graphicData>
            </a:graphic>
          </wp:inline>
        </w:drawing>
      </w:r>
    </w:p>
    <w:p w14:paraId="2D112EF9" w14:textId="49C88D4B" w:rsidR="0026795D" w:rsidRPr="00FD522D" w:rsidRDefault="0026795D" w:rsidP="00C350D8">
      <w:pPr>
        <w:pStyle w:val="Source"/>
      </w:pPr>
      <w:r w:rsidRPr="00E4582E">
        <w:t>Prepared on Australian Accounting Standards basis</w:t>
      </w:r>
      <w:r>
        <w:t>.</w:t>
      </w:r>
    </w:p>
    <w:p w14:paraId="0743C134" w14:textId="77777777" w:rsidR="0026795D" w:rsidRDefault="0026795D" w:rsidP="0026795D">
      <w:pPr>
        <w:pStyle w:val="TableHeading"/>
      </w:pPr>
      <w:r>
        <w:br w:type="page"/>
      </w: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4D57AAF3" w14:textId="778F4C5A" w:rsidR="0026795D" w:rsidRPr="009763C1" w:rsidRDefault="00D72CD6" w:rsidP="0026795D">
      <w:pPr>
        <w:pStyle w:val="TableGraphic"/>
        <w:rPr>
          <w:lang w:val="x-none" w:eastAsia="x-none"/>
        </w:rPr>
      </w:pPr>
      <w:r w:rsidRPr="00D72CD6">
        <w:rPr>
          <w:noProof/>
        </w:rPr>
        <w:drawing>
          <wp:inline distT="0" distB="0" distL="0" distR="0" wp14:anchorId="346083E9" wp14:editId="4B9A3FD3">
            <wp:extent cx="4629150" cy="34385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629150" cy="3438525"/>
                    </a:xfrm>
                    <a:prstGeom prst="rect">
                      <a:avLst/>
                    </a:prstGeom>
                    <a:noFill/>
                    <a:ln>
                      <a:noFill/>
                    </a:ln>
                  </pic:spPr>
                </pic:pic>
              </a:graphicData>
            </a:graphic>
          </wp:inline>
        </w:drawing>
      </w:r>
    </w:p>
    <w:p w14:paraId="51CBF531" w14:textId="77777777" w:rsidR="0026795D" w:rsidRPr="00B7521F" w:rsidRDefault="0026795D" w:rsidP="0026795D">
      <w:pPr>
        <w:pStyle w:val="ChartandTableFootnote"/>
      </w:pPr>
      <w:r w:rsidRPr="00B7521F">
        <w:t>Prepared on Australian Accounting Standards basis.</w:t>
      </w:r>
    </w:p>
    <w:p w14:paraId="188A2FA5" w14:textId="77777777" w:rsidR="0026795D" w:rsidRPr="00B7521F" w:rsidRDefault="0026795D" w:rsidP="0026795D">
      <w:pPr>
        <w:pStyle w:val="SingleParagraph"/>
        <w:spacing w:line="240" w:lineRule="auto"/>
        <w:rPr>
          <w:rFonts w:ascii="Arial" w:hAnsi="Arial" w:cs="Arial"/>
          <w:sz w:val="16"/>
          <w:szCs w:val="16"/>
        </w:rPr>
      </w:pPr>
    </w:p>
    <w:p w14:paraId="0852946D" w14:textId="77777777" w:rsidR="0026795D" w:rsidRDefault="0026795D" w:rsidP="0026795D">
      <w:pPr>
        <w:pStyle w:val="TableHeading"/>
      </w:pPr>
      <w:r>
        <w:br w:type="page"/>
        <w:t xml:space="preserve">Table 3.9: </w:t>
      </w:r>
      <w:r w:rsidRPr="00C41D55">
        <w:t xml:space="preserve">Schedule of </w:t>
      </w:r>
      <w:r>
        <w:t xml:space="preserve">budgeted administered cash flows </w:t>
      </w:r>
      <w:r w:rsidRPr="00C41D55">
        <w:t>(for</w:t>
      </w:r>
      <w:r>
        <w:t> the </w:t>
      </w:r>
      <w:r w:rsidRPr="00C41D55">
        <w:t>period ended 30 June)</w:t>
      </w:r>
    </w:p>
    <w:p w14:paraId="6314D803" w14:textId="560513FA" w:rsidR="0026795D" w:rsidRPr="0044552A" w:rsidRDefault="00D72CD6" w:rsidP="0026795D">
      <w:pPr>
        <w:pStyle w:val="TableGraphic"/>
      </w:pPr>
      <w:r w:rsidRPr="00D72CD6">
        <w:rPr>
          <w:noProof/>
        </w:rPr>
        <w:drawing>
          <wp:inline distT="0" distB="0" distL="0" distR="0" wp14:anchorId="2B995A84" wp14:editId="396E42CA">
            <wp:extent cx="4724400" cy="38957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724400" cy="3895725"/>
                    </a:xfrm>
                    <a:prstGeom prst="rect">
                      <a:avLst/>
                    </a:prstGeom>
                    <a:noFill/>
                    <a:ln>
                      <a:noFill/>
                    </a:ln>
                  </pic:spPr>
                </pic:pic>
              </a:graphicData>
            </a:graphic>
          </wp:inline>
        </w:drawing>
      </w:r>
    </w:p>
    <w:p w14:paraId="1E6D3416" w14:textId="77777777" w:rsidR="0026795D" w:rsidRDefault="0026795D" w:rsidP="0026795D">
      <w:pPr>
        <w:pStyle w:val="ChartandTableFootnote"/>
      </w:pPr>
      <w:r>
        <w:t>Prepared on Australian Accounting Standards basis.</w:t>
      </w:r>
    </w:p>
    <w:p w14:paraId="483DA632" w14:textId="77777777" w:rsidR="0026795D" w:rsidRPr="005C474C" w:rsidRDefault="0026795D" w:rsidP="0026795D">
      <w:pPr>
        <w:rPr>
          <w:lang w:val="x-none"/>
        </w:rPr>
      </w:pPr>
    </w:p>
    <w:p w14:paraId="001DB3CB" w14:textId="77777777" w:rsidR="0026795D" w:rsidRPr="005B6A94" w:rsidRDefault="0026795D" w:rsidP="0026795D">
      <w:pPr>
        <w:pStyle w:val="ExampleText0"/>
        <w:rPr>
          <w:i w:val="0"/>
        </w:rPr>
        <w:sectPr w:rsidR="0026795D" w:rsidRPr="005B6A94" w:rsidSect="00503FD8">
          <w:headerReference w:type="even" r:id="rId123"/>
          <w:headerReference w:type="default" r:id="rId124"/>
          <w:footerReference w:type="even" r:id="rId125"/>
          <w:footerReference w:type="default" r:id="rId126"/>
          <w:headerReference w:type="first" r:id="rId127"/>
          <w:footerReference w:type="first" r:id="rId128"/>
          <w:pgSz w:w="11906" w:h="16838" w:code="9"/>
          <w:pgMar w:top="2835" w:right="2098" w:bottom="2466" w:left="2098" w:header="1814" w:footer="1814" w:gutter="0"/>
          <w:cols w:space="708"/>
          <w:titlePg/>
          <w:docGrid w:linePitch="360"/>
        </w:sectPr>
      </w:pPr>
    </w:p>
    <w:p w14:paraId="43B3E2D5" w14:textId="160A3E2B" w:rsidR="0026795D" w:rsidRPr="005A7C0B" w:rsidRDefault="00C45203" w:rsidP="0026795D">
      <w:pPr>
        <w:pStyle w:val="PartHeading"/>
      </w:pPr>
      <w:r>
        <w:t>Australian Centre for International Agricultural Research (ACIAR)</w:t>
      </w:r>
    </w:p>
    <w:p w14:paraId="6711E955" w14:textId="77777777" w:rsidR="0026795D" w:rsidRDefault="0026795D" w:rsidP="0026795D">
      <w:pPr>
        <w:pStyle w:val="PartHeading"/>
      </w:pPr>
    </w:p>
    <w:p w14:paraId="3531478F" w14:textId="77777777" w:rsidR="0026795D" w:rsidRDefault="0026795D" w:rsidP="0026795D">
      <w:pPr>
        <w:pStyle w:val="PartHeading"/>
      </w:pPr>
    </w:p>
    <w:p w14:paraId="3E92FF15" w14:textId="77777777" w:rsidR="0026795D" w:rsidRDefault="0026795D" w:rsidP="0026795D">
      <w:pPr>
        <w:pStyle w:val="PartHeading-TOC"/>
      </w:pPr>
      <w:bookmarkStart w:id="232" w:name="_Toc95215533"/>
      <w:bookmarkStart w:id="233" w:name="_Toc95217543"/>
      <w:r>
        <w:t>Entity resources and planned performance</w:t>
      </w:r>
      <w:bookmarkEnd w:id="232"/>
      <w:bookmarkEnd w:id="233"/>
    </w:p>
    <w:p w14:paraId="2850A312" w14:textId="77777777" w:rsidR="0026795D" w:rsidRDefault="0026795D" w:rsidP="0026795D">
      <w:pPr>
        <w:pStyle w:val="PartHeading"/>
        <w:sectPr w:rsidR="0026795D" w:rsidSect="00782467">
          <w:footerReference w:type="first" r:id="rId129"/>
          <w:type w:val="oddPage"/>
          <w:pgSz w:w="11906" w:h="16838" w:code="9"/>
          <w:pgMar w:top="2835" w:right="2098" w:bottom="2466" w:left="2098" w:header="1814" w:footer="1814" w:gutter="0"/>
          <w:cols w:space="708"/>
          <w:vAlign w:val="center"/>
          <w:titlePg/>
          <w:docGrid w:linePitch="360"/>
        </w:sectPr>
      </w:pPr>
    </w:p>
    <w:p w14:paraId="388CA63B" w14:textId="538D0B09" w:rsidR="0026795D" w:rsidRPr="002A32FD" w:rsidRDefault="00C45203" w:rsidP="0026795D">
      <w:pPr>
        <w:pStyle w:val="ContentsHeading"/>
      </w:pPr>
      <w:r>
        <w:t>Australian Centre for International Agricultural Research</w:t>
      </w:r>
    </w:p>
    <w:p w14:paraId="2D311525" w14:textId="64113852" w:rsidR="00091F80" w:rsidRDefault="0026795D">
      <w:pPr>
        <w:pStyle w:val="TOC1"/>
        <w:rPr>
          <w:rFonts w:asciiTheme="minorHAnsi" w:eastAsiaTheme="minorEastAsia" w:hAnsiTheme="minorHAnsi" w:cstheme="minorBidi"/>
          <w:b w:val="0"/>
          <w:caps w:val="0"/>
          <w:noProof/>
          <w:sz w:val="22"/>
          <w:szCs w:val="22"/>
          <w:lang w:eastAsia="ja-JP"/>
        </w:rPr>
      </w:pPr>
      <w:r>
        <w:fldChar w:fldCharType="begin"/>
      </w:r>
      <w:r>
        <w:instrText xml:space="preserve"> TOC \h \z \t "Heading 2,1,Heading 3,2" </w:instrText>
      </w:r>
      <w:r>
        <w:fldChar w:fldCharType="separate"/>
      </w:r>
      <w:hyperlink w:anchor="_Toc97540651" w:history="1">
        <w:r w:rsidR="00091F80" w:rsidRPr="00434602">
          <w:rPr>
            <w:rStyle w:val="Hyperlink"/>
            <w:noProof/>
          </w:rPr>
          <w:t>Section 1: Entity overview and resources</w:t>
        </w:r>
        <w:r w:rsidR="00091F80">
          <w:rPr>
            <w:noProof/>
            <w:webHidden/>
          </w:rPr>
          <w:tab/>
        </w:r>
        <w:r w:rsidR="00091F80">
          <w:rPr>
            <w:noProof/>
            <w:webHidden/>
          </w:rPr>
          <w:fldChar w:fldCharType="begin"/>
        </w:r>
        <w:r w:rsidR="00091F80">
          <w:rPr>
            <w:noProof/>
            <w:webHidden/>
          </w:rPr>
          <w:instrText xml:space="preserve"> PAGEREF _Toc97540651 \h </w:instrText>
        </w:r>
        <w:r w:rsidR="00091F80">
          <w:rPr>
            <w:noProof/>
            <w:webHidden/>
          </w:rPr>
        </w:r>
        <w:r w:rsidR="00091F80">
          <w:rPr>
            <w:noProof/>
            <w:webHidden/>
          </w:rPr>
          <w:fldChar w:fldCharType="separate"/>
        </w:r>
        <w:r w:rsidR="00400ED5">
          <w:rPr>
            <w:noProof/>
            <w:webHidden/>
          </w:rPr>
          <w:t>107</w:t>
        </w:r>
        <w:r w:rsidR="00091F80">
          <w:rPr>
            <w:noProof/>
            <w:webHidden/>
          </w:rPr>
          <w:fldChar w:fldCharType="end"/>
        </w:r>
      </w:hyperlink>
    </w:p>
    <w:p w14:paraId="4F04EA2F" w14:textId="415DBE3E" w:rsidR="00091F80" w:rsidRDefault="000F6D08">
      <w:pPr>
        <w:pStyle w:val="TOC2"/>
        <w:tabs>
          <w:tab w:val="left" w:pos="800"/>
        </w:tabs>
        <w:rPr>
          <w:rFonts w:asciiTheme="minorHAnsi" w:eastAsiaTheme="minorEastAsia" w:hAnsiTheme="minorHAnsi" w:cstheme="minorBidi"/>
          <w:noProof/>
          <w:sz w:val="22"/>
          <w:szCs w:val="22"/>
          <w:lang w:eastAsia="ja-JP"/>
        </w:rPr>
      </w:pPr>
      <w:hyperlink w:anchor="_Toc97540652" w:history="1">
        <w:r w:rsidR="00091F80" w:rsidRPr="00434602">
          <w:rPr>
            <w:rStyle w:val="Hyperlink"/>
            <w:noProof/>
          </w:rPr>
          <w:t>1.1</w:t>
        </w:r>
        <w:r w:rsidR="00091F80">
          <w:rPr>
            <w:rFonts w:asciiTheme="minorHAnsi" w:eastAsiaTheme="minorEastAsia" w:hAnsiTheme="minorHAnsi" w:cstheme="minorBidi"/>
            <w:noProof/>
            <w:sz w:val="22"/>
            <w:szCs w:val="22"/>
            <w:lang w:eastAsia="ja-JP"/>
          </w:rPr>
          <w:tab/>
        </w:r>
        <w:r w:rsidR="00091F80" w:rsidRPr="00434602">
          <w:rPr>
            <w:rStyle w:val="Hyperlink"/>
            <w:noProof/>
          </w:rPr>
          <w:t>Strategic direction statement</w:t>
        </w:r>
        <w:r w:rsidR="00091F80">
          <w:rPr>
            <w:noProof/>
            <w:webHidden/>
          </w:rPr>
          <w:tab/>
        </w:r>
        <w:r w:rsidR="00091F80">
          <w:rPr>
            <w:noProof/>
            <w:webHidden/>
          </w:rPr>
          <w:fldChar w:fldCharType="begin"/>
        </w:r>
        <w:r w:rsidR="00091F80">
          <w:rPr>
            <w:noProof/>
            <w:webHidden/>
          </w:rPr>
          <w:instrText xml:space="preserve"> PAGEREF _Toc97540652 \h </w:instrText>
        </w:r>
        <w:r w:rsidR="00091F80">
          <w:rPr>
            <w:noProof/>
            <w:webHidden/>
          </w:rPr>
        </w:r>
        <w:r w:rsidR="00091F80">
          <w:rPr>
            <w:noProof/>
            <w:webHidden/>
          </w:rPr>
          <w:fldChar w:fldCharType="separate"/>
        </w:r>
        <w:r w:rsidR="00400ED5">
          <w:rPr>
            <w:noProof/>
            <w:webHidden/>
          </w:rPr>
          <w:t>107</w:t>
        </w:r>
        <w:r w:rsidR="00091F80">
          <w:rPr>
            <w:noProof/>
            <w:webHidden/>
          </w:rPr>
          <w:fldChar w:fldCharType="end"/>
        </w:r>
      </w:hyperlink>
    </w:p>
    <w:p w14:paraId="0A98DA54" w14:textId="0547047F" w:rsidR="00091F80" w:rsidRDefault="000F6D08">
      <w:pPr>
        <w:pStyle w:val="TOC2"/>
        <w:tabs>
          <w:tab w:val="left" w:pos="800"/>
        </w:tabs>
        <w:rPr>
          <w:rFonts w:asciiTheme="minorHAnsi" w:eastAsiaTheme="minorEastAsia" w:hAnsiTheme="minorHAnsi" w:cstheme="minorBidi"/>
          <w:noProof/>
          <w:sz w:val="22"/>
          <w:szCs w:val="22"/>
          <w:lang w:eastAsia="ja-JP"/>
        </w:rPr>
      </w:pPr>
      <w:hyperlink w:anchor="_Toc97540653" w:history="1">
        <w:r w:rsidR="00091F80" w:rsidRPr="00434602">
          <w:rPr>
            <w:rStyle w:val="Hyperlink"/>
            <w:noProof/>
          </w:rPr>
          <w:t>1.2</w:t>
        </w:r>
        <w:r w:rsidR="00091F80">
          <w:rPr>
            <w:rFonts w:asciiTheme="minorHAnsi" w:eastAsiaTheme="minorEastAsia" w:hAnsiTheme="minorHAnsi" w:cstheme="minorBidi"/>
            <w:noProof/>
            <w:sz w:val="22"/>
            <w:szCs w:val="22"/>
            <w:lang w:eastAsia="ja-JP"/>
          </w:rPr>
          <w:tab/>
        </w:r>
        <w:r w:rsidR="00091F80" w:rsidRPr="00434602">
          <w:rPr>
            <w:rStyle w:val="Hyperlink"/>
            <w:noProof/>
          </w:rPr>
          <w:t>Entity resource statement</w:t>
        </w:r>
        <w:r w:rsidR="00091F80">
          <w:rPr>
            <w:noProof/>
            <w:webHidden/>
          </w:rPr>
          <w:tab/>
        </w:r>
        <w:r w:rsidR="00091F80">
          <w:rPr>
            <w:noProof/>
            <w:webHidden/>
          </w:rPr>
          <w:fldChar w:fldCharType="begin"/>
        </w:r>
        <w:r w:rsidR="00091F80">
          <w:rPr>
            <w:noProof/>
            <w:webHidden/>
          </w:rPr>
          <w:instrText xml:space="preserve"> PAGEREF _Toc97540653 \h </w:instrText>
        </w:r>
        <w:r w:rsidR="00091F80">
          <w:rPr>
            <w:noProof/>
            <w:webHidden/>
          </w:rPr>
        </w:r>
        <w:r w:rsidR="00091F80">
          <w:rPr>
            <w:noProof/>
            <w:webHidden/>
          </w:rPr>
          <w:fldChar w:fldCharType="separate"/>
        </w:r>
        <w:r w:rsidR="00400ED5">
          <w:rPr>
            <w:noProof/>
            <w:webHidden/>
          </w:rPr>
          <w:t>109</w:t>
        </w:r>
        <w:r w:rsidR="00091F80">
          <w:rPr>
            <w:noProof/>
            <w:webHidden/>
          </w:rPr>
          <w:fldChar w:fldCharType="end"/>
        </w:r>
      </w:hyperlink>
    </w:p>
    <w:p w14:paraId="24FC8669" w14:textId="394335CC" w:rsidR="00091F80" w:rsidRDefault="000F6D08">
      <w:pPr>
        <w:pStyle w:val="TOC1"/>
        <w:rPr>
          <w:rFonts w:asciiTheme="minorHAnsi" w:eastAsiaTheme="minorEastAsia" w:hAnsiTheme="minorHAnsi" w:cstheme="minorBidi"/>
          <w:b w:val="0"/>
          <w:caps w:val="0"/>
          <w:noProof/>
          <w:sz w:val="22"/>
          <w:szCs w:val="22"/>
          <w:lang w:eastAsia="ja-JP"/>
        </w:rPr>
      </w:pPr>
      <w:hyperlink w:anchor="_Toc97540654" w:history="1">
        <w:r w:rsidR="00091F80" w:rsidRPr="00434602">
          <w:rPr>
            <w:rStyle w:val="Hyperlink"/>
            <w:noProof/>
          </w:rPr>
          <w:t>Section 2: Outcomes and planned performance</w:t>
        </w:r>
        <w:r w:rsidR="00091F80">
          <w:rPr>
            <w:noProof/>
            <w:webHidden/>
          </w:rPr>
          <w:tab/>
        </w:r>
        <w:r w:rsidR="00091F80">
          <w:rPr>
            <w:noProof/>
            <w:webHidden/>
          </w:rPr>
          <w:fldChar w:fldCharType="begin"/>
        </w:r>
        <w:r w:rsidR="00091F80">
          <w:rPr>
            <w:noProof/>
            <w:webHidden/>
          </w:rPr>
          <w:instrText xml:space="preserve"> PAGEREF _Toc97540654 \h </w:instrText>
        </w:r>
        <w:r w:rsidR="00091F80">
          <w:rPr>
            <w:noProof/>
            <w:webHidden/>
          </w:rPr>
        </w:r>
        <w:r w:rsidR="00091F80">
          <w:rPr>
            <w:noProof/>
            <w:webHidden/>
          </w:rPr>
          <w:fldChar w:fldCharType="separate"/>
        </w:r>
        <w:r w:rsidR="00400ED5">
          <w:rPr>
            <w:noProof/>
            <w:webHidden/>
          </w:rPr>
          <w:t>111</w:t>
        </w:r>
        <w:r w:rsidR="00091F80">
          <w:rPr>
            <w:noProof/>
            <w:webHidden/>
          </w:rPr>
          <w:fldChar w:fldCharType="end"/>
        </w:r>
      </w:hyperlink>
    </w:p>
    <w:p w14:paraId="06BD1EF9" w14:textId="071B61DB" w:rsidR="00091F80" w:rsidRDefault="000F6D08">
      <w:pPr>
        <w:pStyle w:val="TOC2"/>
        <w:tabs>
          <w:tab w:val="left" w:pos="800"/>
        </w:tabs>
        <w:rPr>
          <w:rFonts w:asciiTheme="minorHAnsi" w:eastAsiaTheme="minorEastAsia" w:hAnsiTheme="minorHAnsi" w:cstheme="minorBidi"/>
          <w:noProof/>
          <w:sz w:val="22"/>
          <w:szCs w:val="22"/>
          <w:lang w:eastAsia="ja-JP"/>
        </w:rPr>
      </w:pPr>
      <w:hyperlink w:anchor="_Toc97540655" w:history="1">
        <w:r w:rsidR="00091F80" w:rsidRPr="00434602">
          <w:rPr>
            <w:rStyle w:val="Hyperlink"/>
            <w:noProof/>
          </w:rPr>
          <w:t xml:space="preserve">2.1 </w:t>
        </w:r>
        <w:r w:rsidR="00091F80">
          <w:rPr>
            <w:rFonts w:asciiTheme="minorHAnsi" w:eastAsiaTheme="minorEastAsia" w:hAnsiTheme="minorHAnsi" w:cstheme="minorBidi"/>
            <w:noProof/>
            <w:sz w:val="22"/>
            <w:szCs w:val="22"/>
            <w:lang w:eastAsia="ja-JP"/>
          </w:rPr>
          <w:tab/>
        </w:r>
        <w:r w:rsidR="00091F80" w:rsidRPr="00434602">
          <w:rPr>
            <w:rStyle w:val="Hyperlink"/>
            <w:noProof/>
          </w:rPr>
          <w:t>Budgeted expenses and performance for Outcome 1</w:t>
        </w:r>
        <w:r w:rsidR="00091F80">
          <w:rPr>
            <w:noProof/>
            <w:webHidden/>
          </w:rPr>
          <w:tab/>
        </w:r>
        <w:r w:rsidR="00091F80">
          <w:rPr>
            <w:noProof/>
            <w:webHidden/>
          </w:rPr>
          <w:fldChar w:fldCharType="begin"/>
        </w:r>
        <w:r w:rsidR="00091F80">
          <w:rPr>
            <w:noProof/>
            <w:webHidden/>
          </w:rPr>
          <w:instrText xml:space="preserve"> PAGEREF _Toc97540655 \h </w:instrText>
        </w:r>
        <w:r w:rsidR="00091F80">
          <w:rPr>
            <w:noProof/>
            <w:webHidden/>
          </w:rPr>
        </w:r>
        <w:r w:rsidR="00091F80">
          <w:rPr>
            <w:noProof/>
            <w:webHidden/>
          </w:rPr>
          <w:fldChar w:fldCharType="separate"/>
        </w:r>
        <w:r w:rsidR="00400ED5">
          <w:rPr>
            <w:noProof/>
            <w:webHidden/>
          </w:rPr>
          <w:t>112</w:t>
        </w:r>
        <w:r w:rsidR="00091F80">
          <w:rPr>
            <w:noProof/>
            <w:webHidden/>
          </w:rPr>
          <w:fldChar w:fldCharType="end"/>
        </w:r>
      </w:hyperlink>
    </w:p>
    <w:p w14:paraId="2059EC1C" w14:textId="6540F2A6" w:rsidR="00091F80" w:rsidRDefault="000F6D08">
      <w:pPr>
        <w:pStyle w:val="TOC1"/>
        <w:rPr>
          <w:rFonts w:asciiTheme="minorHAnsi" w:eastAsiaTheme="minorEastAsia" w:hAnsiTheme="minorHAnsi" w:cstheme="minorBidi"/>
          <w:b w:val="0"/>
          <w:caps w:val="0"/>
          <w:noProof/>
          <w:sz w:val="22"/>
          <w:szCs w:val="22"/>
          <w:lang w:eastAsia="ja-JP"/>
        </w:rPr>
      </w:pPr>
      <w:hyperlink w:anchor="_Toc97540656" w:history="1">
        <w:r w:rsidR="00091F80" w:rsidRPr="00434602">
          <w:rPr>
            <w:rStyle w:val="Hyperlink"/>
            <w:noProof/>
          </w:rPr>
          <w:t>Section 3: Budgeted financial statements</w:t>
        </w:r>
        <w:r w:rsidR="00091F80">
          <w:rPr>
            <w:noProof/>
            <w:webHidden/>
          </w:rPr>
          <w:tab/>
        </w:r>
        <w:r w:rsidR="00091F80">
          <w:rPr>
            <w:noProof/>
            <w:webHidden/>
          </w:rPr>
          <w:fldChar w:fldCharType="begin"/>
        </w:r>
        <w:r w:rsidR="00091F80">
          <w:rPr>
            <w:noProof/>
            <w:webHidden/>
          </w:rPr>
          <w:instrText xml:space="preserve"> PAGEREF _Toc97540656 \h </w:instrText>
        </w:r>
        <w:r w:rsidR="00091F80">
          <w:rPr>
            <w:noProof/>
            <w:webHidden/>
          </w:rPr>
        </w:r>
        <w:r w:rsidR="00091F80">
          <w:rPr>
            <w:noProof/>
            <w:webHidden/>
          </w:rPr>
          <w:fldChar w:fldCharType="separate"/>
        </w:r>
        <w:r w:rsidR="00400ED5">
          <w:rPr>
            <w:noProof/>
            <w:webHidden/>
          </w:rPr>
          <w:t>117</w:t>
        </w:r>
        <w:r w:rsidR="00091F80">
          <w:rPr>
            <w:noProof/>
            <w:webHidden/>
          </w:rPr>
          <w:fldChar w:fldCharType="end"/>
        </w:r>
      </w:hyperlink>
    </w:p>
    <w:p w14:paraId="34C3A3BF" w14:textId="1432D849" w:rsidR="00091F80" w:rsidRDefault="000F6D08">
      <w:pPr>
        <w:pStyle w:val="TOC2"/>
        <w:tabs>
          <w:tab w:val="left" w:pos="800"/>
        </w:tabs>
        <w:rPr>
          <w:rFonts w:asciiTheme="minorHAnsi" w:eastAsiaTheme="minorEastAsia" w:hAnsiTheme="minorHAnsi" w:cstheme="minorBidi"/>
          <w:noProof/>
          <w:sz w:val="22"/>
          <w:szCs w:val="22"/>
          <w:lang w:eastAsia="ja-JP"/>
        </w:rPr>
      </w:pPr>
      <w:hyperlink w:anchor="_Toc97540657" w:history="1">
        <w:r w:rsidR="00091F80" w:rsidRPr="00434602">
          <w:rPr>
            <w:rStyle w:val="Hyperlink"/>
            <w:noProof/>
          </w:rPr>
          <w:t>3.1</w:t>
        </w:r>
        <w:r w:rsidR="00091F80">
          <w:rPr>
            <w:rFonts w:asciiTheme="minorHAnsi" w:eastAsiaTheme="minorEastAsia" w:hAnsiTheme="minorHAnsi" w:cstheme="minorBidi"/>
            <w:noProof/>
            <w:sz w:val="22"/>
            <w:szCs w:val="22"/>
            <w:lang w:eastAsia="ja-JP"/>
          </w:rPr>
          <w:tab/>
        </w:r>
        <w:r w:rsidR="00091F80" w:rsidRPr="00434602">
          <w:rPr>
            <w:rStyle w:val="Hyperlink"/>
            <w:noProof/>
          </w:rPr>
          <w:t>Budgeted financial statements</w:t>
        </w:r>
        <w:r w:rsidR="00091F80">
          <w:rPr>
            <w:noProof/>
            <w:webHidden/>
          </w:rPr>
          <w:tab/>
        </w:r>
        <w:r w:rsidR="00091F80">
          <w:rPr>
            <w:noProof/>
            <w:webHidden/>
          </w:rPr>
          <w:fldChar w:fldCharType="begin"/>
        </w:r>
        <w:r w:rsidR="00091F80">
          <w:rPr>
            <w:noProof/>
            <w:webHidden/>
          </w:rPr>
          <w:instrText xml:space="preserve"> PAGEREF _Toc97540657 \h </w:instrText>
        </w:r>
        <w:r w:rsidR="00091F80">
          <w:rPr>
            <w:noProof/>
            <w:webHidden/>
          </w:rPr>
        </w:r>
        <w:r w:rsidR="00091F80">
          <w:rPr>
            <w:noProof/>
            <w:webHidden/>
          </w:rPr>
          <w:fldChar w:fldCharType="separate"/>
        </w:r>
        <w:r w:rsidR="00400ED5">
          <w:rPr>
            <w:noProof/>
            <w:webHidden/>
          </w:rPr>
          <w:t>117</w:t>
        </w:r>
        <w:r w:rsidR="00091F80">
          <w:rPr>
            <w:noProof/>
            <w:webHidden/>
          </w:rPr>
          <w:fldChar w:fldCharType="end"/>
        </w:r>
      </w:hyperlink>
    </w:p>
    <w:p w14:paraId="77C21921" w14:textId="2D8CEC07" w:rsidR="0026795D" w:rsidRDefault="0026795D" w:rsidP="0026795D">
      <w:pPr>
        <w:pStyle w:val="TOC1"/>
      </w:pPr>
      <w:r>
        <w:fldChar w:fldCharType="end"/>
      </w:r>
    </w:p>
    <w:p w14:paraId="6C4AF043" w14:textId="77777777" w:rsidR="0026795D" w:rsidRPr="008B5AFD" w:rsidRDefault="0026795D" w:rsidP="0026795D"/>
    <w:p w14:paraId="11F01C20" w14:textId="77777777" w:rsidR="0026795D" w:rsidRDefault="0026795D" w:rsidP="0026795D">
      <w:pPr>
        <w:sectPr w:rsidR="0026795D" w:rsidSect="00782467">
          <w:footerReference w:type="first" r:id="rId130"/>
          <w:type w:val="oddPage"/>
          <w:pgSz w:w="11906" w:h="16838" w:code="9"/>
          <w:pgMar w:top="2835" w:right="2098" w:bottom="2466" w:left="2098" w:header="1814" w:footer="1814" w:gutter="0"/>
          <w:cols w:space="708"/>
          <w:titlePg/>
          <w:docGrid w:linePitch="360"/>
        </w:sectPr>
      </w:pPr>
    </w:p>
    <w:p w14:paraId="4373ACC0" w14:textId="3BFB3C13" w:rsidR="0026795D" w:rsidRDefault="00C45203" w:rsidP="0026795D">
      <w:pPr>
        <w:pStyle w:val="Heading1"/>
      </w:pPr>
      <w:bookmarkStart w:id="234" w:name="_Toc95217544"/>
      <w:r>
        <w:t>Australian Centre for International Agricultural Research</w:t>
      </w:r>
      <w:bookmarkEnd w:id="234"/>
    </w:p>
    <w:p w14:paraId="47B71346" w14:textId="77777777" w:rsidR="0026795D" w:rsidRPr="002C4D41" w:rsidRDefault="0026795D" w:rsidP="0026795D">
      <w:pPr>
        <w:pStyle w:val="Heading2"/>
      </w:pPr>
      <w:bookmarkStart w:id="235" w:name="_Toc95217801"/>
      <w:bookmarkStart w:id="236" w:name="_Toc95217865"/>
      <w:bookmarkStart w:id="237" w:name="_Toc95229692"/>
      <w:bookmarkStart w:id="238" w:name="_Toc95291886"/>
      <w:bookmarkStart w:id="239" w:name="_Toc95293760"/>
      <w:bookmarkStart w:id="240" w:name="_Toc95296411"/>
      <w:bookmarkStart w:id="241" w:name="_Toc97387913"/>
      <w:bookmarkStart w:id="242" w:name="_Toc97540651"/>
      <w:bookmarkStart w:id="243" w:name="_Toc99111653"/>
      <w:r w:rsidRPr="002C4D41">
        <w:t xml:space="preserve">Section 1: Entity overview and </w:t>
      </w:r>
      <w:r>
        <w:t>reso</w:t>
      </w:r>
      <w:r w:rsidRPr="002C4D41">
        <w:t>urces</w:t>
      </w:r>
      <w:bookmarkEnd w:id="235"/>
      <w:bookmarkEnd w:id="236"/>
      <w:bookmarkEnd w:id="237"/>
      <w:bookmarkEnd w:id="238"/>
      <w:bookmarkEnd w:id="239"/>
      <w:bookmarkEnd w:id="240"/>
      <w:bookmarkEnd w:id="241"/>
      <w:bookmarkEnd w:id="242"/>
      <w:bookmarkEnd w:id="243"/>
    </w:p>
    <w:p w14:paraId="556B2FE2" w14:textId="77777777" w:rsidR="0026795D" w:rsidRDefault="0026795D" w:rsidP="0026795D">
      <w:pPr>
        <w:pStyle w:val="Heading3"/>
      </w:pPr>
      <w:bookmarkStart w:id="244" w:name="_Toc95217802"/>
      <w:bookmarkStart w:id="245" w:name="_Toc95217866"/>
      <w:bookmarkStart w:id="246" w:name="_Toc95229693"/>
      <w:bookmarkStart w:id="247" w:name="_Toc95291887"/>
      <w:bookmarkStart w:id="248" w:name="_Toc95293761"/>
      <w:bookmarkStart w:id="249" w:name="_Toc95296412"/>
      <w:bookmarkStart w:id="250" w:name="_Toc97387914"/>
      <w:bookmarkStart w:id="251" w:name="_Toc97540652"/>
      <w:bookmarkStart w:id="252" w:name="_Toc99111654"/>
      <w:r>
        <w:t>1.1</w:t>
      </w:r>
      <w:r>
        <w:tab/>
        <w:t>Strategic direction statement</w:t>
      </w:r>
      <w:bookmarkEnd w:id="244"/>
      <w:bookmarkEnd w:id="245"/>
      <w:bookmarkEnd w:id="246"/>
      <w:bookmarkEnd w:id="247"/>
      <w:bookmarkEnd w:id="248"/>
      <w:bookmarkEnd w:id="249"/>
      <w:bookmarkEnd w:id="250"/>
      <w:bookmarkEnd w:id="251"/>
      <w:bookmarkEnd w:id="252"/>
    </w:p>
    <w:p w14:paraId="45A28638" w14:textId="77777777" w:rsidR="000814C9" w:rsidRPr="000814C9" w:rsidRDefault="000814C9" w:rsidP="000814C9">
      <w:pPr>
        <w:pStyle w:val="Exampletext"/>
        <w:rPr>
          <w:i w:val="0"/>
          <w:iCs/>
          <w:color w:val="auto"/>
        </w:rPr>
      </w:pPr>
      <w:r w:rsidRPr="000814C9">
        <w:rPr>
          <w:i w:val="0"/>
          <w:iCs/>
          <w:color w:val="auto"/>
        </w:rPr>
        <w:t>The Australian Centre for International Agricultural Research (ACIAR) contributes to poverty reduction and improved livelihoods through more productive and sustainable agriculture emerging from collaborative international research.</w:t>
      </w:r>
    </w:p>
    <w:p w14:paraId="0703EFDC" w14:textId="77777777" w:rsidR="000814C9" w:rsidRPr="000814C9" w:rsidRDefault="000814C9" w:rsidP="000814C9">
      <w:pPr>
        <w:pStyle w:val="Exampletext"/>
        <w:rPr>
          <w:i w:val="0"/>
          <w:iCs/>
          <w:color w:val="auto"/>
        </w:rPr>
      </w:pPr>
      <w:r w:rsidRPr="000814C9">
        <w:rPr>
          <w:i w:val="0"/>
          <w:iCs/>
          <w:color w:val="auto"/>
        </w:rPr>
        <w:t>The ACIAR mandate is to amplify the impact of Australia’s outstanding capabilities in agricultural science by brokering and funding agricultural research for development partnerships in developing countries. The agency works with public and private research institutions to improve the productivity and sustainability of agricultural systems and the resilience of food systems in partner countries.</w:t>
      </w:r>
    </w:p>
    <w:p w14:paraId="3D157269" w14:textId="0B70550D" w:rsidR="000814C9" w:rsidRDefault="000814C9" w:rsidP="000814C9">
      <w:pPr>
        <w:pStyle w:val="Exampletext"/>
        <w:rPr>
          <w:i w:val="0"/>
          <w:iCs/>
          <w:color w:val="auto"/>
        </w:rPr>
      </w:pPr>
      <w:r w:rsidRPr="000814C9">
        <w:rPr>
          <w:i w:val="0"/>
          <w:iCs/>
          <w:color w:val="auto"/>
        </w:rPr>
        <w:t>ACIAR supports Australia’s national interests by contributing to sustainable economic growth, poverty reduction and enhanced regional stability, with a particular focus on economic diplomacy and women’s economic empowerment. ACIAR</w:t>
      </w:r>
      <w:r w:rsidR="00192ECE">
        <w:rPr>
          <w:i w:val="0"/>
          <w:iCs/>
          <w:color w:val="auto"/>
          <w:lang w:val="en-AU"/>
        </w:rPr>
        <w:t>’s</w:t>
      </w:r>
      <w:r w:rsidRPr="000814C9">
        <w:rPr>
          <w:i w:val="0"/>
          <w:iCs/>
          <w:color w:val="auto"/>
        </w:rPr>
        <w:t xml:space="preserve"> work aligns closely with Australia’s development assistance program, supporting research collaboration while emphasising human capacity building and private sector-led development, targeted at improved livelihoods in agriculture, forestry and fisheries. Our research portfolio encompasses:</w:t>
      </w:r>
    </w:p>
    <w:p w14:paraId="5AE17019" w14:textId="77777777" w:rsidR="000814C9" w:rsidRDefault="000814C9" w:rsidP="00091F80">
      <w:pPr>
        <w:pStyle w:val="paragraph"/>
        <w:numPr>
          <w:ilvl w:val="0"/>
          <w:numId w:val="37"/>
        </w:numPr>
        <w:spacing w:after="240"/>
        <w:ind w:left="714" w:hanging="357"/>
        <w:contextualSpacing/>
        <w:jc w:val="both"/>
        <w:textAlignment w:val="baseline"/>
        <w:rPr>
          <w:rFonts w:ascii="Book Antiqua" w:hAnsi="Book Antiqua"/>
          <w:sz w:val="20"/>
          <w:szCs w:val="20"/>
          <w:lang w:val="en-US"/>
        </w:rPr>
      </w:pPr>
      <w:r>
        <w:rPr>
          <w:rStyle w:val="normaltextrun1"/>
          <w:rFonts w:ascii="Book Antiqua" w:hAnsi="Book Antiqua"/>
          <w:sz w:val="20"/>
          <w:szCs w:val="20"/>
        </w:rPr>
        <w:t xml:space="preserve">key agriculture sectors—crops, fisheries, forestry, horticulture and </w:t>
      </w:r>
      <w:proofErr w:type="gramStart"/>
      <w:r>
        <w:rPr>
          <w:rStyle w:val="normaltextrun1"/>
          <w:rFonts w:ascii="Book Antiqua" w:hAnsi="Book Antiqua"/>
          <w:sz w:val="20"/>
          <w:szCs w:val="20"/>
        </w:rPr>
        <w:t>livestock;</w:t>
      </w:r>
      <w:proofErr w:type="gramEnd"/>
      <w:r>
        <w:rPr>
          <w:rStyle w:val="eop"/>
          <w:rFonts w:ascii="Book Antiqua" w:hAnsi="Book Antiqua"/>
          <w:sz w:val="20"/>
          <w:szCs w:val="20"/>
          <w:lang w:val="en-US"/>
        </w:rPr>
        <w:t> </w:t>
      </w:r>
    </w:p>
    <w:p w14:paraId="15966120" w14:textId="2F371D06" w:rsidR="000814C9" w:rsidRDefault="000814C9" w:rsidP="00091F80">
      <w:pPr>
        <w:pStyle w:val="paragraph"/>
        <w:numPr>
          <w:ilvl w:val="0"/>
          <w:numId w:val="37"/>
        </w:numPr>
        <w:ind w:left="714" w:hanging="357"/>
        <w:contextualSpacing/>
        <w:jc w:val="both"/>
        <w:textAlignment w:val="baseline"/>
        <w:rPr>
          <w:rFonts w:ascii="Book Antiqua" w:hAnsi="Book Antiqua"/>
          <w:sz w:val="20"/>
          <w:szCs w:val="20"/>
          <w:lang w:val="en-US"/>
        </w:rPr>
      </w:pPr>
      <w:r>
        <w:rPr>
          <w:rStyle w:val="normaltextrun1"/>
          <w:rFonts w:ascii="Book Antiqua" w:hAnsi="Book Antiqua"/>
          <w:sz w:val="20"/>
          <w:szCs w:val="20"/>
        </w:rPr>
        <w:t>science and disciplines supporting these sectors—agronomy, plant genetics, livestock production, agribusiness, social sciences, soil and land management, water</w:t>
      </w:r>
      <w:r w:rsidR="00AA6EEB">
        <w:rPr>
          <w:rStyle w:val="normaltextrun1"/>
          <w:rFonts w:ascii="Book Antiqua" w:hAnsi="Book Antiqua"/>
          <w:sz w:val="20"/>
          <w:szCs w:val="20"/>
        </w:rPr>
        <w:t>,</w:t>
      </w:r>
      <w:r>
        <w:rPr>
          <w:rStyle w:val="normaltextrun1"/>
          <w:rFonts w:ascii="Book Antiqua" w:hAnsi="Book Antiqua"/>
          <w:sz w:val="20"/>
          <w:szCs w:val="20"/>
        </w:rPr>
        <w:t xml:space="preserve"> and climate</w:t>
      </w:r>
      <w:r>
        <w:rPr>
          <w:rStyle w:val="eop"/>
          <w:rFonts w:ascii="Book Antiqua" w:hAnsi="Book Antiqua"/>
          <w:sz w:val="20"/>
          <w:szCs w:val="20"/>
          <w:lang w:val="en-US"/>
        </w:rPr>
        <w:t>; and</w:t>
      </w:r>
    </w:p>
    <w:p w14:paraId="4518CDA2" w14:textId="77777777" w:rsidR="000814C9" w:rsidRDefault="000814C9" w:rsidP="00091F80">
      <w:pPr>
        <w:pStyle w:val="paragraph"/>
        <w:numPr>
          <w:ilvl w:val="0"/>
          <w:numId w:val="37"/>
        </w:numPr>
        <w:spacing w:after="240"/>
        <w:ind w:left="714" w:hanging="357"/>
        <w:contextualSpacing/>
        <w:jc w:val="both"/>
        <w:textAlignment w:val="baseline"/>
        <w:rPr>
          <w:rFonts w:ascii="Book Antiqua" w:hAnsi="Book Antiqua"/>
          <w:sz w:val="20"/>
          <w:szCs w:val="20"/>
          <w:lang w:val="en-US"/>
        </w:rPr>
      </w:pPr>
      <w:r>
        <w:rPr>
          <w:rStyle w:val="normaltextrun1"/>
          <w:rFonts w:ascii="Book Antiqua" w:hAnsi="Book Antiqua"/>
          <w:sz w:val="20"/>
          <w:szCs w:val="20"/>
        </w:rPr>
        <w:t>assessment of achievements to guide future investment—impact evaluation.</w:t>
      </w:r>
    </w:p>
    <w:p w14:paraId="0FF7CECE" w14:textId="77777777" w:rsidR="000814C9" w:rsidRPr="000814C9" w:rsidRDefault="000814C9" w:rsidP="000814C9">
      <w:pPr>
        <w:pStyle w:val="Exampletext"/>
        <w:rPr>
          <w:i w:val="0"/>
          <w:iCs/>
          <w:color w:val="auto"/>
        </w:rPr>
      </w:pPr>
      <w:r w:rsidRPr="000814C9">
        <w:rPr>
          <w:i w:val="0"/>
          <w:iCs/>
          <w:color w:val="auto"/>
        </w:rPr>
        <w:t>Our work aims to contribute to poverty reduction and improved regional security, with a particular focus on Papua New Guinea and Pacific island countries, and in partner countries in East Asia, South and West Asia and Eastern and Southern Africa.</w:t>
      </w:r>
    </w:p>
    <w:p w14:paraId="30C57A4C" w14:textId="77777777" w:rsidR="000814C9" w:rsidRPr="000814C9" w:rsidRDefault="000814C9" w:rsidP="000814C9">
      <w:pPr>
        <w:pStyle w:val="Exampletext"/>
        <w:rPr>
          <w:i w:val="0"/>
          <w:iCs/>
          <w:color w:val="auto"/>
        </w:rPr>
      </w:pPr>
      <w:r w:rsidRPr="000814C9">
        <w:rPr>
          <w:i w:val="0"/>
          <w:iCs/>
          <w:color w:val="auto"/>
        </w:rPr>
        <w:t xml:space="preserve">ACIAR builds the knowledge base that underpins six strategic development objectives: </w:t>
      </w:r>
    </w:p>
    <w:p w14:paraId="22F177B3" w14:textId="6727E78E" w:rsidR="000814C9" w:rsidRPr="00194F9F" w:rsidRDefault="000814C9" w:rsidP="00091F80">
      <w:pPr>
        <w:pStyle w:val="paragraph"/>
        <w:numPr>
          <w:ilvl w:val="0"/>
          <w:numId w:val="37"/>
        </w:numPr>
        <w:ind w:left="714" w:hanging="357"/>
        <w:contextualSpacing/>
        <w:jc w:val="both"/>
        <w:textAlignment w:val="baseline"/>
        <w:rPr>
          <w:rStyle w:val="normaltextrun1"/>
          <w:rFonts w:ascii="Book Antiqua" w:hAnsi="Book Antiqua"/>
          <w:sz w:val="20"/>
          <w:szCs w:val="20"/>
        </w:rPr>
      </w:pPr>
      <w:r w:rsidRPr="00194F9F">
        <w:rPr>
          <w:rStyle w:val="normaltextrun1"/>
          <w:rFonts w:ascii="Book Antiqua" w:hAnsi="Book Antiqua"/>
          <w:sz w:val="20"/>
          <w:szCs w:val="20"/>
        </w:rPr>
        <w:t xml:space="preserve">food security and poverty </w:t>
      </w:r>
      <w:proofErr w:type="gramStart"/>
      <w:r w:rsidRPr="00194F9F">
        <w:rPr>
          <w:rStyle w:val="normaltextrun1"/>
          <w:rFonts w:ascii="Book Antiqua" w:hAnsi="Book Antiqua"/>
          <w:sz w:val="20"/>
          <w:szCs w:val="20"/>
        </w:rPr>
        <w:t>reduction;</w:t>
      </w:r>
      <w:proofErr w:type="gramEnd"/>
      <w:r w:rsidRPr="00194F9F">
        <w:rPr>
          <w:rStyle w:val="normaltextrun1"/>
          <w:rFonts w:ascii="Book Antiqua" w:hAnsi="Book Antiqua"/>
          <w:sz w:val="20"/>
          <w:szCs w:val="20"/>
        </w:rPr>
        <w:t xml:space="preserve"> </w:t>
      </w:r>
    </w:p>
    <w:p w14:paraId="2489C973" w14:textId="02BF7121" w:rsidR="000814C9" w:rsidRPr="00194F9F" w:rsidRDefault="000814C9" w:rsidP="00091F80">
      <w:pPr>
        <w:pStyle w:val="paragraph"/>
        <w:numPr>
          <w:ilvl w:val="0"/>
          <w:numId w:val="37"/>
        </w:numPr>
        <w:ind w:left="714" w:hanging="357"/>
        <w:contextualSpacing/>
        <w:jc w:val="both"/>
        <w:textAlignment w:val="baseline"/>
        <w:rPr>
          <w:rStyle w:val="normaltextrun1"/>
          <w:rFonts w:ascii="Book Antiqua" w:hAnsi="Book Antiqua"/>
          <w:sz w:val="20"/>
          <w:szCs w:val="20"/>
        </w:rPr>
      </w:pPr>
      <w:r w:rsidRPr="00194F9F">
        <w:rPr>
          <w:rStyle w:val="normaltextrun1"/>
          <w:rFonts w:ascii="Book Antiqua" w:hAnsi="Book Antiqua"/>
          <w:sz w:val="20"/>
          <w:szCs w:val="20"/>
        </w:rPr>
        <w:t xml:space="preserve">natural resources and climate </w:t>
      </w:r>
      <w:proofErr w:type="gramStart"/>
      <w:r w:rsidRPr="00194F9F">
        <w:rPr>
          <w:rStyle w:val="normaltextrun1"/>
          <w:rFonts w:ascii="Book Antiqua" w:hAnsi="Book Antiqua"/>
          <w:sz w:val="20"/>
          <w:szCs w:val="20"/>
        </w:rPr>
        <w:t>change;</w:t>
      </w:r>
      <w:proofErr w:type="gramEnd"/>
      <w:r w:rsidRPr="00194F9F">
        <w:rPr>
          <w:rStyle w:val="normaltextrun1"/>
          <w:rFonts w:ascii="Book Antiqua" w:hAnsi="Book Antiqua"/>
          <w:sz w:val="20"/>
          <w:szCs w:val="20"/>
        </w:rPr>
        <w:t xml:space="preserve"> </w:t>
      </w:r>
    </w:p>
    <w:p w14:paraId="5501F5D3" w14:textId="59EEAF37" w:rsidR="000814C9" w:rsidRPr="00194F9F" w:rsidRDefault="000814C9" w:rsidP="00091F80">
      <w:pPr>
        <w:pStyle w:val="paragraph"/>
        <w:numPr>
          <w:ilvl w:val="0"/>
          <w:numId w:val="37"/>
        </w:numPr>
        <w:ind w:left="714" w:hanging="357"/>
        <w:contextualSpacing/>
        <w:jc w:val="both"/>
        <w:textAlignment w:val="baseline"/>
        <w:rPr>
          <w:rStyle w:val="normaltextrun1"/>
          <w:rFonts w:ascii="Book Antiqua" w:hAnsi="Book Antiqua"/>
          <w:sz w:val="20"/>
          <w:szCs w:val="20"/>
        </w:rPr>
      </w:pPr>
      <w:r w:rsidRPr="00194F9F">
        <w:rPr>
          <w:rStyle w:val="normaltextrun1"/>
          <w:rFonts w:ascii="Book Antiqua" w:hAnsi="Book Antiqua"/>
          <w:sz w:val="20"/>
          <w:szCs w:val="20"/>
        </w:rPr>
        <w:t xml:space="preserve">human health and </w:t>
      </w:r>
      <w:proofErr w:type="gramStart"/>
      <w:r w:rsidRPr="00194F9F">
        <w:rPr>
          <w:rStyle w:val="normaltextrun1"/>
          <w:rFonts w:ascii="Book Antiqua" w:hAnsi="Book Antiqua"/>
          <w:sz w:val="20"/>
          <w:szCs w:val="20"/>
        </w:rPr>
        <w:t>nutrition;</w:t>
      </w:r>
      <w:proofErr w:type="gramEnd"/>
      <w:r w:rsidRPr="00194F9F">
        <w:rPr>
          <w:rStyle w:val="normaltextrun1"/>
          <w:rFonts w:ascii="Book Antiqua" w:hAnsi="Book Antiqua"/>
          <w:sz w:val="20"/>
          <w:szCs w:val="20"/>
        </w:rPr>
        <w:t xml:space="preserve"> </w:t>
      </w:r>
    </w:p>
    <w:p w14:paraId="47409092" w14:textId="1D82D2DF" w:rsidR="000814C9" w:rsidRPr="00194F9F" w:rsidRDefault="000814C9" w:rsidP="00091F80">
      <w:pPr>
        <w:pStyle w:val="paragraph"/>
        <w:numPr>
          <w:ilvl w:val="0"/>
          <w:numId w:val="37"/>
        </w:numPr>
        <w:ind w:left="714" w:hanging="357"/>
        <w:contextualSpacing/>
        <w:jc w:val="both"/>
        <w:textAlignment w:val="baseline"/>
        <w:rPr>
          <w:rStyle w:val="normaltextrun1"/>
          <w:rFonts w:ascii="Book Antiqua" w:hAnsi="Book Antiqua"/>
          <w:sz w:val="20"/>
          <w:szCs w:val="20"/>
        </w:rPr>
      </w:pPr>
      <w:r w:rsidRPr="00194F9F">
        <w:rPr>
          <w:rStyle w:val="normaltextrun1"/>
          <w:rFonts w:ascii="Book Antiqua" w:hAnsi="Book Antiqua"/>
          <w:sz w:val="20"/>
          <w:szCs w:val="20"/>
        </w:rPr>
        <w:t xml:space="preserve">gender equity and women’s </w:t>
      </w:r>
      <w:proofErr w:type="gramStart"/>
      <w:r w:rsidRPr="00194F9F">
        <w:rPr>
          <w:rStyle w:val="normaltextrun1"/>
          <w:rFonts w:ascii="Book Antiqua" w:hAnsi="Book Antiqua"/>
          <w:sz w:val="20"/>
          <w:szCs w:val="20"/>
        </w:rPr>
        <w:t>empowerment;</w:t>
      </w:r>
      <w:proofErr w:type="gramEnd"/>
      <w:r w:rsidRPr="00194F9F">
        <w:rPr>
          <w:rStyle w:val="normaltextrun1"/>
          <w:rFonts w:ascii="Book Antiqua" w:hAnsi="Book Antiqua"/>
          <w:sz w:val="20"/>
          <w:szCs w:val="20"/>
        </w:rPr>
        <w:t xml:space="preserve"> </w:t>
      </w:r>
    </w:p>
    <w:p w14:paraId="12F7009E" w14:textId="71C83FF3" w:rsidR="000814C9" w:rsidRPr="00194F9F" w:rsidRDefault="000814C9" w:rsidP="00091F80">
      <w:pPr>
        <w:pStyle w:val="paragraph"/>
        <w:numPr>
          <w:ilvl w:val="0"/>
          <w:numId w:val="37"/>
        </w:numPr>
        <w:ind w:left="714" w:hanging="357"/>
        <w:contextualSpacing/>
        <w:jc w:val="both"/>
        <w:textAlignment w:val="baseline"/>
        <w:rPr>
          <w:rStyle w:val="normaltextrun1"/>
          <w:rFonts w:ascii="Book Antiqua" w:hAnsi="Book Antiqua"/>
          <w:sz w:val="20"/>
          <w:szCs w:val="20"/>
        </w:rPr>
      </w:pPr>
      <w:r w:rsidRPr="00194F9F">
        <w:rPr>
          <w:rStyle w:val="normaltextrun1"/>
          <w:rFonts w:ascii="Book Antiqua" w:hAnsi="Book Antiqua"/>
          <w:sz w:val="20"/>
          <w:szCs w:val="20"/>
        </w:rPr>
        <w:t xml:space="preserve">inclusive value chains; and </w:t>
      </w:r>
    </w:p>
    <w:p w14:paraId="28DF5D21" w14:textId="179A4A59" w:rsidR="000814C9" w:rsidRPr="00194F9F" w:rsidRDefault="000814C9" w:rsidP="00091F80">
      <w:pPr>
        <w:pStyle w:val="paragraph"/>
        <w:numPr>
          <w:ilvl w:val="0"/>
          <w:numId w:val="37"/>
        </w:numPr>
        <w:spacing w:after="240"/>
        <w:ind w:left="714" w:hanging="357"/>
        <w:contextualSpacing/>
        <w:jc w:val="both"/>
        <w:textAlignment w:val="baseline"/>
        <w:rPr>
          <w:rStyle w:val="normaltextrun1"/>
          <w:rFonts w:ascii="Book Antiqua" w:hAnsi="Book Antiqua"/>
          <w:sz w:val="20"/>
          <w:szCs w:val="20"/>
        </w:rPr>
      </w:pPr>
      <w:r w:rsidRPr="00194F9F">
        <w:rPr>
          <w:rStyle w:val="normaltextrun1"/>
          <w:rFonts w:ascii="Book Antiqua" w:hAnsi="Book Antiqua"/>
          <w:sz w:val="20"/>
          <w:szCs w:val="20"/>
        </w:rPr>
        <w:t xml:space="preserve">scientific and policy capacity building. </w:t>
      </w:r>
    </w:p>
    <w:p w14:paraId="751C4E36" w14:textId="77777777" w:rsidR="000814C9" w:rsidRPr="000814C9" w:rsidRDefault="000814C9" w:rsidP="000814C9">
      <w:pPr>
        <w:pStyle w:val="Exampletext"/>
        <w:rPr>
          <w:i w:val="0"/>
          <w:iCs/>
          <w:color w:val="auto"/>
        </w:rPr>
      </w:pPr>
      <w:r w:rsidRPr="000814C9">
        <w:rPr>
          <w:i w:val="0"/>
          <w:iCs/>
          <w:color w:val="auto"/>
        </w:rPr>
        <w:t xml:space="preserve">These objectives are consistent with the ACIAR purpose under the enabling legislation and reflect the Australian Government’s policy imperatives articulated in the </w:t>
      </w:r>
      <w:r w:rsidRPr="00194F9F">
        <w:rPr>
          <w:color w:val="auto"/>
        </w:rPr>
        <w:t>Partnerships for Recovery</w:t>
      </w:r>
      <w:r w:rsidRPr="000814C9">
        <w:rPr>
          <w:i w:val="0"/>
          <w:iCs/>
          <w:color w:val="auto"/>
        </w:rPr>
        <w:t xml:space="preserve"> strategy.</w:t>
      </w:r>
    </w:p>
    <w:p w14:paraId="59F175D6" w14:textId="1261561B" w:rsidR="000814C9" w:rsidRPr="000814C9" w:rsidRDefault="000814C9" w:rsidP="000814C9">
      <w:pPr>
        <w:pStyle w:val="Exampletext"/>
        <w:rPr>
          <w:i w:val="0"/>
          <w:iCs/>
          <w:color w:val="auto"/>
        </w:rPr>
      </w:pPr>
      <w:r w:rsidRPr="000814C9">
        <w:rPr>
          <w:i w:val="0"/>
          <w:iCs/>
          <w:color w:val="auto"/>
        </w:rPr>
        <w:t xml:space="preserve">Around 65 per cent of our research expenditure is implemented through bilateral arrangements between ACIAR and partner countries in the Indo-Pacific region. In </w:t>
      </w:r>
      <w:r w:rsidR="00437DA8">
        <w:rPr>
          <w:i w:val="0"/>
          <w:iCs/>
          <w:color w:val="auto"/>
        </w:rPr>
        <w:br/>
      </w:r>
      <w:r w:rsidRPr="000814C9">
        <w:rPr>
          <w:i w:val="0"/>
          <w:iCs/>
          <w:color w:val="auto"/>
        </w:rPr>
        <w:t>2</w:t>
      </w:r>
      <w:r w:rsidR="00AA6EEB">
        <w:rPr>
          <w:i w:val="0"/>
          <w:iCs/>
          <w:color w:val="auto"/>
          <w:lang w:val="en-AU"/>
        </w:rPr>
        <w:t>0</w:t>
      </w:r>
      <w:r w:rsidRPr="000814C9">
        <w:rPr>
          <w:i w:val="0"/>
          <w:iCs/>
          <w:color w:val="auto"/>
        </w:rPr>
        <w:t>22</w:t>
      </w:r>
      <w:r w:rsidR="00437DA8">
        <w:rPr>
          <w:i w:val="0"/>
          <w:iCs/>
          <w:color w:val="auto"/>
          <w:lang w:val="en-AU"/>
        </w:rPr>
        <w:t>–</w:t>
      </w:r>
      <w:r w:rsidR="00AA6EEB">
        <w:rPr>
          <w:i w:val="0"/>
          <w:iCs/>
          <w:color w:val="auto"/>
          <w:lang w:val="en-AU"/>
        </w:rPr>
        <w:t>2023</w:t>
      </w:r>
      <w:r w:rsidRPr="000814C9">
        <w:rPr>
          <w:i w:val="0"/>
          <w:iCs/>
          <w:color w:val="auto"/>
        </w:rPr>
        <w:t>, ACIAR will continue to develop long-term agreements for research collaboration in the Indo-Pacific region, with a focus on the Pacific. In most countries and regions, these agreements will put into effect a program of research collaboration that is more consolidated geographically and thematically. They will also detail the intent for co-investment by some countries. We will continue to maintain permanent representation in 10 countries.</w:t>
      </w:r>
    </w:p>
    <w:p w14:paraId="1F427546" w14:textId="6A8AC3B5" w:rsidR="000814C9" w:rsidRPr="000814C9" w:rsidRDefault="000814C9" w:rsidP="000814C9">
      <w:pPr>
        <w:pStyle w:val="Exampletext"/>
        <w:rPr>
          <w:i w:val="0"/>
          <w:iCs/>
          <w:color w:val="auto"/>
        </w:rPr>
      </w:pPr>
      <w:r w:rsidRPr="000814C9">
        <w:rPr>
          <w:i w:val="0"/>
          <w:iCs/>
          <w:color w:val="auto"/>
        </w:rPr>
        <w:t xml:space="preserve">As a part of our statutory mandate, ACIAR manages Australia’s investment in the global agricultural research system, chief among which is the Consultative Group on International Agriculture Research Centres (CGIAR). ACIAR represents Australia on the CGIAR System Council, and Australians occupy a disproportionate number of leadership positions across the CGIAR network. ACIAR will strengthen its regional research support to other multilateral institutions, including the Pacific Community, the Asia-Pacific Association of Agricultural Research Institutions, and the World Vegetable </w:t>
      </w:r>
      <w:proofErr w:type="spellStart"/>
      <w:r w:rsidRPr="000814C9">
        <w:rPr>
          <w:i w:val="0"/>
          <w:iCs/>
          <w:color w:val="auto"/>
        </w:rPr>
        <w:t>Cente</w:t>
      </w:r>
      <w:r w:rsidR="00AA6EEB">
        <w:rPr>
          <w:i w:val="0"/>
          <w:iCs/>
          <w:color w:val="auto"/>
          <w:lang w:val="en-AU"/>
        </w:rPr>
        <w:t>r</w:t>
      </w:r>
      <w:proofErr w:type="spellEnd"/>
      <w:r w:rsidRPr="000814C9">
        <w:rPr>
          <w:i w:val="0"/>
          <w:iCs/>
          <w:color w:val="auto"/>
        </w:rPr>
        <w:t xml:space="preserve"> to promote and support collaborative research initiatives that progress our six strategic objectives.</w:t>
      </w:r>
    </w:p>
    <w:p w14:paraId="1065418B" w14:textId="74181372" w:rsidR="000814C9" w:rsidRPr="000814C9" w:rsidRDefault="000814C9" w:rsidP="000814C9">
      <w:pPr>
        <w:pStyle w:val="Exampletext"/>
        <w:rPr>
          <w:i w:val="0"/>
          <w:iCs/>
          <w:color w:val="auto"/>
        </w:rPr>
      </w:pPr>
      <w:r w:rsidRPr="000814C9">
        <w:rPr>
          <w:i w:val="0"/>
          <w:iCs/>
          <w:color w:val="auto"/>
        </w:rPr>
        <w:t>In 202</w:t>
      </w:r>
      <w:r w:rsidR="00AA6EEB">
        <w:rPr>
          <w:i w:val="0"/>
          <w:iCs/>
          <w:color w:val="auto"/>
          <w:lang w:val="en-AU"/>
        </w:rPr>
        <w:t>2</w:t>
      </w:r>
      <w:r w:rsidR="00437DA8">
        <w:rPr>
          <w:i w:val="0"/>
          <w:iCs/>
          <w:color w:val="auto"/>
          <w:lang w:val="en-AU"/>
        </w:rPr>
        <w:t>–</w:t>
      </w:r>
      <w:r w:rsidRPr="000814C9">
        <w:rPr>
          <w:i w:val="0"/>
          <w:iCs/>
          <w:color w:val="auto"/>
        </w:rPr>
        <w:t>2</w:t>
      </w:r>
      <w:r w:rsidR="00AA6EEB">
        <w:rPr>
          <w:i w:val="0"/>
          <w:iCs/>
          <w:color w:val="auto"/>
          <w:lang w:val="en-AU"/>
        </w:rPr>
        <w:t>3</w:t>
      </w:r>
      <w:r w:rsidRPr="000814C9">
        <w:rPr>
          <w:i w:val="0"/>
          <w:iCs/>
          <w:color w:val="auto"/>
        </w:rPr>
        <w:t xml:space="preserve">, the COVID-19 pandemic </w:t>
      </w:r>
      <w:r w:rsidR="00AA6EEB">
        <w:rPr>
          <w:i w:val="0"/>
          <w:iCs/>
          <w:color w:val="auto"/>
          <w:lang w:val="en-AU"/>
        </w:rPr>
        <w:t xml:space="preserve">is expected to </w:t>
      </w:r>
      <w:r w:rsidRPr="000814C9">
        <w:rPr>
          <w:i w:val="0"/>
          <w:iCs/>
          <w:color w:val="auto"/>
        </w:rPr>
        <w:t>continue to influence the prioritisation and execution of our activities</w:t>
      </w:r>
      <w:r w:rsidR="00AA6EEB">
        <w:rPr>
          <w:i w:val="0"/>
          <w:iCs/>
          <w:color w:val="auto"/>
          <w:lang w:val="en-AU"/>
        </w:rPr>
        <w:t xml:space="preserve">. </w:t>
      </w:r>
      <w:r w:rsidRPr="000814C9">
        <w:rPr>
          <w:i w:val="0"/>
          <w:iCs/>
          <w:color w:val="auto"/>
        </w:rPr>
        <w:t xml:space="preserve">ACIAR will </w:t>
      </w:r>
      <w:r w:rsidR="00AA6EEB">
        <w:rPr>
          <w:i w:val="0"/>
          <w:iCs/>
          <w:color w:val="auto"/>
          <w:lang w:val="en-AU"/>
        </w:rPr>
        <w:t xml:space="preserve">continue to </w:t>
      </w:r>
      <w:r w:rsidRPr="000814C9">
        <w:rPr>
          <w:i w:val="0"/>
          <w:iCs/>
          <w:color w:val="auto"/>
        </w:rPr>
        <w:t xml:space="preserve">target investment towards critical gaps and opportunities, and will adapt its delivery modalities in response to </w:t>
      </w:r>
      <w:r w:rsidR="00AA6EEB">
        <w:rPr>
          <w:i w:val="0"/>
          <w:iCs/>
          <w:color w:val="auto"/>
          <w:lang w:val="en-AU"/>
        </w:rPr>
        <w:t xml:space="preserve">ongoing </w:t>
      </w:r>
      <w:r w:rsidRPr="000814C9">
        <w:rPr>
          <w:i w:val="0"/>
          <w:iCs/>
          <w:color w:val="auto"/>
        </w:rPr>
        <w:t xml:space="preserve">disruptions and constraints, </w:t>
      </w:r>
      <w:r w:rsidR="00AA6EEB">
        <w:rPr>
          <w:i w:val="0"/>
          <w:iCs/>
          <w:color w:val="auto"/>
          <w:lang w:val="en-AU"/>
        </w:rPr>
        <w:t xml:space="preserve">including </w:t>
      </w:r>
      <w:r w:rsidRPr="000814C9">
        <w:rPr>
          <w:i w:val="0"/>
          <w:iCs/>
          <w:color w:val="auto"/>
        </w:rPr>
        <w:t>in international travel.</w:t>
      </w:r>
    </w:p>
    <w:p w14:paraId="6FEAF97E" w14:textId="77777777" w:rsidR="0026795D" w:rsidRDefault="0026795D" w:rsidP="0026795D">
      <w:pPr>
        <w:pStyle w:val="Heading3"/>
      </w:pPr>
      <w:r w:rsidRPr="0079797F">
        <w:br w:type="page"/>
      </w:r>
      <w:bookmarkStart w:id="253" w:name="_Toc95217803"/>
      <w:bookmarkStart w:id="254" w:name="_Toc95217867"/>
      <w:bookmarkStart w:id="255" w:name="_Toc95229694"/>
      <w:bookmarkStart w:id="256" w:name="_Toc95291888"/>
      <w:bookmarkStart w:id="257" w:name="_Toc95293762"/>
      <w:bookmarkStart w:id="258" w:name="_Toc95296413"/>
      <w:bookmarkStart w:id="259" w:name="_Toc97387915"/>
      <w:bookmarkStart w:id="260" w:name="_Toc97540653"/>
      <w:bookmarkStart w:id="261" w:name="_Toc99111655"/>
      <w:r>
        <w:t>1.2</w:t>
      </w:r>
      <w:r>
        <w:tab/>
        <w:t>Entity resource statement</w:t>
      </w:r>
      <w:bookmarkEnd w:id="253"/>
      <w:bookmarkEnd w:id="254"/>
      <w:bookmarkEnd w:id="255"/>
      <w:bookmarkEnd w:id="256"/>
      <w:bookmarkEnd w:id="257"/>
      <w:bookmarkEnd w:id="258"/>
      <w:bookmarkEnd w:id="259"/>
      <w:bookmarkEnd w:id="260"/>
      <w:bookmarkEnd w:id="261"/>
    </w:p>
    <w:p w14:paraId="247241B3" w14:textId="77777777" w:rsidR="0026795D" w:rsidRDefault="0026795D" w:rsidP="0026795D">
      <w:r>
        <w:t>Table 1.1 shows the total funding from all sources available to the entity for its operations and to deliver programs and services on behalf of the Government.</w:t>
      </w:r>
    </w:p>
    <w:p w14:paraId="4E4F2B4C" w14:textId="119F86BA" w:rsidR="0026795D" w:rsidRDefault="0026795D" w:rsidP="0026795D">
      <w:r>
        <w:t xml:space="preserve">The table summarises how resources will be applied by outcome (government strategic policy objectives) and by administered (on behalf of the Government or the public) and departmental (for </w:t>
      </w:r>
      <w:r w:rsidR="00194F9F">
        <w:t>ACIAR</w:t>
      </w:r>
      <w:r>
        <w:t>’s operations) classification.</w:t>
      </w:r>
    </w:p>
    <w:p w14:paraId="4E3CD016" w14:textId="77777777" w:rsidR="0026795D" w:rsidRDefault="0026795D" w:rsidP="0026795D">
      <w:r>
        <w:t xml:space="preserve">For more detailed information on special accounts and special appropriations, please refer to </w:t>
      </w:r>
      <w:r w:rsidRPr="00412C0B">
        <w:rPr>
          <w:i/>
        </w:rPr>
        <w:t>Budget Paper No. 4 – Agency Resourcing</w:t>
      </w:r>
      <w:r>
        <w:t>.</w:t>
      </w:r>
    </w:p>
    <w:p w14:paraId="6030B063" w14:textId="781F4E0A" w:rsidR="0026795D" w:rsidRPr="00194F9F" w:rsidRDefault="0026795D" w:rsidP="00194F9F">
      <w:r>
        <w:t>Information in this table is presented on a resourcing (that is, appropriations/cash available) basis, whilst the ‘Budgeted expenses by Outcome’ tables in Section 2 and the financial statements in Section 3 are presented on an accrual basis.</w:t>
      </w:r>
    </w:p>
    <w:p w14:paraId="46EBBDB3" w14:textId="303A8E04" w:rsidR="0026795D" w:rsidRPr="00FE1091" w:rsidRDefault="0026795D" w:rsidP="0026795D">
      <w:pPr>
        <w:pStyle w:val="TableHeading"/>
        <w:rPr>
          <w:b w:val="0"/>
          <w:lang w:val="en-AU"/>
        </w:rPr>
      </w:pPr>
      <w:r>
        <w:br w:type="page"/>
      </w:r>
      <w:r w:rsidRPr="00D44150">
        <w:t xml:space="preserve">Table 1.1: </w:t>
      </w:r>
      <w:r w:rsidR="00194F9F">
        <w:rPr>
          <w:lang w:val="en-AU"/>
        </w:rPr>
        <w:t>Australian Centre for International Agricultural Research</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p w14:paraId="5CD95FE8" w14:textId="41B4337D" w:rsidR="0026795D" w:rsidRDefault="00E133E2" w:rsidP="0026795D">
      <w:pPr>
        <w:pStyle w:val="TableGraphic"/>
        <w:rPr>
          <w:rFonts w:ascii="Arial" w:hAnsi="Arial"/>
          <w:color w:val="000000"/>
          <w:lang w:val="x-none" w:eastAsia="x-none"/>
        </w:rPr>
      </w:pPr>
      <w:r w:rsidRPr="00E133E2">
        <w:rPr>
          <w:noProof/>
        </w:rPr>
        <w:drawing>
          <wp:inline distT="0" distB="0" distL="0" distR="0" wp14:anchorId="37C53D1A" wp14:editId="6BF218F4">
            <wp:extent cx="4610100" cy="3629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610100" cy="3629025"/>
                    </a:xfrm>
                    <a:prstGeom prst="rect">
                      <a:avLst/>
                    </a:prstGeom>
                    <a:noFill/>
                    <a:ln>
                      <a:noFill/>
                    </a:ln>
                  </pic:spPr>
                </pic:pic>
              </a:graphicData>
            </a:graphic>
          </wp:inline>
        </w:drawing>
      </w:r>
    </w:p>
    <w:p w14:paraId="50783E50" w14:textId="77777777" w:rsidR="0026795D" w:rsidRPr="00CB2844" w:rsidRDefault="0026795D" w:rsidP="0026795D">
      <w:pPr>
        <w:pStyle w:val="ChartandTableFootnote"/>
      </w:pPr>
      <w:r w:rsidRPr="00696AA8">
        <w:t>All figures shown above are GST exclusive - these may not match figures in the cash flow statement.</w:t>
      </w:r>
    </w:p>
    <w:p w14:paraId="2FFB5DF4" w14:textId="77777777" w:rsidR="0026795D" w:rsidRDefault="0026795D" w:rsidP="0026795D">
      <w:pPr>
        <w:pStyle w:val="ChartandTableFootnote"/>
      </w:pPr>
      <w:r>
        <w:t>Prepared on a resourcing (</w:t>
      </w:r>
      <w:r>
        <w:rPr>
          <w:lang w:val="en-AU"/>
        </w:rPr>
        <w:t>that is,</w:t>
      </w:r>
      <w:r>
        <w:t xml:space="preserve"> appropriations available) basis.</w:t>
      </w:r>
    </w:p>
    <w:p w14:paraId="595019C7" w14:textId="77777777" w:rsidR="0026795D" w:rsidRPr="002003A1" w:rsidRDefault="0026795D" w:rsidP="00091F80">
      <w:pPr>
        <w:pStyle w:val="ChartandTableFootnoteAlpha"/>
        <w:numPr>
          <w:ilvl w:val="0"/>
          <w:numId w:val="26"/>
        </w:numPr>
      </w:pPr>
      <w:r w:rsidRPr="001071C7">
        <w:t>Appr</w:t>
      </w:r>
      <w:r>
        <w:t>opriation Bill (No. 1) 2022-23.</w:t>
      </w:r>
    </w:p>
    <w:p w14:paraId="70F9D3B6" w14:textId="05D40AFF" w:rsidR="0026795D" w:rsidRPr="001071C7" w:rsidRDefault="0026795D" w:rsidP="0026795D">
      <w:pPr>
        <w:pStyle w:val="ChartandTableFootnoteAlpha"/>
        <w:rPr>
          <w:color w:val="000000"/>
        </w:rPr>
      </w:pPr>
      <w:r w:rsidRPr="001071C7">
        <w:rPr>
          <w:color w:val="000000"/>
        </w:rPr>
        <w:t>Excludes $</w:t>
      </w:r>
      <w:r w:rsidR="00013967">
        <w:rPr>
          <w:color w:val="000000"/>
        </w:rPr>
        <w:t>0.141</w:t>
      </w:r>
      <w:r w:rsidRPr="001071C7">
        <w:rPr>
          <w:color w:val="000000"/>
        </w:rPr>
        <w:t xml:space="preserve">m subject to administrative quarantine by Finance or withheld under section 51 of the </w:t>
      </w:r>
      <w:r w:rsidRPr="001071C7">
        <w:rPr>
          <w:i/>
          <w:iCs/>
          <w:color w:val="000000"/>
        </w:rPr>
        <w:t>Public Governance, Performance and Accountability Act 2013 (PGPA Act)</w:t>
      </w:r>
      <w:r w:rsidRPr="00093D79">
        <w:rPr>
          <w:iCs/>
          <w:color w:val="000000"/>
        </w:rPr>
        <w:t>.</w:t>
      </w:r>
    </w:p>
    <w:p w14:paraId="3B3BE6F4" w14:textId="77777777" w:rsidR="0026795D" w:rsidRDefault="0026795D" w:rsidP="0026795D">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0417DF9C" w14:textId="77777777" w:rsidR="0026795D" w:rsidRPr="001071C7" w:rsidRDefault="0026795D" w:rsidP="0026795D">
      <w:pPr>
        <w:pStyle w:val="ChartandTableFootnoteAlpha"/>
        <w:rPr>
          <w:color w:val="000000"/>
        </w:rPr>
      </w:pPr>
      <w:r w:rsidRPr="001071C7">
        <w:rPr>
          <w:color w:val="000000"/>
        </w:rPr>
        <w:t>Estimated External Revenue receipts under section 74 of the PGPA Act.</w:t>
      </w:r>
    </w:p>
    <w:p w14:paraId="22EA034B" w14:textId="77777777" w:rsidR="0026795D" w:rsidRPr="001071C7" w:rsidRDefault="0026795D" w:rsidP="0026795D">
      <w:pPr>
        <w:pStyle w:val="ChartandTableFootnoteAlpha"/>
        <w:rPr>
          <w:color w:val="000000"/>
        </w:rPr>
      </w:pPr>
      <w:r w:rsidRPr="001071C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45D292CC" w14:textId="0E06BC57" w:rsidR="0026795D" w:rsidRPr="0089074D" w:rsidRDefault="0026795D" w:rsidP="00470CE8">
      <w:pPr>
        <w:pStyle w:val="Heading3"/>
        <w:spacing w:before="0"/>
      </w:pPr>
    </w:p>
    <w:p w14:paraId="039D8F86" w14:textId="77777777" w:rsidR="0026795D" w:rsidRDefault="0026795D" w:rsidP="0026795D">
      <w:pPr>
        <w:spacing w:after="0" w:line="240" w:lineRule="auto"/>
        <w:jc w:val="left"/>
        <w:rPr>
          <w:rFonts w:ascii="Arial Bold" w:hAnsi="Arial Bold"/>
          <w:b/>
        </w:rPr>
      </w:pPr>
      <w:r>
        <w:br w:type="page"/>
      </w:r>
    </w:p>
    <w:p w14:paraId="02879C9F" w14:textId="7B400D43" w:rsidR="0026795D" w:rsidRPr="00810C6A" w:rsidRDefault="0026795D" w:rsidP="0026795D">
      <w:pPr>
        <w:pStyle w:val="Heading2"/>
      </w:pPr>
      <w:bookmarkStart w:id="262" w:name="_Toc95217805"/>
      <w:bookmarkStart w:id="263" w:name="_Toc95217869"/>
      <w:bookmarkStart w:id="264" w:name="_Toc95229696"/>
      <w:bookmarkStart w:id="265" w:name="_Toc95291890"/>
      <w:bookmarkStart w:id="266" w:name="_Toc95293764"/>
      <w:bookmarkStart w:id="267" w:name="_Toc95296415"/>
      <w:bookmarkStart w:id="268" w:name="_Toc97387917"/>
      <w:bookmarkStart w:id="269" w:name="_Toc97540654"/>
      <w:bookmarkStart w:id="270" w:name="_Toc99111656"/>
      <w:r w:rsidRPr="00810C6A">
        <w:t>Section 2: Outcomes and planned performance</w:t>
      </w:r>
      <w:bookmarkEnd w:id="262"/>
      <w:bookmarkEnd w:id="263"/>
      <w:bookmarkEnd w:id="264"/>
      <w:bookmarkEnd w:id="265"/>
      <w:bookmarkEnd w:id="266"/>
      <w:bookmarkEnd w:id="267"/>
      <w:bookmarkEnd w:id="268"/>
      <w:bookmarkEnd w:id="269"/>
      <w:bookmarkEnd w:id="270"/>
    </w:p>
    <w:p w14:paraId="27902B12" w14:textId="77777777" w:rsidR="0026795D" w:rsidRPr="005E6F2B" w:rsidRDefault="0026795D" w:rsidP="0026795D">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0D12AEE" w14:textId="6D494C73" w:rsidR="0026795D" w:rsidRPr="00470CE8" w:rsidRDefault="0026795D" w:rsidP="0026795D">
      <w:pPr>
        <w:rPr>
          <w:i/>
          <w:color w:val="000000" w:themeColor="text1"/>
        </w:rPr>
      </w:pPr>
      <w:r w:rsidRPr="005E6F2B">
        <w:t xml:space="preserve">Each outcome is described below together with its related programs. The following provides detailed information on expenses for each outcome and program, further </w:t>
      </w:r>
      <w:r w:rsidRPr="00470CE8">
        <w:rPr>
          <w:color w:val="000000" w:themeColor="text1"/>
        </w:rPr>
        <w:t>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26795D" w14:paraId="7849EE84" w14:textId="77777777" w:rsidTr="00637CC0">
        <w:tc>
          <w:tcPr>
            <w:tcW w:w="7700" w:type="dxa"/>
          </w:tcPr>
          <w:p w14:paraId="5368D1B0" w14:textId="77777777" w:rsidR="0026795D" w:rsidRPr="006906E4" w:rsidRDefault="0026795D" w:rsidP="00637CC0">
            <w:pPr>
              <w:spacing w:before="120" w:after="120" w:line="240" w:lineRule="auto"/>
              <w:rPr>
                <w:b/>
              </w:rPr>
            </w:pPr>
            <w:r w:rsidRPr="006906E4">
              <w:rPr>
                <w:b/>
              </w:rPr>
              <w:t>Note:</w:t>
            </w:r>
          </w:p>
          <w:p w14:paraId="774135FC" w14:textId="7CD71B5A" w:rsidR="0026795D" w:rsidRDefault="0026795D" w:rsidP="00637CC0">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 described in Portfolio Budget Statements will be read with broader information provided in an entity’s corporate plans and annual performance statements – included in Annual Reports </w:t>
            </w:r>
            <w:r w:rsidR="00437DA8">
              <w:t>–</w:t>
            </w:r>
            <w:r>
              <w:t xml:space="preserve"> to provide a complete picture of an entity’s planned and actual performance.</w:t>
            </w:r>
          </w:p>
          <w:p w14:paraId="1FD0843D" w14:textId="477B0040" w:rsidR="00194F9F" w:rsidRDefault="0026795D" w:rsidP="00194F9F">
            <w:pPr>
              <w:spacing w:after="0"/>
            </w:pPr>
            <w:r>
              <w:t xml:space="preserve">The most recent corporate plan for </w:t>
            </w:r>
            <w:r w:rsidR="00194F9F">
              <w:t xml:space="preserve">ACIAR </w:t>
            </w:r>
            <w:r>
              <w:t xml:space="preserve">can be found at: </w:t>
            </w:r>
          </w:p>
          <w:p w14:paraId="54C570A3" w14:textId="2E25F680" w:rsidR="00194F9F" w:rsidRDefault="000F6D08" w:rsidP="00637CC0">
            <w:hyperlink r:id="rId132" w:history="1">
              <w:r w:rsidR="00194F9F" w:rsidRPr="000E69B0">
                <w:rPr>
                  <w:rStyle w:val="Hyperlink"/>
                </w:rPr>
                <w:t>https://www.aciar.gov.au/publication/corporate-publications/corporate-plan-2021-22</w:t>
              </w:r>
            </w:hyperlink>
            <w:r w:rsidR="00194F9F">
              <w:t xml:space="preserve">. </w:t>
            </w:r>
          </w:p>
          <w:p w14:paraId="13EAB11E" w14:textId="0607DB6C" w:rsidR="00194F9F" w:rsidRDefault="0026795D" w:rsidP="00194F9F">
            <w:pPr>
              <w:spacing w:after="0"/>
            </w:pPr>
            <w:r>
              <w:t xml:space="preserve">The most recent annual performance statement can be found at: </w:t>
            </w:r>
          </w:p>
          <w:p w14:paraId="54EBE200" w14:textId="61BE70BF" w:rsidR="0026795D" w:rsidRDefault="000F6D08" w:rsidP="00194F9F">
            <w:hyperlink r:id="rId133" w:history="1">
              <w:r w:rsidR="00194F9F" w:rsidRPr="000E69B0">
                <w:rPr>
                  <w:rStyle w:val="Hyperlink"/>
                </w:rPr>
                <w:t>https://www.aciar.gov.au/publication/corporate-publications/annual-report-2020-21</w:t>
              </w:r>
            </w:hyperlink>
            <w:r w:rsidR="00194F9F">
              <w:t xml:space="preserve">. </w:t>
            </w:r>
          </w:p>
        </w:tc>
      </w:tr>
    </w:tbl>
    <w:p w14:paraId="475039F6" w14:textId="77777777" w:rsidR="0026795D" w:rsidRDefault="0026795D" w:rsidP="0026795D">
      <w:pPr>
        <w:rPr>
          <w:highlight w:val="yellow"/>
        </w:rPr>
      </w:pPr>
    </w:p>
    <w:p w14:paraId="6BCC5D85" w14:textId="77777777" w:rsidR="0026795D" w:rsidRDefault="0026795D" w:rsidP="0026795D">
      <w:pPr>
        <w:pStyle w:val="Heading3"/>
        <w:sectPr w:rsidR="0026795D" w:rsidSect="00503FD8">
          <w:headerReference w:type="even" r:id="rId134"/>
          <w:headerReference w:type="default" r:id="rId135"/>
          <w:headerReference w:type="first" r:id="rId136"/>
          <w:footerReference w:type="first" r:id="rId137"/>
          <w:type w:val="oddPage"/>
          <w:pgSz w:w="11906" w:h="16838" w:code="9"/>
          <w:pgMar w:top="2835" w:right="2098" w:bottom="2466" w:left="2098" w:header="1814" w:footer="1814" w:gutter="0"/>
          <w:cols w:space="708"/>
          <w:titlePg/>
          <w:docGrid w:linePitch="360"/>
        </w:sectPr>
      </w:pPr>
    </w:p>
    <w:p w14:paraId="1A2C9847" w14:textId="32C7C7A5" w:rsidR="0026795D" w:rsidRPr="00470CE8" w:rsidRDefault="0026795D" w:rsidP="0026795D">
      <w:pPr>
        <w:pStyle w:val="Heading3"/>
        <w:rPr>
          <w:color w:val="000000" w:themeColor="text1"/>
        </w:rPr>
      </w:pPr>
      <w:bookmarkStart w:id="271" w:name="_Toc95217806"/>
      <w:bookmarkStart w:id="272" w:name="_Toc95217870"/>
      <w:bookmarkStart w:id="273" w:name="_Toc95229697"/>
      <w:bookmarkStart w:id="274" w:name="_Toc95291891"/>
      <w:bookmarkStart w:id="275" w:name="_Toc95293765"/>
      <w:bookmarkStart w:id="276" w:name="_Toc95296416"/>
      <w:bookmarkStart w:id="277" w:name="_Toc97387918"/>
      <w:bookmarkStart w:id="278" w:name="_Toc97540655"/>
      <w:bookmarkStart w:id="279" w:name="_Toc99111657"/>
      <w:r w:rsidRPr="00470CE8">
        <w:rPr>
          <w:color w:val="000000" w:themeColor="text1"/>
        </w:rPr>
        <w:t xml:space="preserve">2.1 </w:t>
      </w:r>
      <w:r w:rsidRPr="00470CE8">
        <w:rPr>
          <w:color w:val="000000" w:themeColor="text1"/>
        </w:rPr>
        <w:tab/>
        <w:t xml:space="preserve">Budgeted expenses and performance for Outcome </w:t>
      </w:r>
      <w:r w:rsidR="00C45203" w:rsidRPr="00470CE8">
        <w:rPr>
          <w:color w:val="000000" w:themeColor="text1"/>
        </w:rPr>
        <w:t>1</w:t>
      </w:r>
      <w:bookmarkEnd w:id="271"/>
      <w:bookmarkEnd w:id="272"/>
      <w:bookmarkEnd w:id="273"/>
      <w:bookmarkEnd w:id="274"/>
      <w:bookmarkEnd w:id="275"/>
      <w:bookmarkEnd w:id="276"/>
      <w:bookmarkEnd w:id="277"/>
      <w:bookmarkEnd w:id="278"/>
      <w:bookmarkEnd w:id="2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470CE8" w:rsidRPr="00470CE8" w14:paraId="6E0C6F4B" w14:textId="77777777" w:rsidTr="00C45203">
        <w:tc>
          <w:tcPr>
            <w:tcW w:w="7704" w:type="dxa"/>
            <w:shd w:val="clear" w:color="auto" w:fill="E6E6E6"/>
          </w:tcPr>
          <w:p w14:paraId="0D5E19B2" w14:textId="58988F34" w:rsidR="0026795D" w:rsidRPr="00470CE8" w:rsidRDefault="0026795D" w:rsidP="00637CC0">
            <w:pPr>
              <w:pStyle w:val="TableColumnHeadingLeft"/>
              <w:rPr>
                <w:color w:val="000000" w:themeColor="text1"/>
              </w:rPr>
            </w:pPr>
            <w:r w:rsidRPr="00470CE8">
              <w:rPr>
                <w:color w:val="000000" w:themeColor="text1"/>
              </w:rPr>
              <w:t xml:space="preserve">Outcome </w:t>
            </w:r>
            <w:r w:rsidR="00194F9F" w:rsidRPr="00470CE8">
              <w:rPr>
                <w:color w:val="000000" w:themeColor="text1"/>
              </w:rPr>
              <w:t>1: To achieve more productive and sustainable agricultural systems for the benefit of developing countries and Australia through international agricultural research and training partnerships</w:t>
            </w:r>
          </w:p>
        </w:tc>
      </w:tr>
    </w:tbl>
    <w:p w14:paraId="6E1681D6" w14:textId="77777777" w:rsidR="0026795D" w:rsidRPr="00470CE8" w:rsidRDefault="0026795D" w:rsidP="0026795D">
      <w:pPr>
        <w:pStyle w:val="NoSpacing"/>
        <w:rPr>
          <w:color w:val="000000" w:themeColor="text1"/>
        </w:rPr>
      </w:pPr>
    </w:p>
    <w:p w14:paraId="707FD6AA" w14:textId="23FC3904" w:rsidR="0026795D" w:rsidRPr="00470CE8" w:rsidRDefault="0026795D" w:rsidP="0026795D">
      <w:pPr>
        <w:pStyle w:val="Heading4"/>
        <w:rPr>
          <w:color w:val="000000" w:themeColor="text1"/>
        </w:rPr>
      </w:pPr>
      <w:r w:rsidRPr="00470CE8">
        <w:rPr>
          <w:color w:val="000000" w:themeColor="text1"/>
        </w:rPr>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470CE8" w:rsidRPr="00470CE8" w14:paraId="0D22AE41" w14:textId="77777777" w:rsidTr="00194F9F">
        <w:trPr>
          <w:trHeight w:val="113"/>
          <w:tblHeader/>
        </w:trPr>
        <w:tc>
          <w:tcPr>
            <w:tcW w:w="7700" w:type="dxa"/>
            <w:tcBorders>
              <w:bottom w:val="dotted" w:sz="4" w:space="0" w:color="auto"/>
            </w:tcBorders>
          </w:tcPr>
          <w:p w14:paraId="735B358F" w14:textId="09DEC255" w:rsidR="0026795D" w:rsidRPr="00470CE8" w:rsidRDefault="00194F9F" w:rsidP="00637CC0">
            <w:pPr>
              <w:pStyle w:val="ExampleText0"/>
              <w:spacing w:before="60" w:after="60" w:line="240" w:lineRule="auto"/>
              <w:rPr>
                <w:color w:val="000000" w:themeColor="text1"/>
              </w:rPr>
            </w:pPr>
            <w:r w:rsidRPr="00470CE8">
              <w:rPr>
                <w:rStyle w:val="ExampletextCharChar"/>
                <w:b/>
                <w:color w:val="000000" w:themeColor="text1"/>
              </w:rPr>
              <w:t>Department of Foreign Affairs and Trade</w:t>
            </w:r>
          </w:p>
        </w:tc>
      </w:tr>
      <w:tr w:rsidR="00470CE8" w:rsidRPr="00470CE8" w14:paraId="1470749B" w14:textId="77777777" w:rsidTr="00194F9F">
        <w:trPr>
          <w:trHeight w:val="113"/>
        </w:trPr>
        <w:tc>
          <w:tcPr>
            <w:tcW w:w="7700" w:type="dxa"/>
            <w:tcBorders>
              <w:top w:val="dotted" w:sz="4" w:space="0" w:color="auto"/>
              <w:bottom w:val="single" w:sz="4" w:space="0" w:color="auto"/>
            </w:tcBorders>
          </w:tcPr>
          <w:p w14:paraId="0683BE78" w14:textId="77777777" w:rsidR="0026795D" w:rsidRPr="00470CE8" w:rsidRDefault="0026795D" w:rsidP="00637CC0">
            <w:pPr>
              <w:spacing w:before="60" w:after="60" w:line="240" w:lineRule="auto"/>
              <w:rPr>
                <w:rStyle w:val="ExampletextCharChar"/>
                <w:b/>
                <w:i w:val="0"/>
                <w:color w:val="000000" w:themeColor="text1"/>
              </w:rPr>
            </w:pPr>
            <w:r w:rsidRPr="00470CE8">
              <w:rPr>
                <w:rStyle w:val="ExampletextCharChar"/>
                <w:b/>
                <w:i w:val="0"/>
                <w:color w:val="000000" w:themeColor="text1"/>
              </w:rPr>
              <w:t>Programs</w:t>
            </w:r>
          </w:p>
          <w:p w14:paraId="22403651" w14:textId="2C7AF050" w:rsidR="0026795D" w:rsidRPr="00470CE8" w:rsidRDefault="0026795D" w:rsidP="00091F80">
            <w:pPr>
              <w:numPr>
                <w:ilvl w:val="0"/>
                <w:numId w:val="11"/>
              </w:numPr>
              <w:spacing w:before="60" w:after="60" w:line="240" w:lineRule="auto"/>
              <w:ind w:left="714" w:hanging="357"/>
              <w:rPr>
                <w:rStyle w:val="ExampletextCharChar"/>
                <w:color w:val="000000" w:themeColor="text1"/>
              </w:rPr>
            </w:pPr>
            <w:r w:rsidRPr="00470CE8">
              <w:rPr>
                <w:rStyle w:val="ExampletextCharChar"/>
                <w:i w:val="0"/>
                <w:color w:val="000000" w:themeColor="text1"/>
              </w:rPr>
              <w:t xml:space="preserve">Program </w:t>
            </w:r>
            <w:r w:rsidR="00194F9F" w:rsidRPr="00470CE8">
              <w:rPr>
                <w:rStyle w:val="ExampletextCharChar"/>
                <w:i w:val="0"/>
                <w:color w:val="000000" w:themeColor="text1"/>
              </w:rPr>
              <w:t xml:space="preserve">1.2 – Official Development Assistance </w:t>
            </w:r>
          </w:p>
        </w:tc>
      </w:tr>
      <w:tr w:rsidR="00470CE8" w:rsidRPr="00470CE8" w14:paraId="6B152A05" w14:textId="77777777" w:rsidTr="00194F9F">
        <w:trPr>
          <w:trHeight w:val="113"/>
        </w:trPr>
        <w:tc>
          <w:tcPr>
            <w:tcW w:w="7700" w:type="dxa"/>
            <w:tcBorders>
              <w:bottom w:val="single" w:sz="4" w:space="0" w:color="auto"/>
            </w:tcBorders>
          </w:tcPr>
          <w:p w14:paraId="67429A82" w14:textId="4D945854" w:rsidR="0026795D" w:rsidRPr="00470CE8" w:rsidRDefault="0026795D" w:rsidP="00637CC0">
            <w:pPr>
              <w:spacing w:before="60" w:after="60" w:line="240" w:lineRule="auto"/>
              <w:rPr>
                <w:rStyle w:val="ExampletextCharChar"/>
                <w:b/>
                <w:i w:val="0"/>
                <w:color w:val="000000" w:themeColor="text1"/>
              </w:rPr>
            </w:pPr>
            <w:r w:rsidRPr="00470CE8">
              <w:rPr>
                <w:rStyle w:val="ExampletextCharChar"/>
                <w:b/>
                <w:i w:val="0"/>
                <w:color w:val="000000" w:themeColor="text1"/>
              </w:rPr>
              <w:t xml:space="preserve">Contribution to Outcome </w:t>
            </w:r>
            <w:r w:rsidR="00194F9F" w:rsidRPr="00470CE8">
              <w:rPr>
                <w:rStyle w:val="ExampletextCharChar"/>
                <w:b/>
                <w:i w:val="0"/>
                <w:color w:val="000000" w:themeColor="text1"/>
              </w:rPr>
              <w:t>1</w:t>
            </w:r>
            <w:r w:rsidRPr="00470CE8">
              <w:rPr>
                <w:rStyle w:val="ExampletextCharChar"/>
                <w:b/>
                <w:i w:val="0"/>
                <w:color w:val="000000" w:themeColor="text1"/>
              </w:rPr>
              <w:t xml:space="preserve"> made by linked programs</w:t>
            </w:r>
          </w:p>
          <w:p w14:paraId="012E5F93" w14:textId="22C0BFEB" w:rsidR="0026795D" w:rsidRPr="00470CE8" w:rsidRDefault="00194F9F" w:rsidP="00637CC0">
            <w:pPr>
              <w:spacing w:before="60" w:after="60" w:line="240" w:lineRule="auto"/>
              <w:rPr>
                <w:rStyle w:val="ExampletextCharChar"/>
                <w:i w:val="0"/>
                <w:iCs/>
                <w:color w:val="000000" w:themeColor="text1"/>
              </w:rPr>
            </w:pPr>
            <w:r w:rsidRPr="00470CE8">
              <w:rPr>
                <w:rStyle w:val="ExampletextCharChar"/>
                <w:i w:val="0"/>
                <w:iCs/>
                <w:color w:val="000000" w:themeColor="text1"/>
              </w:rPr>
              <w:t xml:space="preserve">ACIAR manages a range of co-investments with DFAT including research and capacity </w:t>
            </w:r>
            <w:r w:rsidR="003D7DC8" w:rsidRPr="00470CE8">
              <w:rPr>
                <w:rStyle w:val="ExampletextCharChar"/>
                <w:i w:val="0"/>
                <w:iCs/>
                <w:color w:val="000000" w:themeColor="text1"/>
              </w:rPr>
              <w:t xml:space="preserve">building. These investments enable ACIAR to leverage resources and access complementary expertise. The ACIAR overseas offices are located within Australian high commissions/embassies and work in close collaboration with DFAT. </w:t>
            </w:r>
          </w:p>
        </w:tc>
      </w:tr>
    </w:tbl>
    <w:p w14:paraId="71B29C97" w14:textId="6A8C2610" w:rsidR="0026795D" w:rsidRPr="00E26389" w:rsidRDefault="0026795D" w:rsidP="0026795D">
      <w:pPr>
        <w:pStyle w:val="Heading5"/>
        <w:rPr>
          <w:b/>
          <w:bCs w:val="0"/>
        </w:rPr>
      </w:pPr>
      <w:r w:rsidRPr="00E26389">
        <w:rPr>
          <w:b/>
          <w:bCs w:val="0"/>
        </w:rPr>
        <w:br w:type="page"/>
        <w:t xml:space="preserve">Budgeted expenses for Outcome </w:t>
      </w:r>
      <w:r w:rsidR="00C45203" w:rsidRPr="00E26389">
        <w:rPr>
          <w:b/>
          <w:bCs w:val="0"/>
        </w:rPr>
        <w:t>1</w:t>
      </w:r>
    </w:p>
    <w:p w14:paraId="6C2E4005" w14:textId="77777777" w:rsidR="0026795D" w:rsidRDefault="0026795D" w:rsidP="0026795D">
      <w:r w:rsidRPr="00950281">
        <w:t>This table shows how much the entity intends to spend (on an accrual basis) on achieving the outcome, broken down by program, as well as by Administered an</w:t>
      </w:r>
      <w:r>
        <w:t>d Departmental funding sources.</w:t>
      </w:r>
    </w:p>
    <w:p w14:paraId="455AE0B3" w14:textId="6BA7A817" w:rsidR="0026795D" w:rsidRPr="003D7DC8" w:rsidRDefault="0026795D" w:rsidP="003D7DC8">
      <w:pPr>
        <w:pStyle w:val="TableHeading"/>
        <w:rPr>
          <w:lang w:val="en-AU"/>
        </w:rPr>
      </w:pPr>
      <w:r w:rsidRPr="003D7DC8">
        <w:t>Table 2.</w:t>
      </w:r>
      <w:r w:rsidR="003D7DC8">
        <w:rPr>
          <w:lang w:val="en-AU"/>
        </w:rPr>
        <w:t>1</w:t>
      </w:r>
      <w:r w:rsidRPr="003D7DC8">
        <w:t xml:space="preserve">.1: Budgeted expenses for Outcome </w:t>
      </w:r>
      <w:r w:rsidR="003D7DC8">
        <w:rPr>
          <w:lang w:val="en-AU"/>
        </w:rPr>
        <w:t>1</w:t>
      </w:r>
    </w:p>
    <w:p w14:paraId="30D79B14" w14:textId="27B42F47" w:rsidR="0026795D" w:rsidRDefault="008A7E02" w:rsidP="003D7DC8">
      <w:pPr>
        <w:pStyle w:val="TableHeading"/>
      </w:pPr>
      <w:r w:rsidRPr="008A7E02">
        <w:rPr>
          <w:noProof/>
        </w:rPr>
        <w:drawing>
          <wp:inline distT="0" distB="0" distL="0" distR="0" wp14:anchorId="0E9C4ECC" wp14:editId="345AB6E9">
            <wp:extent cx="4629150" cy="3038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629150" cy="3038475"/>
                    </a:xfrm>
                    <a:prstGeom prst="rect">
                      <a:avLst/>
                    </a:prstGeom>
                    <a:noFill/>
                    <a:ln>
                      <a:noFill/>
                    </a:ln>
                  </pic:spPr>
                </pic:pic>
              </a:graphicData>
            </a:graphic>
          </wp:inline>
        </w:drawing>
      </w:r>
    </w:p>
    <w:p w14:paraId="2B9D2493" w14:textId="77777777" w:rsidR="00470CE8" w:rsidRDefault="00470CE8" w:rsidP="00C354BB">
      <w:pPr>
        <w:pStyle w:val="ChartandTableFootnoteAlpha"/>
        <w:numPr>
          <w:ilvl w:val="0"/>
          <w:numId w:val="0"/>
        </w:numPr>
        <w:ind w:left="284" w:hanging="284"/>
        <w:rPr>
          <w:rFonts w:cs="Arial"/>
          <w:szCs w:val="16"/>
        </w:rPr>
      </w:pPr>
      <w:r w:rsidRPr="00C354BB">
        <w:t>Table</w:t>
      </w:r>
      <w:r w:rsidRPr="00C23582">
        <w:rPr>
          <w:rFonts w:cs="Arial"/>
          <w:szCs w:val="16"/>
        </w:rPr>
        <w:t xml:space="preserve"> </w:t>
      </w:r>
      <w:proofErr w:type="gramStart"/>
      <w:r w:rsidRPr="00C354BB">
        <w:rPr>
          <w:color w:val="000000"/>
          <w:lang w:eastAsia="x-none"/>
        </w:rPr>
        <w:t>continued</w:t>
      </w:r>
      <w:r w:rsidRPr="00C23582">
        <w:rPr>
          <w:rFonts w:cs="Arial"/>
          <w:szCs w:val="16"/>
        </w:rPr>
        <w:t xml:space="preserve"> on</w:t>
      </w:r>
      <w:proofErr w:type="gramEnd"/>
      <w:r w:rsidRPr="00C23582">
        <w:rPr>
          <w:rFonts w:cs="Arial"/>
          <w:szCs w:val="16"/>
        </w:rPr>
        <w:t xml:space="preserve"> the next page. </w:t>
      </w:r>
    </w:p>
    <w:p w14:paraId="46867DAD" w14:textId="77777777" w:rsidR="00470CE8" w:rsidRPr="00470CE8" w:rsidRDefault="00470CE8" w:rsidP="00470CE8">
      <w:pPr>
        <w:pStyle w:val="TableGraphic"/>
        <w:rPr>
          <w:lang w:val="x-none" w:eastAsia="x-none"/>
        </w:rPr>
      </w:pPr>
    </w:p>
    <w:p w14:paraId="2D28D231" w14:textId="51E925EA" w:rsidR="008A7E02" w:rsidRDefault="008A7E02">
      <w:pPr>
        <w:spacing w:after="0" w:line="240" w:lineRule="auto"/>
        <w:jc w:val="left"/>
        <w:rPr>
          <w:lang w:val="x-none" w:eastAsia="x-none"/>
        </w:rPr>
      </w:pPr>
      <w:r>
        <w:rPr>
          <w:lang w:val="x-none" w:eastAsia="x-none"/>
        </w:rPr>
        <w:br w:type="page"/>
      </w:r>
    </w:p>
    <w:p w14:paraId="331072D1" w14:textId="2D25D41B" w:rsidR="008A7E02" w:rsidRPr="003D7DC8" w:rsidRDefault="008A7E02" w:rsidP="008A7E02">
      <w:pPr>
        <w:pStyle w:val="TableHeading"/>
        <w:rPr>
          <w:lang w:val="en-AU"/>
        </w:rPr>
      </w:pPr>
      <w:r w:rsidRPr="003D7DC8">
        <w:t>Table 2.</w:t>
      </w:r>
      <w:r>
        <w:rPr>
          <w:lang w:val="en-AU"/>
        </w:rPr>
        <w:t>1</w:t>
      </w:r>
      <w:r w:rsidRPr="003D7DC8">
        <w:t xml:space="preserve">.1: Budgeted expenses for Outcome </w:t>
      </w:r>
      <w:r>
        <w:rPr>
          <w:lang w:val="en-AU"/>
        </w:rPr>
        <w:t>1</w:t>
      </w:r>
      <w:r w:rsidR="008054E9">
        <w:rPr>
          <w:lang w:val="en-AU"/>
        </w:rPr>
        <w:t xml:space="preserve"> (continued)</w:t>
      </w:r>
    </w:p>
    <w:p w14:paraId="19118762" w14:textId="169A11C0" w:rsidR="008A7E02" w:rsidRDefault="008A7E02" w:rsidP="008A7E02">
      <w:pPr>
        <w:pStyle w:val="TableHeading"/>
      </w:pPr>
      <w:r w:rsidRPr="008A7E02">
        <w:rPr>
          <w:noProof/>
        </w:rPr>
        <w:drawing>
          <wp:inline distT="0" distB="0" distL="0" distR="0" wp14:anchorId="242E9A50" wp14:editId="378F7C23">
            <wp:extent cx="4629150" cy="22288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29150" cy="2228850"/>
                    </a:xfrm>
                    <a:prstGeom prst="rect">
                      <a:avLst/>
                    </a:prstGeom>
                    <a:noFill/>
                    <a:ln>
                      <a:noFill/>
                    </a:ln>
                  </pic:spPr>
                </pic:pic>
              </a:graphicData>
            </a:graphic>
          </wp:inline>
        </w:drawing>
      </w:r>
    </w:p>
    <w:p w14:paraId="5A651F1D" w14:textId="77777777" w:rsidR="0026795D" w:rsidRPr="00950281" w:rsidRDefault="0026795D" w:rsidP="00091F80">
      <w:pPr>
        <w:pStyle w:val="ChartandTableFootnoteAlpha"/>
        <w:numPr>
          <w:ilvl w:val="0"/>
          <w:numId w:val="25"/>
        </w:numPr>
      </w:pPr>
      <w:r w:rsidRPr="00950281">
        <w:t>E</w:t>
      </w:r>
      <w:r>
        <w:t>stimated e</w:t>
      </w:r>
      <w:r w:rsidRPr="00950281">
        <w:t xml:space="preserve">xpenses </w:t>
      </w:r>
      <w:r>
        <w:t>incurred in relation to receipts retained under section 74 of the PGPA Act</w:t>
      </w:r>
      <w:r w:rsidRPr="006922DC">
        <w:t>.</w:t>
      </w:r>
    </w:p>
    <w:p w14:paraId="746774FF" w14:textId="700E7263" w:rsidR="0026795D" w:rsidRDefault="0026795D" w:rsidP="0026795D">
      <w:pPr>
        <w:pStyle w:val="ChartandTableFootnoteAlpha"/>
      </w:pPr>
      <w:r w:rsidRPr="00950281">
        <w:t>Expenses not requiring appropriation in the Budget year are made up of depreciation expenses, amortisation expenses, make good expenses, audit fees</w:t>
      </w:r>
      <w:r w:rsidR="008A7E02">
        <w:t>.</w:t>
      </w:r>
    </w:p>
    <w:p w14:paraId="67F783DE" w14:textId="77777777" w:rsidR="0026795D" w:rsidRPr="00446612" w:rsidRDefault="0026795D" w:rsidP="0026795D">
      <w:pPr>
        <w:pStyle w:val="ChartandTableFootnote"/>
      </w:pPr>
      <w:r w:rsidRPr="00446612">
        <w:t>Note: Departmental appropriation splits and totals are indicative estimates and may change in the course of the budget year as government priorities change.</w:t>
      </w:r>
    </w:p>
    <w:p w14:paraId="1D8AD556" w14:textId="77777777" w:rsidR="0026795D" w:rsidRPr="00446612" w:rsidRDefault="0026795D" w:rsidP="0026795D">
      <w:pPr>
        <w:pStyle w:val="NoSpacing"/>
      </w:pPr>
    </w:p>
    <w:p w14:paraId="021A66B9" w14:textId="03204FE0" w:rsidR="0026795D" w:rsidRPr="003D7DC8" w:rsidRDefault="0026795D" w:rsidP="008A7E02">
      <w:pPr>
        <w:pStyle w:val="TableHeading"/>
        <w:rPr>
          <w:lang w:val="en-AU"/>
        </w:rPr>
      </w:pPr>
      <w:r>
        <w:rPr>
          <w:highlight w:val="yellow"/>
          <w:lang w:val="en-US"/>
        </w:rPr>
        <w:br w:type="page"/>
      </w:r>
      <w:r w:rsidRPr="00F71634">
        <w:t>Table 2.</w:t>
      </w:r>
      <w:r w:rsidR="003D7DC8" w:rsidRPr="008A7E02">
        <w:t>1</w:t>
      </w:r>
      <w:r w:rsidRPr="00F71634">
        <w:t xml:space="preserve">.3: Performance </w:t>
      </w:r>
      <w:r w:rsidRPr="008A7E02">
        <w:t>measure</w:t>
      </w:r>
      <w:r w:rsidRPr="00F71634">
        <w:t xml:space="preserve"> for Outcome </w:t>
      </w:r>
      <w:r w:rsidR="003D7DC8" w:rsidRPr="008A7E02">
        <w:t>1</w:t>
      </w:r>
    </w:p>
    <w:p w14:paraId="49E365ED" w14:textId="2CAFE377" w:rsidR="0026795D" w:rsidRPr="00F71634" w:rsidRDefault="0026795D" w:rsidP="0026795D">
      <w:r w:rsidRPr="001B2F81">
        <w:t>Table 2.</w:t>
      </w:r>
      <w:r w:rsidR="003D7DC8">
        <w:t>1</w:t>
      </w:r>
      <w:r w:rsidRPr="001B2F81">
        <w:t>.</w:t>
      </w:r>
      <w:r>
        <w:t>3</w:t>
      </w:r>
      <w:r w:rsidRPr="001B2F81">
        <w:t xml:space="preserve"> details the performance measures for each program associated with Outcome</w:t>
      </w:r>
      <w:r w:rsidR="003D7DC8">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437DA8">
        <w:t>–</w:t>
      </w:r>
      <w:r>
        <w:t>23</w:t>
      </w:r>
      <w:r w:rsidRPr="001B2F81">
        <w:t xml:space="preserve"> Budget measures that have created new programs or materially changed existing programs </w:t>
      </w:r>
      <w:r>
        <w:t>are</w:t>
      </w:r>
      <w:r w:rsidRPr="001B2F81">
        <w:t xml:space="preserve"> provided.</w:t>
      </w:r>
      <w:r>
        <w:t xml:space="preserve"> </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7"/>
      </w:tblGrid>
      <w:tr w:rsidR="0026795D" w:rsidRPr="001B2F81" w14:paraId="6C639690" w14:textId="77777777" w:rsidTr="00C23582">
        <w:trPr>
          <w:trHeight w:val="569"/>
          <w:tblHeader/>
        </w:trPr>
        <w:tc>
          <w:tcPr>
            <w:tcW w:w="7797" w:type="dxa"/>
            <w:gridSpan w:val="2"/>
            <w:shd w:val="clear" w:color="auto" w:fill="F2F2F2"/>
          </w:tcPr>
          <w:p w14:paraId="33CA2113" w14:textId="4E8AAD4B" w:rsidR="0026795D" w:rsidRPr="00C41058" w:rsidRDefault="0026795D" w:rsidP="00637CC0">
            <w:pPr>
              <w:pStyle w:val="TableColumnHeadingLeft"/>
            </w:pPr>
            <w:r w:rsidRPr="00C41058">
              <w:rPr>
                <w:rStyle w:val="TableHeadingChar"/>
                <w:b/>
              </w:rPr>
              <w:t xml:space="preserve">Outcome </w:t>
            </w:r>
            <w:r w:rsidR="003D7DC8" w:rsidRPr="003D7DC8">
              <w:rPr>
                <w:rStyle w:val="TableHeadingChar"/>
                <w:b/>
              </w:rPr>
              <w:t>1 – To achieve more productive and sustainable agricultural systems for the benefit of developing countries and Australia through international agricultural research and training partnerships</w:t>
            </w:r>
          </w:p>
        </w:tc>
      </w:tr>
      <w:tr w:rsidR="0026795D" w:rsidRPr="001B2F81" w14:paraId="099E629E" w14:textId="77777777" w:rsidTr="00C23582">
        <w:trPr>
          <w:trHeight w:val="522"/>
          <w:tblHeader/>
        </w:trPr>
        <w:tc>
          <w:tcPr>
            <w:tcW w:w="7797" w:type="dxa"/>
            <w:gridSpan w:val="2"/>
            <w:shd w:val="clear" w:color="auto" w:fill="F2F2F2"/>
          </w:tcPr>
          <w:p w14:paraId="42E295EC" w14:textId="4D4E6042" w:rsidR="0026795D" w:rsidRPr="009657BE" w:rsidRDefault="0026795D" w:rsidP="003D0811">
            <w:pPr>
              <w:pStyle w:val="TableTextLeft"/>
            </w:pPr>
            <w:r w:rsidRPr="009657BE">
              <w:rPr>
                <w:b/>
              </w:rPr>
              <w:t xml:space="preserve">Program </w:t>
            </w:r>
            <w:r w:rsidR="003D0811" w:rsidRPr="009657BE">
              <w:rPr>
                <w:b/>
              </w:rPr>
              <w:t xml:space="preserve">1 – International agricultural research for development for more productive and sustainable agriculture </w:t>
            </w:r>
          </w:p>
        </w:tc>
      </w:tr>
      <w:tr w:rsidR="0026795D" w:rsidRPr="001B2F81" w14:paraId="5A92C9A4" w14:textId="77777777" w:rsidTr="00C23582">
        <w:trPr>
          <w:trHeight w:val="694"/>
        </w:trPr>
        <w:tc>
          <w:tcPr>
            <w:tcW w:w="1560" w:type="dxa"/>
            <w:tcBorders>
              <w:bottom w:val="single" w:sz="4" w:space="0" w:color="auto"/>
            </w:tcBorders>
          </w:tcPr>
          <w:p w14:paraId="1C39FFBF" w14:textId="199A467E" w:rsidR="0026795D" w:rsidRPr="00160C23" w:rsidRDefault="0026795D" w:rsidP="00637CC0">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237" w:type="dxa"/>
            <w:tcBorders>
              <w:bottom w:val="single" w:sz="4" w:space="0" w:color="auto"/>
            </w:tcBorders>
          </w:tcPr>
          <w:p w14:paraId="3AA29444" w14:textId="77777777" w:rsidR="0026795D" w:rsidRDefault="00C23582" w:rsidP="00551232">
            <w:pPr>
              <w:tabs>
                <w:tab w:val="left" w:pos="709"/>
              </w:tabs>
              <w:spacing w:before="60" w:line="240" w:lineRule="auto"/>
              <w:jc w:val="left"/>
              <w:rPr>
                <w:rFonts w:ascii="Arial" w:hAnsi="Arial" w:cs="Arial"/>
                <w:bCs/>
                <w:sz w:val="16"/>
                <w:szCs w:val="16"/>
              </w:rPr>
            </w:pPr>
            <w:r w:rsidRPr="00C23582">
              <w:rPr>
                <w:rFonts w:ascii="Arial" w:hAnsi="Arial" w:cs="Arial"/>
                <w:bCs/>
                <w:sz w:val="16"/>
                <w:szCs w:val="16"/>
              </w:rPr>
              <w:t>ACIAR is an investor, broker, facilitator and manager of strategic partnerships in agricultural research for development, and an evaluator and communicator of research findings. The partnership model ensures that partner countries have input into and ownership of research priorities and the delivery of research programs. This approach maximises the relevance of the research undertaken and the likelihood that research outputs and findings will be used and will make a difference to those countries and to Australia. ACIAR has a well-established Impact Evaluation Program that helps us to refine our priorities, learn lessons from current and past projects, and report accurately to the Minister, the Parliament and the wider Australian public</w:t>
            </w:r>
            <w:r>
              <w:rPr>
                <w:rFonts w:ascii="Arial" w:hAnsi="Arial" w:cs="Arial"/>
                <w:bCs/>
                <w:sz w:val="16"/>
                <w:szCs w:val="16"/>
              </w:rPr>
              <w:t xml:space="preserve">. </w:t>
            </w:r>
          </w:p>
          <w:p w14:paraId="2287824E" w14:textId="77777777" w:rsidR="00C23582" w:rsidRDefault="00C23582" w:rsidP="00551232">
            <w:pPr>
              <w:tabs>
                <w:tab w:val="left" w:pos="709"/>
              </w:tabs>
              <w:spacing w:before="60" w:line="240" w:lineRule="auto"/>
              <w:jc w:val="left"/>
              <w:rPr>
                <w:rFonts w:ascii="Arial" w:hAnsi="Arial" w:cs="Arial"/>
                <w:iCs/>
                <w:sz w:val="16"/>
                <w:szCs w:val="16"/>
              </w:rPr>
            </w:pPr>
            <w:r w:rsidRPr="00C23582">
              <w:rPr>
                <w:rFonts w:ascii="Arial" w:hAnsi="Arial" w:cs="Arial"/>
                <w:iCs/>
                <w:sz w:val="16"/>
                <w:szCs w:val="16"/>
              </w:rPr>
              <w:t>To contribute to reducing poverty and improving the livelihoods of many in the Indo-Pacific region through more productive and sustainable agriculture emerging from collaborative international research, we deliver programs in line with the ACIAR 10</w:t>
            </w:r>
            <w:r>
              <w:rPr>
                <w:rFonts w:ascii="Arial" w:hAnsi="Arial" w:cs="Arial"/>
                <w:iCs/>
                <w:sz w:val="16"/>
                <w:szCs w:val="16"/>
              </w:rPr>
              <w:noBreakHyphen/>
            </w:r>
            <w:r w:rsidRPr="00C23582">
              <w:rPr>
                <w:rFonts w:ascii="Arial" w:hAnsi="Arial" w:cs="Arial"/>
                <w:iCs/>
                <w:sz w:val="16"/>
                <w:szCs w:val="16"/>
              </w:rPr>
              <w:t xml:space="preserve">Year Strategy 2018–2027 through </w:t>
            </w:r>
            <w:r>
              <w:rPr>
                <w:rFonts w:ascii="Arial" w:hAnsi="Arial" w:cs="Arial"/>
                <w:iCs/>
                <w:sz w:val="16"/>
                <w:szCs w:val="16"/>
              </w:rPr>
              <w:t xml:space="preserve">three </w:t>
            </w:r>
            <w:r w:rsidRPr="00C23582">
              <w:rPr>
                <w:rFonts w:ascii="Arial" w:hAnsi="Arial" w:cs="Arial"/>
                <w:iCs/>
                <w:sz w:val="16"/>
                <w:szCs w:val="16"/>
              </w:rPr>
              <w:t>key activities</w:t>
            </w:r>
            <w:r>
              <w:rPr>
                <w:rFonts w:ascii="Arial" w:hAnsi="Arial" w:cs="Arial"/>
                <w:iCs/>
                <w:sz w:val="16"/>
                <w:szCs w:val="16"/>
              </w:rPr>
              <w:t>:</w:t>
            </w:r>
          </w:p>
          <w:p w14:paraId="34C0471A" w14:textId="77777777" w:rsidR="00C23582" w:rsidRDefault="00C23582" w:rsidP="00091F80">
            <w:pPr>
              <w:pStyle w:val="ListParagraph"/>
              <w:numPr>
                <w:ilvl w:val="0"/>
                <w:numId w:val="47"/>
              </w:numPr>
              <w:spacing w:before="60"/>
              <w:ind w:left="457" w:hanging="457"/>
              <w:rPr>
                <w:rFonts w:ascii="Arial" w:hAnsi="Arial" w:cs="Arial"/>
                <w:iCs/>
                <w:sz w:val="16"/>
                <w:szCs w:val="16"/>
              </w:rPr>
            </w:pPr>
            <w:r>
              <w:rPr>
                <w:rFonts w:ascii="Arial" w:hAnsi="Arial" w:cs="Arial"/>
                <w:iCs/>
                <w:sz w:val="16"/>
                <w:szCs w:val="16"/>
              </w:rPr>
              <w:t>Global research collaborations</w:t>
            </w:r>
          </w:p>
          <w:p w14:paraId="59A5B753" w14:textId="38D4AC09" w:rsidR="00C23582" w:rsidRDefault="00C23582" w:rsidP="00091F80">
            <w:pPr>
              <w:pStyle w:val="ListParagraph"/>
              <w:numPr>
                <w:ilvl w:val="0"/>
                <w:numId w:val="47"/>
              </w:numPr>
              <w:spacing w:before="60"/>
              <w:ind w:left="457" w:hanging="457"/>
              <w:rPr>
                <w:rFonts w:ascii="Arial" w:hAnsi="Arial" w:cs="Arial"/>
                <w:iCs/>
                <w:sz w:val="16"/>
                <w:szCs w:val="16"/>
              </w:rPr>
            </w:pPr>
            <w:r>
              <w:rPr>
                <w:rFonts w:ascii="Arial" w:hAnsi="Arial" w:cs="Arial"/>
                <w:iCs/>
                <w:sz w:val="16"/>
                <w:szCs w:val="16"/>
              </w:rPr>
              <w:t xml:space="preserve">Bilateral and regional research projects, and </w:t>
            </w:r>
          </w:p>
          <w:p w14:paraId="78150CA3" w14:textId="317B9765" w:rsidR="00C23582" w:rsidRPr="00C23582" w:rsidRDefault="00C23582" w:rsidP="00091F80">
            <w:pPr>
              <w:pStyle w:val="ListParagraph"/>
              <w:numPr>
                <w:ilvl w:val="0"/>
                <w:numId w:val="47"/>
              </w:numPr>
              <w:spacing w:before="60"/>
              <w:ind w:left="457" w:hanging="457"/>
              <w:rPr>
                <w:rFonts w:ascii="Arial" w:hAnsi="Arial" w:cs="Arial"/>
                <w:iCs/>
                <w:sz w:val="16"/>
                <w:szCs w:val="16"/>
              </w:rPr>
            </w:pPr>
            <w:r>
              <w:rPr>
                <w:rFonts w:ascii="Arial" w:hAnsi="Arial" w:cs="Arial"/>
                <w:iCs/>
                <w:sz w:val="16"/>
                <w:szCs w:val="16"/>
              </w:rPr>
              <w:t xml:space="preserve">Scientific and policy capacity-building activities. </w:t>
            </w:r>
          </w:p>
        </w:tc>
      </w:tr>
    </w:tbl>
    <w:p w14:paraId="4061426A" w14:textId="5DD84C40" w:rsidR="00C23582" w:rsidRDefault="00C23582" w:rsidP="00C354BB">
      <w:pPr>
        <w:pStyle w:val="Source"/>
        <w:rPr>
          <w:rFonts w:cs="Arial"/>
          <w:szCs w:val="16"/>
        </w:rPr>
      </w:pPr>
      <w:r w:rsidRPr="00C23582">
        <w:rPr>
          <w:rFonts w:cs="Arial"/>
          <w:szCs w:val="16"/>
        </w:rPr>
        <w:t xml:space="preserve">Table </w:t>
      </w:r>
      <w:proofErr w:type="gramStart"/>
      <w:r w:rsidRPr="00C23582">
        <w:rPr>
          <w:rFonts w:cs="Arial"/>
          <w:szCs w:val="16"/>
        </w:rPr>
        <w:t xml:space="preserve">continued </w:t>
      </w:r>
      <w:r w:rsidRPr="00C354BB">
        <w:t>on</w:t>
      </w:r>
      <w:proofErr w:type="gramEnd"/>
      <w:r w:rsidRPr="00C23582">
        <w:rPr>
          <w:rFonts w:cs="Arial"/>
          <w:szCs w:val="16"/>
        </w:rPr>
        <w:t xml:space="preserve"> the next page. </w:t>
      </w:r>
    </w:p>
    <w:p w14:paraId="1C5E0451" w14:textId="0144174E" w:rsidR="00C23582" w:rsidRPr="00C23582" w:rsidRDefault="00C23582" w:rsidP="00C23582">
      <w:pPr>
        <w:pStyle w:val="TableHeading"/>
        <w:rPr>
          <w:rFonts w:cs="Arial"/>
          <w:sz w:val="16"/>
          <w:szCs w:val="16"/>
        </w:rPr>
      </w:pPr>
      <w:r>
        <w:rPr>
          <w:highlight w:val="yellow"/>
          <w:lang w:val="en-US"/>
        </w:rPr>
        <w:br w:type="page"/>
      </w:r>
      <w:r w:rsidRPr="00F71634">
        <w:t>Table 2.</w:t>
      </w:r>
      <w:r>
        <w:rPr>
          <w:lang w:val="en-AU"/>
        </w:rPr>
        <w:t>1</w:t>
      </w:r>
      <w:r w:rsidRPr="00F71634">
        <w:t xml:space="preserve">.3: Performance </w:t>
      </w:r>
      <w:r>
        <w:rPr>
          <w:lang w:val="en-AU"/>
        </w:rPr>
        <w:t>measure</w:t>
      </w:r>
      <w:r w:rsidRPr="00F71634">
        <w:t xml:space="preserve"> for Outcome </w:t>
      </w:r>
      <w:r>
        <w:rPr>
          <w:lang w:val="en-AU"/>
        </w:rPr>
        <w:t>1 (continued)</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9"/>
      </w:tblGrid>
      <w:tr w:rsidR="009657BE" w:rsidRPr="001B2F81" w14:paraId="30B5C0B5" w14:textId="77777777" w:rsidTr="00E6759E">
        <w:trPr>
          <w:trHeight w:val="258"/>
        </w:trPr>
        <w:tc>
          <w:tcPr>
            <w:tcW w:w="7797" w:type="dxa"/>
            <w:gridSpan w:val="3"/>
            <w:shd w:val="clear" w:color="auto" w:fill="F2F2F2"/>
          </w:tcPr>
          <w:p w14:paraId="23C0A63A" w14:textId="6ACA080F" w:rsidR="009657BE" w:rsidRPr="00160C23" w:rsidRDefault="009657BE" w:rsidP="009657BE">
            <w:pPr>
              <w:pStyle w:val="TableTextBase"/>
              <w:rPr>
                <w:rFonts w:cs="Arial"/>
                <w:b/>
                <w:sz w:val="16"/>
                <w:szCs w:val="16"/>
              </w:rPr>
            </w:pPr>
            <w:r w:rsidRPr="009657BE">
              <w:rPr>
                <w:b/>
              </w:rPr>
              <w:t xml:space="preserve">Program 1 – International agricultural research for development for more productive and sustainable agriculture </w:t>
            </w:r>
            <w:r>
              <w:rPr>
                <w:b/>
              </w:rPr>
              <w:t>(continued)</w:t>
            </w:r>
          </w:p>
        </w:tc>
      </w:tr>
      <w:tr w:rsidR="009657BE" w:rsidRPr="001B2F81" w14:paraId="7B5C5863" w14:textId="77777777" w:rsidTr="00C23582">
        <w:trPr>
          <w:trHeight w:val="258"/>
        </w:trPr>
        <w:tc>
          <w:tcPr>
            <w:tcW w:w="1560" w:type="dxa"/>
            <w:tcBorders>
              <w:top w:val="single" w:sz="4" w:space="0" w:color="auto"/>
              <w:bottom w:val="single" w:sz="4" w:space="0" w:color="auto"/>
              <w:right w:val="single" w:sz="4" w:space="0" w:color="auto"/>
            </w:tcBorders>
          </w:tcPr>
          <w:p w14:paraId="4C4E7F4E" w14:textId="77777777" w:rsidR="009657BE" w:rsidRPr="00160C23" w:rsidRDefault="009657BE" w:rsidP="009657BE">
            <w:pPr>
              <w:pStyle w:val="TableTextBase"/>
              <w:rPr>
                <w:b/>
                <w:sz w:val="16"/>
                <w:szCs w:val="16"/>
              </w:rPr>
            </w:pPr>
            <w:r w:rsidRPr="00160C23">
              <w:rPr>
                <w:b/>
                <w:sz w:val="16"/>
                <w:szCs w:val="16"/>
              </w:rPr>
              <w:t>Year</w:t>
            </w:r>
          </w:p>
          <w:p w14:paraId="7A76AE4C" w14:textId="77777777" w:rsidR="009657BE" w:rsidRPr="00160C23" w:rsidRDefault="009657BE" w:rsidP="009657BE">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6098715" w14:textId="77777777" w:rsidR="009657BE" w:rsidRPr="00160C23" w:rsidRDefault="009657BE" w:rsidP="009657BE">
            <w:pPr>
              <w:pStyle w:val="TableTextBase"/>
              <w:rPr>
                <w:rFonts w:cs="Arial"/>
                <w:b/>
                <w:sz w:val="16"/>
                <w:szCs w:val="16"/>
              </w:rPr>
            </w:pPr>
            <w:r w:rsidRPr="00160C23">
              <w:rPr>
                <w:rFonts w:cs="Arial"/>
                <w:b/>
                <w:sz w:val="16"/>
                <w:szCs w:val="16"/>
              </w:rPr>
              <w:t>Performance measures</w:t>
            </w:r>
          </w:p>
        </w:tc>
        <w:tc>
          <w:tcPr>
            <w:tcW w:w="3119" w:type="dxa"/>
            <w:tcBorders>
              <w:top w:val="single" w:sz="4" w:space="0" w:color="auto"/>
              <w:left w:val="single" w:sz="4" w:space="0" w:color="auto"/>
              <w:bottom w:val="single" w:sz="4" w:space="0" w:color="auto"/>
            </w:tcBorders>
          </w:tcPr>
          <w:p w14:paraId="268FF2A5" w14:textId="77777777" w:rsidR="009657BE" w:rsidRPr="00160C23" w:rsidRDefault="009657BE" w:rsidP="009657BE">
            <w:pPr>
              <w:pStyle w:val="TableTextBase"/>
              <w:rPr>
                <w:rFonts w:cs="Arial"/>
                <w:b/>
                <w:sz w:val="16"/>
                <w:szCs w:val="16"/>
              </w:rPr>
            </w:pPr>
            <w:r w:rsidRPr="00160C23">
              <w:rPr>
                <w:rFonts w:cs="Arial"/>
                <w:b/>
                <w:sz w:val="16"/>
                <w:szCs w:val="16"/>
              </w:rPr>
              <w:t>Expected Performance Results</w:t>
            </w:r>
          </w:p>
        </w:tc>
      </w:tr>
      <w:tr w:rsidR="009657BE" w:rsidRPr="001B2F81" w14:paraId="682F6916" w14:textId="77777777" w:rsidTr="00C23582">
        <w:trPr>
          <w:trHeight w:val="642"/>
        </w:trPr>
        <w:tc>
          <w:tcPr>
            <w:tcW w:w="1560" w:type="dxa"/>
            <w:tcBorders>
              <w:top w:val="single" w:sz="4" w:space="0" w:color="auto"/>
              <w:bottom w:val="dotted" w:sz="4" w:space="0" w:color="auto"/>
              <w:right w:val="single" w:sz="4" w:space="0" w:color="auto"/>
            </w:tcBorders>
          </w:tcPr>
          <w:p w14:paraId="20B7D3DD" w14:textId="77777777" w:rsidR="009657BE" w:rsidRPr="00160C23" w:rsidRDefault="009657BE" w:rsidP="009657BE">
            <w:pPr>
              <w:pStyle w:val="TableTextBase"/>
              <w:rPr>
                <w:sz w:val="16"/>
                <w:szCs w:val="16"/>
              </w:rPr>
            </w:pPr>
            <w:r w:rsidRPr="00160C23">
              <w:rPr>
                <w:sz w:val="16"/>
                <w:szCs w:val="16"/>
              </w:rPr>
              <w:t xml:space="preserve">Current year </w:t>
            </w:r>
          </w:p>
          <w:p w14:paraId="1F5A7B33" w14:textId="77777777" w:rsidR="009657BE" w:rsidRPr="00160C23" w:rsidRDefault="009657BE" w:rsidP="009657BE">
            <w:pPr>
              <w:pStyle w:val="TableTextBase"/>
              <w:rPr>
                <w:sz w:val="16"/>
                <w:szCs w:val="16"/>
              </w:rPr>
            </w:pPr>
            <w:r w:rsidRPr="00160C23">
              <w:rPr>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14:paraId="2E2E53C3" w14:textId="5F2F165F" w:rsidR="009657BE" w:rsidRPr="00C23582" w:rsidRDefault="009657BE" w:rsidP="009657BE">
            <w:pPr>
              <w:pStyle w:val="TableTextBase"/>
              <w:rPr>
                <w:iCs/>
                <w:sz w:val="16"/>
                <w:szCs w:val="16"/>
              </w:rPr>
            </w:pPr>
            <w:r w:rsidRPr="00C23582">
              <w:rPr>
                <w:iCs/>
                <w:sz w:val="16"/>
                <w:szCs w:val="16"/>
              </w:rPr>
              <w:t xml:space="preserve">Through annual project progress reports, mid- and end-project reviews, long-term adoption studies and impact pathway analyses, case studies (quantitative </w:t>
            </w:r>
            <w:proofErr w:type="gramStart"/>
            <w:r w:rsidRPr="00C23582">
              <w:rPr>
                <w:iCs/>
                <w:sz w:val="16"/>
                <w:szCs w:val="16"/>
              </w:rPr>
              <w:t>and  qualitative</w:t>
            </w:r>
            <w:proofErr w:type="gramEnd"/>
            <w:r w:rsidRPr="00C23582">
              <w:rPr>
                <w:iCs/>
                <w:sz w:val="16"/>
                <w:szCs w:val="16"/>
              </w:rPr>
              <w:t>), and financial activity indicators, as appropriate to each performance criteria, ACIAR will measure the extent to which these activities are:</w:t>
            </w:r>
          </w:p>
          <w:p w14:paraId="42502A8B" w14:textId="0660C931" w:rsidR="009657BE" w:rsidRPr="00C23582" w:rsidRDefault="009657BE" w:rsidP="009657BE">
            <w:pPr>
              <w:pStyle w:val="TableTextBase"/>
              <w:numPr>
                <w:ilvl w:val="0"/>
                <w:numId w:val="34"/>
              </w:numPr>
              <w:rPr>
                <w:iCs/>
                <w:sz w:val="16"/>
                <w:szCs w:val="16"/>
              </w:rPr>
            </w:pPr>
            <w:r w:rsidRPr="00C23582">
              <w:rPr>
                <w:iCs/>
                <w:sz w:val="16"/>
                <w:szCs w:val="16"/>
              </w:rPr>
              <w:t>exceeding expectations</w:t>
            </w:r>
          </w:p>
          <w:p w14:paraId="187CF402" w14:textId="4A13155F" w:rsidR="009657BE" w:rsidRPr="00C23582" w:rsidRDefault="009657BE" w:rsidP="009657BE">
            <w:pPr>
              <w:pStyle w:val="TableTextBase"/>
              <w:numPr>
                <w:ilvl w:val="0"/>
                <w:numId w:val="34"/>
              </w:numPr>
              <w:rPr>
                <w:iCs/>
                <w:sz w:val="16"/>
                <w:szCs w:val="16"/>
              </w:rPr>
            </w:pPr>
            <w:r w:rsidRPr="00C23582">
              <w:rPr>
                <w:iCs/>
                <w:sz w:val="16"/>
                <w:szCs w:val="16"/>
              </w:rPr>
              <w:t>meeting expectations</w:t>
            </w:r>
          </w:p>
          <w:p w14:paraId="28432D0D" w14:textId="449262D3" w:rsidR="009657BE" w:rsidRPr="00C23582" w:rsidRDefault="009657BE" w:rsidP="009657BE">
            <w:pPr>
              <w:pStyle w:val="TableTextBase"/>
              <w:numPr>
                <w:ilvl w:val="0"/>
                <w:numId w:val="34"/>
              </w:numPr>
              <w:rPr>
                <w:i/>
                <w:color w:val="0070C0"/>
                <w:sz w:val="16"/>
                <w:szCs w:val="16"/>
              </w:rPr>
            </w:pPr>
            <w:r w:rsidRPr="00C23582">
              <w:rPr>
                <w:iCs/>
                <w:sz w:val="16"/>
                <w:szCs w:val="16"/>
              </w:rPr>
              <w:t>not meeting</w:t>
            </w:r>
            <w:r>
              <w:rPr>
                <w:iCs/>
                <w:sz w:val="16"/>
                <w:szCs w:val="16"/>
              </w:rPr>
              <w:t xml:space="preserve"> expectations. </w:t>
            </w:r>
            <w:r w:rsidRPr="00C23582">
              <w:rPr>
                <w:i/>
                <w:sz w:val="16"/>
                <w:szCs w:val="16"/>
              </w:rPr>
              <w:t xml:space="preserve"> </w:t>
            </w:r>
          </w:p>
        </w:tc>
        <w:tc>
          <w:tcPr>
            <w:tcW w:w="3119" w:type="dxa"/>
            <w:tcBorders>
              <w:top w:val="single" w:sz="4" w:space="0" w:color="auto"/>
              <w:left w:val="single" w:sz="4" w:space="0" w:color="auto"/>
              <w:bottom w:val="dotted" w:sz="4" w:space="0" w:color="auto"/>
            </w:tcBorders>
          </w:tcPr>
          <w:p w14:paraId="34241B13" w14:textId="2577701C" w:rsidR="009657BE" w:rsidRPr="00C23582" w:rsidRDefault="009657BE" w:rsidP="009657BE">
            <w:pPr>
              <w:pStyle w:val="TableTextBase"/>
              <w:rPr>
                <w:iCs/>
                <w:sz w:val="16"/>
                <w:szCs w:val="16"/>
              </w:rPr>
            </w:pPr>
            <w:r w:rsidRPr="00C23582">
              <w:rPr>
                <w:iCs/>
                <w:sz w:val="16"/>
                <w:szCs w:val="16"/>
              </w:rPr>
              <w:t xml:space="preserve">All three key activities meeting or exceeding expectations. </w:t>
            </w:r>
          </w:p>
        </w:tc>
      </w:tr>
      <w:tr w:rsidR="009657BE" w:rsidRPr="001B2F81" w14:paraId="665D2BC4" w14:textId="77777777" w:rsidTr="00657719">
        <w:trPr>
          <w:trHeight w:val="100"/>
        </w:trPr>
        <w:tc>
          <w:tcPr>
            <w:tcW w:w="1560" w:type="dxa"/>
            <w:tcBorders>
              <w:top w:val="single" w:sz="4" w:space="0" w:color="auto"/>
              <w:bottom w:val="dotted" w:sz="4" w:space="0" w:color="auto"/>
              <w:right w:val="single" w:sz="4" w:space="0" w:color="auto"/>
            </w:tcBorders>
          </w:tcPr>
          <w:p w14:paraId="49F9B450" w14:textId="77777777" w:rsidR="00551232" w:rsidRDefault="009657BE" w:rsidP="009657BE">
            <w:pPr>
              <w:pStyle w:val="TableTextBase"/>
              <w:rPr>
                <w:sz w:val="16"/>
                <w:szCs w:val="16"/>
              </w:rPr>
            </w:pPr>
            <w:r w:rsidRPr="00C23582">
              <w:rPr>
                <w:sz w:val="16"/>
                <w:szCs w:val="16"/>
              </w:rPr>
              <w:t xml:space="preserve">Budget Year    </w:t>
            </w:r>
          </w:p>
          <w:p w14:paraId="16135035" w14:textId="01703DA6" w:rsidR="009657BE" w:rsidRPr="001B2F81" w:rsidRDefault="009657BE" w:rsidP="009657BE">
            <w:pPr>
              <w:pStyle w:val="TableTextBase"/>
            </w:pPr>
            <w:r w:rsidRPr="00C23582">
              <w:rPr>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4B0906C9" w14:textId="59A3C363" w:rsidR="009657BE" w:rsidRPr="00C23582" w:rsidRDefault="009657BE" w:rsidP="009657BE">
            <w:pPr>
              <w:pStyle w:val="TableTextBase"/>
              <w:rPr>
                <w:iCs/>
                <w:sz w:val="16"/>
                <w:szCs w:val="16"/>
              </w:rPr>
            </w:pPr>
            <w:r w:rsidRPr="00C23582">
              <w:rPr>
                <w:iCs/>
                <w:sz w:val="16"/>
                <w:szCs w:val="16"/>
              </w:rPr>
              <w:t xml:space="preserve">As per 2021-22. </w:t>
            </w:r>
          </w:p>
        </w:tc>
        <w:tc>
          <w:tcPr>
            <w:tcW w:w="3119" w:type="dxa"/>
            <w:tcBorders>
              <w:top w:val="single" w:sz="4" w:space="0" w:color="auto"/>
              <w:left w:val="single" w:sz="4" w:space="0" w:color="auto"/>
              <w:bottom w:val="dotted" w:sz="4" w:space="0" w:color="auto"/>
            </w:tcBorders>
          </w:tcPr>
          <w:p w14:paraId="34561B2C" w14:textId="49A588D8" w:rsidR="009657BE" w:rsidRPr="00160C23" w:rsidRDefault="009657BE" w:rsidP="009657BE">
            <w:pPr>
              <w:pStyle w:val="TableTextBase"/>
              <w:rPr>
                <w:i/>
                <w:color w:val="0070C0"/>
              </w:rPr>
            </w:pPr>
            <w:r w:rsidRPr="00C23582">
              <w:rPr>
                <w:iCs/>
                <w:sz w:val="16"/>
                <w:szCs w:val="16"/>
              </w:rPr>
              <w:t xml:space="preserve">All three key activities meeting or exceeding expectations. </w:t>
            </w:r>
          </w:p>
        </w:tc>
      </w:tr>
      <w:tr w:rsidR="009657BE" w:rsidRPr="001B2F81" w14:paraId="15B84B58" w14:textId="77777777" w:rsidTr="00657719">
        <w:trPr>
          <w:trHeight w:val="491"/>
        </w:trPr>
        <w:tc>
          <w:tcPr>
            <w:tcW w:w="1560" w:type="dxa"/>
            <w:tcBorders>
              <w:top w:val="dotted" w:sz="4" w:space="0" w:color="auto"/>
              <w:bottom w:val="single" w:sz="4" w:space="0" w:color="auto"/>
              <w:right w:val="single" w:sz="4" w:space="0" w:color="auto"/>
            </w:tcBorders>
          </w:tcPr>
          <w:p w14:paraId="1F64F4AB" w14:textId="77777777" w:rsidR="009657BE" w:rsidRPr="00C23582" w:rsidRDefault="009657BE" w:rsidP="009657BE">
            <w:pPr>
              <w:pStyle w:val="TableTextBase"/>
              <w:rPr>
                <w:sz w:val="16"/>
                <w:szCs w:val="16"/>
              </w:rPr>
            </w:pPr>
            <w:r w:rsidRPr="00C23582">
              <w:rPr>
                <w:sz w:val="16"/>
                <w:szCs w:val="16"/>
              </w:rPr>
              <w:t xml:space="preserve">Forward Estimates </w:t>
            </w:r>
          </w:p>
          <w:p w14:paraId="7F0AFE43" w14:textId="77777777" w:rsidR="009657BE" w:rsidRPr="001B2F81" w:rsidRDefault="009657BE" w:rsidP="009657BE">
            <w:pPr>
              <w:pStyle w:val="TableTextBase"/>
              <w:rPr>
                <w:b/>
              </w:rPr>
            </w:pPr>
            <w:r w:rsidRPr="00C23582">
              <w:rPr>
                <w:sz w:val="16"/>
                <w:szCs w:val="16"/>
              </w:rPr>
              <w:t>2023-26</w:t>
            </w:r>
          </w:p>
        </w:tc>
        <w:tc>
          <w:tcPr>
            <w:tcW w:w="3118" w:type="dxa"/>
            <w:tcBorders>
              <w:top w:val="dotted" w:sz="4" w:space="0" w:color="auto"/>
              <w:left w:val="single" w:sz="4" w:space="0" w:color="auto"/>
              <w:bottom w:val="single" w:sz="4" w:space="0" w:color="auto"/>
              <w:right w:val="single" w:sz="4" w:space="0" w:color="auto"/>
            </w:tcBorders>
          </w:tcPr>
          <w:p w14:paraId="3CDEB959" w14:textId="713A1B58" w:rsidR="009657BE" w:rsidRPr="00C23582" w:rsidRDefault="009657BE" w:rsidP="009657BE">
            <w:pPr>
              <w:pStyle w:val="TableTextBase"/>
              <w:rPr>
                <w:b/>
                <w:iCs/>
                <w:sz w:val="16"/>
                <w:szCs w:val="16"/>
              </w:rPr>
            </w:pPr>
            <w:r w:rsidRPr="00C23582">
              <w:rPr>
                <w:iCs/>
                <w:sz w:val="16"/>
                <w:szCs w:val="16"/>
              </w:rPr>
              <w:t xml:space="preserve">As per 2022-23. </w:t>
            </w:r>
          </w:p>
        </w:tc>
        <w:tc>
          <w:tcPr>
            <w:tcW w:w="3119" w:type="dxa"/>
            <w:tcBorders>
              <w:top w:val="dotted" w:sz="4" w:space="0" w:color="auto"/>
              <w:left w:val="single" w:sz="4" w:space="0" w:color="auto"/>
              <w:bottom w:val="single" w:sz="4" w:space="0" w:color="auto"/>
            </w:tcBorders>
          </w:tcPr>
          <w:p w14:paraId="47795B81" w14:textId="1FEF3FCC" w:rsidR="009657BE" w:rsidRPr="00160C23" w:rsidRDefault="009657BE" w:rsidP="009657BE">
            <w:pPr>
              <w:pStyle w:val="TableTextBase"/>
              <w:rPr>
                <w:b/>
                <w:color w:val="0070C0"/>
              </w:rPr>
            </w:pPr>
            <w:r w:rsidRPr="00C23582">
              <w:rPr>
                <w:iCs/>
                <w:sz w:val="16"/>
                <w:szCs w:val="16"/>
              </w:rPr>
              <w:t xml:space="preserve">All three key activities meeting or exceeding expectations. </w:t>
            </w:r>
          </w:p>
        </w:tc>
      </w:tr>
    </w:tbl>
    <w:p w14:paraId="6348D59E" w14:textId="77777777" w:rsidR="0026795D" w:rsidRPr="00AD42E2" w:rsidRDefault="0026795D" w:rsidP="0026795D">
      <w:pPr>
        <w:pStyle w:val="Heading2"/>
      </w:pPr>
      <w:r w:rsidRPr="005B6A94">
        <w:br w:type="page"/>
      </w:r>
      <w:bookmarkStart w:id="280" w:name="_Toc95217807"/>
      <w:bookmarkStart w:id="281" w:name="_Toc95217871"/>
      <w:bookmarkStart w:id="282" w:name="_Toc95229698"/>
      <w:bookmarkStart w:id="283" w:name="_Toc95291892"/>
      <w:bookmarkStart w:id="284" w:name="_Toc95293766"/>
      <w:bookmarkStart w:id="285" w:name="_Toc95296417"/>
      <w:bookmarkStart w:id="286" w:name="_Toc97387919"/>
      <w:bookmarkStart w:id="287" w:name="_Toc97540656"/>
      <w:bookmarkStart w:id="288" w:name="_Toc99111658"/>
      <w:r w:rsidRPr="00AD42E2">
        <w:t>Section 3: Budgeted financial statements</w:t>
      </w:r>
      <w:bookmarkEnd w:id="280"/>
      <w:bookmarkEnd w:id="281"/>
      <w:bookmarkEnd w:id="282"/>
      <w:bookmarkEnd w:id="283"/>
      <w:bookmarkEnd w:id="284"/>
      <w:bookmarkEnd w:id="285"/>
      <w:bookmarkEnd w:id="286"/>
      <w:bookmarkEnd w:id="287"/>
      <w:bookmarkEnd w:id="288"/>
    </w:p>
    <w:p w14:paraId="7C37EAEE" w14:textId="23E74035" w:rsidR="0026795D" w:rsidRDefault="0026795D" w:rsidP="0026795D">
      <w:r>
        <w:t>Section 3 presents budgeted financial statements which provide a comprehensive snapshot of entity finances for the 2022</w:t>
      </w:r>
      <w:r w:rsidR="00437DA8">
        <w:t>–</w:t>
      </w:r>
      <w:r>
        <w:t>23</w:t>
      </w:r>
      <w:r>
        <w:rPr>
          <w:color w:val="00B050"/>
        </w:rPr>
        <w:t xml:space="preserve"> </w:t>
      </w:r>
      <w:r w:rsidR="00437DA8" w:rsidRPr="0058500D">
        <w:t>B</w:t>
      </w:r>
      <w:r>
        <w:t xml:space="preserve">udget year, including the impact of </w:t>
      </w:r>
      <w:r w:rsidR="00437DA8">
        <w:t>B</w:t>
      </w:r>
      <w:r>
        <w:t>udget measures and resourcing on financial statements.</w:t>
      </w:r>
    </w:p>
    <w:p w14:paraId="083CB92E" w14:textId="77777777" w:rsidR="0026795D" w:rsidRPr="005328A9" w:rsidRDefault="0026795D" w:rsidP="003D0811">
      <w:pPr>
        <w:pStyle w:val="Heading3"/>
        <w:jc w:val="both"/>
      </w:pPr>
      <w:bookmarkStart w:id="289" w:name="_Toc95217808"/>
      <w:bookmarkStart w:id="290" w:name="_Toc95217872"/>
      <w:bookmarkStart w:id="291" w:name="_Toc95229699"/>
      <w:bookmarkStart w:id="292" w:name="_Toc95291893"/>
      <w:bookmarkStart w:id="293" w:name="_Toc95293767"/>
      <w:bookmarkStart w:id="294" w:name="_Toc95296418"/>
      <w:bookmarkStart w:id="295" w:name="_Toc97387920"/>
      <w:bookmarkStart w:id="296" w:name="_Toc97540657"/>
      <w:bookmarkStart w:id="297" w:name="_Toc99111659"/>
      <w:r w:rsidRPr="005328A9">
        <w:t>3.1</w:t>
      </w:r>
      <w:r w:rsidRPr="005328A9">
        <w:tab/>
        <w:t>Budgeted financial statements</w:t>
      </w:r>
      <w:bookmarkEnd w:id="289"/>
      <w:bookmarkEnd w:id="290"/>
      <w:bookmarkEnd w:id="291"/>
      <w:bookmarkEnd w:id="292"/>
      <w:bookmarkEnd w:id="293"/>
      <w:bookmarkEnd w:id="294"/>
      <w:bookmarkEnd w:id="295"/>
      <w:bookmarkEnd w:id="296"/>
      <w:bookmarkEnd w:id="297"/>
    </w:p>
    <w:p w14:paraId="1C98D1FC" w14:textId="77777777" w:rsidR="0026795D" w:rsidRDefault="0026795D" w:rsidP="003D0811">
      <w:pPr>
        <w:pStyle w:val="Heading4"/>
        <w:jc w:val="both"/>
      </w:pPr>
      <w:r>
        <w:t>3.1.1</w:t>
      </w:r>
      <w:r>
        <w:tab/>
        <w:t>Differences between entity resourcing and financial statements</w:t>
      </w:r>
    </w:p>
    <w:p w14:paraId="65F4DFED" w14:textId="77777777" w:rsidR="003D0811" w:rsidRPr="003D0811" w:rsidRDefault="003D0811" w:rsidP="003D0811">
      <w:pPr>
        <w:pStyle w:val="ExampleText0"/>
        <w:spacing w:after="160"/>
        <w:jc w:val="both"/>
        <w:rPr>
          <w:i w:val="0"/>
          <w:iCs/>
          <w:color w:val="auto"/>
        </w:rPr>
      </w:pPr>
      <w:r w:rsidRPr="003D0811">
        <w:rPr>
          <w:i w:val="0"/>
          <w:iCs/>
          <w:color w:val="auto"/>
        </w:rPr>
        <w:t>There are no differences between the resource information presented in the Budget Papers and in the ACIAR Portfolio Budget Statements.</w:t>
      </w:r>
    </w:p>
    <w:p w14:paraId="59D7FA80" w14:textId="77777777" w:rsidR="0026795D" w:rsidRDefault="0026795D" w:rsidP="003D0811">
      <w:pPr>
        <w:pStyle w:val="Heading4"/>
        <w:jc w:val="both"/>
      </w:pPr>
      <w:r>
        <w:t>3.1.2</w:t>
      </w:r>
      <w:r>
        <w:tab/>
        <w:t>Explanatory notes and analysis of budgeted financial statements</w:t>
      </w:r>
    </w:p>
    <w:p w14:paraId="2CCD702C" w14:textId="77777777" w:rsidR="003D0811" w:rsidRPr="003D0811" w:rsidRDefault="003D0811" w:rsidP="003D0811">
      <w:pPr>
        <w:pStyle w:val="ExampleText0"/>
        <w:spacing w:after="160"/>
        <w:jc w:val="both"/>
        <w:rPr>
          <w:i w:val="0"/>
          <w:iCs/>
          <w:color w:val="auto"/>
        </w:rPr>
      </w:pPr>
      <w:r w:rsidRPr="003D0811">
        <w:rPr>
          <w:i w:val="0"/>
          <w:iCs/>
          <w:color w:val="auto"/>
        </w:rPr>
        <w:t>The departmental financial statements represent the assets, liabilities, revenues and expenses that are controlled by ACIAR. Departmental expenses include employee and supplier expenses and other administrative costs which are incurred by ACIAR in undertaking its operations.</w:t>
      </w:r>
    </w:p>
    <w:p w14:paraId="60550D71" w14:textId="77777777" w:rsidR="003D0811" w:rsidRPr="003D0811" w:rsidRDefault="003D0811" w:rsidP="003D0811">
      <w:pPr>
        <w:pStyle w:val="Heading4"/>
        <w:jc w:val="both"/>
      </w:pPr>
      <w:r w:rsidRPr="003D0811">
        <w:t>Budgeted departmental comprehensive income statement</w:t>
      </w:r>
    </w:p>
    <w:p w14:paraId="39F19080" w14:textId="124A0F25" w:rsidR="003D0811" w:rsidRPr="003D0811" w:rsidRDefault="003D0811" w:rsidP="003D0811">
      <w:pPr>
        <w:pStyle w:val="ExampleText0"/>
        <w:spacing w:after="160"/>
        <w:jc w:val="both"/>
        <w:rPr>
          <w:i w:val="0"/>
          <w:iCs/>
          <w:color w:val="auto"/>
        </w:rPr>
      </w:pPr>
      <w:r w:rsidRPr="003D0811">
        <w:rPr>
          <w:i w:val="0"/>
          <w:iCs/>
          <w:color w:val="auto"/>
        </w:rPr>
        <w:t>The total budgeted revenue from government in 202</w:t>
      </w:r>
      <w:r>
        <w:rPr>
          <w:i w:val="0"/>
          <w:iCs/>
          <w:color w:val="auto"/>
        </w:rPr>
        <w:t>2</w:t>
      </w:r>
      <w:r w:rsidR="00437DA8">
        <w:rPr>
          <w:i w:val="0"/>
          <w:iCs/>
          <w:color w:val="auto"/>
        </w:rPr>
        <w:t>–</w:t>
      </w:r>
      <w:r w:rsidRPr="003D0811">
        <w:rPr>
          <w:i w:val="0"/>
          <w:iCs/>
          <w:color w:val="auto"/>
        </w:rPr>
        <w:t>2</w:t>
      </w:r>
      <w:r>
        <w:rPr>
          <w:i w:val="0"/>
          <w:iCs/>
          <w:color w:val="auto"/>
        </w:rPr>
        <w:t>3</w:t>
      </w:r>
      <w:r w:rsidRPr="003D0811">
        <w:rPr>
          <w:i w:val="0"/>
          <w:iCs/>
          <w:color w:val="auto"/>
        </w:rPr>
        <w:t xml:space="preserve"> is $</w:t>
      </w:r>
      <w:r w:rsidR="00C23582">
        <w:rPr>
          <w:i w:val="0"/>
          <w:iCs/>
          <w:color w:val="auto"/>
        </w:rPr>
        <w:t>9.44</w:t>
      </w:r>
      <w:r w:rsidRPr="003D0811">
        <w:rPr>
          <w:i w:val="0"/>
          <w:iCs/>
          <w:color w:val="auto"/>
        </w:rPr>
        <w:t xml:space="preserve"> million, which represents an increase of $</w:t>
      </w:r>
      <w:r w:rsidR="00C23582">
        <w:rPr>
          <w:i w:val="0"/>
          <w:iCs/>
          <w:color w:val="auto"/>
        </w:rPr>
        <w:t>0.08</w:t>
      </w:r>
      <w:r>
        <w:rPr>
          <w:i w:val="0"/>
          <w:iCs/>
          <w:color w:val="auto"/>
        </w:rPr>
        <w:t xml:space="preserve"> </w:t>
      </w:r>
      <w:r w:rsidRPr="003D0811">
        <w:rPr>
          <w:i w:val="0"/>
          <w:iCs/>
          <w:color w:val="auto"/>
        </w:rPr>
        <w:t>million in appropriations from 202</w:t>
      </w:r>
      <w:r w:rsidR="00AD0393">
        <w:rPr>
          <w:i w:val="0"/>
          <w:iCs/>
          <w:color w:val="auto"/>
        </w:rPr>
        <w:t>1</w:t>
      </w:r>
      <w:r w:rsidR="00437DA8">
        <w:rPr>
          <w:i w:val="0"/>
          <w:iCs/>
          <w:color w:val="auto"/>
        </w:rPr>
        <w:t>–</w:t>
      </w:r>
      <w:r w:rsidRPr="003D0811">
        <w:rPr>
          <w:i w:val="0"/>
          <w:iCs/>
          <w:color w:val="auto"/>
        </w:rPr>
        <w:t>2</w:t>
      </w:r>
      <w:r w:rsidR="00AD0393">
        <w:rPr>
          <w:i w:val="0"/>
          <w:iCs/>
          <w:color w:val="auto"/>
        </w:rPr>
        <w:t>2</w:t>
      </w:r>
      <w:r w:rsidRPr="003D0811">
        <w:rPr>
          <w:i w:val="0"/>
          <w:iCs/>
          <w:color w:val="auto"/>
        </w:rPr>
        <w:t xml:space="preserve"> as shown in Table</w:t>
      </w:r>
      <w:r w:rsidR="00FC5852">
        <w:rPr>
          <w:i w:val="0"/>
          <w:iCs/>
          <w:color w:val="auto"/>
        </w:rPr>
        <w:t> </w:t>
      </w:r>
      <w:r w:rsidRPr="003D0811">
        <w:rPr>
          <w:i w:val="0"/>
          <w:iCs/>
          <w:color w:val="auto"/>
        </w:rPr>
        <w:t>3.1. The increase is primarily attributable to parameter adjustments for overseas and domestic inflation.</w:t>
      </w:r>
    </w:p>
    <w:p w14:paraId="03416049" w14:textId="62230B29" w:rsidR="003D0811" w:rsidRPr="003D0811" w:rsidRDefault="003D0811" w:rsidP="003D0811">
      <w:pPr>
        <w:pStyle w:val="ExampleText0"/>
        <w:spacing w:after="160"/>
        <w:jc w:val="both"/>
        <w:rPr>
          <w:i w:val="0"/>
          <w:iCs/>
          <w:color w:val="auto"/>
        </w:rPr>
      </w:pPr>
      <w:r w:rsidRPr="003D0811">
        <w:rPr>
          <w:i w:val="0"/>
          <w:iCs/>
          <w:color w:val="auto"/>
        </w:rPr>
        <w:t>The Income Statement shows a budgeted deficit in 202</w:t>
      </w:r>
      <w:r w:rsidR="00AD0393">
        <w:rPr>
          <w:i w:val="0"/>
          <w:iCs/>
          <w:color w:val="auto"/>
        </w:rPr>
        <w:t>2</w:t>
      </w:r>
      <w:r w:rsidR="00437DA8">
        <w:rPr>
          <w:i w:val="0"/>
          <w:iCs/>
          <w:color w:val="auto"/>
        </w:rPr>
        <w:t>–</w:t>
      </w:r>
      <w:r w:rsidRPr="003D0811">
        <w:rPr>
          <w:i w:val="0"/>
          <w:iCs/>
          <w:color w:val="auto"/>
        </w:rPr>
        <w:t>2</w:t>
      </w:r>
      <w:r w:rsidR="00AD0393">
        <w:rPr>
          <w:i w:val="0"/>
          <w:iCs/>
          <w:color w:val="auto"/>
        </w:rPr>
        <w:t>3</w:t>
      </w:r>
      <w:r w:rsidRPr="003D0811">
        <w:rPr>
          <w:i w:val="0"/>
          <w:iCs/>
          <w:color w:val="auto"/>
        </w:rPr>
        <w:t xml:space="preserve"> of $</w:t>
      </w:r>
      <w:r w:rsidR="00C23582">
        <w:rPr>
          <w:i w:val="0"/>
          <w:iCs/>
          <w:color w:val="auto"/>
        </w:rPr>
        <w:t>0.64</w:t>
      </w:r>
      <w:r w:rsidR="00AD0393">
        <w:rPr>
          <w:i w:val="0"/>
          <w:iCs/>
          <w:color w:val="auto"/>
        </w:rPr>
        <w:t xml:space="preserve"> </w:t>
      </w:r>
      <w:r w:rsidRPr="003D0811">
        <w:rPr>
          <w:i w:val="0"/>
          <w:iCs/>
          <w:color w:val="auto"/>
        </w:rPr>
        <w:t>million due to the removal of appropriation funding for depreciation and amortisation funding under the Net Cash funding arrangements.</w:t>
      </w:r>
    </w:p>
    <w:p w14:paraId="7E178591" w14:textId="77777777" w:rsidR="003D0811" w:rsidRPr="00AD0393" w:rsidRDefault="003D0811" w:rsidP="00AD0393">
      <w:pPr>
        <w:pStyle w:val="Heading4"/>
        <w:jc w:val="both"/>
      </w:pPr>
      <w:r w:rsidRPr="00AD0393">
        <w:t>Budgeted departmental balance sheet</w:t>
      </w:r>
    </w:p>
    <w:p w14:paraId="676BFC98" w14:textId="26451857" w:rsidR="003D0811" w:rsidRPr="003D0811" w:rsidRDefault="003D0811" w:rsidP="003D0811">
      <w:pPr>
        <w:pStyle w:val="ExampleText0"/>
        <w:spacing w:after="160"/>
        <w:jc w:val="both"/>
        <w:rPr>
          <w:i w:val="0"/>
          <w:iCs/>
          <w:color w:val="auto"/>
        </w:rPr>
      </w:pPr>
      <w:r w:rsidRPr="003D0811">
        <w:rPr>
          <w:i w:val="0"/>
          <w:iCs/>
          <w:color w:val="auto"/>
        </w:rPr>
        <w:t>The statement discloses the estimated end of year financial position for ACIAR. The ACIAR budgeted net asset position of $</w:t>
      </w:r>
      <w:r w:rsidR="00C23582">
        <w:rPr>
          <w:i w:val="0"/>
          <w:iCs/>
          <w:color w:val="auto"/>
        </w:rPr>
        <w:t>4.34</w:t>
      </w:r>
      <w:r w:rsidR="00AD0393">
        <w:rPr>
          <w:i w:val="0"/>
          <w:iCs/>
          <w:color w:val="auto"/>
        </w:rPr>
        <w:t xml:space="preserve"> </w:t>
      </w:r>
      <w:r w:rsidRPr="003D0811">
        <w:rPr>
          <w:i w:val="0"/>
          <w:iCs/>
          <w:color w:val="auto"/>
        </w:rPr>
        <w:t>million at the end of 202</w:t>
      </w:r>
      <w:r w:rsidR="00AD0393">
        <w:rPr>
          <w:i w:val="0"/>
          <w:iCs/>
          <w:color w:val="auto"/>
        </w:rPr>
        <w:t>2</w:t>
      </w:r>
      <w:r w:rsidR="00437DA8">
        <w:rPr>
          <w:i w:val="0"/>
          <w:iCs/>
          <w:color w:val="auto"/>
        </w:rPr>
        <w:t>–</w:t>
      </w:r>
      <w:r w:rsidRPr="003D0811">
        <w:rPr>
          <w:i w:val="0"/>
          <w:iCs/>
          <w:color w:val="auto"/>
        </w:rPr>
        <w:t>2</w:t>
      </w:r>
      <w:r w:rsidR="00AD0393">
        <w:rPr>
          <w:i w:val="0"/>
          <w:iCs/>
          <w:color w:val="auto"/>
        </w:rPr>
        <w:t>3</w:t>
      </w:r>
      <w:r w:rsidRPr="003D0811">
        <w:rPr>
          <w:i w:val="0"/>
          <w:iCs/>
          <w:color w:val="auto"/>
        </w:rPr>
        <w:t xml:space="preserve"> represents a decrease of $</w:t>
      </w:r>
      <w:r w:rsidR="00C23582">
        <w:rPr>
          <w:i w:val="0"/>
          <w:iCs/>
          <w:color w:val="auto"/>
        </w:rPr>
        <w:t>0.39</w:t>
      </w:r>
      <w:r w:rsidR="00AD0393">
        <w:rPr>
          <w:i w:val="0"/>
          <w:iCs/>
          <w:color w:val="auto"/>
        </w:rPr>
        <w:t xml:space="preserve"> </w:t>
      </w:r>
      <w:r w:rsidRPr="003D0811">
        <w:rPr>
          <w:i w:val="0"/>
          <w:iCs/>
          <w:color w:val="auto"/>
        </w:rPr>
        <w:t>million from the 202</w:t>
      </w:r>
      <w:r w:rsidR="00AD0393">
        <w:rPr>
          <w:i w:val="0"/>
          <w:iCs/>
          <w:color w:val="auto"/>
        </w:rPr>
        <w:t>1</w:t>
      </w:r>
      <w:r w:rsidR="00437DA8">
        <w:rPr>
          <w:i w:val="0"/>
          <w:iCs/>
          <w:color w:val="auto"/>
        </w:rPr>
        <w:t>–</w:t>
      </w:r>
      <w:r w:rsidRPr="003D0811">
        <w:rPr>
          <w:i w:val="0"/>
          <w:iCs/>
          <w:color w:val="auto"/>
        </w:rPr>
        <w:t>2</w:t>
      </w:r>
      <w:r w:rsidR="00AD0393">
        <w:rPr>
          <w:i w:val="0"/>
          <w:iCs/>
          <w:color w:val="auto"/>
        </w:rPr>
        <w:t>2</w:t>
      </w:r>
      <w:r w:rsidRPr="003D0811">
        <w:rPr>
          <w:i w:val="0"/>
          <w:iCs/>
          <w:color w:val="auto"/>
        </w:rPr>
        <w:t xml:space="preserve"> estimate actual in Table 3.2. This is mainly due to the variation between capital program funding ($</w:t>
      </w:r>
      <w:r w:rsidR="00C23582">
        <w:rPr>
          <w:i w:val="0"/>
          <w:iCs/>
          <w:color w:val="auto"/>
        </w:rPr>
        <w:t>0.25</w:t>
      </w:r>
      <w:r w:rsidR="00AD0393">
        <w:rPr>
          <w:i w:val="0"/>
          <w:iCs/>
          <w:color w:val="auto"/>
        </w:rPr>
        <w:t xml:space="preserve"> </w:t>
      </w:r>
      <w:r w:rsidRPr="003D0811">
        <w:rPr>
          <w:i w:val="0"/>
          <w:iCs/>
          <w:color w:val="auto"/>
        </w:rPr>
        <w:t>million) and estimated depreciation expense ($</w:t>
      </w:r>
      <w:r w:rsidR="00C23582">
        <w:rPr>
          <w:i w:val="0"/>
          <w:iCs/>
          <w:color w:val="auto"/>
        </w:rPr>
        <w:t>0.51</w:t>
      </w:r>
      <w:r w:rsidR="00AD0393">
        <w:rPr>
          <w:i w:val="0"/>
          <w:iCs/>
          <w:color w:val="auto"/>
        </w:rPr>
        <w:t xml:space="preserve"> </w:t>
      </w:r>
      <w:r w:rsidRPr="003D0811">
        <w:rPr>
          <w:i w:val="0"/>
          <w:iCs/>
          <w:color w:val="auto"/>
        </w:rPr>
        <w:t xml:space="preserve">million). </w:t>
      </w:r>
    </w:p>
    <w:p w14:paraId="34C639CC" w14:textId="77777777" w:rsidR="003D0811" w:rsidRPr="00AD0393" w:rsidRDefault="003D0811" w:rsidP="00AD0393">
      <w:pPr>
        <w:pStyle w:val="Heading4"/>
        <w:jc w:val="both"/>
      </w:pPr>
      <w:r w:rsidRPr="00AD0393">
        <w:t>Departmental statement of changes in equity – summary of movement</w:t>
      </w:r>
    </w:p>
    <w:p w14:paraId="33A41423" w14:textId="77777777" w:rsidR="003D0811" w:rsidRPr="003D0811" w:rsidRDefault="003D0811" w:rsidP="003D0811">
      <w:pPr>
        <w:pStyle w:val="ExampleText0"/>
        <w:spacing w:after="160"/>
        <w:jc w:val="both"/>
        <w:rPr>
          <w:i w:val="0"/>
          <w:iCs/>
          <w:color w:val="auto"/>
        </w:rPr>
      </w:pPr>
      <w:r w:rsidRPr="003D0811">
        <w:rPr>
          <w:i w:val="0"/>
          <w:iCs/>
          <w:color w:val="auto"/>
        </w:rPr>
        <w:t>This statement shows changes in equity resulting from the net impact of movements in accumulated results, assets revaluation and other reserves, and contributed equity.</w:t>
      </w:r>
    </w:p>
    <w:p w14:paraId="394A175D" w14:textId="39CA77DF" w:rsidR="003D0811" w:rsidRPr="003D0811" w:rsidRDefault="003D0811" w:rsidP="003D0811">
      <w:pPr>
        <w:pStyle w:val="ExampleText0"/>
        <w:spacing w:after="160"/>
        <w:jc w:val="both"/>
        <w:rPr>
          <w:i w:val="0"/>
          <w:iCs/>
          <w:color w:val="auto"/>
        </w:rPr>
      </w:pPr>
      <w:r w:rsidRPr="003D0811">
        <w:rPr>
          <w:i w:val="0"/>
          <w:iCs/>
          <w:color w:val="auto"/>
        </w:rPr>
        <w:t>Total equity at the end of 202</w:t>
      </w:r>
      <w:r w:rsidR="00AD0393">
        <w:rPr>
          <w:i w:val="0"/>
          <w:iCs/>
          <w:color w:val="auto"/>
        </w:rPr>
        <w:t>2</w:t>
      </w:r>
      <w:r w:rsidR="00437DA8">
        <w:rPr>
          <w:i w:val="0"/>
          <w:iCs/>
          <w:color w:val="auto"/>
        </w:rPr>
        <w:t>–</w:t>
      </w:r>
      <w:r w:rsidRPr="003D0811">
        <w:rPr>
          <w:i w:val="0"/>
          <w:iCs/>
          <w:color w:val="auto"/>
        </w:rPr>
        <w:t>2</w:t>
      </w:r>
      <w:r w:rsidR="00AD0393">
        <w:rPr>
          <w:i w:val="0"/>
          <w:iCs/>
          <w:color w:val="auto"/>
        </w:rPr>
        <w:t>3</w:t>
      </w:r>
      <w:r w:rsidRPr="003D0811">
        <w:rPr>
          <w:i w:val="0"/>
          <w:iCs/>
          <w:color w:val="auto"/>
        </w:rPr>
        <w:t xml:space="preserve"> is estimated to be $</w:t>
      </w:r>
      <w:r w:rsidR="00C23582">
        <w:rPr>
          <w:i w:val="0"/>
          <w:iCs/>
          <w:color w:val="auto"/>
        </w:rPr>
        <w:t>4.34</w:t>
      </w:r>
      <w:r w:rsidR="00AD0393">
        <w:rPr>
          <w:i w:val="0"/>
          <w:iCs/>
          <w:color w:val="auto"/>
        </w:rPr>
        <w:t xml:space="preserve"> </w:t>
      </w:r>
      <w:r w:rsidRPr="003D0811">
        <w:rPr>
          <w:i w:val="0"/>
          <w:iCs/>
          <w:color w:val="auto"/>
        </w:rPr>
        <w:t>million, a decrease of $</w:t>
      </w:r>
      <w:r w:rsidR="00C23582">
        <w:rPr>
          <w:i w:val="0"/>
          <w:iCs/>
          <w:color w:val="auto"/>
        </w:rPr>
        <w:t>0.39</w:t>
      </w:r>
      <w:r w:rsidR="00FC5852">
        <w:rPr>
          <w:i w:val="0"/>
          <w:iCs/>
          <w:color w:val="auto"/>
        </w:rPr>
        <w:t> </w:t>
      </w:r>
      <w:r w:rsidRPr="003D0811">
        <w:rPr>
          <w:i w:val="0"/>
          <w:iCs/>
          <w:color w:val="auto"/>
        </w:rPr>
        <w:t>million mainly due to the variation between capital program funding ($</w:t>
      </w:r>
      <w:r w:rsidR="00C23582">
        <w:rPr>
          <w:i w:val="0"/>
          <w:iCs/>
          <w:color w:val="auto"/>
        </w:rPr>
        <w:t>0.25</w:t>
      </w:r>
      <w:r w:rsidR="00FC5852">
        <w:rPr>
          <w:i w:val="0"/>
          <w:iCs/>
          <w:color w:val="auto"/>
        </w:rPr>
        <w:t> </w:t>
      </w:r>
      <w:r w:rsidRPr="003D0811">
        <w:rPr>
          <w:i w:val="0"/>
          <w:iCs/>
          <w:color w:val="auto"/>
        </w:rPr>
        <w:t>million) and estimated depreciation expense ($</w:t>
      </w:r>
      <w:r w:rsidR="00C23582">
        <w:rPr>
          <w:i w:val="0"/>
          <w:iCs/>
          <w:color w:val="auto"/>
        </w:rPr>
        <w:t>0.51</w:t>
      </w:r>
      <w:r w:rsidR="00AD0393">
        <w:rPr>
          <w:i w:val="0"/>
          <w:iCs/>
          <w:color w:val="auto"/>
        </w:rPr>
        <w:t xml:space="preserve"> </w:t>
      </w:r>
      <w:r w:rsidRPr="003D0811">
        <w:rPr>
          <w:i w:val="0"/>
          <w:iCs/>
          <w:color w:val="auto"/>
        </w:rPr>
        <w:t>million).</w:t>
      </w:r>
    </w:p>
    <w:p w14:paraId="6A6F25AC" w14:textId="77777777" w:rsidR="003D0811" w:rsidRPr="00AD0393" w:rsidRDefault="003D0811" w:rsidP="00AD0393">
      <w:pPr>
        <w:pStyle w:val="Heading4"/>
        <w:jc w:val="both"/>
      </w:pPr>
      <w:r w:rsidRPr="00AD0393">
        <w:t>Budgeted departmental statement of cashflows</w:t>
      </w:r>
    </w:p>
    <w:p w14:paraId="45051DFC" w14:textId="316331E1" w:rsidR="003D0811" w:rsidRPr="003D0811" w:rsidRDefault="003D0811" w:rsidP="003D0811">
      <w:pPr>
        <w:pStyle w:val="ExampleText0"/>
        <w:spacing w:after="160"/>
        <w:jc w:val="both"/>
        <w:rPr>
          <w:i w:val="0"/>
          <w:iCs/>
          <w:color w:val="auto"/>
        </w:rPr>
      </w:pPr>
      <w:r w:rsidRPr="003D0811">
        <w:rPr>
          <w:i w:val="0"/>
          <w:iCs/>
          <w:color w:val="auto"/>
        </w:rPr>
        <w:t xml:space="preserve">This statement shows the extent and nature of cash flows </w:t>
      </w:r>
      <w:proofErr w:type="gramStart"/>
      <w:r w:rsidRPr="003D0811">
        <w:rPr>
          <w:i w:val="0"/>
          <w:iCs/>
          <w:color w:val="auto"/>
        </w:rPr>
        <w:t>as a result of</w:t>
      </w:r>
      <w:proofErr w:type="gramEnd"/>
      <w:r w:rsidRPr="003D0811">
        <w:rPr>
          <w:i w:val="0"/>
          <w:iCs/>
          <w:color w:val="auto"/>
        </w:rPr>
        <w:t xml:space="preserve"> the ACIAR operating, investing and financing activities. The ACIAR cash balance at the end of 202</w:t>
      </w:r>
      <w:r w:rsidR="00AD0393">
        <w:rPr>
          <w:i w:val="0"/>
          <w:iCs/>
          <w:color w:val="auto"/>
        </w:rPr>
        <w:t>2</w:t>
      </w:r>
      <w:r w:rsidR="00437DA8">
        <w:rPr>
          <w:i w:val="0"/>
          <w:iCs/>
          <w:color w:val="auto"/>
        </w:rPr>
        <w:t>–</w:t>
      </w:r>
      <w:r w:rsidR="00AD0393">
        <w:rPr>
          <w:i w:val="0"/>
          <w:iCs/>
          <w:color w:val="auto"/>
        </w:rPr>
        <w:t xml:space="preserve">23 </w:t>
      </w:r>
      <w:r w:rsidRPr="003D0811">
        <w:rPr>
          <w:i w:val="0"/>
          <w:iCs/>
          <w:color w:val="auto"/>
        </w:rPr>
        <w:t>is estimated to be $</w:t>
      </w:r>
      <w:r w:rsidR="00C23582">
        <w:rPr>
          <w:i w:val="0"/>
          <w:iCs/>
          <w:color w:val="auto"/>
        </w:rPr>
        <w:t>0.01</w:t>
      </w:r>
      <w:r w:rsidRPr="003D0811">
        <w:rPr>
          <w:i w:val="0"/>
          <w:iCs/>
          <w:color w:val="auto"/>
        </w:rPr>
        <w:t xml:space="preserve"> million.</w:t>
      </w:r>
    </w:p>
    <w:p w14:paraId="705C38F7" w14:textId="77777777" w:rsidR="003D0811" w:rsidRPr="00AD0393" w:rsidRDefault="003D0811" w:rsidP="00AD0393">
      <w:pPr>
        <w:pStyle w:val="Heading4"/>
        <w:jc w:val="both"/>
      </w:pPr>
      <w:r w:rsidRPr="00AD0393">
        <w:t>Departmental capital budget statement</w:t>
      </w:r>
    </w:p>
    <w:p w14:paraId="1D025591" w14:textId="77777777" w:rsidR="003D0811" w:rsidRPr="003D0811" w:rsidRDefault="003D0811" w:rsidP="003D0811">
      <w:pPr>
        <w:pStyle w:val="ExampleText0"/>
        <w:spacing w:after="160"/>
        <w:jc w:val="both"/>
        <w:rPr>
          <w:i w:val="0"/>
          <w:iCs/>
          <w:color w:val="auto"/>
        </w:rPr>
      </w:pPr>
      <w:r w:rsidRPr="003D0811">
        <w:rPr>
          <w:i w:val="0"/>
          <w:iCs/>
          <w:color w:val="auto"/>
        </w:rPr>
        <w:t>This statement shows all planned departmental capital expenditure on non-financial assets, whether funded through capital appropriations, additional equity, borrowings, or funds from internal sources.</w:t>
      </w:r>
    </w:p>
    <w:p w14:paraId="7D995CA3" w14:textId="77777777" w:rsidR="003D0811" w:rsidRPr="003D0811" w:rsidRDefault="003D0811" w:rsidP="00AD0393">
      <w:pPr>
        <w:pStyle w:val="Heading4"/>
        <w:jc w:val="both"/>
        <w:rPr>
          <w:iCs/>
        </w:rPr>
      </w:pPr>
      <w:r w:rsidRPr="00AD0393">
        <w:t>Departmental statements of asset movements</w:t>
      </w:r>
    </w:p>
    <w:p w14:paraId="7F83C58F" w14:textId="77777777" w:rsidR="003D0811" w:rsidRPr="003D0811" w:rsidRDefault="003D0811" w:rsidP="003D0811">
      <w:pPr>
        <w:pStyle w:val="ExampleText0"/>
        <w:spacing w:after="160"/>
        <w:jc w:val="both"/>
        <w:rPr>
          <w:i w:val="0"/>
          <w:iCs/>
          <w:color w:val="auto"/>
        </w:rPr>
      </w:pPr>
      <w:r w:rsidRPr="003D0811">
        <w:rPr>
          <w:i w:val="0"/>
          <w:iCs/>
          <w:color w:val="auto"/>
        </w:rPr>
        <w:t>This statement shows budgeted acquisitions and disposals of non-financial assets during the budget year.</w:t>
      </w:r>
    </w:p>
    <w:p w14:paraId="7D3EF1F6" w14:textId="77777777" w:rsidR="003D0811" w:rsidRPr="00AD0393" w:rsidRDefault="003D0811" w:rsidP="00AD0393">
      <w:pPr>
        <w:pStyle w:val="Heading4"/>
        <w:jc w:val="both"/>
      </w:pPr>
      <w:r w:rsidRPr="00AD0393">
        <w:t>Schedule of administered activity</w:t>
      </w:r>
    </w:p>
    <w:p w14:paraId="72D563AC" w14:textId="18540C44" w:rsidR="003D0811" w:rsidRPr="003D0811" w:rsidRDefault="003D0811" w:rsidP="003D0811">
      <w:pPr>
        <w:pStyle w:val="ExampleText0"/>
        <w:spacing w:after="160"/>
        <w:jc w:val="both"/>
        <w:rPr>
          <w:i w:val="0"/>
          <w:iCs/>
          <w:color w:val="auto"/>
        </w:rPr>
      </w:pPr>
      <w:r w:rsidRPr="003D0811">
        <w:rPr>
          <w:i w:val="0"/>
          <w:iCs/>
          <w:color w:val="auto"/>
        </w:rPr>
        <w:t>In 202</w:t>
      </w:r>
      <w:r w:rsidR="00AD0393">
        <w:rPr>
          <w:i w:val="0"/>
          <w:iCs/>
          <w:color w:val="auto"/>
        </w:rPr>
        <w:t>2</w:t>
      </w:r>
      <w:r w:rsidR="00437DA8">
        <w:rPr>
          <w:i w:val="0"/>
          <w:iCs/>
          <w:color w:val="auto"/>
        </w:rPr>
        <w:t>–</w:t>
      </w:r>
      <w:r w:rsidRPr="003D0811">
        <w:rPr>
          <w:i w:val="0"/>
          <w:iCs/>
          <w:color w:val="auto"/>
        </w:rPr>
        <w:t>2</w:t>
      </w:r>
      <w:r w:rsidR="00AD0393">
        <w:rPr>
          <w:i w:val="0"/>
          <w:iCs/>
          <w:color w:val="auto"/>
        </w:rPr>
        <w:t>3</w:t>
      </w:r>
      <w:r w:rsidRPr="003D0811">
        <w:rPr>
          <w:i w:val="0"/>
          <w:iCs/>
          <w:color w:val="auto"/>
        </w:rPr>
        <w:t>, ACIAR will receive administered appropriation of $</w:t>
      </w:r>
      <w:r w:rsidR="00C23582">
        <w:rPr>
          <w:i w:val="0"/>
          <w:iCs/>
          <w:color w:val="auto"/>
        </w:rPr>
        <w:t>92.92</w:t>
      </w:r>
      <w:r w:rsidR="00AD0393">
        <w:rPr>
          <w:i w:val="0"/>
          <w:iCs/>
          <w:color w:val="auto"/>
        </w:rPr>
        <w:t xml:space="preserve"> </w:t>
      </w:r>
      <w:r w:rsidRPr="003D0811">
        <w:rPr>
          <w:i w:val="0"/>
          <w:iCs/>
          <w:color w:val="auto"/>
        </w:rPr>
        <w:t>million for programs administered on behalf of the Government. The expenditure is for ‘Official Development Assistance’.</w:t>
      </w:r>
    </w:p>
    <w:p w14:paraId="7F5DC0AE" w14:textId="77777777" w:rsidR="003D0811" w:rsidRPr="00AD0393" w:rsidRDefault="003D0811" w:rsidP="00AD0393">
      <w:pPr>
        <w:pStyle w:val="Heading4"/>
        <w:jc w:val="both"/>
      </w:pPr>
      <w:r w:rsidRPr="00AD0393">
        <w:t>Schedule of budgeted assets and liabilities administered on behalf of government</w:t>
      </w:r>
    </w:p>
    <w:p w14:paraId="4AB5D583" w14:textId="77777777" w:rsidR="003D0811" w:rsidRPr="003D0811" w:rsidRDefault="003D0811" w:rsidP="003D0811">
      <w:pPr>
        <w:pStyle w:val="ExampleText0"/>
        <w:spacing w:after="160"/>
        <w:jc w:val="both"/>
        <w:rPr>
          <w:i w:val="0"/>
          <w:iCs/>
          <w:color w:val="auto"/>
        </w:rPr>
      </w:pPr>
      <w:r w:rsidRPr="003D0811">
        <w:rPr>
          <w:i w:val="0"/>
          <w:iCs/>
          <w:color w:val="auto"/>
        </w:rPr>
        <w:t>This schedule identifies the assets and liabilities administered on behalf of the Government.</w:t>
      </w:r>
    </w:p>
    <w:p w14:paraId="3CCCD7A2" w14:textId="2E2D1CEC" w:rsidR="003D0811" w:rsidRPr="003D0811" w:rsidRDefault="003D0811" w:rsidP="003D0811">
      <w:pPr>
        <w:pStyle w:val="ExampleText0"/>
        <w:spacing w:after="160"/>
        <w:jc w:val="both"/>
        <w:rPr>
          <w:i w:val="0"/>
          <w:iCs/>
          <w:color w:val="auto"/>
        </w:rPr>
      </w:pPr>
      <w:r w:rsidRPr="003D0811">
        <w:rPr>
          <w:i w:val="0"/>
          <w:iCs/>
          <w:color w:val="auto"/>
        </w:rPr>
        <w:t>Total administered assets and liabilities for 202</w:t>
      </w:r>
      <w:r w:rsidR="00AD0393">
        <w:rPr>
          <w:i w:val="0"/>
          <w:iCs/>
          <w:color w:val="auto"/>
        </w:rPr>
        <w:t>2</w:t>
      </w:r>
      <w:r w:rsidR="00437DA8">
        <w:rPr>
          <w:i w:val="0"/>
          <w:iCs/>
          <w:color w:val="auto"/>
        </w:rPr>
        <w:t>–</w:t>
      </w:r>
      <w:r w:rsidRPr="003D0811">
        <w:rPr>
          <w:i w:val="0"/>
          <w:iCs/>
          <w:color w:val="auto"/>
        </w:rPr>
        <w:t>2</w:t>
      </w:r>
      <w:r w:rsidR="00AD0393">
        <w:rPr>
          <w:i w:val="0"/>
          <w:iCs/>
          <w:color w:val="auto"/>
        </w:rPr>
        <w:t>3</w:t>
      </w:r>
      <w:r w:rsidRPr="003D0811">
        <w:rPr>
          <w:i w:val="0"/>
          <w:iCs/>
          <w:color w:val="auto"/>
        </w:rPr>
        <w:t xml:space="preserve"> </w:t>
      </w:r>
      <w:proofErr w:type="gramStart"/>
      <w:r w:rsidRPr="003D0811">
        <w:rPr>
          <w:i w:val="0"/>
          <w:iCs/>
          <w:color w:val="auto"/>
        </w:rPr>
        <w:t>are</w:t>
      </w:r>
      <w:proofErr w:type="gramEnd"/>
      <w:r w:rsidRPr="003D0811">
        <w:rPr>
          <w:i w:val="0"/>
          <w:iCs/>
          <w:color w:val="auto"/>
        </w:rPr>
        <w:t xml:space="preserve"> estimated at $</w:t>
      </w:r>
      <w:r w:rsidR="00C23582">
        <w:rPr>
          <w:i w:val="0"/>
          <w:iCs/>
          <w:color w:val="auto"/>
        </w:rPr>
        <w:t>2.84</w:t>
      </w:r>
      <w:r w:rsidR="00AD0393">
        <w:rPr>
          <w:i w:val="0"/>
          <w:iCs/>
          <w:color w:val="auto"/>
        </w:rPr>
        <w:t xml:space="preserve"> </w:t>
      </w:r>
      <w:r w:rsidRPr="003D0811">
        <w:rPr>
          <w:i w:val="0"/>
          <w:iCs/>
          <w:color w:val="auto"/>
        </w:rPr>
        <w:t>million and $</w:t>
      </w:r>
      <w:r w:rsidR="00C23582">
        <w:rPr>
          <w:i w:val="0"/>
          <w:iCs/>
          <w:color w:val="auto"/>
        </w:rPr>
        <w:t>6.69</w:t>
      </w:r>
      <w:r w:rsidR="00AD0393">
        <w:rPr>
          <w:i w:val="0"/>
          <w:iCs/>
          <w:color w:val="auto"/>
        </w:rPr>
        <w:t> </w:t>
      </w:r>
      <w:r w:rsidRPr="003D0811">
        <w:rPr>
          <w:i w:val="0"/>
          <w:iCs/>
          <w:color w:val="auto"/>
        </w:rPr>
        <w:t>million respectively.</w:t>
      </w:r>
    </w:p>
    <w:p w14:paraId="197941EA" w14:textId="77777777" w:rsidR="003D0811" w:rsidRPr="00AD0393" w:rsidRDefault="003D0811" w:rsidP="00AD0393">
      <w:pPr>
        <w:pStyle w:val="Heading4"/>
        <w:jc w:val="both"/>
      </w:pPr>
      <w:r w:rsidRPr="00AD0393">
        <w:t>Schedule of budgeted administered cash flows</w:t>
      </w:r>
    </w:p>
    <w:p w14:paraId="3222184B" w14:textId="77777777" w:rsidR="003D0811" w:rsidRPr="003D0811" w:rsidRDefault="003D0811" w:rsidP="003D0811">
      <w:pPr>
        <w:pStyle w:val="ExampleText0"/>
        <w:spacing w:after="160"/>
        <w:jc w:val="both"/>
        <w:rPr>
          <w:i w:val="0"/>
          <w:iCs/>
          <w:color w:val="auto"/>
        </w:rPr>
      </w:pPr>
      <w:r w:rsidRPr="003D0811">
        <w:rPr>
          <w:i w:val="0"/>
          <w:iCs/>
          <w:color w:val="auto"/>
        </w:rPr>
        <w:t>This schedule shows cash flows administered on behalf of the Government. All cash received is expected to be expended on the relevant programs.</w:t>
      </w:r>
    </w:p>
    <w:p w14:paraId="177A12E1" w14:textId="77777777" w:rsidR="0026795D" w:rsidRDefault="0026795D" w:rsidP="0026795D">
      <w:pPr>
        <w:jc w:val="left"/>
      </w:pPr>
      <w:r>
        <w:br w:type="page"/>
      </w:r>
      <w:r w:rsidRPr="00D232B7">
        <w:rPr>
          <w:rStyle w:val="TableHeadingChar"/>
        </w:rPr>
        <w:t>3.2.</w:t>
      </w:r>
      <w:r w:rsidRPr="00D232B7">
        <w:rPr>
          <w:rStyle w:val="TableHeadingChar"/>
        </w:rPr>
        <w:tab/>
        <w:t>Budgeted financial statements tables</w:t>
      </w:r>
    </w:p>
    <w:p w14:paraId="4132FAE9" w14:textId="77777777" w:rsidR="0026795D" w:rsidRDefault="0026795D" w:rsidP="0026795D">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5BD086D2" w14:textId="1B176BC0" w:rsidR="0026795D" w:rsidRDefault="0026795D" w:rsidP="0026795D">
      <w:pPr>
        <w:pStyle w:val="TableGraphic"/>
      </w:pPr>
      <w:r w:rsidRPr="00D52088">
        <w:rPr>
          <w:noProof/>
        </w:rPr>
        <w:t xml:space="preserve"> </w:t>
      </w:r>
      <w:r w:rsidR="008A7E02" w:rsidRPr="008A7E02">
        <w:rPr>
          <w:noProof/>
        </w:rPr>
        <w:drawing>
          <wp:inline distT="0" distB="0" distL="0" distR="0" wp14:anchorId="6B2929A2" wp14:editId="257BD7ED">
            <wp:extent cx="4619625" cy="38671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19625" cy="3867150"/>
                    </a:xfrm>
                    <a:prstGeom prst="rect">
                      <a:avLst/>
                    </a:prstGeom>
                    <a:noFill/>
                    <a:ln>
                      <a:noFill/>
                    </a:ln>
                  </pic:spPr>
                </pic:pic>
              </a:graphicData>
            </a:graphic>
          </wp:inline>
        </w:drawing>
      </w:r>
    </w:p>
    <w:p w14:paraId="2F1A1285" w14:textId="227CDC5B" w:rsidR="00AD0393" w:rsidRDefault="00AD0393" w:rsidP="00C354BB">
      <w:pPr>
        <w:pStyle w:val="Source"/>
        <w:rPr>
          <w:rFonts w:cs="Arial"/>
        </w:rPr>
      </w:pPr>
      <w:r w:rsidRPr="00C354BB">
        <w:rPr>
          <w:rFonts w:cs="Arial"/>
          <w:szCs w:val="16"/>
        </w:rPr>
        <w:t>Table</w:t>
      </w:r>
      <w:r>
        <w:rPr>
          <w:rFonts w:cs="Arial"/>
        </w:rPr>
        <w:t xml:space="preserve"> </w:t>
      </w:r>
      <w:proofErr w:type="gramStart"/>
      <w:r>
        <w:rPr>
          <w:rFonts w:cs="Arial"/>
        </w:rPr>
        <w:t>continued on</w:t>
      </w:r>
      <w:proofErr w:type="gramEnd"/>
      <w:r>
        <w:rPr>
          <w:rFonts w:cs="Arial"/>
        </w:rPr>
        <w:t xml:space="preserve"> the next page.</w:t>
      </w:r>
    </w:p>
    <w:p w14:paraId="69D11FBF" w14:textId="6A860AB8" w:rsidR="0026795D" w:rsidRDefault="0026795D" w:rsidP="0026795D">
      <w:pPr>
        <w:pStyle w:val="TableHeadingcontinued"/>
        <w:rPr>
          <w:snapToGrid w:val="0"/>
        </w:rPr>
      </w:pPr>
      <w:r>
        <w:br w:type="page"/>
      </w: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14:paraId="0559C86E" w14:textId="77777777" w:rsidR="00417E86" w:rsidRPr="003819E1" w:rsidRDefault="00417E86" w:rsidP="00417E86">
      <w:pPr>
        <w:pStyle w:val="TableHeadingNoTable"/>
        <w:spacing w:after="0"/>
      </w:pPr>
      <w:r w:rsidRPr="003819E1">
        <w:t>Note: Impact of net cash appropriation arrangements</w:t>
      </w:r>
    </w:p>
    <w:p w14:paraId="16BBCD16" w14:textId="1681A4FB" w:rsidR="0026795D" w:rsidRPr="003819E1" w:rsidRDefault="00BC3608" w:rsidP="0026795D">
      <w:pPr>
        <w:pStyle w:val="TableGraphic"/>
        <w:rPr>
          <w:rFonts w:ascii="Arial" w:hAnsi="Arial" w:cs="Arial"/>
        </w:rPr>
      </w:pPr>
      <w:r w:rsidRPr="00BC3608">
        <w:rPr>
          <w:noProof/>
        </w:rPr>
        <w:drawing>
          <wp:inline distT="0" distB="0" distL="0" distR="0" wp14:anchorId="4D723A84" wp14:editId="01257EE4">
            <wp:extent cx="4819650" cy="215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819650" cy="2152650"/>
                    </a:xfrm>
                    <a:prstGeom prst="rect">
                      <a:avLst/>
                    </a:prstGeom>
                    <a:noFill/>
                    <a:ln>
                      <a:noFill/>
                    </a:ln>
                  </pic:spPr>
                </pic:pic>
              </a:graphicData>
            </a:graphic>
          </wp:inline>
        </w:drawing>
      </w:r>
    </w:p>
    <w:p w14:paraId="5CECB7B3" w14:textId="656CB4C4" w:rsidR="00417E86" w:rsidRDefault="00417E86" w:rsidP="00417E86">
      <w:pPr>
        <w:pStyle w:val="ChartandTableFootnoteAlpha"/>
        <w:numPr>
          <w:ilvl w:val="0"/>
          <w:numId w:val="0"/>
        </w:numPr>
        <w:rPr>
          <w:rFonts w:cs="Arial"/>
        </w:rPr>
      </w:pPr>
      <w:r w:rsidRPr="009D54F3">
        <w:rPr>
          <w:rFonts w:cs="Arial"/>
        </w:rPr>
        <w:t>Prepared on Australian Accounting Standards basis</w:t>
      </w:r>
      <w:r>
        <w:rPr>
          <w:rFonts w:cs="Arial"/>
        </w:rPr>
        <w:t>.</w:t>
      </w:r>
    </w:p>
    <w:p w14:paraId="34C5B65B" w14:textId="0502F138" w:rsidR="0026795D" w:rsidRPr="00124728" w:rsidRDefault="0026795D" w:rsidP="00091F80">
      <w:pPr>
        <w:pStyle w:val="ChartandTableFootnoteAlpha"/>
        <w:numPr>
          <w:ilvl w:val="0"/>
          <w:numId w:val="24"/>
        </w:numPr>
        <w:rPr>
          <w:rFonts w:cs="Arial"/>
        </w:rPr>
      </w:pPr>
      <w:r w:rsidRPr="00124728">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FF19A13" w14:textId="77777777" w:rsidR="0026795D" w:rsidRPr="002A0F2E" w:rsidRDefault="0026795D" w:rsidP="00091F80">
      <w:pPr>
        <w:pStyle w:val="ChartandTableFootnoteAlpha"/>
        <w:numPr>
          <w:ilvl w:val="0"/>
          <w:numId w:val="12"/>
        </w:numPr>
      </w:pPr>
      <w:r w:rsidRPr="00D52088">
        <w:t>Applies leases under AASB 16 Leases.</w:t>
      </w:r>
    </w:p>
    <w:p w14:paraId="12B09CA7" w14:textId="6DC55E52" w:rsidR="0026795D" w:rsidRDefault="0026795D" w:rsidP="0026795D">
      <w:pPr>
        <w:pStyle w:val="Source"/>
        <w:rPr>
          <w:rFonts w:cs="Arial"/>
        </w:rPr>
      </w:pPr>
    </w:p>
    <w:p w14:paraId="6FB863F6" w14:textId="77777777" w:rsidR="0026795D" w:rsidRDefault="0026795D" w:rsidP="0026795D">
      <w:pPr>
        <w:pStyle w:val="TableHeading"/>
      </w:pPr>
      <w:r>
        <w:br w:type="page"/>
      </w:r>
      <w:r w:rsidRPr="00E4582E">
        <w:t>Table</w:t>
      </w:r>
      <w:r>
        <w:t xml:space="preserve"> 3.</w:t>
      </w:r>
      <w:r w:rsidRPr="00E4582E">
        <w:t>2: Budg</w:t>
      </w:r>
      <w:r>
        <w:t xml:space="preserve">eted departmental balance sheet </w:t>
      </w:r>
      <w:r w:rsidRPr="00E4582E">
        <w:t>(as at 30 June)</w:t>
      </w:r>
    </w:p>
    <w:p w14:paraId="0FDFC703" w14:textId="3C507509" w:rsidR="0026795D" w:rsidRPr="00F626C2" w:rsidRDefault="008A7E02" w:rsidP="0026795D">
      <w:pPr>
        <w:pStyle w:val="TableGraphic"/>
      </w:pPr>
      <w:r w:rsidRPr="008A7E02">
        <w:rPr>
          <w:noProof/>
        </w:rPr>
        <w:drawing>
          <wp:inline distT="0" distB="0" distL="0" distR="0" wp14:anchorId="2E0AC445" wp14:editId="7DFF0ADB">
            <wp:extent cx="4743450" cy="5724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743450" cy="5724525"/>
                    </a:xfrm>
                    <a:prstGeom prst="rect">
                      <a:avLst/>
                    </a:prstGeom>
                    <a:noFill/>
                    <a:ln>
                      <a:noFill/>
                    </a:ln>
                  </pic:spPr>
                </pic:pic>
              </a:graphicData>
            </a:graphic>
          </wp:inline>
        </w:drawing>
      </w:r>
    </w:p>
    <w:p w14:paraId="115B70EB" w14:textId="77777777" w:rsidR="0026795D" w:rsidRPr="00132F9E" w:rsidRDefault="0026795D" w:rsidP="0026795D">
      <w:pPr>
        <w:pStyle w:val="Source"/>
        <w:rPr>
          <w:rFonts w:cs="Arial"/>
        </w:rPr>
      </w:pPr>
      <w:r w:rsidRPr="00132F9E">
        <w:rPr>
          <w:rFonts w:cs="Arial"/>
        </w:rPr>
        <w:t>Prepared on Australian Accounting Standards basis.</w:t>
      </w:r>
    </w:p>
    <w:p w14:paraId="6517CE36" w14:textId="798043F4" w:rsidR="0026795D" w:rsidRPr="00AD0393" w:rsidRDefault="0026795D" w:rsidP="00AD0393">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5D4EDFF5" w14:textId="77777777" w:rsidR="0026795D" w:rsidRDefault="0026795D" w:rsidP="0026795D">
      <w:pPr>
        <w:pStyle w:val="TableHeading"/>
        <w:rPr>
          <w:rFonts w:ascii="Times New Roman" w:hAnsi="Times New Roman"/>
        </w:rPr>
      </w:pPr>
      <w:r>
        <w:br w:type="page"/>
      </w:r>
      <w:r w:rsidRPr="00AD42E2">
        <w:t>Table 3.3: Departmental statement of changes in equity — summary of</w:t>
      </w:r>
      <w:r>
        <w:t xml:space="preserve"> movement (Budget year </w:t>
      </w:r>
      <w:r>
        <w:rPr>
          <w:lang w:val="en-AU"/>
        </w:rPr>
        <w:t>2022-23</w:t>
      </w:r>
      <w:r w:rsidRPr="00D30CBA">
        <w:t>)</w:t>
      </w: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14:paraId="35F29AE3" w14:textId="35A0711A" w:rsidR="0026795D" w:rsidRDefault="0026795D" w:rsidP="0026795D">
      <w:pPr>
        <w:pStyle w:val="TableGraphic"/>
      </w:pPr>
      <w:r>
        <w:fldChar w:fldCharType="end"/>
      </w:r>
      <w:r w:rsidRPr="002376AD">
        <w:t xml:space="preserve"> </w:t>
      </w:r>
      <w:r w:rsidR="008A7E02" w:rsidRPr="008A7E02">
        <w:rPr>
          <w:noProof/>
        </w:rPr>
        <w:drawing>
          <wp:inline distT="0" distB="0" distL="0" distR="0" wp14:anchorId="6231F7EA" wp14:editId="2B09E4EF">
            <wp:extent cx="4105275" cy="32956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105275" cy="3295650"/>
                    </a:xfrm>
                    <a:prstGeom prst="rect">
                      <a:avLst/>
                    </a:prstGeom>
                    <a:noFill/>
                    <a:ln>
                      <a:noFill/>
                    </a:ln>
                  </pic:spPr>
                </pic:pic>
              </a:graphicData>
            </a:graphic>
          </wp:inline>
        </w:drawing>
      </w:r>
    </w:p>
    <w:p w14:paraId="187851E2" w14:textId="69AC619C" w:rsidR="0026795D" w:rsidRPr="00464EAA" w:rsidRDefault="0026795D" w:rsidP="00464EAA">
      <w:pPr>
        <w:pStyle w:val="TableGraphic"/>
        <w:rPr>
          <w:rFonts w:ascii="Arial" w:hAnsi="Arial" w:cs="Arial"/>
          <w:sz w:val="16"/>
          <w:szCs w:val="16"/>
        </w:rPr>
      </w:pPr>
      <w:r w:rsidRPr="00D606C2">
        <w:rPr>
          <w:rFonts w:ascii="Arial" w:hAnsi="Arial" w:cs="Arial"/>
          <w:sz w:val="16"/>
        </w:rPr>
        <w:t>Prepared on Australian Accounting Standards basis</w:t>
      </w:r>
      <w:r w:rsidR="00464EAA">
        <w:rPr>
          <w:rFonts w:ascii="Arial" w:hAnsi="Arial" w:cs="Arial"/>
          <w:sz w:val="16"/>
        </w:rPr>
        <w:t>.</w:t>
      </w:r>
    </w:p>
    <w:p w14:paraId="5AE9FEBA" w14:textId="77777777" w:rsidR="0026795D" w:rsidRPr="00A00283" w:rsidRDefault="0026795D" w:rsidP="0026795D">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5DDE052D" w14:textId="03486DFD" w:rsidR="0026795D" w:rsidRPr="00F10305" w:rsidRDefault="008A7E02" w:rsidP="0026795D">
      <w:pPr>
        <w:pStyle w:val="TableGraphic"/>
        <w:tabs>
          <w:tab w:val="left" w:pos="6237"/>
        </w:tabs>
      </w:pPr>
      <w:r w:rsidRPr="008A7E02">
        <w:rPr>
          <w:noProof/>
        </w:rPr>
        <w:drawing>
          <wp:inline distT="0" distB="0" distL="0" distR="0" wp14:anchorId="18A54507" wp14:editId="56AE99A0">
            <wp:extent cx="4619625" cy="57626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619625" cy="5762625"/>
                    </a:xfrm>
                    <a:prstGeom prst="rect">
                      <a:avLst/>
                    </a:prstGeom>
                    <a:noFill/>
                    <a:ln>
                      <a:noFill/>
                    </a:ln>
                  </pic:spPr>
                </pic:pic>
              </a:graphicData>
            </a:graphic>
          </wp:inline>
        </w:drawing>
      </w:r>
    </w:p>
    <w:p w14:paraId="088C6045" w14:textId="77777777" w:rsidR="0026795D" w:rsidRPr="00132F9E" w:rsidRDefault="0026795D" w:rsidP="0026795D">
      <w:pPr>
        <w:pStyle w:val="TableGraphic"/>
        <w:rPr>
          <w:rFonts w:ascii="Arial" w:hAnsi="Arial" w:cs="Arial"/>
          <w:sz w:val="16"/>
          <w:szCs w:val="16"/>
        </w:rPr>
      </w:pPr>
      <w:r w:rsidRPr="00132F9E">
        <w:rPr>
          <w:rFonts w:ascii="Arial" w:hAnsi="Arial" w:cs="Arial"/>
          <w:sz w:val="16"/>
          <w:szCs w:val="16"/>
        </w:rPr>
        <w:t>Prepared on Australian Accounting Standards basis.</w:t>
      </w:r>
    </w:p>
    <w:p w14:paraId="0C55D9D6" w14:textId="77777777" w:rsidR="0026795D" w:rsidRPr="00132F9E" w:rsidRDefault="0026795D" w:rsidP="0026795D">
      <w:pPr>
        <w:pStyle w:val="NoSpacing"/>
        <w:rPr>
          <w:rFonts w:ascii="Arial" w:hAnsi="Arial" w:cs="Arial"/>
          <w:sz w:val="16"/>
          <w:szCs w:val="16"/>
        </w:rPr>
      </w:pPr>
    </w:p>
    <w:p w14:paraId="5492A502" w14:textId="77777777" w:rsidR="0026795D" w:rsidRPr="00A00283" w:rsidRDefault="0026795D" w:rsidP="0026795D">
      <w:pPr>
        <w:pStyle w:val="TableHeading"/>
      </w:pPr>
      <w:r>
        <w:br w:type="page"/>
      </w:r>
      <w:r w:rsidRPr="00D30CBA">
        <w:t>Table</w:t>
      </w:r>
      <w:r>
        <w:t xml:space="preserve"> 3.5</w:t>
      </w:r>
      <w:r w:rsidRPr="00D30CBA">
        <w:t xml:space="preserve">: </w:t>
      </w:r>
      <w:r>
        <w:t>Departmental capital budget statement (for the period ended 30 June)</w:t>
      </w:r>
    </w:p>
    <w:p w14:paraId="18D11565" w14:textId="5A54A69A" w:rsidR="0026795D" w:rsidRDefault="008A7E02" w:rsidP="0026795D">
      <w:pPr>
        <w:pStyle w:val="TableGraphic"/>
      </w:pPr>
      <w:r w:rsidRPr="008A7E02">
        <w:rPr>
          <w:noProof/>
        </w:rPr>
        <w:drawing>
          <wp:inline distT="0" distB="0" distL="0" distR="0" wp14:anchorId="554BADCC" wp14:editId="15CFA75F">
            <wp:extent cx="4619625" cy="247650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619625" cy="2476500"/>
                    </a:xfrm>
                    <a:prstGeom prst="rect">
                      <a:avLst/>
                    </a:prstGeom>
                    <a:noFill/>
                    <a:ln>
                      <a:noFill/>
                    </a:ln>
                  </pic:spPr>
                </pic:pic>
              </a:graphicData>
            </a:graphic>
          </wp:inline>
        </w:drawing>
      </w:r>
    </w:p>
    <w:p w14:paraId="282E8B1A" w14:textId="77777777" w:rsidR="0026795D" w:rsidRPr="00132F9E" w:rsidRDefault="0026795D" w:rsidP="0026795D">
      <w:pPr>
        <w:pStyle w:val="TableGraphic"/>
        <w:rPr>
          <w:rFonts w:ascii="Arial" w:hAnsi="Arial" w:cs="Arial"/>
          <w:sz w:val="16"/>
          <w:szCs w:val="16"/>
        </w:rPr>
      </w:pPr>
      <w:r w:rsidRPr="00132F9E">
        <w:rPr>
          <w:rFonts w:ascii="Arial" w:hAnsi="Arial" w:cs="Arial"/>
          <w:sz w:val="16"/>
          <w:szCs w:val="16"/>
        </w:rPr>
        <w:t>Prepared on Australian Accounting Standards basis.</w:t>
      </w:r>
    </w:p>
    <w:p w14:paraId="0589E38E" w14:textId="77777777" w:rsidR="0026795D" w:rsidRPr="008A7E02" w:rsidRDefault="0026795D" w:rsidP="00091F80">
      <w:pPr>
        <w:pStyle w:val="ChartandTableFootnoteAlpha"/>
        <w:numPr>
          <w:ilvl w:val="0"/>
          <w:numId w:val="56"/>
        </w:numPr>
        <w:rPr>
          <w:rFonts w:cs="Arial"/>
          <w:szCs w:val="16"/>
        </w:rPr>
      </w:pPr>
      <w:r w:rsidRPr="008A7E02">
        <w:rPr>
          <w:rFonts w:cs="Arial"/>
          <w:szCs w:val="16"/>
        </w:rPr>
        <w:t>Includes purchases from current and previous years’ Departmental capital budgets (DCBs).</w:t>
      </w:r>
    </w:p>
    <w:p w14:paraId="734FE67A" w14:textId="77777777" w:rsidR="0026795D" w:rsidRDefault="0026795D" w:rsidP="0026795D">
      <w:pPr>
        <w:pStyle w:val="NoSpacing"/>
      </w:pPr>
    </w:p>
    <w:p w14:paraId="5B49C4B0" w14:textId="77777777" w:rsidR="0026795D" w:rsidRDefault="0026795D" w:rsidP="0026795D">
      <w:pPr>
        <w:spacing w:after="0" w:line="240" w:lineRule="auto"/>
        <w:jc w:val="left"/>
      </w:pPr>
      <w:r>
        <w:br w:type="page"/>
      </w:r>
    </w:p>
    <w:p w14:paraId="380B8335" w14:textId="77777777" w:rsidR="0026795D" w:rsidRDefault="0026795D" w:rsidP="0026795D">
      <w:pPr>
        <w:pStyle w:val="TableHeading"/>
      </w:pPr>
      <w:r w:rsidRPr="00B31EE8">
        <w:t>Table 3.6: Statement of departmental asset movements (Budget year 2022-23</w:t>
      </w:r>
      <w:r>
        <w:t>)</w:t>
      </w:r>
    </w:p>
    <w:p w14:paraId="5A70727A" w14:textId="054A9760" w:rsidR="0026795D" w:rsidRPr="008A7E02" w:rsidRDefault="008A7E02" w:rsidP="00AD0393">
      <w:pPr>
        <w:pStyle w:val="TableGraphic"/>
        <w:rPr>
          <w:color w:val="000000" w:themeColor="text1"/>
          <w:lang w:eastAsia="x-none"/>
        </w:rPr>
      </w:pPr>
      <w:r w:rsidRPr="008A7E02">
        <w:rPr>
          <w:noProof/>
        </w:rPr>
        <w:drawing>
          <wp:inline distT="0" distB="0" distL="0" distR="0" wp14:anchorId="59E4463C" wp14:editId="4726A605">
            <wp:extent cx="4248150" cy="44862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248150" cy="4486275"/>
                    </a:xfrm>
                    <a:prstGeom prst="rect">
                      <a:avLst/>
                    </a:prstGeom>
                    <a:noFill/>
                    <a:ln>
                      <a:noFill/>
                    </a:ln>
                  </pic:spPr>
                </pic:pic>
              </a:graphicData>
            </a:graphic>
          </wp:inline>
        </w:drawing>
      </w:r>
      <w:r w:rsidRPr="008A7E02">
        <w:t xml:space="preserve"> </w:t>
      </w:r>
    </w:p>
    <w:p w14:paraId="0BB41CDB" w14:textId="77777777" w:rsidR="0026795D" w:rsidRPr="002E5D24" w:rsidRDefault="0026795D" w:rsidP="0026795D">
      <w:pPr>
        <w:pStyle w:val="ChartandTableFootnote"/>
      </w:pPr>
      <w:r w:rsidRPr="00132F9E">
        <w:t>Prepared on Australian Accounting Standards basis.</w:t>
      </w:r>
    </w:p>
    <w:p w14:paraId="4CD270C1" w14:textId="3C4E03B9" w:rsidR="0026795D" w:rsidRPr="008A7E02" w:rsidRDefault="0026795D" w:rsidP="00091F80">
      <w:pPr>
        <w:pStyle w:val="ChartandTableFootnoteAlpha"/>
        <w:numPr>
          <w:ilvl w:val="0"/>
          <w:numId w:val="57"/>
        </w:numPr>
        <w:rPr>
          <w:rFonts w:cs="Arial"/>
          <w:szCs w:val="16"/>
        </w:rPr>
      </w:pPr>
      <w:r w:rsidRPr="008A7E02">
        <w:rPr>
          <w:rFonts w:cs="Arial"/>
          <w:szCs w:val="16"/>
        </w:rPr>
        <w:t xml:space="preserve">‘Appropriation ordinary annual services’ refers to funding provided through Appropriation Bill (No. 1) </w:t>
      </w:r>
      <w:r w:rsidR="008A7E02" w:rsidRPr="008A7E02">
        <w:rPr>
          <w:rFonts w:cs="Arial"/>
          <w:szCs w:val="16"/>
        </w:rPr>
        <w:br/>
      </w:r>
      <w:r w:rsidRPr="008A7E02">
        <w:rPr>
          <w:rFonts w:cs="Arial"/>
          <w:szCs w:val="16"/>
        </w:rPr>
        <w:t>2022-23 for depreciation/amortisation expenses, DCBs or other operational expenses.</w:t>
      </w:r>
    </w:p>
    <w:p w14:paraId="6D0CA636" w14:textId="77777777" w:rsidR="0026795D" w:rsidRDefault="0026795D" w:rsidP="0026795D">
      <w:pPr>
        <w:pStyle w:val="NoSpacing"/>
      </w:pPr>
    </w:p>
    <w:p w14:paraId="19515EDB" w14:textId="77777777" w:rsidR="0026795D" w:rsidRDefault="0026795D" w:rsidP="0026795D">
      <w:pPr>
        <w:pStyle w:val="ExampleText0"/>
        <w:sectPr w:rsidR="0026795D" w:rsidSect="00503FD8">
          <w:headerReference w:type="even" r:id="rId147"/>
          <w:headerReference w:type="default" r:id="rId148"/>
          <w:footerReference w:type="default" r:id="rId149"/>
          <w:headerReference w:type="first" r:id="rId150"/>
          <w:pgSz w:w="11906" w:h="16838" w:code="9"/>
          <w:pgMar w:top="2835" w:right="2098" w:bottom="2466" w:left="2098" w:header="1814" w:footer="1814" w:gutter="0"/>
          <w:cols w:space="708"/>
          <w:titlePg/>
          <w:docGrid w:linePitch="360"/>
        </w:sectPr>
      </w:pPr>
    </w:p>
    <w:p w14:paraId="61B0A723" w14:textId="77777777" w:rsidR="0026795D" w:rsidRDefault="0026795D" w:rsidP="0026795D">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7D2A503B" w14:textId="7CF919BA" w:rsidR="0026795D" w:rsidRPr="00933A7D" w:rsidRDefault="008A7E02" w:rsidP="0026795D">
      <w:pPr>
        <w:pStyle w:val="TableGraphic"/>
        <w:rPr>
          <w:rFonts w:ascii="Arial" w:hAnsi="Arial" w:cs="Arial"/>
          <w:sz w:val="16"/>
          <w:szCs w:val="16"/>
        </w:rPr>
      </w:pPr>
      <w:r w:rsidRPr="008A7E02">
        <w:rPr>
          <w:noProof/>
        </w:rPr>
        <w:drawing>
          <wp:inline distT="0" distB="0" distL="0" distR="0" wp14:anchorId="3483158C" wp14:editId="6A634273">
            <wp:extent cx="4619625" cy="318135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619625" cy="3181350"/>
                    </a:xfrm>
                    <a:prstGeom prst="rect">
                      <a:avLst/>
                    </a:prstGeom>
                    <a:noFill/>
                    <a:ln>
                      <a:noFill/>
                    </a:ln>
                  </pic:spPr>
                </pic:pic>
              </a:graphicData>
            </a:graphic>
          </wp:inline>
        </w:drawing>
      </w:r>
    </w:p>
    <w:p w14:paraId="5B54D0DB" w14:textId="77777777" w:rsidR="0026795D" w:rsidRPr="00933A7D" w:rsidRDefault="0026795D" w:rsidP="0026795D">
      <w:pPr>
        <w:pStyle w:val="Source"/>
      </w:pPr>
      <w:r w:rsidRPr="00E4582E">
        <w:t>Prepared on Australian Accounting Standards basis</w:t>
      </w:r>
      <w:r>
        <w:t>.</w:t>
      </w:r>
    </w:p>
    <w:p w14:paraId="4883E3F7" w14:textId="77777777" w:rsidR="0026795D" w:rsidRPr="00FD522D" w:rsidRDefault="0026795D" w:rsidP="0026795D"/>
    <w:p w14:paraId="06CD460A" w14:textId="77777777" w:rsidR="0026795D" w:rsidRDefault="0026795D" w:rsidP="0026795D">
      <w:pPr>
        <w:pStyle w:val="TableHeading"/>
      </w:pPr>
      <w:r>
        <w:br w:type="page"/>
      </w: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0C048FCE" w14:textId="145C61BE" w:rsidR="0026795D" w:rsidRPr="009763C1" w:rsidRDefault="008A7E02" w:rsidP="0026795D">
      <w:pPr>
        <w:pStyle w:val="TableGraphic"/>
        <w:rPr>
          <w:lang w:val="x-none" w:eastAsia="x-none"/>
        </w:rPr>
      </w:pPr>
      <w:r w:rsidRPr="008A7E02">
        <w:rPr>
          <w:noProof/>
        </w:rPr>
        <w:drawing>
          <wp:inline distT="0" distB="0" distL="0" distR="0" wp14:anchorId="67C34A11" wp14:editId="771C5100">
            <wp:extent cx="4629150" cy="3724275"/>
            <wp:effectExtent l="0" t="0" r="0"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629150" cy="3724275"/>
                    </a:xfrm>
                    <a:prstGeom prst="rect">
                      <a:avLst/>
                    </a:prstGeom>
                    <a:noFill/>
                    <a:ln>
                      <a:noFill/>
                    </a:ln>
                  </pic:spPr>
                </pic:pic>
              </a:graphicData>
            </a:graphic>
          </wp:inline>
        </w:drawing>
      </w:r>
    </w:p>
    <w:p w14:paraId="234BC465" w14:textId="77777777" w:rsidR="0026795D" w:rsidRPr="00B7521F" w:rsidRDefault="0026795D" w:rsidP="0026795D">
      <w:pPr>
        <w:pStyle w:val="ChartandTableFootnote"/>
      </w:pPr>
      <w:r w:rsidRPr="00B7521F">
        <w:t>Prepared on Australian Accounting Standards basis.</w:t>
      </w:r>
    </w:p>
    <w:p w14:paraId="2CBA2C69" w14:textId="77777777" w:rsidR="0026795D" w:rsidRPr="00B7521F" w:rsidRDefault="0026795D" w:rsidP="0026795D">
      <w:pPr>
        <w:pStyle w:val="SingleParagraph"/>
        <w:spacing w:line="240" w:lineRule="auto"/>
        <w:rPr>
          <w:rFonts w:ascii="Arial" w:hAnsi="Arial" w:cs="Arial"/>
          <w:sz w:val="16"/>
          <w:szCs w:val="16"/>
        </w:rPr>
      </w:pPr>
    </w:p>
    <w:p w14:paraId="7D468A30" w14:textId="77777777" w:rsidR="0026795D" w:rsidRDefault="0026795D" w:rsidP="0026795D">
      <w:pPr>
        <w:pStyle w:val="TableHeading"/>
      </w:pPr>
      <w:r>
        <w:br w:type="page"/>
        <w:t xml:space="preserve">Table 3.9: </w:t>
      </w:r>
      <w:r w:rsidRPr="00C41D55">
        <w:t xml:space="preserve">Schedule of </w:t>
      </w:r>
      <w:r>
        <w:t xml:space="preserve">budgeted administered cash flows </w:t>
      </w:r>
      <w:r w:rsidRPr="00C41D55">
        <w:t>(for</w:t>
      </w:r>
      <w:r>
        <w:t> the </w:t>
      </w:r>
      <w:r w:rsidRPr="00C41D55">
        <w:t>period ended 30 June)</w:t>
      </w:r>
    </w:p>
    <w:p w14:paraId="16304FAC" w14:textId="084AAC19" w:rsidR="0026795D" w:rsidRPr="0044552A" w:rsidRDefault="008A7E02" w:rsidP="0026795D">
      <w:pPr>
        <w:pStyle w:val="TableGraphic"/>
      </w:pPr>
      <w:r w:rsidRPr="008A7E02">
        <w:rPr>
          <w:noProof/>
        </w:rPr>
        <w:drawing>
          <wp:inline distT="0" distB="0" distL="0" distR="0" wp14:anchorId="76E78360" wp14:editId="2C81BD5F">
            <wp:extent cx="4629150" cy="3724275"/>
            <wp:effectExtent l="0" t="0" r="0"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629150" cy="3724275"/>
                    </a:xfrm>
                    <a:prstGeom prst="rect">
                      <a:avLst/>
                    </a:prstGeom>
                    <a:noFill/>
                    <a:ln>
                      <a:noFill/>
                    </a:ln>
                  </pic:spPr>
                </pic:pic>
              </a:graphicData>
            </a:graphic>
          </wp:inline>
        </w:drawing>
      </w:r>
    </w:p>
    <w:p w14:paraId="7D3B9D6F" w14:textId="77777777" w:rsidR="0026795D" w:rsidRDefault="0026795D" w:rsidP="0026795D">
      <w:pPr>
        <w:pStyle w:val="ChartandTableFootnote"/>
      </w:pPr>
      <w:r>
        <w:t>Prepared on Australian Accounting Standards basis.</w:t>
      </w:r>
    </w:p>
    <w:p w14:paraId="79D2F310" w14:textId="2DE9229E" w:rsidR="0026795D" w:rsidRPr="005C474C" w:rsidRDefault="0026795D" w:rsidP="00A44E14">
      <w:pPr>
        <w:pStyle w:val="TableHeading"/>
      </w:pPr>
    </w:p>
    <w:p w14:paraId="2CC3B303" w14:textId="77777777" w:rsidR="0026795D" w:rsidRPr="005C474C" w:rsidRDefault="0026795D" w:rsidP="0026795D">
      <w:pPr>
        <w:rPr>
          <w:lang w:val="x-none"/>
        </w:rPr>
      </w:pPr>
    </w:p>
    <w:p w14:paraId="6AB739DA" w14:textId="77777777" w:rsidR="0026795D" w:rsidRPr="005B6A94" w:rsidRDefault="0026795D" w:rsidP="0026795D">
      <w:pPr>
        <w:pStyle w:val="ExampleText0"/>
        <w:rPr>
          <w:i w:val="0"/>
        </w:rPr>
        <w:sectPr w:rsidR="0026795D" w:rsidRPr="005B6A94" w:rsidSect="00503FD8">
          <w:headerReference w:type="even" r:id="rId154"/>
          <w:headerReference w:type="default" r:id="rId155"/>
          <w:footerReference w:type="even" r:id="rId156"/>
          <w:footerReference w:type="default" r:id="rId157"/>
          <w:headerReference w:type="first" r:id="rId158"/>
          <w:footerReference w:type="first" r:id="rId159"/>
          <w:pgSz w:w="11906" w:h="16838" w:code="9"/>
          <w:pgMar w:top="2835" w:right="2098" w:bottom="2466" w:left="2098" w:header="1814" w:footer="1814" w:gutter="0"/>
          <w:cols w:space="708"/>
          <w:titlePg/>
          <w:docGrid w:linePitch="360"/>
        </w:sectPr>
      </w:pPr>
    </w:p>
    <w:p w14:paraId="624E6D43" w14:textId="365DD66A" w:rsidR="0026795D" w:rsidRPr="005A7C0B" w:rsidRDefault="00C45203" w:rsidP="0026795D">
      <w:pPr>
        <w:pStyle w:val="PartHeading"/>
      </w:pPr>
      <w:r>
        <w:t>Australian Secret Intelligence Service (ASIS)</w:t>
      </w:r>
    </w:p>
    <w:p w14:paraId="75C28318" w14:textId="77777777" w:rsidR="0026795D" w:rsidRDefault="0026795D" w:rsidP="0026795D">
      <w:pPr>
        <w:pStyle w:val="PartHeading"/>
      </w:pPr>
    </w:p>
    <w:p w14:paraId="422C352B" w14:textId="77777777" w:rsidR="0026795D" w:rsidRDefault="0026795D" w:rsidP="0026795D">
      <w:pPr>
        <w:pStyle w:val="PartHeading"/>
      </w:pPr>
    </w:p>
    <w:p w14:paraId="3500796E" w14:textId="77777777" w:rsidR="0026795D" w:rsidRDefault="0026795D" w:rsidP="0026795D">
      <w:pPr>
        <w:pStyle w:val="PartHeading-TOC"/>
      </w:pPr>
      <w:bookmarkStart w:id="298" w:name="_Toc95215535"/>
      <w:bookmarkStart w:id="299" w:name="_Toc95217545"/>
      <w:r>
        <w:t>Entity resources and planned performance</w:t>
      </w:r>
      <w:bookmarkEnd w:id="298"/>
      <w:bookmarkEnd w:id="299"/>
    </w:p>
    <w:p w14:paraId="6E3F3D63" w14:textId="77777777" w:rsidR="0026795D" w:rsidRDefault="0026795D" w:rsidP="0026795D">
      <w:pPr>
        <w:pStyle w:val="PartHeading"/>
        <w:sectPr w:rsidR="0026795D" w:rsidSect="00782467">
          <w:footerReference w:type="first" r:id="rId160"/>
          <w:type w:val="oddPage"/>
          <w:pgSz w:w="11906" w:h="16838" w:code="9"/>
          <w:pgMar w:top="2835" w:right="2098" w:bottom="2466" w:left="2098" w:header="1814" w:footer="1814" w:gutter="0"/>
          <w:cols w:space="708"/>
          <w:vAlign w:val="center"/>
          <w:titlePg/>
          <w:docGrid w:linePitch="360"/>
        </w:sectPr>
      </w:pPr>
    </w:p>
    <w:p w14:paraId="0B22E34C" w14:textId="54F81B52" w:rsidR="0026795D" w:rsidRPr="002A32FD" w:rsidRDefault="00C45203" w:rsidP="0026795D">
      <w:pPr>
        <w:pStyle w:val="ContentsHeading"/>
      </w:pPr>
      <w:r>
        <w:t>Australian Secret Intelligence Service</w:t>
      </w:r>
    </w:p>
    <w:p w14:paraId="4BA55555" w14:textId="04757F42" w:rsidR="008B7A33" w:rsidRDefault="0026795D">
      <w:pPr>
        <w:pStyle w:val="TOC1"/>
        <w:rPr>
          <w:rFonts w:asciiTheme="minorHAnsi" w:eastAsiaTheme="minorEastAsia" w:hAnsiTheme="minorHAnsi" w:cstheme="minorBidi"/>
          <w:b w:val="0"/>
          <w:caps w:val="0"/>
          <w:noProof/>
          <w:sz w:val="22"/>
          <w:szCs w:val="22"/>
          <w:lang w:eastAsia="ja-JP"/>
        </w:rPr>
      </w:pPr>
      <w:r>
        <w:fldChar w:fldCharType="begin"/>
      </w:r>
      <w:r>
        <w:instrText xml:space="preserve"> TOC \h \z \t "Heading 2,1,Heading 3,2" </w:instrText>
      </w:r>
      <w:r>
        <w:fldChar w:fldCharType="separate"/>
      </w:r>
      <w:hyperlink w:anchor="_Toc99111660" w:history="1">
        <w:r w:rsidR="008B7A33" w:rsidRPr="00E21A33">
          <w:rPr>
            <w:rStyle w:val="Hyperlink"/>
            <w:noProof/>
          </w:rPr>
          <w:t>Section 1: Entity overview and resources</w:t>
        </w:r>
        <w:r w:rsidR="008B7A33">
          <w:rPr>
            <w:noProof/>
            <w:webHidden/>
          </w:rPr>
          <w:tab/>
        </w:r>
        <w:r w:rsidR="008B7A33">
          <w:rPr>
            <w:noProof/>
            <w:webHidden/>
          </w:rPr>
          <w:fldChar w:fldCharType="begin"/>
        </w:r>
        <w:r w:rsidR="008B7A33">
          <w:rPr>
            <w:noProof/>
            <w:webHidden/>
          </w:rPr>
          <w:instrText xml:space="preserve"> PAGEREF _Toc99111660 \h </w:instrText>
        </w:r>
        <w:r w:rsidR="008B7A33">
          <w:rPr>
            <w:noProof/>
            <w:webHidden/>
          </w:rPr>
        </w:r>
        <w:r w:rsidR="008B7A33">
          <w:rPr>
            <w:noProof/>
            <w:webHidden/>
          </w:rPr>
          <w:fldChar w:fldCharType="separate"/>
        </w:r>
        <w:r w:rsidR="00400ED5">
          <w:rPr>
            <w:noProof/>
            <w:webHidden/>
          </w:rPr>
          <w:t>133</w:t>
        </w:r>
        <w:r w:rsidR="008B7A33">
          <w:rPr>
            <w:noProof/>
            <w:webHidden/>
          </w:rPr>
          <w:fldChar w:fldCharType="end"/>
        </w:r>
      </w:hyperlink>
    </w:p>
    <w:p w14:paraId="20C782F6" w14:textId="4CCC454B" w:rsidR="008B7A33" w:rsidRDefault="000F6D08">
      <w:pPr>
        <w:pStyle w:val="TOC2"/>
        <w:tabs>
          <w:tab w:val="left" w:pos="800"/>
        </w:tabs>
        <w:rPr>
          <w:rFonts w:asciiTheme="minorHAnsi" w:eastAsiaTheme="minorEastAsia" w:hAnsiTheme="minorHAnsi" w:cstheme="minorBidi"/>
          <w:noProof/>
          <w:sz w:val="22"/>
          <w:szCs w:val="22"/>
          <w:lang w:eastAsia="ja-JP"/>
        </w:rPr>
      </w:pPr>
      <w:hyperlink w:anchor="_Toc99111661" w:history="1">
        <w:r w:rsidR="008B7A33" w:rsidRPr="00E21A33">
          <w:rPr>
            <w:rStyle w:val="Hyperlink"/>
            <w:noProof/>
          </w:rPr>
          <w:t>1.1</w:t>
        </w:r>
        <w:r w:rsidR="008B7A33">
          <w:rPr>
            <w:rFonts w:asciiTheme="minorHAnsi" w:eastAsiaTheme="minorEastAsia" w:hAnsiTheme="minorHAnsi" w:cstheme="minorBidi"/>
            <w:noProof/>
            <w:sz w:val="22"/>
            <w:szCs w:val="22"/>
            <w:lang w:eastAsia="ja-JP"/>
          </w:rPr>
          <w:tab/>
        </w:r>
        <w:r w:rsidR="008B7A33" w:rsidRPr="00E21A33">
          <w:rPr>
            <w:rStyle w:val="Hyperlink"/>
            <w:noProof/>
          </w:rPr>
          <w:t>Strategic direction statement</w:t>
        </w:r>
        <w:r w:rsidR="008B7A33">
          <w:rPr>
            <w:noProof/>
            <w:webHidden/>
          </w:rPr>
          <w:tab/>
        </w:r>
        <w:r w:rsidR="008B7A33">
          <w:rPr>
            <w:noProof/>
            <w:webHidden/>
          </w:rPr>
          <w:fldChar w:fldCharType="begin"/>
        </w:r>
        <w:r w:rsidR="008B7A33">
          <w:rPr>
            <w:noProof/>
            <w:webHidden/>
          </w:rPr>
          <w:instrText xml:space="preserve"> PAGEREF _Toc99111661 \h </w:instrText>
        </w:r>
        <w:r w:rsidR="008B7A33">
          <w:rPr>
            <w:noProof/>
            <w:webHidden/>
          </w:rPr>
        </w:r>
        <w:r w:rsidR="008B7A33">
          <w:rPr>
            <w:noProof/>
            <w:webHidden/>
          </w:rPr>
          <w:fldChar w:fldCharType="separate"/>
        </w:r>
        <w:r w:rsidR="00400ED5">
          <w:rPr>
            <w:noProof/>
            <w:webHidden/>
          </w:rPr>
          <w:t>133</w:t>
        </w:r>
        <w:r w:rsidR="008B7A33">
          <w:rPr>
            <w:noProof/>
            <w:webHidden/>
          </w:rPr>
          <w:fldChar w:fldCharType="end"/>
        </w:r>
      </w:hyperlink>
    </w:p>
    <w:p w14:paraId="20F7CC1E" w14:textId="1FC3C0AE" w:rsidR="008B7A33" w:rsidRDefault="000F6D08">
      <w:pPr>
        <w:pStyle w:val="TOC2"/>
        <w:tabs>
          <w:tab w:val="left" w:pos="800"/>
        </w:tabs>
        <w:rPr>
          <w:rFonts w:asciiTheme="minorHAnsi" w:eastAsiaTheme="minorEastAsia" w:hAnsiTheme="minorHAnsi" w:cstheme="minorBidi"/>
          <w:noProof/>
          <w:sz w:val="22"/>
          <w:szCs w:val="22"/>
          <w:lang w:eastAsia="ja-JP"/>
        </w:rPr>
      </w:pPr>
      <w:hyperlink w:anchor="_Toc99111662" w:history="1">
        <w:r w:rsidR="008B7A33" w:rsidRPr="00E21A33">
          <w:rPr>
            <w:rStyle w:val="Hyperlink"/>
            <w:noProof/>
          </w:rPr>
          <w:t>1.2</w:t>
        </w:r>
        <w:r w:rsidR="008B7A33">
          <w:rPr>
            <w:rFonts w:asciiTheme="minorHAnsi" w:eastAsiaTheme="minorEastAsia" w:hAnsiTheme="minorHAnsi" w:cstheme="minorBidi"/>
            <w:noProof/>
            <w:sz w:val="22"/>
            <w:szCs w:val="22"/>
            <w:lang w:eastAsia="ja-JP"/>
          </w:rPr>
          <w:tab/>
        </w:r>
        <w:r w:rsidR="008B7A33" w:rsidRPr="00E21A33">
          <w:rPr>
            <w:rStyle w:val="Hyperlink"/>
            <w:noProof/>
          </w:rPr>
          <w:t>Entity resource statement</w:t>
        </w:r>
        <w:r w:rsidR="008B7A33">
          <w:rPr>
            <w:noProof/>
            <w:webHidden/>
          </w:rPr>
          <w:tab/>
        </w:r>
        <w:r w:rsidR="008B7A33">
          <w:rPr>
            <w:noProof/>
            <w:webHidden/>
          </w:rPr>
          <w:fldChar w:fldCharType="begin"/>
        </w:r>
        <w:r w:rsidR="008B7A33">
          <w:rPr>
            <w:noProof/>
            <w:webHidden/>
          </w:rPr>
          <w:instrText xml:space="preserve"> PAGEREF _Toc99111662 \h </w:instrText>
        </w:r>
        <w:r w:rsidR="008B7A33">
          <w:rPr>
            <w:noProof/>
            <w:webHidden/>
          </w:rPr>
        </w:r>
        <w:r w:rsidR="008B7A33">
          <w:rPr>
            <w:noProof/>
            <w:webHidden/>
          </w:rPr>
          <w:fldChar w:fldCharType="separate"/>
        </w:r>
        <w:r w:rsidR="00400ED5">
          <w:rPr>
            <w:noProof/>
            <w:webHidden/>
          </w:rPr>
          <w:t>134</w:t>
        </w:r>
        <w:r w:rsidR="008B7A33">
          <w:rPr>
            <w:noProof/>
            <w:webHidden/>
          </w:rPr>
          <w:fldChar w:fldCharType="end"/>
        </w:r>
      </w:hyperlink>
    </w:p>
    <w:p w14:paraId="5D5E6FF1" w14:textId="7099CE05" w:rsidR="008B7A33" w:rsidRDefault="000F6D08">
      <w:pPr>
        <w:pStyle w:val="TOC1"/>
        <w:rPr>
          <w:rFonts w:asciiTheme="minorHAnsi" w:eastAsiaTheme="minorEastAsia" w:hAnsiTheme="minorHAnsi" w:cstheme="minorBidi"/>
          <w:b w:val="0"/>
          <w:caps w:val="0"/>
          <w:noProof/>
          <w:sz w:val="22"/>
          <w:szCs w:val="22"/>
          <w:lang w:eastAsia="ja-JP"/>
        </w:rPr>
      </w:pPr>
      <w:hyperlink w:anchor="_Toc99111663" w:history="1">
        <w:r w:rsidR="008B7A33" w:rsidRPr="00E21A33">
          <w:rPr>
            <w:rStyle w:val="Hyperlink"/>
            <w:noProof/>
          </w:rPr>
          <w:t>Section 2: Outcomes and planned performance</w:t>
        </w:r>
        <w:r w:rsidR="008B7A33">
          <w:rPr>
            <w:noProof/>
            <w:webHidden/>
          </w:rPr>
          <w:tab/>
        </w:r>
        <w:r w:rsidR="008B7A33">
          <w:rPr>
            <w:noProof/>
            <w:webHidden/>
          </w:rPr>
          <w:fldChar w:fldCharType="begin"/>
        </w:r>
        <w:r w:rsidR="008B7A33">
          <w:rPr>
            <w:noProof/>
            <w:webHidden/>
          </w:rPr>
          <w:instrText xml:space="preserve"> PAGEREF _Toc99111663 \h </w:instrText>
        </w:r>
        <w:r w:rsidR="008B7A33">
          <w:rPr>
            <w:noProof/>
            <w:webHidden/>
          </w:rPr>
        </w:r>
        <w:r w:rsidR="008B7A33">
          <w:rPr>
            <w:noProof/>
            <w:webHidden/>
          </w:rPr>
          <w:fldChar w:fldCharType="separate"/>
        </w:r>
        <w:r w:rsidR="00400ED5">
          <w:rPr>
            <w:noProof/>
            <w:webHidden/>
          </w:rPr>
          <w:t>136</w:t>
        </w:r>
        <w:r w:rsidR="008B7A33">
          <w:rPr>
            <w:noProof/>
            <w:webHidden/>
          </w:rPr>
          <w:fldChar w:fldCharType="end"/>
        </w:r>
      </w:hyperlink>
    </w:p>
    <w:p w14:paraId="0AF9509D" w14:textId="1DD2F8B1" w:rsidR="008B7A33" w:rsidRDefault="000F6D08">
      <w:pPr>
        <w:pStyle w:val="TOC2"/>
        <w:tabs>
          <w:tab w:val="left" w:pos="800"/>
        </w:tabs>
        <w:rPr>
          <w:rFonts w:asciiTheme="minorHAnsi" w:eastAsiaTheme="minorEastAsia" w:hAnsiTheme="minorHAnsi" w:cstheme="minorBidi"/>
          <w:noProof/>
          <w:sz w:val="22"/>
          <w:szCs w:val="22"/>
          <w:lang w:eastAsia="ja-JP"/>
        </w:rPr>
      </w:pPr>
      <w:hyperlink w:anchor="_Toc99111664" w:history="1">
        <w:r w:rsidR="008B7A33" w:rsidRPr="00E21A33">
          <w:rPr>
            <w:rStyle w:val="Hyperlink"/>
            <w:noProof/>
          </w:rPr>
          <w:t xml:space="preserve">2.1 </w:t>
        </w:r>
        <w:r w:rsidR="008B7A33">
          <w:rPr>
            <w:rFonts w:asciiTheme="minorHAnsi" w:eastAsiaTheme="minorEastAsia" w:hAnsiTheme="minorHAnsi" w:cstheme="minorBidi"/>
            <w:noProof/>
            <w:sz w:val="22"/>
            <w:szCs w:val="22"/>
            <w:lang w:eastAsia="ja-JP"/>
          </w:rPr>
          <w:tab/>
        </w:r>
        <w:r w:rsidR="008B7A33" w:rsidRPr="00E21A33">
          <w:rPr>
            <w:rStyle w:val="Hyperlink"/>
            <w:noProof/>
          </w:rPr>
          <w:t>Budgeted expenses and performance for Outcome 1</w:t>
        </w:r>
        <w:r w:rsidR="008B7A33">
          <w:rPr>
            <w:noProof/>
            <w:webHidden/>
          </w:rPr>
          <w:tab/>
        </w:r>
        <w:r w:rsidR="008B7A33">
          <w:rPr>
            <w:noProof/>
            <w:webHidden/>
          </w:rPr>
          <w:fldChar w:fldCharType="begin"/>
        </w:r>
        <w:r w:rsidR="008B7A33">
          <w:rPr>
            <w:noProof/>
            <w:webHidden/>
          </w:rPr>
          <w:instrText xml:space="preserve"> PAGEREF _Toc99111664 \h </w:instrText>
        </w:r>
        <w:r w:rsidR="008B7A33">
          <w:rPr>
            <w:noProof/>
            <w:webHidden/>
          </w:rPr>
        </w:r>
        <w:r w:rsidR="008B7A33">
          <w:rPr>
            <w:noProof/>
            <w:webHidden/>
          </w:rPr>
          <w:fldChar w:fldCharType="separate"/>
        </w:r>
        <w:r w:rsidR="00400ED5">
          <w:rPr>
            <w:noProof/>
            <w:webHidden/>
          </w:rPr>
          <w:t>137</w:t>
        </w:r>
        <w:r w:rsidR="008B7A33">
          <w:rPr>
            <w:noProof/>
            <w:webHidden/>
          </w:rPr>
          <w:fldChar w:fldCharType="end"/>
        </w:r>
      </w:hyperlink>
    </w:p>
    <w:p w14:paraId="19964545" w14:textId="0082DB1D" w:rsidR="008B7A33" w:rsidRDefault="000F6D08">
      <w:pPr>
        <w:pStyle w:val="TOC1"/>
        <w:rPr>
          <w:rFonts w:asciiTheme="minorHAnsi" w:eastAsiaTheme="minorEastAsia" w:hAnsiTheme="minorHAnsi" w:cstheme="minorBidi"/>
          <w:b w:val="0"/>
          <w:caps w:val="0"/>
          <w:noProof/>
          <w:sz w:val="22"/>
          <w:szCs w:val="22"/>
          <w:lang w:eastAsia="ja-JP"/>
        </w:rPr>
      </w:pPr>
      <w:hyperlink w:anchor="_Toc99111665" w:history="1">
        <w:r w:rsidR="008B7A33" w:rsidRPr="00E21A33">
          <w:rPr>
            <w:rStyle w:val="Hyperlink"/>
            <w:noProof/>
          </w:rPr>
          <w:t>Section 3: Budgeted financial statements</w:t>
        </w:r>
        <w:r w:rsidR="008B7A33">
          <w:rPr>
            <w:noProof/>
            <w:webHidden/>
          </w:rPr>
          <w:tab/>
        </w:r>
        <w:r w:rsidR="008B7A33">
          <w:rPr>
            <w:noProof/>
            <w:webHidden/>
          </w:rPr>
          <w:fldChar w:fldCharType="begin"/>
        </w:r>
        <w:r w:rsidR="008B7A33">
          <w:rPr>
            <w:noProof/>
            <w:webHidden/>
          </w:rPr>
          <w:instrText xml:space="preserve"> PAGEREF _Toc99111665 \h </w:instrText>
        </w:r>
        <w:r w:rsidR="008B7A33">
          <w:rPr>
            <w:noProof/>
            <w:webHidden/>
          </w:rPr>
        </w:r>
        <w:r w:rsidR="008B7A33">
          <w:rPr>
            <w:noProof/>
            <w:webHidden/>
          </w:rPr>
          <w:fldChar w:fldCharType="separate"/>
        </w:r>
        <w:r w:rsidR="00400ED5">
          <w:rPr>
            <w:noProof/>
            <w:webHidden/>
          </w:rPr>
          <w:t>139</w:t>
        </w:r>
        <w:r w:rsidR="008B7A33">
          <w:rPr>
            <w:noProof/>
            <w:webHidden/>
          </w:rPr>
          <w:fldChar w:fldCharType="end"/>
        </w:r>
      </w:hyperlink>
    </w:p>
    <w:p w14:paraId="34EC1E51" w14:textId="5E7F3EC1" w:rsidR="008B7A33" w:rsidRDefault="000F6D08">
      <w:pPr>
        <w:pStyle w:val="TOC2"/>
        <w:tabs>
          <w:tab w:val="left" w:pos="800"/>
        </w:tabs>
        <w:rPr>
          <w:rFonts w:asciiTheme="minorHAnsi" w:eastAsiaTheme="minorEastAsia" w:hAnsiTheme="minorHAnsi" w:cstheme="minorBidi"/>
          <w:noProof/>
          <w:sz w:val="22"/>
          <w:szCs w:val="22"/>
          <w:lang w:eastAsia="ja-JP"/>
        </w:rPr>
      </w:pPr>
      <w:hyperlink w:anchor="_Toc99111666" w:history="1">
        <w:r w:rsidR="008B7A33" w:rsidRPr="00E21A33">
          <w:rPr>
            <w:rStyle w:val="Hyperlink"/>
            <w:noProof/>
          </w:rPr>
          <w:t>3.1</w:t>
        </w:r>
        <w:r w:rsidR="008B7A33">
          <w:rPr>
            <w:rFonts w:asciiTheme="minorHAnsi" w:eastAsiaTheme="minorEastAsia" w:hAnsiTheme="minorHAnsi" w:cstheme="minorBidi"/>
            <w:noProof/>
            <w:sz w:val="22"/>
            <w:szCs w:val="22"/>
            <w:lang w:eastAsia="ja-JP"/>
          </w:rPr>
          <w:tab/>
        </w:r>
        <w:r w:rsidR="008B7A33" w:rsidRPr="00E21A33">
          <w:rPr>
            <w:rStyle w:val="Hyperlink"/>
            <w:noProof/>
          </w:rPr>
          <w:t>Budgeted financial statements</w:t>
        </w:r>
        <w:r w:rsidR="008B7A33">
          <w:rPr>
            <w:noProof/>
            <w:webHidden/>
          </w:rPr>
          <w:tab/>
        </w:r>
        <w:r w:rsidR="008B7A33">
          <w:rPr>
            <w:noProof/>
            <w:webHidden/>
          </w:rPr>
          <w:fldChar w:fldCharType="begin"/>
        </w:r>
        <w:r w:rsidR="008B7A33">
          <w:rPr>
            <w:noProof/>
            <w:webHidden/>
          </w:rPr>
          <w:instrText xml:space="preserve"> PAGEREF _Toc99111666 \h </w:instrText>
        </w:r>
        <w:r w:rsidR="008B7A33">
          <w:rPr>
            <w:noProof/>
            <w:webHidden/>
          </w:rPr>
        </w:r>
        <w:r w:rsidR="008B7A33">
          <w:rPr>
            <w:noProof/>
            <w:webHidden/>
          </w:rPr>
          <w:fldChar w:fldCharType="separate"/>
        </w:r>
        <w:r w:rsidR="00400ED5">
          <w:rPr>
            <w:noProof/>
            <w:webHidden/>
          </w:rPr>
          <w:t>140</w:t>
        </w:r>
        <w:r w:rsidR="008B7A33">
          <w:rPr>
            <w:noProof/>
            <w:webHidden/>
          </w:rPr>
          <w:fldChar w:fldCharType="end"/>
        </w:r>
      </w:hyperlink>
    </w:p>
    <w:p w14:paraId="4CCA1990" w14:textId="2A3E386F" w:rsidR="0026795D" w:rsidRPr="009D54C1" w:rsidRDefault="0026795D" w:rsidP="009D54C1">
      <w:pPr>
        <w:pStyle w:val="TOC2"/>
        <w:tabs>
          <w:tab w:val="left" w:pos="800"/>
        </w:tabs>
        <w:rPr>
          <w:rFonts w:asciiTheme="minorHAnsi" w:eastAsiaTheme="minorEastAsia" w:hAnsiTheme="minorHAnsi" w:cstheme="minorBidi"/>
          <w:noProof/>
          <w:sz w:val="22"/>
          <w:szCs w:val="22"/>
          <w:lang w:eastAsia="ja-JP"/>
        </w:rPr>
      </w:pPr>
      <w:r>
        <w:fldChar w:fldCharType="end"/>
      </w:r>
    </w:p>
    <w:p w14:paraId="0043846E" w14:textId="77777777" w:rsidR="0026795D" w:rsidRPr="008B5AFD" w:rsidRDefault="0026795D" w:rsidP="0026795D"/>
    <w:p w14:paraId="393C1EA4" w14:textId="77777777" w:rsidR="0026795D" w:rsidRDefault="0026795D" w:rsidP="0026795D">
      <w:pPr>
        <w:sectPr w:rsidR="0026795D" w:rsidSect="00782467">
          <w:footerReference w:type="first" r:id="rId161"/>
          <w:type w:val="oddPage"/>
          <w:pgSz w:w="11906" w:h="16838" w:code="9"/>
          <w:pgMar w:top="2835" w:right="2098" w:bottom="2466" w:left="2098" w:header="1814" w:footer="1814" w:gutter="0"/>
          <w:cols w:space="708"/>
          <w:titlePg/>
          <w:docGrid w:linePitch="360"/>
        </w:sectPr>
      </w:pPr>
    </w:p>
    <w:p w14:paraId="527059A3" w14:textId="7CAD5E8E" w:rsidR="0026795D" w:rsidRDefault="00C45203" w:rsidP="0026795D">
      <w:pPr>
        <w:pStyle w:val="Heading1"/>
      </w:pPr>
      <w:bookmarkStart w:id="300" w:name="_Toc95217546"/>
      <w:r>
        <w:t>Australian Secret Intelligence Service</w:t>
      </w:r>
      <w:bookmarkEnd w:id="300"/>
    </w:p>
    <w:p w14:paraId="3B2BA532" w14:textId="77777777" w:rsidR="0026795D" w:rsidRPr="002C4D41" w:rsidRDefault="0026795D" w:rsidP="0026795D">
      <w:pPr>
        <w:pStyle w:val="Heading2"/>
      </w:pPr>
      <w:bookmarkStart w:id="301" w:name="_Toc95217809"/>
      <w:bookmarkStart w:id="302" w:name="_Toc95217873"/>
      <w:bookmarkStart w:id="303" w:name="_Toc95229700"/>
      <w:bookmarkStart w:id="304" w:name="_Toc95289007"/>
      <w:bookmarkStart w:id="305" w:name="_Toc95293768"/>
      <w:bookmarkStart w:id="306" w:name="_Toc97540658"/>
      <w:bookmarkStart w:id="307" w:name="_Toc99111660"/>
      <w:r w:rsidRPr="002C4D41">
        <w:t xml:space="preserve">Section 1: Entity overview and </w:t>
      </w:r>
      <w:r>
        <w:t>reso</w:t>
      </w:r>
      <w:r w:rsidRPr="002C4D41">
        <w:t>urces</w:t>
      </w:r>
      <w:bookmarkEnd w:id="301"/>
      <w:bookmarkEnd w:id="302"/>
      <w:bookmarkEnd w:id="303"/>
      <w:bookmarkEnd w:id="304"/>
      <w:bookmarkEnd w:id="305"/>
      <w:bookmarkEnd w:id="306"/>
      <w:bookmarkEnd w:id="307"/>
    </w:p>
    <w:p w14:paraId="146D46FC" w14:textId="77777777" w:rsidR="0026795D" w:rsidRDefault="0026795D" w:rsidP="0026795D">
      <w:pPr>
        <w:pStyle w:val="Heading3"/>
      </w:pPr>
      <w:bookmarkStart w:id="308" w:name="_Toc95217810"/>
      <w:bookmarkStart w:id="309" w:name="_Toc95217874"/>
      <w:bookmarkStart w:id="310" w:name="_Toc95229701"/>
      <w:bookmarkStart w:id="311" w:name="_Toc95289008"/>
      <w:bookmarkStart w:id="312" w:name="_Toc95293769"/>
      <w:bookmarkStart w:id="313" w:name="_Toc97540659"/>
      <w:bookmarkStart w:id="314" w:name="_Toc99111661"/>
      <w:r>
        <w:t>1.1</w:t>
      </w:r>
      <w:r>
        <w:tab/>
        <w:t>Strategic direction statement</w:t>
      </w:r>
      <w:bookmarkEnd w:id="308"/>
      <w:bookmarkEnd w:id="309"/>
      <w:bookmarkEnd w:id="310"/>
      <w:bookmarkEnd w:id="311"/>
      <w:bookmarkEnd w:id="312"/>
      <w:bookmarkEnd w:id="313"/>
      <w:bookmarkEnd w:id="314"/>
    </w:p>
    <w:p w14:paraId="7DBB6C5E" w14:textId="12BA33CF" w:rsidR="009D54C1" w:rsidRPr="009D54C1" w:rsidRDefault="009D54C1" w:rsidP="009D54C1">
      <w:pPr>
        <w:pStyle w:val="Exampletext"/>
        <w:rPr>
          <w:i w:val="0"/>
          <w:iCs/>
          <w:color w:val="auto"/>
        </w:rPr>
      </w:pPr>
      <w:r w:rsidRPr="009D54C1">
        <w:rPr>
          <w:i w:val="0"/>
          <w:iCs/>
          <w:color w:val="auto"/>
        </w:rPr>
        <w:t>In 202</w:t>
      </w:r>
      <w:r w:rsidR="00053EF7">
        <w:rPr>
          <w:i w:val="0"/>
          <w:iCs/>
          <w:color w:val="auto"/>
          <w:lang w:val="en-AU"/>
        </w:rPr>
        <w:t>2</w:t>
      </w:r>
      <w:r w:rsidR="00437DA8">
        <w:rPr>
          <w:i w:val="0"/>
          <w:iCs/>
          <w:color w:val="auto"/>
          <w:lang w:val="en-AU"/>
        </w:rPr>
        <w:t>–</w:t>
      </w:r>
      <w:r w:rsidRPr="009D54C1">
        <w:rPr>
          <w:i w:val="0"/>
          <w:iCs/>
          <w:color w:val="auto"/>
        </w:rPr>
        <w:t>2</w:t>
      </w:r>
      <w:r w:rsidR="00053EF7">
        <w:rPr>
          <w:i w:val="0"/>
          <w:iCs/>
          <w:color w:val="auto"/>
          <w:lang w:val="en-AU"/>
        </w:rPr>
        <w:t>3,</w:t>
      </w:r>
      <w:r w:rsidRPr="009D54C1">
        <w:rPr>
          <w:i w:val="0"/>
          <w:iCs/>
          <w:color w:val="auto"/>
        </w:rPr>
        <w:t xml:space="preserve"> the Australian Secret Intelligence Service (ASIS) will continue to enhance government understanding of the overseas environment affecting Australia’s vital interests. ASIS will take appropriate action, consistent with applicable legislation, to protect and promote Australia’s vital interests through the provision of unique foreign intelligence services as directed by the Government. </w:t>
      </w:r>
    </w:p>
    <w:p w14:paraId="1A394A43" w14:textId="77777777" w:rsidR="009D54C1" w:rsidRPr="009D54C1" w:rsidRDefault="009D54C1" w:rsidP="009D54C1">
      <w:pPr>
        <w:pStyle w:val="Exampletext"/>
        <w:rPr>
          <w:i w:val="0"/>
          <w:iCs/>
          <w:color w:val="auto"/>
        </w:rPr>
      </w:pPr>
      <w:r w:rsidRPr="009D54C1">
        <w:rPr>
          <w:i w:val="0"/>
          <w:iCs/>
          <w:color w:val="auto"/>
        </w:rPr>
        <w:t>The primary functions of ASIS are:</w:t>
      </w:r>
    </w:p>
    <w:p w14:paraId="22E2A669" w14:textId="46CAA657" w:rsidR="009D54C1" w:rsidRPr="009D54C1" w:rsidRDefault="009D54C1" w:rsidP="00091F80">
      <w:pPr>
        <w:pStyle w:val="paragraph"/>
        <w:numPr>
          <w:ilvl w:val="0"/>
          <w:numId w:val="37"/>
        </w:numPr>
        <w:spacing w:after="120"/>
        <w:ind w:left="714" w:hanging="357"/>
        <w:jc w:val="both"/>
        <w:textAlignment w:val="baseline"/>
        <w:rPr>
          <w:rStyle w:val="normaltextrun1"/>
          <w:rFonts w:ascii="Book Antiqua" w:hAnsi="Book Antiqua"/>
          <w:sz w:val="20"/>
          <w:szCs w:val="20"/>
        </w:rPr>
      </w:pPr>
      <w:r w:rsidRPr="009D54C1">
        <w:rPr>
          <w:rStyle w:val="normaltextrun1"/>
          <w:rFonts w:ascii="Book Antiqua" w:hAnsi="Book Antiqua"/>
          <w:sz w:val="20"/>
          <w:szCs w:val="20"/>
        </w:rPr>
        <w:t xml:space="preserve">to obtain, in accordance with the Government’s requirements, intelligence about the capabilities, intentions or activities of people or organisations outside </w:t>
      </w:r>
      <w:proofErr w:type="gramStart"/>
      <w:r w:rsidRPr="009D54C1">
        <w:rPr>
          <w:rStyle w:val="normaltextrun1"/>
          <w:rFonts w:ascii="Book Antiqua" w:hAnsi="Book Antiqua"/>
          <w:sz w:val="20"/>
          <w:szCs w:val="20"/>
        </w:rPr>
        <w:t>Australia;</w:t>
      </w:r>
      <w:proofErr w:type="gramEnd"/>
    </w:p>
    <w:p w14:paraId="6C16DB37" w14:textId="40A2D6FA" w:rsidR="009D54C1" w:rsidRPr="009D54C1" w:rsidRDefault="009D54C1" w:rsidP="00091F80">
      <w:pPr>
        <w:pStyle w:val="paragraph"/>
        <w:numPr>
          <w:ilvl w:val="0"/>
          <w:numId w:val="37"/>
        </w:numPr>
        <w:spacing w:after="120"/>
        <w:ind w:left="714" w:hanging="357"/>
        <w:jc w:val="both"/>
        <w:textAlignment w:val="baseline"/>
        <w:rPr>
          <w:rStyle w:val="normaltextrun1"/>
          <w:rFonts w:ascii="Book Antiqua" w:hAnsi="Book Antiqua"/>
          <w:sz w:val="20"/>
          <w:szCs w:val="20"/>
        </w:rPr>
      </w:pPr>
      <w:r w:rsidRPr="009D54C1">
        <w:rPr>
          <w:rStyle w:val="normaltextrun1"/>
          <w:rFonts w:ascii="Book Antiqua" w:hAnsi="Book Antiqua"/>
          <w:sz w:val="20"/>
          <w:szCs w:val="20"/>
        </w:rPr>
        <w:t xml:space="preserve">to communicate, in accordance with the Government’s requirements, such </w:t>
      </w:r>
      <w:proofErr w:type="gramStart"/>
      <w:r w:rsidRPr="009D54C1">
        <w:rPr>
          <w:rStyle w:val="normaltextrun1"/>
          <w:rFonts w:ascii="Book Antiqua" w:hAnsi="Book Antiqua"/>
          <w:sz w:val="20"/>
          <w:szCs w:val="20"/>
        </w:rPr>
        <w:t>intelligence;</w:t>
      </w:r>
      <w:proofErr w:type="gramEnd"/>
    </w:p>
    <w:p w14:paraId="43E4BB5A" w14:textId="24AA8500" w:rsidR="009D54C1" w:rsidRPr="009D54C1" w:rsidRDefault="009D54C1" w:rsidP="00091F80">
      <w:pPr>
        <w:pStyle w:val="paragraph"/>
        <w:numPr>
          <w:ilvl w:val="0"/>
          <w:numId w:val="37"/>
        </w:numPr>
        <w:spacing w:after="120"/>
        <w:ind w:left="714" w:hanging="357"/>
        <w:jc w:val="both"/>
        <w:textAlignment w:val="baseline"/>
        <w:rPr>
          <w:rStyle w:val="normaltextrun1"/>
          <w:rFonts w:ascii="Book Antiqua" w:hAnsi="Book Antiqua"/>
          <w:sz w:val="20"/>
          <w:szCs w:val="20"/>
        </w:rPr>
      </w:pPr>
      <w:r w:rsidRPr="009D54C1">
        <w:rPr>
          <w:rStyle w:val="normaltextrun1"/>
          <w:rFonts w:ascii="Book Antiqua" w:hAnsi="Book Antiqua"/>
          <w:sz w:val="20"/>
          <w:szCs w:val="20"/>
        </w:rPr>
        <w:t xml:space="preserve">to provide assistance to the Defence Force in support of military operations and to cooperate with the Defence Force on intelligence </w:t>
      </w:r>
      <w:proofErr w:type="gramStart"/>
      <w:r w:rsidRPr="009D54C1">
        <w:rPr>
          <w:rStyle w:val="normaltextrun1"/>
          <w:rFonts w:ascii="Book Antiqua" w:hAnsi="Book Antiqua"/>
          <w:sz w:val="20"/>
          <w:szCs w:val="20"/>
        </w:rPr>
        <w:t>matters;</w:t>
      </w:r>
      <w:proofErr w:type="gramEnd"/>
    </w:p>
    <w:p w14:paraId="38F4349A" w14:textId="06058DE6" w:rsidR="009D54C1" w:rsidRPr="009D54C1" w:rsidRDefault="009D54C1" w:rsidP="00091F80">
      <w:pPr>
        <w:pStyle w:val="paragraph"/>
        <w:numPr>
          <w:ilvl w:val="0"/>
          <w:numId w:val="37"/>
        </w:numPr>
        <w:spacing w:after="120"/>
        <w:ind w:left="714" w:hanging="357"/>
        <w:jc w:val="both"/>
        <w:textAlignment w:val="baseline"/>
        <w:rPr>
          <w:rStyle w:val="normaltextrun1"/>
          <w:rFonts w:ascii="Book Antiqua" w:hAnsi="Book Antiqua"/>
          <w:sz w:val="20"/>
          <w:szCs w:val="20"/>
        </w:rPr>
      </w:pPr>
      <w:r w:rsidRPr="009D54C1">
        <w:rPr>
          <w:rStyle w:val="normaltextrun1"/>
          <w:rFonts w:ascii="Book Antiqua" w:hAnsi="Book Antiqua"/>
          <w:sz w:val="20"/>
          <w:szCs w:val="20"/>
        </w:rPr>
        <w:t xml:space="preserve">to conduct </w:t>
      </w:r>
      <w:proofErr w:type="gramStart"/>
      <w:r w:rsidRPr="009D54C1">
        <w:rPr>
          <w:rStyle w:val="normaltextrun1"/>
          <w:rFonts w:ascii="Book Antiqua" w:hAnsi="Book Antiqua"/>
          <w:sz w:val="20"/>
          <w:szCs w:val="20"/>
        </w:rPr>
        <w:t>counter-intelligence</w:t>
      </w:r>
      <w:proofErr w:type="gramEnd"/>
      <w:r w:rsidRPr="009D54C1">
        <w:rPr>
          <w:rStyle w:val="normaltextrun1"/>
          <w:rFonts w:ascii="Book Antiqua" w:hAnsi="Book Antiqua"/>
          <w:sz w:val="20"/>
          <w:szCs w:val="20"/>
        </w:rPr>
        <w:t xml:space="preserve"> activities;</w:t>
      </w:r>
    </w:p>
    <w:p w14:paraId="0B92C7AC" w14:textId="41C3F62F" w:rsidR="009D54C1" w:rsidRPr="009D54C1" w:rsidRDefault="009D54C1" w:rsidP="00091F80">
      <w:pPr>
        <w:pStyle w:val="paragraph"/>
        <w:numPr>
          <w:ilvl w:val="0"/>
          <w:numId w:val="37"/>
        </w:numPr>
        <w:spacing w:after="120"/>
        <w:ind w:left="714" w:hanging="357"/>
        <w:jc w:val="both"/>
        <w:textAlignment w:val="baseline"/>
        <w:rPr>
          <w:rStyle w:val="normaltextrun1"/>
          <w:rFonts w:ascii="Book Antiqua" w:hAnsi="Book Antiqua"/>
          <w:sz w:val="20"/>
          <w:szCs w:val="20"/>
        </w:rPr>
      </w:pPr>
      <w:r w:rsidRPr="009D54C1">
        <w:rPr>
          <w:rStyle w:val="normaltextrun1"/>
          <w:rFonts w:ascii="Book Antiqua" w:hAnsi="Book Antiqua"/>
          <w:sz w:val="20"/>
          <w:szCs w:val="20"/>
        </w:rPr>
        <w:t xml:space="preserve">to liaise with intelligence or security services, or other authorities, of other </w:t>
      </w:r>
      <w:proofErr w:type="gramStart"/>
      <w:r w:rsidRPr="009D54C1">
        <w:rPr>
          <w:rStyle w:val="normaltextrun1"/>
          <w:rFonts w:ascii="Book Antiqua" w:hAnsi="Book Antiqua"/>
          <w:sz w:val="20"/>
          <w:szCs w:val="20"/>
        </w:rPr>
        <w:t>countries;</w:t>
      </w:r>
      <w:proofErr w:type="gramEnd"/>
      <w:r w:rsidRPr="009D54C1">
        <w:rPr>
          <w:rStyle w:val="normaltextrun1"/>
          <w:rFonts w:ascii="Book Antiqua" w:hAnsi="Book Antiqua"/>
          <w:sz w:val="20"/>
          <w:szCs w:val="20"/>
        </w:rPr>
        <w:t xml:space="preserve"> </w:t>
      </w:r>
    </w:p>
    <w:p w14:paraId="1902CF27" w14:textId="06358AA9" w:rsidR="009D54C1" w:rsidRPr="009D54C1" w:rsidRDefault="009D54C1" w:rsidP="00091F80">
      <w:pPr>
        <w:pStyle w:val="paragraph"/>
        <w:numPr>
          <w:ilvl w:val="0"/>
          <w:numId w:val="37"/>
        </w:numPr>
        <w:spacing w:after="120"/>
        <w:ind w:left="714" w:hanging="357"/>
        <w:jc w:val="both"/>
        <w:textAlignment w:val="baseline"/>
        <w:rPr>
          <w:rStyle w:val="normaltextrun1"/>
          <w:rFonts w:ascii="Book Antiqua" w:hAnsi="Book Antiqua"/>
          <w:sz w:val="20"/>
          <w:szCs w:val="20"/>
        </w:rPr>
      </w:pPr>
      <w:r w:rsidRPr="009D54C1">
        <w:rPr>
          <w:rStyle w:val="normaltextrun1"/>
          <w:rFonts w:ascii="Book Antiqua" w:hAnsi="Book Antiqua"/>
          <w:sz w:val="20"/>
          <w:szCs w:val="20"/>
        </w:rPr>
        <w:t xml:space="preserve">to cooperate with and assist </w:t>
      </w:r>
      <w:r w:rsidR="005170E1">
        <w:rPr>
          <w:rStyle w:val="normaltextrun1"/>
          <w:rFonts w:ascii="Book Antiqua" w:hAnsi="Book Antiqua"/>
          <w:sz w:val="20"/>
          <w:szCs w:val="20"/>
        </w:rPr>
        <w:t xml:space="preserve">the </w:t>
      </w:r>
      <w:r w:rsidRPr="009D54C1">
        <w:rPr>
          <w:rStyle w:val="normaltextrun1"/>
          <w:rFonts w:ascii="Book Antiqua" w:hAnsi="Book Antiqua"/>
          <w:sz w:val="20"/>
          <w:szCs w:val="20"/>
        </w:rPr>
        <w:t>A</w:t>
      </w:r>
      <w:r w:rsidR="005170E1">
        <w:rPr>
          <w:rStyle w:val="normaltextrun1"/>
          <w:rFonts w:ascii="Book Antiqua" w:hAnsi="Book Antiqua"/>
          <w:sz w:val="20"/>
          <w:szCs w:val="20"/>
        </w:rPr>
        <w:t xml:space="preserve">ustralian </w:t>
      </w:r>
      <w:r w:rsidRPr="009D54C1">
        <w:rPr>
          <w:rStyle w:val="normaltextrun1"/>
          <w:rFonts w:ascii="Book Antiqua" w:hAnsi="Book Antiqua"/>
          <w:sz w:val="20"/>
          <w:szCs w:val="20"/>
        </w:rPr>
        <w:t>S</w:t>
      </w:r>
      <w:r w:rsidR="005170E1">
        <w:rPr>
          <w:rStyle w:val="normaltextrun1"/>
          <w:rFonts w:ascii="Book Antiqua" w:hAnsi="Book Antiqua"/>
          <w:sz w:val="20"/>
          <w:szCs w:val="20"/>
        </w:rPr>
        <w:t xml:space="preserve">ignals </w:t>
      </w:r>
      <w:r w:rsidRPr="009D54C1">
        <w:rPr>
          <w:rStyle w:val="normaltextrun1"/>
          <w:rFonts w:ascii="Book Antiqua" w:hAnsi="Book Antiqua"/>
          <w:sz w:val="20"/>
          <w:szCs w:val="20"/>
        </w:rPr>
        <w:t>D</w:t>
      </w:r>
      <w:r w:rsidR="005170E1">
        <w:rPr>
          <w:rStyle w:val="normaltextrun1"/>
          <w:rFonts w:ascii="Book Antiqua" w:hAnsi="Book Antiqua"/>
          <w:sz w:val="20"/>
          <w:szCs w:val="20"/>
        </w:rPr>
        <w:t>irectorate</w:t>
      </w:r>
      <w:r w:rsidRPr="009D54C1">
        <w:rPr>
          <w:rStyle w:val="normaltextrun1"/>
          <w:rFonts w:ascii="Book Antiqua" w:hAnsi="Book Antiqua"/>
          <w:sz w:val="20"/>
          <w:szCs w:val="20"/>
        </w:rPr>
        <w:t xml:space="preserve">, </w:t>
      </w:r>
      <w:r w:rsidR="005170E1">
        <w:rPr>
          <w:rStyle w:val="normaltextrun1"/>
          <w:rFonts w:ascii="Book Antiqua" w:hAnsi="Book Antiqua"/>
          <w:sz w:val="20"/>
          <w:szCs w:val="20"/>
        </w:rPr>
        <w:t>the</w:t>
      </w:r>
      <w:r w:rsidR="005170E1" w:rsidRPr="005170E1">
        <w:t xml:space="preserve"> </w:t>
      </w:r>
      <w:r w:rsidR="005170E1" w:rsidRPr="005170E1">
        <w:rPr>
          <w:rStyle w:val="normaltextrun1"/>
          <w:rFonts w:ascii="Book Antiqua" w:hAnsi="Book Antiqua"/>
          <w:sz w:val="20"/>
          <w:szCs w:val="20"/>
        </w:rPr>
        <w:t>Australian Geospatial-Intelligence Organisation</w:t>
      </w:r>
      <w:r w:rsidRPr="009D54C1">
        <w:rPr>
          <w:rStyle w:val="normaltextrun1"/>
          <w:rFonts w:ascii="Book Antiqua" w:hAnsi="Book Antiqua"/>
          <w:sz w:val="20"/>
          <w:szCs w:val="20"/>
        </w:rPr>
        <w:t xml:space="preserve">, </w:t>
      </w:r>
      <w:r w:rsidR="005170E1">
        <w:rPr>
          <w:rStyle w:val="normaltextrun1"/>
          <w:rFonts w:ascii="Book Antiqua" w:hAnsi="Book Antiqua"/>
          <w:sz w:val="20"/>
          <w:szCs w:val="20"/>
        </w:rPr>
        <w:t xml:space="preserve">the </w:t>
      </w:r>
      <w:r w:rsidRPr="009D54C1">
        <w:rPr>
          <w:rStyle w:val="normaltextrun1"/>
          <w:rFonts w:ascii="Book Antiqua" w:hAnsi="Book Antiqua"/>
          <w:sz w:val="20"/>
          <w:szCs w:val="20"/>
        </w:rPr>
        <w:t>A</w:t>
      </w:r>
      <w:r w:rsidR="005170E1">
        <w:rPr>
          <w:rStyle w:val="normaltextrun1"/>
          <w:rFonts w:ascii="Book Antiqua" w:hAnsi="Book Antiqua"/>
          <w:sz w:val="20"/>
          <w:szCs w:val="20"/>
        </w:rPr>
        <w:t xml:space="preserve">ustralian Security </w:t>
      </w:r>
      <w:r w:rsidRPr="009D54C1">
        <w:rPr>
          <w:rStyle w:val="normaltextrun1"/>
          <w:rFonts w:ascii="Book Antiqua" w:hAnsi="Book Antiqua"/>
          <w:sz w:val="20"/>
          <w:szCs w:val="20"/>
        </w:rPr>
        <w:t>I</w:t>
      </w:r>
      <w:r w:rsidR="005170E1">
        <w:rPr>
          <w:rStyle w:val="normaltextrun1"/>
          <w:rFonts w:ascii="Book Antiqua" w:hAnsi="Book Antiqua"/>
          <w:sz w:val="20"/>
          <w:szCs w:val="20"/>
        </w:rPr>
        <w:t xml:space="preserve">ntelligence </w:t>
      </w:r>
      <w:r w:rsidRPr="009D54C1">
        <w:rPr>
          <w:rStyle w:val="normaltextrun1"/>
          <w:rFonts w:ascii="Book Antiqua" w:hAnsi="Book Antiqua"/>
          <w:sz w:val="20"/>
          <w:szCs w:val="20"/>
        </w:rPr>
        <w:t>O</w:t>
      </w:r>
      <w:r w:rsidR="005170E1">
        <w:rPr>
          <w:rStyle w:val="normaltextrun1"/>
          <w:rFonts w:ascii="Book Antiqua" w:hAnsi="Book Antiqua"/>
          <w:sz w:val="20"/>
          <w:szCs w:val="20"/>
        </w:rPr>
        <w:t>rganisation</w:t>
      </w:r>
      <w:r w:rsidRPr="009D54C1">
        <w:rPr>
          <w:rStyle w:val="normaltextrun1"/>
          <w:rFonts w:ascii="Book Antiqua" w:hAnsi="Book Antiqua"/>
          <w:sz w:val="20"/>
          <w:szCs w:val="20"/>
        </w:rPr>
        <w:t xml:space="preserve"> and other Commonwealth and State authorities in the performance of their functions; and</w:t>
      </w:r>
    </w:p>
    <w:p w14:paraId="77E16642" w14:textId="7CC06F0E" w:rsidR="009D54C1" w:rsidRPr="009D54C1" w:rsidRDefault="009D54C1" w:rsidP="00091F80">
      <w:pPr>
        <w:pStyle w:val="paragraph"/>
        <w:numPr>
          <w:ilvl w:val="0"/>
          <w:numId w:val="37"/>
        </w:numPr>
        <w:spacing w:after="120"/>
        <w:ind w:left="714" w:hanging="357"/>
        <w:jc w:val="both"/>
        <w:textAlignment w:val="baseline"/>
        <w:rPr>
          <w:rStyle w:val="normaltextrun1"/>
          <w:rFonts w:ascii="Book Antiqua" w:hAnsi="Book Antiqua"/>
          <w:sz w:val="20"/>
          <w:szCs w:val="20"/>
        </w:rPr>
      </w:pPr>
      <w:r w:rsidRPr="009D54C1">
        <w:rPr>
          <w:rStyle w:val="normaltextrun1"/>
          <w:rFonts w:ascii="Book Antiqua" w:hAnsi="Book Antiqua"/>
          <w:sz w:val="20"/>
          <w:szCs w:val="20"/>
        </w:rPr>
        <w:t>to undertake such other activities as the responsible minister directs relating to the capabilities, intentions or activities of people or organisations outside Australia.</w:t>
      </w:r>
    </w:p>
    <w:p w14:paraId="5F700154" w14:textId="77777777" w:rsidR="0026795D" w:rsidRDefault="0026795D" w:rsidP="0026795D">
      <w:pPr>
        <w:pStyle w:val="Heading3"/>
      </w:pPr>
      <w:r w:rsidRPr="0079797F">
        <w:br w:type="page"/>
      </w:r>
      <w:bookmarkStart w:id="315" w:name="_Toc95217811"/>
      <w:bookmarkStart w:id="316" w:name="_Toc95217875"/>
      <w:bookmarkStart w:id="317" w:name="_Toc95229702"/>
      <w:bookmarkStart w:id="318" w:name="_Toc95289009"/>
      <w:bookmarkStart w:id="319" w:name="_Toc95293770"/>
      <w:bookmarkStart w:id="320" w:name="_Toc97540660"/>
      <w:bookmarkStart w:id="321" w:name="_Toc99111662"/>
      <w:r>
        <w:t>1.2</w:t>
      </w:r>
      <w:r>
        <w:tab/>
        <w:t>Entity resource statement</w:t>
      </w:r>
      <w:bookmarkEnd w:id="315"/>
      <w:bookmarkEnd w:id="316"/>
      <w:bookmarkEnd w:id="317"/>
      <w:bookmarkEnd w:id="318"/>
      <w:bookmarkEnd w:id="319"/>
      <w:bookmarkEnd w:id="320"/>
      <w:bookmarkEnd w:id="321"/>
    </w:p>
    <w:p w14:paraId="66EFCC27" w14:textId="77777777" w:rsidR="0026795D" w:rsidRDefault="0026795D" w:rsidP="0026795D">
      <w:r>
        <w:t>Table 1.1 shows the total funding from all sources available to the entity for its operations and to deliver programs and services on behalf of the Government.</w:t>
      </w:r>
    </w:p>
    <w:p w14:paraId="1877EFCD" w14:textId="4C865604" w:rsidR="0026795D" w:rsidRDefault="0026795D" w:rsidP="0026795D">
      <w:r>
        <w:t xml:space="preserve">The table summarises how resources will be applied by outcome (government strategic policy objectives) and by administered (on behalf of the Government or the public) and departmental (for </w:t>
      </w:r>
      <w:r w:rsidR="009D54C1">
        <w:t>ASIS</w:t>
      </w:r>
      <w:r>
        <w:t>’s operations) classification.</w:t>
      </w:r>
    </w:p>
    <w:p w14:paraId="4C375A12" w14:textId="77777777" w:rsidR="0026795D" w:rsidRDefault="0026795D" w:rsidP="0026795D">
      <w:r>
        <w:t xml:space="preserve">For more detailed information on special accounts and special appropriations, please refer to </w:t>
      </w:r>
      <w:r w:rsidRPr="00412C0B">
        <w:rPr>
          <w:i/>
        </w:rPr>
        <w:t>Budget Paper No. 4 – Agency Resourcing</w:t>
      </w:r>
      <w:r>
        <w:t>.</w:t>
      </w:r>
    </w:p>
    <w:p w14:paraId="02875323" w14:textId="63F4E7A9" w:rsidR="0026795D" w:rsidRDefault="0026795D" w:rsidP="0026795D">
      <w:r>
        <w:t>Information in this table is presented on a resourcing (that is, appropriations/cash available) basis, whilst the ‘Budgeted expenses by Outcome’ tables in Section 2 and the financial statements in Section 3 are presented on an accrual basis.</w:t>
      </w:r>
    </w:p>
    <w:p w14:paraId="13131AAB" w14:textId="77A7A6A0" w:rsidR="0026795D" w:rsidRPr="00FE1091" w:rsidRDefault="0026795D" w:rsidP="0026795D">
      <w:pPr>
        <w:pStyle w:val="TableHeading"/>
        <w:rPr>
          <w:b w:val="0"/>
          <w:lang w:val="en-AU"/>
        </w:rPr>
      </w:pPr>
      <w:r>
        <w:br w:type="page"/>
      </w:r>
      <w:r w:rsidRPr="00D44150">
        <w:t xml:space="preserve">Table 1.1: </w:t>
      </w:r>
      <w:r w:rsidR="00F62436">
        <w:rPr>
          <w:lang w:val="en-AU"/>
        </w:rPr>
        <w:t xml:space="preserve">Australian Secret Intelligence Service </w:t>
      </w:r>
      <w:r w:rsidRPr="00D44150">
        <w:t>resource statement</w:t>
      </w:r>
      <w:r>
        <w:t xml:space="preserve"> — </w:t>
      </w:r>
      <w:r w:rsidR="00F62436">
        <w:br/>
      </w:r>
      <w:r>
        <w:t xml:space="preserve">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p w14:paraId="5EF2C465" w14:textId="5B98512B" w:rsidR="0026795D" w:rsidRDefault="00D863FD" w:rsidP="0026795D">
      <w:pPr>
        <w:pStyle w:val="TableGraphic"/>
        <w:rPr>
          <w:rFonts w:ascii="Arial" w:hAnsi="Arial"/>
          <w:color w:val="000000"/>
          <w:lang w:val="x-none" w:eastAsia="x-none"/>
        </w:rPr>
      </w:pPr>
      <w:r w:rsidRPr="00D863FD">
        <w:rPr>
          <w:noProof/>
        </w:rPr>
        <w:drawing>
          <wp:inline distT="0" distB="0" distL="0" distR="0" wp14:anchorId="618731CF" wp14:editId="1AC216B2">
            <wp:extent cx="489585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895850" cy="2247900"/>
                    </a:xfrm>
                    <a:prstGeom prst="rect">
                      <a:avLst/>
                    </a:prstGeom>
                    <a:noFill/>
                    <a:ln>
                      <a:noFill/>
                    </a:ln>
                  </pic:spPr>
                </pic:pic>
              </a:graphicData>
            </a:graphic>
          </wp:inline>
        </w:drawing>
      </w:r>
    </w:p>
    <w:p w14:paraId="2B59CB30" w14:textId="77777777" w:rsidR="0026795D" w:rsidRPr="00CB2844" w:rsidRDefault="0026795D" w:rsidP="0026795D">
      <w:pPr>
        <w:pStyle w:val="ChartandTableFootnote"/>
      </w:pPr>
      <w:r w:rsidRPr="00696AA8">
        <w:t>All figures shown above are GST exclusive - these may not match figures in the cash flow statement.</w:t>
      </w:r>
    </w:p>
    <w:p w14:paraId="2ED4C4E2" w14:textId="77777777" w:rsidR="0026795D" w:rsidRDefault="0026795D" w:rsidP="0026795D">
      <w:pPr>
        <w:pStyle w:val="ChartandTableFootnote"/>
      </w:pPr>
      <w:r>
        <w:t>Prepared on a resourcing (</w:t>
      </w:r>
      <w:r>
        <w:rPr>
          <w:lang w:val="en-AU"/>
        </w:rPr>
        <w:t>that is,</w:t>
      </w:r>
      <w:r>
        <w:t xml:space="preserve"> appropriations available) basis.</w:t>
      </w:r>
    </w:p>
    <w:p w14:paraId="3391E0C7" w14:textId="77777777" w:rsidR="0026795D" w:rsidRPr="002003A1" w:rsidRDefault="0026795D" w:rsidP="00091F80">
      <w:pPr>
        <w:pStyle w:val="ChartandTableFootnoteAlpha"/>
        <w:numPr>
          <w:ilvl w:val="0"/>
          <w:numId w:val="23"/>
        </w:numPr>
      </w:pPr>
      <w:r w:rsidRPr="001071C7">
        <w:t>Appr</w:t>
      </w:r>
      <w:r>
        <w:t>opriation Bill (No. 1) 2022-23.</w:t>
      </w:r>
    </w:p>
    <w:p w14:paraId="1D6B1864" w14:textId="77777777" w:rsidR="0026795D" w:rsidRDefault="0026795D" w:rsidP="0026795D">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30937119" w14:textId="77777777" w:rsidR="0026795D" w:rsidRPr="001071C7" w:rsidRDefault="0026795D" w:rsidP="0026795D">
      <w:pPr>
        <w:pStyle w:val="ChartandTableFootnoteAlpha"/>
        <w:rPr>
          <w:color w:val="000000"/>
        </w:rPr>
      </w:pPr>
      <w:r w:rsidRPr="001071C7">
        <w:rPr>
          <w:color w:val="000000"/>
        </w:rPr>
        <w:t>Estimated External Revenue receipts under section 74 of the PGPA Act.</w:t>
      </w:r>
    </w:p>
    <w:p w14:paraId="204B5505" w14:textId="771647BD" w:rsidR="00F62436" w:rsidRDefault="0026795D" w:rsidP="00F62436">
      <w:pPr>
        <w:pStyle w:val="ChartandTableFootnoteAlpha"/>
        <w:rPr>
          <w:color w:val="000000"/>
        </w:rPr>
      </w:pPr>
      <w:r w:rsidRPr="001071C7">
        <w:rPr>
          <w:color w:val="000000"/>
        </w:rPr>
        <w:t>Departmental capital budgets are not separately identified in Appropriation Bill (No.1) and form part of ordinary annual services items.</w:t>
      </w:r>
      <w:r w:rsidR="00541F9E">
        <w:rPr>
          <w:color w:val="000000"/>
        </w:rPr>
        <w:t xml:space="preserve"> </w:t>
      </w:r>
      <w:r w:rsidR="00541F9E" w:rsidRPr="00541F9E">
        <w:rPr>
          <w:color w:val="000000"/>
        </w:rPr>
        <w:t>For accounting purposes, this amount has been designated as a 'contribution by owner'.</w:t>
      </w:r>
    </w:p>
    <w:p w14:paraId="4C30C433" w14:textId="7475A29C" w:rsidR="00F62436" w:rsidRDefault="00F62436" w:rsidP="00F62436">
      <w:pPr>
        <w:pStyle w:val="ChartandTableFootnoteAlpha"/>
      </w:pPr>
      <w:r>
        <w:t xml:space="preserve">Appropriation Bill (No. 2) 2022-23. </w:t>
      </w:r>
    </w:p>
    <w:p w14:paraId="19971111" w14:textId="24D82737" w:rsidR="009A4F75" w:rsidRPr="009A4F75" w:rsidRDefault="009A4F75" w:rsidP="009A4F75">
      <w:pPr>
        <w:pStyle w:val="ChartandTableFootnote"/>
      </w:pPr>
      <w:r w:rsidRPr="009A4F75">
        <w:t xml:space="preserve">Note: The Annual Appropriation amounts appearing for 2021-22 estimated actual do not include the Appropriation Bills (No. 3) and (No. 4) 2021-22 as they had not been enacted at the time of publication. </w:t>
      </w:r>
      <w:r>
        <w:br/>
        <w:t>$</w:t>
      </w:r>
      <w:r>
        <w:rPr>
          <w:lang w:val="en-AU"/>
        </w:rPr>
        <w:t>14.554</w:t>
      </w:r>
      <w:r>
        <w:t xml:space="preserve"> million will be received through Appropriation Bill </w:t>
      </w:r>
      <w:r>
        <w:rPr>
          <w:lang w:val="en-AU"/>
        </w:rPr>
        <w:t>(</w:t>
      </w:r>
      <w:r>
        <w:t>No.</w:t>
      </w:r>
      <w:r>
        <w:rPr>
          <w:lang w:val="en-AU"/>
        </w:rPr>
        <w:t xml:space="preserve"> </w:t>
      </w:r>
      <w:r>
        <w:t>3</w:t>
      </w:r>
      <w:r>
        <w:rPr>
          <w:lang w:val="en-AU"/>
        </w:rPr>
        <w:t>)</w:t>
      </w:r>
      <w:r w:rsidRPr="0053347E">
        <w:t xml:space="preserve"> </w:t>
      </w:r>
      <w:r>
        <w:rPr>
          <w:lang w:val="en-AU"/>
        </w:rPr>
        <w:t xml:space="preserve">2021-22 </w:t>
      </w:r>
      <w:r w:rsidRPr="0053347E">
        <w:t>and $</w:t>
      </w:r>
      <w:r>
        <w:rPr>
          <w:lang w:val="en-AU"/>
        </w:rPr>
        <w:t>0.105 million</w:t>
      </w:r>
      <w:r w:rsidRPr="0053347E">
        <w:t xml:space="preserve"> will be received through Appropriation Bill </w:t>
      </w:r>
      <w:r>
        <w:rPr>
          <w:lang w:val="en-AU"/>
        </w:rPr>
        <w:t>(</w:t>
      </w:r>
      <w:r w:rsidRPr="0053347E">
        <w:t>No.</w:t>
      </w:r>
      <w:r>
        <w:rPr>
          <w:lang w:val="en-AU"/>
        </w:rPr>
        <w:t xml:space="preserve"> </w:t>
      </w:r>
      <w:r w:rsidRPr="0053347E">
        <w:t>4</w:t>
      </w:r>
      <w:r>
        <w:rPr>
          <w:lang w:val="en-AU"/>
        </w:rPr>
        <w:t>) 2021-22</w:t>
      </w:r>
      <w:r>
        <w:t xml:space="preserve">. </w:t>
      </w:r>
      <w:r w:rsidRPr="009A4F75">
        <w:t>The annual appropriations received from these bills will be recognised in a future Portfolio Budget Statement but only after the Bills have received Royal Assent.</w:t>
      </w:r>
    </w:p>
    <w:p w14:paraId="5FEC38B3" w14:textId="77777777" w:rsidR="0053347E" w:rsidRPr="0053347E" w:rsidRDefault="0053347E" w:rsidP="0053347E"/>
    <w:p w14:paraId="231233D5" w14:textId="00D92746" w:rsidR="00053EF7" w:rsidRPr="00810C6A" w:rsidRDefault="0026795D" w:rsidP="00053EF7">
      <w:pPr>
        <w:pStyle w:val="Heading3"/>
        <w:spacing w:before="0"/>
      </w:pPr>
      <w:r>
        <w:br w:type="page"/>
      </w:r>
      <w:bookmarkStart w:id="322" w:name="_Toc95217813"/>
      <w:bookmarkStart w:id="323" w:name="_Toc95217877"/>
      <w:bookmarkStart w:id="324" w:name="_Toc95229704"/>
      <w:bookmarkStart w:id="325" w:name="_Toc95289011"/>
      <w:bookmarkStart w:id="326" w:name="_Toc95293772"/>
    </w:p>
    <w:p w14:paraId="718F9D6C" w14:textId="0127D9F3" w:rsidR="0026795D" w:rsidRPr="00470CE8" w:rsidRDefault="0026795D" w:rsidP="0026795D">
      <w:pPr>
        <w:pStyle w:val="Heading2"/>
        <w:rPr>
          <w:color w:val="000000" w:themeColor="text1"/>
        </w:rPr>
      </w:pPr>
      <w:bookmarkStart w:id="327" w:name="_Toc97540661"/>
      <w:bookmarkStart w:id="328" w:name="_Toc99111663"/>
      <w:r w:rsidRPr="00470CE8">
        <w:rPr>
          <w:color w:val="000000" w:themeColor="text1"/>
        </w:rPr>
        <w:t>Section 2: Outcomes and planned performance</w:t>
      </w:r>
      <w:bookmarkEnd w:id="322"/>
      <w:bookmarkEnd w:id="323"/>
      <w:bookmarkEnd w:id="324"/>
      <w:bookmarkEnd w:id="325"/>
      <w:bookmarkEnd w:id="326"/>
      <w:bookmarkEnd w:id="327"/>
      <w:bookmarkEnd w:id="328"/>
    </w:p>
    <w:p w14:paraId="2D9719CB" w14:textId="77777777" w:rsidR="0026795D" w:rsidRPr="00470CE8" w:rsidRDefault="0026795D" w:rsidP="0026795D">
      <w:pPr>
        <w:rPr>
          <w:color w:val="000000" w:themeColor="text1"/>
        </w:rPr>
      </w:pPr>
      <w:r w:rsidRPr="00470CE8">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8C55E56" w14:textId="1EFE0AC8" w:rsidR="0026795D" w:rsidRPr="00470CE8" w:rsidRDefault="0026795D" w:rsidP="0026795D">
      <w:pPr>
        <w:rPr>
          <w:i/>
          <w:color w:val="000000" w:themeColor="text1"/>
        </w:rPr>
      </w:pPr>
      <w:r w:rsidRPr="00470CE8">
        <w:rPr>
          <w:color w:val="000000" w:themeColor="text1"/>
        </w:rPr>
        <w:t xml:space="preserve">Each outcome is described below together with its related programs. The following provides detailed information on expenses for each outcome and program, further broken down by funding source. </w:t>
      </w:r>
    </w:p>
    <w:p w14:paraId="12AE489F" w14:textId="77777777" w:rsidR="0026795D" w:rsidRDefault="0026795D" w:rsidP="0026795D">
      <w:pPr>
        <w:rPr>
          <w:highlight w:val="yellow"/>
        </w:rPr>
      </w:pPr>
    </w:p>
    <w:p w14:paraId="4324ABDE" w14:textId="77777777" w:rsidR="0026795D" w:rsidRDefault="0026795D" w:rsidP="0026795D">
      <w:pPr>
        <w:pStyle w:val="Heading3"/>
        <w:sectPr w:rsidR="0026795D" w:rsidSect="00503FD8">
          <w:headerReference w:type="even" r:id="rId163"/>
          <w:headerReference w:type="default" r:id="rId164"/>
          <w:headerReference w:type="first" r:id="rId165"/>
          <w:footerReference w:type="first" r:id="rId166"/>
          <w:type w:val="oddPage"/>
          <w:pgSz w:w="11906" w:h="16838" w:code="9"/>
          <w:pgMar w:top="2835" w:right="2098" w:bottom="2466" w:left="2098" w:header="1814" w:footer="1814" w:gutter="0"/>
          <w:cols w:space="708"/>
          <w:titlePg/>
          <w:docGrid w:linePitch="360"/>
        </w:sectPr>
      </w:pPr>
    </w:p>
    <w:p w14:paraId="70E22EA6" w14:textId="2B5C47D7" w:rsidR="0026795D" w:rsidRPr="00F743D8" w:rsidRDefault="0026795D" w:rsidP="0026795D">
      <w:pPr>
        <w:pStyle w:val="Heading3"/>
      </w:pPr>
      <w:bookmarkStart w:id="329" w:name="_Toc95217814"/>
      <w:bookmarkStart w:id="330" w:name="_Toc95217878"/>
      <w:bookmarkStart w:id="331" w:name="_Toc95229705"/>
      <w:bookmarkStart w:id="332" w:name="_Toc95289012"/>
      <w:bookmarkStart w:id="333" w:name="_Toc95293773"/>
      <w:bookmarkStart w:id="334" w:name="_Toc97540662"/>
      <w:bookmarkStart w:id="335" w:name="_Toc99111664"/>
      <w:r>
        <w:t>2.1</w:t>
      </w:r>
      <w:r w:rsidRPr="00F743D8">
        <w:t xml:space="preserve"> </w:t>
      </w:r>
      <w:r w:rsidRPr="00F743D8">
        <w:tab/>
        <w:t xml:space="preserve">Budgeted expenses and performance for Outcome </w:t>
      </w:r>
      <w:r w:rsidR="00C45203">
        <w:t>1</w:t>
      </w:r>
      <w:bookmarkEnd w:id="329"/>
      <w:bookmarkEnd w:id="330"/>
      <w:bookmarkEnd w:id="331"/>
      <w:bookmarkEnd w:id="332"/>
      <w:bookmarkEnd w:id="333"/>
      <w:bookmarkEnd w:id="334"/>
      <w:bookmarkEnd w:id="33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26795D" w:rsidRPr="005E6F2B" w14:paraId="7BD02C10" w14:textId="77777777" w:rsidTr="00C45203">
        <w:tc>
          <w:tcPr>
            <w:tcW w:w="7704" w:type="dxa"/>
            <w:shd w:val="clear" w:color="auto" w:fill="E6E6E6"/>
          </w:tcPr>
          <w:p w14:paraId="22D90CE3" w14:textId="684308DF" w:rsidR="0026795D" w:rsidRPr="005E6F2B" w:rsidRDefault="0026795D" w:rsidP="00637CC0">
            <w:pPr>
              <w:pStyle w:val="TableColumnHeadingLeft"/>
            </w:pPr>
            <w:r w:rsidRPr="005E6F2B">
              <w:t xml:space="preserve">Outcome </w:t>
            </w:r>
            <w:r w:rsidR="00D60EF7">
              <w:t xml:space="preserve">1: </w:t>
            </w:r>
            <w:r w:rsidR="00D60EF7">
              <w:rPr>
                <w:rFonts w:cs="Arial"/>
              </w:rPr>
              <w:t>Enhanced understanding for the Government of the overseas environment affecting Australia’s interests through the provision of covert intelligence services about the capabilities, intentions or activities of people or organisations outside Australia</w:t>
            </w:r>
          </w:p>
        </w:tc>
      </w:tr>
    </w:tbl>
    <w:p w14:paraId="7C376C94" w14:textId="77777777" w:rsidR="0026795D" w:rsidRPr="005E6F2B" w:rsidRDefault="0026795D" w:rsidP="0026795D">
      <w:pPr>
        <w:pStyle w:val="NoSpacing"/>
      </w:pPr>
    </w:p>
    <w:p w14:paraId="2902F2EB" w14:textId="307FED65" w:rsidR="0026795D" w:rsidRPr="00446612" w:rsidRDefault="0026795D" w:rsidP="001242D8">
      <w:pPr>
        <w:pStyle w:val="Heading5"/>
      </w:pPr>
      <w:r w:rsidRPr="001242D8">
        <w:rPr>
          <w:b/>
          <w:bCs w:val="0"/>
        </w:rPr>
        <w:t xml:space="preserve">Budgeted expenses for Outcome </w:t>
      </w:r>
      <w:r w:rsidR="00C45203" w:rsidRPr="001242D8">
        <w:rPr>
          <w:b/>
          <w:bCs w:val="0"/>
        </w:rPr>
        <w:t>1</w:t>
      </w:r>
    </w:p>
    <w:p w14:paraId="712DF729" w14:textId="77777777" w:rsidR="0026795D" w:rsidRDefault="0026795D" w:rsidP="0026795D">
      <w:r w:rsidRPr="00950281">
        <w:t>This table shows how much the entity intends to spend (on an accrual basis) on achieving the outcome, broken down by program, as well as by Administered an</w:t>
      </w:r>
      <w:r>
        <w:t>d Departmental funding sources.</w:t>
      </w:r>
    </w:p>
    <w:p w14:paraId="0B6FDF47" w14:textId="1EDEE01A" w:rsidR="0026795D" w:rsidRPr="00D60EF7" w:rsidRDefault="0026795D" w:rsidP="00D60EF7">
      <w:pPr>
        <w:pStyle w:val="TableHeading"/>
        <w:rPr>
          <w:lang w:val="en-AU"/>
        </w:rPr>
      </w:pPr>
      <w:r w:rsidRPr="00D60EF7">
        <w:t>Table 2.</w:t>
      </w:r>
      <w:r w:rsidR="00D60EF7">
        <w:rPr>
          <w:lang w:val="en-AU"/>
        </w:rPr>
        <w:t>1</w:t>
      </w:r>
      <w:r w:rsidRPr="00D60EF7">
        <w:t xml:space="preserve">.1: Budgeted expenses for Outcome </w:t>
      </w:r>
      <w:r w:rsidR="00D60EF7">
        <w:rPr>
          <w:lang w:val="en-AU"/>
        </w:rPr>
        <w:t>1</w:t>
      </w:r>
    </w:p>
    <w:p w14:paraId="5DD5522D" w14:textId="1A2A8BA9" w:rsidR="0026795D" w:rsidRDefault="00D863FD" w:rsidP="0026795D">
      <w:pPr>
        <w:pStyle w:val="TableHeading"/>
      </w:pPr>
      <w:r w:rsidRPr="00D863FD">
        <w:rPr>
          <w:noProof/>
        </w:rPr>
        <w:drawing>
          <wp:inline distT="0" distB="0" distL="0" distR="0" wp14:anchorId="10ABACDC" wp14:editId="3D344AE8">
            <wp:extent cx="4819650" cy="3752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819650" cy="3752850"/>
                    </a:xfrm>
                    <a:prstGeom prst="rect">
                      <a:avLst/>
                    </a:prstGeom>
                    <a:noFill/>
                    <a:ln>
                      <a:noFill/>
                    </a:ln>
                  </pic:spPr>
                </pic:pic>
              </a:graphicData>
            </a:graphic>
          </wp:inline>
        </w:drawing>
      </w:r>
    </w:p>
    <w:p w14:paraId="47789C47" w14:textId="44920245" w:rsidR="00814481" w:rsidRPr="00C354BB" w:rsidRDefault="00C354BB" w:rsidP="00C354BB">
      <w:pPr>
        <w:pStyle w:val="Source"/>
        <w:rPr>
          <w:lang w:eastAsia="x-none"/>
        </w:rPr>
      </w:pPr>
      <w:r>
        <w:rPr>
          <w:lang w:eastAsia="x-none"/>
        </w:rPr>
        <w:t xml:space="preserve">Table </w:t>
      </w:r>
      <w:proofErr w:type="gramStart"/>
      <w:r>
        <w:rPr>
          <w:lang w:eastAsia="x-none"/>
        </w:rPr>
        <w:t>continued on</w:t>
      </w:r>
      <w:proofErr w:type="gramEnd"/>
      <w:r>
        <w:rPr>
          <w:lang w:eastAsia="x-none"/>
        </w:rPr>
        <w:t xml:space="preserve"> the next page. </w:t>
      </w:r>
    </w:p>
    <w:p w14:paraId="749AD45B" w14:textId="51F78990" w:rsidR="00814481" w:rsidRDefault="00814481">
      <w:pPr>
        <w:spacing w:after="0" w:line="240" w:lineRule="auto"/>
        <w:jc w:val="left"/>
        <w:rPr>
          <w:lang w:val="x-none" w:eastAsia="x-none"/>
        </w:rPr>
      </w:pPr>
      <w:r>
        <w:rPr>
          <w:lang w:val="x-none" w:eastAsia="x-none"/>
        </w:rPr>
        <w:br w:type="page"/>
      </w:r>
    </w:p>
    <w:p w14:paraId="3D30E6B9" w14:textId="12AF2418" w:rsidR="00814481" w:rsidRPr="00814481" w:rsidRDefault="00814481" w:rsidP="00814481">
      <w:pPr>
        <w:pStyle w:val="TableHeading"/>
      </w:pPr>
      <w:r w:rsidRPr="00D60EF7">
        <w:t>Table 2.</w:t>
      </w:r>
      <w:r w:rsidRPr="00814481">
        <w:t>1</w:t>
      </w:r>
      <w:r w:rsidRPr="00D60EF7">
        <w:t xml:space="preserve">.1: Budgeted expenses for Outcome </w:t>
      </w:r>
      <w:r w:rsidRPr="00814481">
        <w:t>1 (continued)</w:t>
      </w:r>
    </w:p>
    <w:p w14:paraId="206528AA" w14:textId="1D9A07BD" w:rsidR="00814481" w:rsidRPr="00814481" w:rsidRDefault="00D863FD" w:rsidP="00814481">
      <w:pPr>
        <w:pStyle w:val="TableHeading"/>
      </w:pPr>
      <w:r w:rsidRPr="00D863FD">
        <w:rPr>
          <w:noProof/>
        </w:rPr>
        <w:drawing>
          <wp:inline distT="0" distB="0" distL="0" distR="0" wp14:anchorId="0C51420E" wp14:editId="27A26F71">
            <wp:extent cx="4819650" cy="2028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819650" cy="2028825"/>
                    </a:xfrm>
                    <a:prstGeom prst="rect">
                      <a:avLst/>
                    </a:prstGeom>
                    <a:noFill/>
                    <a:ln>
                      <a:noFill/>
                    </a:ln>
                  </pic:spPr>
                </pic:pic>
              </a:graphicData>
            </a:graphic>
          </wp:inline>
        </w:drawing>
      </w:r>
    </w:p>
    <w:p w14:paraId="2418D84E" w14:textId="77777777" w:rsidR="0026795D" w:rsidRPr="00950281" w:rsidRDefault="0026795D" w:rsidP="00091F80">
      <w:pPr>
        <w:pStyle w:val="ChartandTableFootnoteAlpha"/>
        <w:numPr>
          <w:ilvl w:val="0"/>
          <w:numId w:val="22"/>
        </w:numPr>
      </w:pPr>
      <w:r w:rsidRPr="00950281">
        <w:t>E</w:t>
      </w:r>
      <w:r>
        <w:t>stimated e</w:t>
      </w:r>
      <w:r w:rsidRPr="00950281">
        <w:t xml:space="preserve">xpenses </w:t>
      </w:r>
      <w:r>
        <w:t>incurred in relation to receipts retained under section 74 of the PGPA Act</w:t>
      </w:r>
      <w:r w:rsidRPr="006922DC">
        <w:t>.</w:t>
      </w:r>
    </w:p>
    <w:p w14:paraId="6B2ECFA7" w14:textId="7F049181" w:rsidR="0026795D" w:rsidRPr="00C43DF8" w:rsidRDefault="0026795D" w:rsidP="00D60EF7">
      <w:pPr>
        <w:pStyle w:val="ChartandTableFootnoteAlpha"/>
      </w:pPr>
      <w:r w:rsidRPr="00950281">
        <w:t>Expenses not requiring appropriation in the Budget year are made up of depreciation expenses</w:t>
      </w:r>
      <w:r w:rsidR="00D60EF7">
        <w:t>.</w:t>
      </w:r>
    </w:p>
    <w:p w14:paraId="402343A0" w14:textId="7C256D62" w:rsidR="0026795D" w:rsidRPr="00446612" w:rsidRDefault="0026795D" w:rsidP="00D60EF7">
      <w:pPr>
        <w:pStyle w:val="ChartandTableFootnote"/>
      </w:pPr>
      <w:r w:rsidRPr="00446612">
        <w:t>Note: Departmental appropriation splits and totals are indicative estimates and may change in the course of the budget year as government priorities change.</w:t>
      </w:r>
    </w:p>
    <w:p w14:paraId="798E8A6D" w14:textId="77777777" w:rsidR="00D60EF7" w:rsidRDefault="00D60EF7">
      <w:pPr>
        <w:spacing w:after="0" w:line="240" w:lineRule="auto"/>
        <w:jc w:val="left"/>
        <w:rPr>
          <w:i/>
          <w:color w:val="FF0000"/>
          <w:lang w:val="x-none" w:eastAsia="x-none"/>
        </w:rPr>
      </w:pPr>
      <w:r>
        <w:br w:type="page"/>
      </w:r>
    </w:p>
    <w:p w14:paraId="2B6EC5D7" w14:textId="2C43B02F" w:rsidR="0026795D" w:rsidRDefault="0026795D" w:rsidP="0026795D">
      <w:pPr>
        <w:pStyle w:val="Heading2"/>
      </w:pPr>
      <w:bookmarkStart w:id="336" w:name="_Toc95217815"/>
      <w:bookmarkStart w:id="337" w:name="_Toc95217879"/>
      <w:bookmarkStart w:id="338" w:name="_Toc95229706"/>
      <w:bookmarkStart w:id="339" w:name="_Toc95289013"/>
      <w:bookmarkStart w:id="340" w:name="_Toc95293774"/>
      <w:bookmarkStart w:id="341" w:name="_Toc97540663"/>
      <w:bookmarkStart w:id="342" w:name="_Toc99111665"/>
      <w:r w:rsidRPr="00AD42E2">
        <w:t>Section 3: Budgeted financial statements</w:t>
      </w:r>
      <w:bookmarkEnd w:id="336"/>
      <w:bookmarkEnd w:id="337"/>
      <w:bookmarkEnd w:id="338"/>
      <w:bookmarkEnd w:id="339"/>
      <w:bookmarkEnd w:id="340"/>
      <w:bookmarkEnd w:id="341"/>
      <w:bookmarkEnd w:id="342"/>
    </w:p>
    <w:p w14:paraId="15C01C2F" w14:textId="3A53E486" w:rsidR="0026795D" w:rsidRDefault="0026795D" w:rsidP="00D60EF7">
      <w:r>
        <w:t>Section 3 presents budgeted financial statements which provide a comprehensive snapshot of entity finances for the 2022</w:t>
      </w:r>
      <w:r w:rsidR="00437DA8">
        <w:t>–</w:t>
      </w:r>
      <w:r>
        <w:t>2</w:t>
      </w:r>
      <w:r w:rsidR="00437DA8">
        <w:t>3 Bu</w:t>
      </w:r>
      <w:r>
        <w:t xml:space="preserve">dget year, including the impact of </w:t>
      </w:r>
      <w:r w:rsidR="00437DA8">
        <w:t>B</w:t>
      </w:r>
      <w:r>
        <w:t>udget measures and resourcing on financial statements.</w:t>
      </w:r>
    </w:p>
    <w:p w14:paraId="3811DAF8" w14:textId="77777777" w:rsidR="00490DD2" w:rsidRPr="005328A9" w:rsidRDefault="0026795D" w:rsidP="00490DD2">
      <w:pPr>
        <w:pStyle w:val="Heading3"/>
      </w:pPr>
      <w:r>
        <w:br w:type="page"/>
      </w:r>
      <w:bookmarkStart w:id="343" w:name="_Toc99111666"/>
      <w:r w:rsidR="00490DD2" w:rsidRPr="005328A9">
        <w:t>3.1</w:t>
      </w:r>
      <w:r w:rsidR="00490DD2" w:rsidRPr="005328A9">
        <w:tab/>
        <w:t>Budgeted financial statements</w:t>
      </w:r>
      <w:bookmarkEnd w:id="343"/>
    </w:p>
    <w:p w14:paraId="06060621" w14:textId="200A3509" w:rsidR="0026795D" w:rsidRDefault="0026795D" w:rsidP="0026795D">
      <w:pPr>
        <w:jc w:val="left"/>
      </w:pPr>
      <w:r w:rsidRPr="00D232B7">
        <w:rPr>
          <w:rStyle w:val="TableHeadingChar"/>
        </w:rPr>
        <w:t>3.2.</w:t>
      </w:r>
      <w:r w:rsidRPr="00D232B7">
        <w:rPr>
          <w:rStyle w:val="TableHeadingChar"/>
        </w:rPr>
        <w:tab/>
        <w:t>Budgeted financial statements tables</w:t>
      </w:r>
    </w:p>
    <w:p w14:paraId="3025C54E" w14:textId="77777777" w:rsidR="0026795D" w:rsidRDefault="0026795D" w:rsidP="0026795D">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340F0659" w14:textId="50479BFF" w:rsidR="0026795D" w:rsidRPr="00053EF7" w:rsidRDefault="00D863FD" w:rsidP="0026795D">
      <w:pPr>
        <w:pStyle w:val="TableGraphic"/>
        <w:rPr>
          <w:color w:val="FF0000"/>
        </w:rPr>
      </w:pPr>
      <w:r w:rsidRPr="00D863FD">
        <w:rPr>
          <w:noProof/>
        </w:rPr>
        <w:drawing>
          <wp:inline distT="0" distB="0" distL="0" distR="0" wp14:anchorId="22B72279" wp14:editId="7EDF1C24">
            <wp:extent cx="4819650" cy="2581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819650" cy="2581275"/>
                    </a:xfrm>
                    <a:prstGeom prst="rect">
                      <a:avLst/>
                    </a:prstGeom>
                    <a:noFill/>
                    <a:ln>
                      <a:noFill/>
                    </a:ln>
                  </pic:spPr>
                </pic:pic>
              </a:graphicData>
            </a:graphic>
          </wp:inline>
        </w:drawing>
      </w:r>
      <w:r w:rsidR="00814481" w:rsidRPr="00814481">
        <w:t xml:space="preserve"> </w:t>
      </w:r>
    </w:p>
    <w:p w14:paraId="30BD3B9B" w14:textId="77777777" w:rsidR="00814481" w:rsidRDefault="00814481" w:rsidP="0026795D">
      <w:pPr>
        <w:pStyle w:val="TableHeadingNoTable"/>
        <w:spacing w:after="0"/>
      </w:pPr>
    </w:p>
    <w:p w14:paraId="14EBD31D" w14:textId="6A393BEF" w:rsidR="0026795D" w:rsidRPr="003819E1" w:rsidRDefault="0026795D" w:rsidP="0026795D">
      <w:pPr>
        <w:pStyle w:val="TableHeadingNoTable"/>
        <w:spacing w:after="0"/>
      </w:pPr>
      <w:r w:rsidRPr="003819E1">
        <w:t>Note: Impact of net cash appropriation arrangements</w:t>
      </w:r>
    </w:p>
    <w:p w14:paraId="608D5F70" w14:textId="6CBED177" w:rsidR="00814481" w:rsidRDefault="00D863FD" w:rsidP="00814481">
      <w:pPr>
        <w:pStyle w:val="TableGraphic"/>
      </w:pPr>
      <w:r w:rsidRPr="00D863FD">
        <w:rPr>
          <w:noProof/>
        </w:rPr>
        <w:drawing>
          <wp:inline distT="0" distB="0" distL="0" distR="0" wp14:anchorId="63534A14" wp14:editId="321863F1">
            <wp:extent cx="4819650" cy="1762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819650" cy="1762125"/>
                    </a:xfrm>
                    <a:prstGeom prst="rect">
                      <a:avLst/>
                    </a:prstGeom>
                    <a:noFill/>
                    <a:ln>
                      <a:noFill/>
                    </a:ln>
                  </pic:spPr>
                </pic:pic>
              </a:graphicData>
            </a:graphic>
          </wp:inline>
        </w:drawing>
      </w:r>
      <w:r w:rsidR="00814481" w:rsidRPr="00814481">
        <w:t xml:space="preserve"> </w:t>
      </w:r>
    </w:p>
    <w:p w14:paraId="73053906" w14:textId="3AD9B4E3" w:rsidR="00005138" w:rsidRDefault="00005138" w:rsidP="00005138">
      <w:pPr>
        <w:pStyle w:val="ChartandTableFootnoteAlpha"/>
        <w:numPr>
          <w:ilvl w:val="0"/>
          <w:numId w:val="0"/>
        </w:numPr>
        <w:ind w:left="284" w:hanging="284"/>
        <w:rPr>
          <w:rFonts w:cs="Arial"/>
        </w:rPr>
      </w:pPr>
      <w:r w:rsidRPr="009D54F3">
        <w:rPr>
          <w:rFonts w:cs="Arial"/>
        </w:rPr>
        <w:t>Prepared on Australian Accounting Standards basis</w:t>
      </w:r>
      <w:r>
        <w:rPr>
          <w:rFonts w:cs="Arial"/>
        </w:rPr>
        <w:t>.</w:t>
      </w:r>
    </w:p>
    <w:p w14:paraId="039F2B68" w14:textId="6AD7C749" w:rsidR="00053EF7" w:rsidRPr="00814481" w:rsidRDefault="00053EF7" w:rsidP="00091F80">
      <w:pPr>
        <w:pStyle w:val="ChartandTableFootnoteAlpha"/>
        <w:numPr>
          <w:ilvl w:val="0"/>
          <w:numId w:val="55"/>
        </w:numPr>
        <w:rPr>
          <w:rFonts w:cs="Arial"/>
        </w:rPr>
      </w:pPr>
      <w:r w:rsidRPr="00814481">
        <w:rPr>
          <w:rFonts w:cs="Arial"/>
        </w:rPr>
        <w:t>Includes depreciation on ROU assets.</w:t>
      </w:r>
    </w:p>
    <w:p w14:paraId="176A4C23" w14:textId="77777777" w:rsidR="00814481" w:rsidRPr="00124728" w:rsidRDefault="00814481" w:rsidP="00814481">
      <w:pPr>
        <w:pStyle w:val="ChartandTableFootnoteAlpha"/>
      </w:pPr>
      <w:r w:rsidRPr="00124728">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w:t>
      </w:r>
    </w:p>
    <w:p w14:paraId="110A828D" w14:textId="00492387" w:rsidR="0026795D" w:rsidRDefault="0026795D" w:rsidP="0026795D">
      <w:pPr>
        <w:pStyle w:val="Source"/>
        <w:rPr>
          <w:rFonts w:cs="Arial"/>
        </w:rPr>
      </w:pPr>
    </w:p>
    <w:p w14:paraId="344A5106" w14:textId="77777777" w:rsidR="0026795D" w:rsidRDefault="0026795D" w:rsidP="0026795D">
      <w:pPr>
        <w:pStyle w:val="TableHeading"/>
      </w:pPr>
      <w:r>
        <w:br w:type="page"/>
      </w:r>
      <w:r w:rsidRPr="00E4582E">
        <w:t>Table</w:t>
      </w:r>
      <w:r>
        <w:t xml:space="preserve"> 3.</w:t>
      </w:r>
      <w:r w:rsidRPr="00E4582E">
        <w:t>2: Budg</w:t>
      </w:r>
      <w:r>
        <w:t xml:space="preserve">eted departmental balance sheet </w:t>
      </w:r>
      <w:r w:rsidRPr="00E4582E">
        <w:t>(as at 30 June)</w:t>
      </w:r>
    </w:p>
    <w:p w14:paraId="28135B79" w14:textId="1200B647" w:rsidR="0026795D" w:rsidRDefault="00D863FD" w:rsidP="0026795D">
      <w:pPr>
        <w:pStyle w:val="TableGraphic"/>
      </w:pPr>
      <w:r w:rsidRPr="00D863FD">
        <w:rPr>
          <w:noProof/>
        </w:rPr>
        <w:drawing>
          <wp:inline distT="0" distB="0" distL="0" distR="0" wp14:anchorId="4E0EB568" wp14:editId="0BC14F02">
            <wp:extent cx="4819650" cy="3009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819650" cy="3009900"/>
                    </a:xfrm>
                    <a:prstGeom prst="rect">
                      <a:avLst/>
                    </a:prstGeom>
                    <a:noFill/>
                    <a:ln>
                      <a:noFill/>
                    </a:ln>
                  </pic:spPr>
                </pic:pic>
              </a:graphicData>
            </a:graphic>
          </wp:inline>
        </w:drawing>
      </w:r>
    </w:p>
    <w:p w14:paraId="09A8E855" w14:textId="77777777" w:rsidR="0026795D" w:rsidRPr="00132F9E" w:rsidRDefault="0026795D" w:rsidP="0026795D">
      <w:pPr>
        <w:pStyle w:val="Source"/>
        <w:rPr>
          <w:rFonts w:cs="Arial"/>
        </w:rPr>
      </w:pPr>
      <w:r w:rsidRPr="00132F9E">
        <w:rPr>
          <w:rFonts w:cs="Arial"/>
        </w:rPr>
        <w:t>Prepared on Australian Accounting Standards basis.</w:t>
      </w:r>
    </w:p>
    <w:p w14:paraId="2FE5C146" w14:textId="77777777" w:rsidR="0026795D" w:rsidRPr="00132F9E" w:rsidRDefault="0026795D" w:rsidP="0026795D">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1C345D58" w14:textId="77777777" w:rsidR="0026795D" w:rsidRPr="00152B2B" w:rsidRDefault="0026795D" w:rsidP="0026795D"/>
    <w:p w14:paraId="1FEDB450" w14:textId="77777777" w:rsidR="0026795D" w:rsidRPr="00152B2B" w:rsidRDefault="0026795D" w:rsidP="0026795D"/>
    <w:p w14:paraId="7D2B3581" w14:textId="77777777" w:rsidR="0026795D" w:rsidRDefault="0026795D" w:rsidP="0026795D">
      <w:pPr>
        <w:pStyle w:val="TableHeading"/>
        <w:rPr>
          <w:rFonts w:ascii="Times New Roman" w:hAnsi="Times New Roman"/>
        </w:rPr>
      </w:pPr>
      <w:r>
        <w:br w:type="page"/>
      </w:r>
      <w:r w:rsidRPr="00AD42E2">
        <w:t>Table 3.3: Departmental statement of changes in equity — summary of</w:t>
      </w:r>
      <w:r>
        <w:t xml:space="preserve"> movement (Budget year </w:t>
      </w:r>
      <w:r>
        <w:rPr>
          <w:lang w:val="en-AU"/>
        </w:rPr>
        <w:t>2022-23</w:t>
      </w:r>
      <w:r w:rsidRPr="00D30CBA">
        <w:t>)</w:t>
      </w: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14:paraId="7DB08AE6" w14:textId="6065479C" w:rsidR="0026795D" w:rsidRDefault="0026795D" w:rsidP="0026795D">
      <w:pPr>
        <w:pStyle w:val="TableGraphic"/>
      </w:pPr>
      <w:r>
        <w:fldChar w:fldCharType="end"/>
      </w:r>
      <w:r w:rsidRPr="002376AD">
        <w:t xml:space="preserve"> </w:t>
      </w:r>
      <w:r w:rsidR="00D863FD" w:rsidRPr="00D863FD">
        <w:rPr>
          <w:noProof/>
        </w:rPr>
        <w:drawing>
          <wp:inline distT="0" distB="0" distL="0" distR="0" wp14:anchorId="05F8830C" wp14:editId="5E70EA50">
            <wp:extent cx="4895850" cy="33750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895850" cy="3375025"/>
                    </a:xfrm>
                    <a:prstGeom prst="rect">
                      <a:avLst/>
                    </a:prstGeom>
                    <a:noFill/>
                    <a:ln>
                      <a:noFill/>
                    </a:ln>
                  </pic:spPr>
                </pic:pic>
              </a:graphicData>
            </a:graphic>
          </wp:inline>
        </w:drawing>
      </w:r>
    </w:p>
    <w:p w14:paraId="78CD8F44" w14:textId="38F00435" w:rsidR="0026795D" w:rsidRPr="00132F9E" w:rsidRDefault="0026795D" w:rsidP="0026795D">
      <w:pPr>
        <w:pStyle w:val="TableGraphic"/>
        <w:rPr>
          <w:rFonts w:ascii="Arial" w:hAnsi="Arial" w:cs="Arial"/>
          <w:sz w:val="16"/>
          <w:szCs w:val="16"/>
        </w:rPr>
      </w:pPr>
      <w:r w:rsidRPr="00D606C2">
        <w:rPr>
          <w:rFonts w:ascii="Arial" w:hAnsi="Arial" w:cs="Arial"/>
          <w:sz w:val="16"/>
        </w:rPr>
        <w:t>Prepared on Australian Accounting Standards basis</w:t>
      </w:r>
      <w:r w:rsidR="00053EF7">
        <w:rPr>
          <w:rFonts w:ascii="Arial" w:hAnsi="Arial" w:cs="Arial"/>
          <w:sz w:val="16"/>
        </w:rPr>
        <w:t>.</w:t>
      </w:r>
    </w:p>
    <w:p w14:paraId="2D057773" w14:textId="77777777" w:rsidR="0026795D" w:rsidRPr="00152B2B" w:rsidRDefault="0026795D" w:rsidP="0026795D"/>
    <w:p w14:paraId="45C439C4" w14:textId="77777777" w:rsidR="0026795D" w:rsidRPr="00A00283" w:rsidRDefault="0026795D" w:rsidP="0026795D">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1D869EFF" w14:textId="6A7E2292" w:rsidR="0026795D" w:rsidRDefault="00D863FD" w:rsidP="0026795D">
      <w:pPr>
        <w:pStyle w:val="TableGraphic"/>
      </w:pPr>
      <w:r w:rsidRPr="00D863FD">
        <w:rPr>
          <w:noProof/>
        </w:rPr>
        <w:drawing>
          <wp:inline distT="0" distB="0" distL="0" distR="0" wp14:anchorId="79845896" wp14:editId="73B7BA97">
            <wp:extent cx="4819650" cy="3295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819650" cy="3295650"/>
                    </a:xfrm>
                    <a:prstGeom prst="rect">
                      <a:avLst/>
                    </a:prstGeom>
                    <a:noFill/>
                    <a:ln>
                      <a:noFill/>
                    </a:ln>
                  </pic:spPr>
                </pic:pic>
              </a:graphicData>
            </a:graphic>
          </wp:inline>
        </w:drawing>
      </w:r>
    </w:p>
    <w:p w14:paraId="508E6637" w14:textId="77777777" w:rsidR="0026795D" w:rsidRPr="00132F9E" w:rsidRDefault="0026795D" w:rsidP="0026795D">
      <w:pPr>
        <w:pStyle w:val="TableGraphic"/>
        <w:rPr>
          <w:rFonts w:ascii="Arial" w:hAnsi="Arial" w:cs="Arial"/>
          <w:sz w:val="16"/>
          <w:szCs w:val="16"/>
        </w:rPr>
      </w:pPr>
      <w:r w:rsidRPr="00132F9E">
        <w:rPr>
          <w:rFonts w:ascii="Arial" w:hAnsi="Arial" w:cs="Arial"/>
          <w:sz w:val="16"/>
          <w:szCs w:val="16"/>
        </w:rPr>
        <w:t>Prepared on Australian Accounting Standards basis.</w:t>
      </w:r>
    </w:p>
    <w:p w14:paraId="01F4340F" w14:textId="77777777" w:rsidR="0026795D" w:rsidRPr="00132F9E" w:rsidRDefault="0026795D" w:rsidP="0026795D">
      <w:pPr>
        <w:pStyle w:val="NoSpacing"/>
        <w:rPr>
          <w:rFonts w:ascii="Arial" w:hAnsi="Arial" w:cs="Arial"/>
          <w:sz w:val="16"/>
          <w:szCs w:val="16"/>
        </w:rPr>
      </w:pPr>
    </w:p>
    <w:p w14:paraId="1E4DAF40" w14:textId="307A4861" w:rsidR="0026795D" w:rsidRPr="005C474C" w:rsidRDefault="0026795D" w:rsidP="00D60EF7">
      <w:pPr>
        <w:pStyle w:val="TableHeading"/>
      </w:pPr>
    </w:p>
    <w:p w14:paraId="2548FAA6" w14:textId="77777777" w:rsidR="0026795D" w:rsidRPr="005B6A94" w:rsidRDefault="0026795D" w:rsidP="0026795D">
      <w:pPr>
        <w:pStyle w:val="ExampleText0"/>
        <w:rPr>
          <w:i w:val="0"/>
        </w:rPr>
        <w:sectPr w:rsidR="0026795D" w:rsidRPr="005B6A94" w:rsidSect="00503FD8">
          <w:headerReference w:type="even" r:id="rId174"/>
          <w:headerReference w:type="default" r:id="rId175"/>
          <w:footerReference w:type="even" r:id="rId176"/>
          <w:footerReference w:type="default" r:id="rId177"/>
          <w:headerReference w:type="first" r:id="rId178"/>
          <w:footerReference w:type="first" r:id="rId179"/>
          <w:pgSz w:w="11906" w:h="16838" w:code="9"/>
          <w:pgMar w:top="2835" w:right="2098" w:bottom="2466" w:left="2098" w:header="1814" w:footer="1814" w:gutter="0"/>
          <w:cols w:space="708"/>
          <w:titlePg/>
          <w:docGrid w:linePitch="360"/>
        </w:sectPr>
      </w:pPr>
    </w:p>
    <w:p w14:paraId="30909182" w14:textId="6A90F867" w:rsidR="0026795D" w:rsidRPr="005A7C0B" w:rsidRDefault="00135D56" w:rsidP="0026795D">
      <w:pPr>
        <w:pStyle w:val="PartHeading"/>
      </w:pPr>
      <w:r>
        <w:t>Tourism Australia</w:t>
      </w:r>
    </w:p>
    <w:p w14:paraId="352AEB23" w14:textId="77777777" w:rsidR="0026795D" w:rsidRDefault="0026795D" w:rsidP="0026795D">
      <w:pPr>
        <w:pStyle w:val="PartHeading"/>
      </w:pPr>
    </w:p>
    <w:p w14:paraId="4A8B7F6C" w14:textId="77777777" w:rsidR="0026795D" w:rsidRDefault="0026795D" w:rsidP="0026795D">
      <w:pPr>
        <w:pStyle w:val="PartHeading"/>
      </w:pPr>
    </w:p>
    <w:p w14:paraId="64A426AD" w14:textId="77777777" w:rsidR="0026795D" w:rsidRDefault="0026795D" w:rsidP="0026795D">
      <w:pPr>
        <w:pStyle w:val="PartHeading-TOC"/>
      </w:pPr>
      <w:bookmarkStart w:id="344" w:name="_Toc95215537"/>
      <w:bookmarkStart w:id="345" w:name="_Toc95217547"/>
      <w:r>
        <w:t>Entity resources and planned performance</w:t>
      </w:r>
      <w:bookmarkEnd w:id="344"/>
      <w:bookmarkEnd w:id="345"/>
    </w:p>
    <w:p w14:paraId="086CAFE4" w14:textId="77777777" w:rsidR="0026795D" w:rsidRDefault="0026795D" w:rsidP="0026795D">
      <w:pPr>
        <w:pStyle w:val="PartHeading"/>
        <w:sectPr w:rsidR="0026795D" w:rsidSect="00782467">
          <w:footerReference w:type="first" r:id="rId180"/>
          <w:type w:val="oddPage"/>
          <w:pgSz w:w="11906" w:h="16838" w:code="9"/>
          <w:pgMar w:top="2835" w:right="2098" w:bottom="2466" w:left="2098" w:header="1814" w:footer="1814" w:gutter="0"/>
          <w:cols w:space="708"/>
          <w:vAlign w:val="center"/>
          <w:titlePg/>
          <w:docGrid w:linePitch="360"/>
        </w:sectPr>
      </w:pPr>
    </w:p>
    <w:p w14:paraId="4CA466AA" w14:textId="69C65FBA" w:rsidR="0026795D" w:rsidRPr="002A32FD" w:rsidRDefault="00135D56" w:rsidP="0026795D">
      <w:pPr>
        <w:pStyle w:val="ContentsHeading"/>
      </w:pPr>
      <w:r>
        <w:t>Tourism Australia</w:t>
      </w:r>
    </w:p>
    <w:p w14:paraId="06BBAFD9" w14:textId="13B0C5A4" w:rsidR="00D60EF7" w:rsidRDefault="0026795D">
      <w:pPr>
        <w:pStyle w:val="TOC1"/>
        <w:rPr>
          <w:rFonts w:asciiTheme="minorHAnsi" w:eastAsiaTheme="minorEastAsia" w:hAnsiTheme="minorHAnsi" w:cstheme="minorBidi"/>
          <w:b w:val="0"/>
          <w:caps w:val="0"/>
          <w:noProof/>
          <w:sz w:val="22"/>
          <w:szCs w:val="22"/>
          <w:lang w:eastAsia="ja-JP"/>
        </w:rPr>
      </w:pPr>
      <w:r>
        <w:fldChar w:fldCharType="begin"/>
      </w:r>
      <w:r>
        <w:instrText xml:space="preserve"> TOC \h \z \t "Heading 2,1,Heading 3,2" </w:instrText>
      </w:r>
      <w:r>
        <w:fldChar w:fldCharType="separate"/>
      </w:r>
      <w:hyperlink w:anchor="_Toc95293775" w:history="1">
        <w:r w:rsidR="00D60EF7" w:rsidRPr="00B17BE2">
          <w:rPr>
            <w:rStyle w:val="Hyperlink"/>
            <w:noProof/>
          </w:rPr>
          <w:t>Section 1: Entity overview and resources</w:t>
        </w:r>
        <w:r w:rsidR="00D60EF7">
          <w:rPr>
            <w:noProof/>
            <w:webHidden/>
          </w:rPr>
          <w:tab/>
        </w:r>
        <w:r w:rsidR="00D60EF7">
          <w:rPr>
            <w:noProof/>
            <w:webHidden/>
          </w:rPr>
          <w:fldChar w:fldCharType="begin"/>
        </w:r>
        <w:r w:rsidR="00D60EF7">
          <w:rPr>
            <w:noProof/>
            <w:webHidden/>
          </w:rPr>
          <w:instrText xml:space="preserve"> PAGEREF _Toc95293775 \h </w:instrText>
        </w:r>
        <w:r w:rsidR="00D60EF7">
          <w:rPr>
            <w:noProof/>
            <w:webHidden/>
          </w:rPr>
        </w:r>
        <w:r w:rsidR="00D60EF7">
          <w:rPr>
            <w:noProof/>
            <w:webHidden/>
          </w:rPr>
          <w:fldChar w:fldCharType="separate"/>
        </w:r>
        <w:r w:rsidR="00400ED5">
          <w:rPr>
            <w:noProof/>
            <w:webHidden/>
          </w:rPr>
          <w:t>149</w:t>
        </w:r>
        <w:r w:rsidR="00D60EF7">
          <w:rPr>
            <w:noProof/>
            <w:webHidden/>
          </w:rPr>
          <w:fldChar w:fldCharType="end"/>
        </w:r>
      </w:hyperlink>
    </w:p>
    <w:p w14:paraId="6955CF94" w14:textId="725F62C1" w:rsidR="00D60EF7" w:rsidRDefault="000F6D08">
      <w:pPr>
        <w:pStyle w:val="TOC2"/>
        <w:tabs>
          <w:tab w:val="left" w:pos="800"/>
        </w:tabs>
        <w:rPr>
          <w:rFonts w:asciiTheme="minorHAnsi" w:eastAsiaTheme="minorEastAsia" w:hAnsiTheme="minorHAnsi" w:cstheme="minorBidi"/>
          <w:noProof/>
          <w:sz w:val="22"/>
          <w:szCs w:val="22"/>
          <w:lang w:eastAsia="ja-JP"/>
        </w:rPr>
      </w:pPr>
      <w:hyperlink w:anchor="_Toc95293776" w:history="1">
        <w:r w:rsidR="00D60EF7" w:rsidRPr="00B17BE2">
          <w:rPr>
            <w:rStyle w:val="Hyperlink"/>
            <w:noProof/>
          </w:rPr>
          <w:t>1.1</w:t>
        </w:r>
        <w:r w:rsidR="00D60EF7">
          <w:rPr>
            <w:rFonts w:asciiTheme="minorHAnsi" w:eastAsiaTheme="minorEastAsia" w:hAnsiTheme="minorHAnsi" w:cstheme="minorBidi"/>
            <w:noProof/>
            <w:sz w:val="22"/>
            <w:szCs w:val="22"/>
            <w:lang w:eastAsia="ja-JP"/>
          </w:rPr>
          <w:tab/>
        </w:r>
        <w:r w:rsidR="00D60EF7" w:rsidRPr="00B17BE2">
          <w:rPr>
            <w:rStyle w:val="Hyperlink"/>
            <w:noProof/>
          </w:rPr>
          <w:t>Strategic direction statement</w:t>
        </w:r>
        <w:r w:rsidR="00D60EF7">
          <w:rPr>
            <w:noProof/>
            <w:webHidden/>
          </w:rPr>
          <w:tab/>
        </w:r>
        <w:r w:rsidR="00D60EF7">
          <w:rPr>
            <w:noProof/>
            <w:webHidden/>
          </w:rPr>
          <w:fldChar w:fldCharType="begin"/>
        </w:r>
        <w:r w:rsidR="00D60EF7">
          <w:rPr>
            <w:noProof/>
            <w:webHidden/>
          </w:rPr>
          <w:instrText xml:space="preserve"> PAGEREF _Toc95293776 \h </w:instrText>
        </w:r>
        <w:r w:rsidR="00D60EF7">
          <w:rPr>
            <w:noProof/>
            <w:webHidden/>
          </w:rPr>
        </w:r>
        <w:r w:rsidR="00D60EF7">
          <w:rPr>
            <w:noProof/>
            <w:webHidden/>
          </w:rPr>
          <w:fldChar w:fldCharType="separate"/>
        </w:r>
        <w:r w:rsidR="00400ED5">
          <w:rPr>
            <w:noProof/>
            <w:webHidden/>
          </w:rPr>
          <w:t>149</w:t>
        </w:r>
        <w:r w:rsidR="00D60EF7">
          <w:rPr>
            <w:noProof/>
            <w:webHidden/>
          </w:rPr>
          <w:fldChar w:fldCharType="end"/>
        </w:r>
      </w:hyperlink>
    </w:p>
    <w:p w14:paraId="1C094001" w14:textId="088E23B2" w:rsidR="00D60EF7" w:rsidRDefault="000F6D08">
      <w:pPr>
        <w:pStyle w:val="TOC2"/>
        <w:tabs>
          <w:tab w:val="left" w:pos="800"/>
        </w:tabs>
        <w:rPr>
          <w:rFonts w:asciiTheme="minorHAnsi" w:eastAsiaTheme="minorEastAsia" w:hAnsiTheme="minorHAnsi" w:cstheme="minorBidi"/>
          <w:noProof/>
          <w:sz w:val="22"/>
          <w:szCs w:val="22"/>
          <w:lang w:eastAsia="ja-JP"/>
        </w:rPr>
      </w:pPr>
      <w:hyperlink w:anchor="_Toc95293777" w:history="1">
        <w:r w:rsidR="00D60EF7" w:rsidRPr="00B17BE2">
          <w:rPr>
            <w:rStyle w:val="Hyperlink"/>
            <w:noProof/>
          </w:rPr>
          <w:t>1.2</w:t>
        </w:r>
        <w:r w:rsidR="00D60EF7">
          <w:rPr>
            <w:rFonts w:asciiTheme="minorHAnsi" w:eastAsiaTheme="minorEastAsia" w:hAnsiTheme="minorHAnsi" w:cstheme="minorBidi"/>
            <w:noProof/>
            <w:sz w:val="22"/>
            <w:szCs w:val="22"/>
            <w:lang w:eastAsia="ja-JP"/>
          </w:rPr>
          <w:tab/>
        </w:r>
        <w:r w:rsidR="00D60EF7" w:rsidRPr="00B17BE2">
          <w:rPr>
            <w:rStyle w:val="Hyperlink"/>
            <w:noProof/>
          </w:rPr>
          <w:t>Entity resource statement</w:t>
        </w:r>
        <w:r w:rsidR="00D60EF7">
          <w:rPr>
            <w:noProof/>
            <w:webHidden/>
          </w:rPr>
          <w:tab/>
        </w:r>
        <w:r w:rsidR="00D60EF7">
          <w:rPr>
            <w:noProof/>
            <w:webHidden/>
          </w:rPr>
          <w:fldChar w:fldCharType="begin"/>
        </w:r>
        <w:r w:rsidR="00D60EF7">
          <w:rPr>
            <w:noProof/>
            <w:webHidden/>
          </w:rPr>
          <w:instrText xml:space="preserve"> PAGEREF _Toc95293777 \h </w:instrText>
        </w:r>
        <w:r w:rsidR="00D60EF7">
          <w:rPr>
            <w:noProof/>
            <w:webHidden/>
          </w:rPr>
        </w:r>
        <w:r w:rsidR="00D60EF7">
          <w:rPr>
            <w:noProof/>
            <w:webHidden/>
          </w:rPr>
          <w:fldChar w:fldCharType="separate"/>
        </w:r>
        <w:r w:rsidR="00400ED5">
          <w:rPr>
            <w:noProof/>
            <w:webHidden/>
          </w:rPr>
          <w:t>153</w:t>
        </w:r>
        <w:r w:rsidR="00D60EF7">
          <w:rPr>
            <w:noProof/>
            <w:webHidden/>
          </w:rPr>
          <w:fldChar w:fldCharType="end"/>
        </w:r>
      </w:hyperlink>
    </w:p>
    <w:p w14:paraId="29E914AC" w14:textId="12C34C44" w:rsidR="00D60EF7" w:rsidRDefault="000F6D08">
      <w:pPr>
        <w:pStyle w:val="TOC2"/>
        <w:tabs>
          <w:tab w:val="left" w:pos="800"/>
        </w:tabs>
        <w:rPr>
          <w:rFonts w:asciiTheme="minorHAnsi" w:eastAsiaTheme="minorEastAsia" w:hAnsiTheme="minorHAnsi" w:cstheme="minorBidi"/>
          <w:noProof/>
          <w:sz w:val="22"/>
          <w:szCs w:val="22"/>
          <w:lang w:eastAsia="ja-JP"/>
        </w:rPr>
      </w:pPr>
      <w:hyperlink w:anchor="_Toc95293778" w:history="1">
        <w:r w:rsidR="00D60EF7" w:rsidRPr="00B17BE2">
          <w:rPr>
            <w:rStyle w:val="Hyperlink"/>
            <w:noProof/>
          </w:rPr>
          <w:t>1.3</w:t>
        </w:r>
        <w:r w:rsidR="00D60EF7">
          <w:rPr>
            <w:rFonts w:asciiTheme="minorHAnsi" w:eastAsiaTheme="minorEastAsia" w:hAnsiTheme="minorHAnsi" w:cstheme="minorBidi"/>
            <w:noProof/>
            <w:sz w:val="22"/>
            <w:szCs w:val="22"/>
            <w:lang w:eastAsia="ja-JP"/>
          </w:rPr>
          <w:tab/>
        </w:r>
        <w:r w:rsidR="00D60EF7" w:rsidRPr="00B17BE2">
          <w:rPr>
            <w:rStyle w:val="Hyperlink"/>
            <w:noProof/>
          </w:rPr>
          <w:t>Budget measures</w:t>
        </w:r>
        <w:r w:rsidR="00D60EF7">
          <w:rPr>
            <w:noProof/>
            <w:webHidden/>
          </w:rPr>
          <w:tab/>
        </w:r>
        <w:r w:rsidR="00D60EF7">
          <w:rPr>
            <w:noProof/>
            <w:webHidden/>
          </w:rPr>
          <w:fldChar w:fldCharType="begin"/>
        </w:r>
        <w:r w:rsidR="00D60EF7">
          <w:rPr>
            <w:noProof/>
            <w:webHidden/>
          </w:rPr>
          <w:instrText xml:space="preserve"> PAGEREF _Toc95293778 \h </w:instrText>
        </w:r>
        <w:r w:rsidR="00D60EF7">
          <w:rPr>
            <w:noProof/>
            <w:webHidden/>
          </w:rPr>
        </w:r>
        <w:r w:rsidR="00D60EF7">
          <w:rPr>
            <w:noProof/>
            <w:webHidden/>
          </w:rPr>
          <w:fldChar w:fldCharType="separate"/>
        </w:r>
        <w:r w:rsidR="00400ED5">
          <w:rPr>
            <w:noProof/>
            <w:webHidden/>
          </w:rPr>
          <w:t>155</w:t>
        </w:r>
        <w:r w:rsidR="00D60EF7">
          <w:rPr>
            <w:noProof/>
            <w:webHidden/>
          </w:rPr>
          <w:fldChar w:fldCharType="end"/>
        </w:r>
      </w:hyperlink>
    </w:p>
    <w:p w14:paraId="6DCAC7B3" w14:textId="76BD95BC" w:rsidR="00D60EF7" w:rsidRDefault="000F6D08">
      <w:pPr>
        <w:pStyle w:val="TOC1"/>
        <w:rPr>
          <w:rFonts w:asciiTheme="minorHAnsi" w:eastAsiaTheme="minorEastAsia" w:hAnsiTheme="minorHAnsi" w:cstheme="minorBidi"/>
          <w:b w:val="0"/>
          <w:caps w:val="0"/>
          <w:noProof/>
          <w:sz w:val="22"/>
          <w:szCs w:val="22"/>
          <w:lang w:eastAsia="ja-JP"/>
        </w:rPr>
      </w:pPr>
      <w:hyperlink w:anchor="_Toc95293779" w:history="1">
        <w:r w:rsidR="00D60EF7" w:rsidRPr="00B17BE2">
          <w:rPr>
            <w:rStyle w:val="Hyperlink"/>
            <w:noProof/>
          </w:rPr>
          <w:t>Section 2: Outcomes and planned performance</w:t>
        </w:r>
        <w:r w:rsidR="00D60EF7">
          <w:rPr>
            <w:noProof/>
            <w:webHidden/>
          </w:rPr>
          <w:tab/>
        </w:r>
        <w:r w:rsidR="00D60EF7">
          <w:rPr>
            <w:noProof/>
            <w:webHidden/>
          </w:rPr>
          <w:fldChar w:fldCharType="begin"/>
        </w:r>
        <w:r w:rsidR="00D60EF7">
          <w:rPr>
            <w:noProof/>
            <w:webHidden/>
          </w:rPr>
          <w:instrText xml:space="preserve"> PAGEREF _Toc95293779 \h </w:instrText>
        </w:r>
        <w:r w:rsidR="00D60EF7">
          <w:rPr>
            <w:noProof/>
            <w:webHidden/>
          </w:rPr>
        </w:r>
        <w:r w:rsidR="00D60EF7">
          <w:rPr>
            <w:noProof/>
            <w:webHidden/>
          </w:rPr>
          <w:fldChar w:fldCharType="separate"/>
        </w:r>
        <w:r w:rsidR="00400ED5">
          <w:rPr>
            <w:noProof/>
            <w:webHidden/>
          </w:rPr>
          <w:t>156</w:t>
        </w:r>
        <w:r w:rsidR="00D60EF7">
          <w:rPr>
            <w:noProof/>
            <w:webHidden/>
          </w:rPr>
          <w:fldChar w:fldCharType="end"/>
        </w:r>
      </w:hyperlink>
    </w:p>
    <w:p w14:paraId="175C073B" w14:textId="6F503DA9" w:rsidR="00D60EF7" w:rsidRDefault="000F6D08">
      <w:pPr>
        <w:pStyle w:val="TOC2"/>
        <w:tabs>
          <w:tab w:val="left" w:pos="800"/>
        </w:tabs>
        <w:rPr>
          <w:rFonts w:asciiTheme="minorHAnsi" w:eastAsiaTheme="minorEastAsia" w:hAnsiTheme="minorHAnsi" w:cstheme="minorBidi"/>
          <w:noProof/>
          <w:sz w:val="22"/>
          <w:szCs w:val="22"/>
          <w:lang w:eastAsia="ja-JP"/>
        </w:rPr>
      </w:pPr>
      <w:hyperlink w:anchor="_Toc95293780" w:history="1">
        <w:r w:rsidR="00D60EF7" w:rsidRPr="00B17BE2">
          <w:rPr>
            <w:rStyle w:val="Hyperlink"/>
            <w:noProof/>
          </w:rPr>
          <w:t xml:space="preserve">2.1 </w:t>
        </w:r>
        <w:r w:rsidR="00D60EF7">
          <w:rPr>
            <w:rFonts w:asciiTheme="minorHAnsi" w:eastAsiaTheme="minorEastAsia" w:hAnsiTheme="minorHAnsi" w:cstheme="minorBidi"/>
            <w:noProof/>
            <w:sz w:val="22"/>
            <w:szCs w:val="22"/>
            <w:lang w:eastAsia="ja-JP"/>
          </w:rPr>
          <w:tab/>
        </w:r>
        <w:r w:rsidR="00D60EF7" w:rsidRPr="00B17BE2">
          <w:rPr>
            <w:rStyle w:val="Hyperlink"/>
            <w:noProof/>
          </w:rPr>
          <w:t>Budgeted expenses and performance for Outcome 1</w:t>
        </w:r>
        <w:r w:rsidR="00D60EF7">
          <w:rPr>
            <w:noProof/>
            <w:webHidden/>
          </w:rPr>
          <w:tab/>
        </w:r>
        <w:r w:rsidR="00D60EF7">
          <w:rPr>
            <w:noProof/>
            <w:webHidden/>
          </w:rPr>
          <w:fldChar w:fldCharType="begin"/>
        </w:r>
        <w:r w:rsidR="00D60EF7">
          <w:rPr>
            <w:noProof/>
            <w:webHidden/>
          </w:rPr>
          <w:instrText xml:space="preserve"> PAGEREF _Toc95293780 \h </w:instrText>
        </w:r>
        <w:r w:rsidR="00D60EF7">
          <w:rPr>
            <w:noProof/>
            <w:webHidden/>
          </w:rPr>
        </w:r>
        <w:r w:rsidR="00D60EF7">
          <w:rPr>
            <w:noProof/>
            <w:webHidden/>
          </w:rPr>
          <w:fldChar w:fldCharType="separate"/>
        </w:r>
        <w:r w:rsidR="00400ED5">
          <w:rPr>
            <w:noProof/>
            <w:webHidden/>
          </w:rPr>
          <w:t>157</w:t>
        </w:r>
        <w:r w:rsidR="00D60EF7">
          <w:rPr>
            <w:noProof/>
            <w:webHidden/>
          </w:rPr>
          <w:fldChar w:fldCharType="end"/>
        </w:r>
      </w:hyperlink>
    </w:p>
    <w:p w14:paraId="408E16CF" w14:textId="4BC18A0E" w:rsidR="00D60EF7" w:rsidRDefault="000F6D08">
      <w:pPr>
        <w:pStyle w:val="TOC1"/>
        <w:rPr>
          <w:rFonts w:asciiTheme="minorHAnsi" w:eastAsiaTheme="minorEastAsia" w:hAnsiTheme="minorHAnsi" w:cstheme="minorBidi"/>
          <w:b w:val="0"/>
          <w:caps w:val="0"/>
          <w:noProof/>
          <w:sz w:val="22"/>
          <w:szCs w:val="22"/>
          <w:lang w:eastAsia="ja-JP"/>
        </w:rPr>
      </w:pPr>
      <w:hyperlink w:anchor="_Toc95293781" w:history="1">
        <w:r w:rsidR="00D60EF7" w:rsidRPr="00B17BE2">
          <w:rPr>
            <w:rStyle w:val="Hyperlink"/>
            <w:noProof/>
          </w:rPr>
          <w:t>Section 3: Budgeted financial statements</w:t>
        </w:r>
        <w:r w:rsidR="00D60EF7">
          <w:rPr>
            <w:noProof/>
            <w:webHidden/>
          </w:rPr>
          <w:tab/>
        </w:r>
        <w:r w:rsidR="00D60EF7">
          <w:rPr>
            <w:noProof/>
            <w:webHidden/>
          </w:rPr>
          <w:fldChar w:fldCharType="begin"/>
        </w:r>
        <w:r w:rsidR="00D60EF7">
          <w:rPr>
            <w:noProof/>
            <w:webHidden/>
          </w:rPr>
          <w:instrText xml:space="preserve"> PAGEREF _Toc95293781 \h </w:instrText>
        </w:r>
        <w:r w:rsidR="00D60EF7">
          <w:rPr>
            <w:noProof/>
            <w:webHidden/>
          </w:rPr>
        </w:r>
        <w:r w:rsidR="00D60EF7">
          <w:rPr>
            <w:noProof/>
            <w:webHidden/>
          </w:rPr>
          <w:fldChar w:fldCharType="separate"/>
        </w:r>
        <w:r w:rsidR="00400ED5">
          <w:rPr>
            <w:noProof/>
            <w:webHidden/>
          </w:rPr>
          <w:t>164</w:t>
        </w:r>
        <w:r w:rsidR="00D60EF7">
          <w:rPr>
            <w:noProof/>
            <w:webHidden/>
          </w:rPr>
          <w:fldChar w:fldCharType="end"/>
        </w:r>
      </w:hyperlink>
    </w:p>
    <w:p w14:paraId="260DDBC4" w14:textId="7A4DA62E" w:rsidR="00D60EF7" w:rsidRDefault="000F6D08">
      <w:pPr>
        <w:pStyle w:val="TOC2"/>
        <w:tabs>
          <w:tab w:val="left" w:pos="800"/>
        </w:tabs>
        <w:rPr>
          <w:rFonts w:asciiTheme="minorHAnsi" w:eastAsiaTheme="minorEastAsia" w:hAnsiTheme="minorHAnsi" w:cstheme="minorBidi"/>
          <w:noProof/>
          <w:sz w:val="22"/>
          <w:szCs w:val="22"/>
          <w:lang w:eastAsia="ja-JP"/>
        </w:rPr>
      </w:pPr>
      <w:hyperlink w:anchor="_Toc95293782" w:history="1">
        <w:r w:rsidR="00D60EF7" w:rsidRPr="00B17BE2">
          <w:rPr>
            <w:rStyle w:val="Hyperlink"/>
            <w:noProof/>
          </w:rPr>
          <w:t>3.1</w:t>
        </w:r>
        <w:r w:rsidR="00D60EF7">
          <w:rPr>
            <w:rFonts w:asciiTheme="minorHAnsi" w:eastAsiaTheme="minorEastAsia" w:hAnsiTheme="minorHAnsi" w:cstheme="minorBidi"/>
            <w:noProof/>
            <w:sz w:val="22"/>
            <w:szCs w:val="22"/>
            <w:lang w:eastAsia="ja-JP"/>
          </w:rPr>
          <w:tab/>
        </w:r>
        <w:r w:rsidR="00D60EF7" w:rsidRPr="00B17BE2">
          <w:rPr>
            <w:rStyle w:val="Hyperlink"/>
            <w:noProof/>
          </w:rPr>
          <w:t>Budgeted financial statements</w:t>
        </w:r>
        <w:r w:rsidR="00D60EF7">
          <w:rPr>
            <w:noProof/>
            <w:webHidden/>
          </w:rPr>
          <w:tab/>
        </w:r>
        <w:r w:rsidR="00D60EF7">
          <w:rPr>
            <w:noProof/>
            <w:webHidden/>
          </w:rPr>
          <w:fldChar w:fldCharType="begin"/>
        </w:r>
        <w:r w:rsidR="00D60EF7">
          <w:rPr>
            <w:noProof/>
            <w:webHidden/>
          </w:rPr>
          <w:instrText xml:space="preserve"> PAGEREF _Toc95293782 \h </w:instrText>
        </w:r>
        <w:r w:rsidR="00D60EF7">
          <w:rPr>
            <w:noProof/>
            <w:webHidden/>
          </w:rPr>
        </w:r>
        <w:r w:rsidR="00D60EF7">
          <w:rPr>
            <w:noProof/>
            <w:webHidden/>
          </w:rPr>
          <w:fldChar w:fldCharType="separate"/>
        </w:r>
        <w:r w:rsidR="00400ED5">
          <w:rPr>
            <w:noProof/>
            <w:webHidden/>
          </w:rPr>
          <w:t>164</w:t>
        </w:r>
        <w:r w:rsidR="00D60EF7">
          <w:rPr>
            <w:noProof/>
            <w:webHidden/>
          </w:rPr>
          <w:fldChar w:fldCharType="end"/>
        </w:r>
      </w:hyperlink>
    </w:p>
    <w:p w14:paraId="109E8C42" w14:textId="7CB4BC80" w:rsidR="0026795D" w:rsidRDefault="0026795D" w:rsidP="0026795D">
      <w:pPr>
        <w:pStyle w:val="TOC1"/>
      </w:pPr>
      <w:r>
        <w:fldChar w:fldCharType="end"/>
      </w:r>
    </w:p>
    <w:p w14:paraId="2D776EF5" w14:textId="77777777" w:rsidR="0026795D" w:rsidRPr="008B5AFD" w:rsidRDefault="0026795D" w:rsidP="0026795D"/>
    <w:p w14:paraId="59E88292" w14:textId="77777777" w:rsidR="0026795D" w:rsidRDefault="0026795D" w:rsidP="0026795D">
      <w:pPr>
        <w:sectPr w:rsidR="0026795D" w:rsidSect="00782467">
          <w:footerReference w:type="first" r:id="rId181"/>
          <w:type w:val="oddPage"/>
          <w:pgSz w:w="11906" w:h="16838" w:code="9"/>
          <w:pgMar w:top="2835" w:right="2098" w:bottom="2466" w:left="2098" w:header="1814" w:footer="1814" w:gutter="0"/>
          <w:cols w:space="708"/>
          <w:titlePg/>
          <w:docGrid w:linePitch="360"/>
        </w:sectPr>
      </w:pPr>
    </w:p>
    <w:p w14:paraId="47E60583" w14:textId="02237778" w:rsidR="0026795D" w:rsidRDefault="00135D56" w:rsidP="0026795D">
      <w:pPr>
        <w:pStyle w:val="Heading1"/>
      </w:pPr>
      <w:bookmarkStart w:id="346" w:name="_Toc95217548"/>
      <w:r>
        <w:t>Tourism Australia</w:t>
      </w:r>
      <w:bookmarkEnd w:id="346"/>
    </w:p>
    <w:p w14:paraId="5E6E50B3" w14:textId="77777777" w:rsidR="0026795D" w:rsidRPr="002C4D41" w:rsidRDefault="0026795D" w:rsidP="0026795D">
      <w:pPr>
        <w:pStyle w:val="Heading2"/>
      </w:pPr>
      <w:bookmarkStart w:id="347" w:name="_Toc95217817"/>
      <w:bookmarkStart w:id="348" w:name="_Toc95217881"/>
      <w:bookmarkStart w:id="349" w:name="_Toc95229708"/>
      <w:bookmarkStart w:id="350" w:name="_Toc95289015"/>
      <w:bookmarkStart w:id="351" w:name="_Toc95291902"/>
      <w:bookmarkStart w:id="352" w:name="_Toc95293775"/>
      <w:bookmarkStart w:id="353" w:name="_Toc95296426"/>
      <w:bookmarkStart w:id="354" w:name="_Toc97387927"/>
      <w:bookmarkStart w:id="355" w:name="_Toc97540664"/>
      <w:bookmarkStart w:id="356" w:name="_Toc99111667"/>
      <w:r w:rsidRPr="002C4D41">
        <w:t xml:space="preserve">Section 1: Entity overview and </w:t>
      </w:r>
      <w:r>
        <w:t>reso</w:t>
      </w:r>
      <w:r w:rsidRPr="002C4D41">
        <w:t>urces</w:t>
      </w:r>
      <w:bookmarkEnd w:id="347"/>
      <w:bookmarkEnd w:id="348"/>
      <w:bookmarkEnd w:id="349"/>
      <w:bookmarkEnd w:id="350"/>
      <w:bookmarkEnd w:id="351"/>
      <w:bookmarkEnd w:id="352"/>
      <w:bookmarkEnd w:id="353"/>
      <w:bookmarkEnd w:id="354"/>
      <w:bookmarkEnd w:id="355"/>
      <w:bookmarkEnd w:id="356"/>
    </w:p>
    <w:p w14:paraId="491AC243" w14:textId="77777777" w:rsidR="0026795D" w:rsidRDefault="0026795D" w:rsidP="0026795D">
      <w:pPr>
        <w:pStyle w:val="Heading3"/>
      </w:pPr>
      <w:bookmarkStart w:id="357" w:name="_Toc95217818"/>
      <w:bookmarkStart w:id="358" w:name="_Toc95217882"/>
      <w:bookmarkStart w:id="359" w:name="_Toc95229709"/>
      <w:bookmarkStart w:id="360" w:name="_Toc95289016"/>
      <w:bookmarkStart w:id="361" w:name="_Toc95291903"/>
      <w:bookmarkStart w:id="362" w:name="_Toc95293776"/>
      <w:bookmarkStart w:id="363" w:name="_Toc95296427"/>
      <w:bookmarkStart w:id="364" w:name="_Toc97387928"/>
      <w:bookmarkStart w:id="365" w:name="_Toc97540665"/>
      <w:bookmarkStart w:id="366" w:name="_Toc99111668"/>
      <w:r>
        <w:t>1.1</w:t>
      </w:r>
      <w:r>
        <w:tab/>
        <w:t>Strategic direction statement</w:t>
      </w:r>
      <w:bookmarkEnd w:id="357"/>
      <w:bookmarkEnd w:id="358"/>
      <w:bookmarkEnd w:id="359"/>
      <w:bookmarkEnd w:id="360"/>
      <w:bookmarkEnd w:id="361"/>
      <w:bookmarkEnd w:id="362"/>
      <w:bookmarkEnd w:id="363"/>
      <w:bookmarkEnd w:id="364"/>
      <w:bookmarkEnd w:id="365"/>
      <w:bookmarkEnd w:id="366"/>
    </w:p>
    <w:p w14:paraId="3DDC067E" w14:textId="6732A0EB" w:rsidR="00D60EF7" w:rsidRPr="006D4976" w:rsidRDefault="00D60EF7" w:rsidP="00D60EF7">
      <w:pPr>
        <w:pStyle w:val="Exampletext"/>
        <w:rPr>
          <w:i w:val="0"/>
          <w:iCs/>
          <w:color w:val="auto"/>
          <w:lang w:val="en-AU"/>
        </w:rPr>
      </w:pPr>
      <w:r w:rsidRPr="00D60EF7">
        <w:rPr>
          <w:i w:val="0"/>
          <w:iCs/>
          <w:color w:val="auto"/>
        </w:rPr>
        <w:t>Tourism Australia (TA) is Australia’s national tourism marketing organisation that promotes Australia as a compelling tourism destination for leisure and business events travel.</w:t>
      </w:r>
      <w:r w:rsidR="006D4976">
        <w:rPr>
          <w:i w:val="0"/>
          <w:iCs/>
          <w:color w:val="auto"/>
          <w:lang w:val="en-AU"/>
        </w:rPr>
        <w:t xml:space="preserve"> </w:t>
      </w:r>
      <w:r w:rsidR="006D4976" w:rsidRPr="00594A2A">
        <w:rPr>
          <w:i w:val="0"/>
          <w:iCs/>
          <w:color w:val="auto"/>
          <w:lang w:val="en-AU"/>
        </w:rPr>
        <w:t>TA’s purpose is to grow demand to enable a competitive and sustainable Australian tourism industry, with the ambition to support a full recovery of Australia’s tourism industry to 2018–19 expenditure levels by 2024–25</w:t>
      </w:r>
      <w:r w:rsidR="006D4976">
        <w:rPr>
          <w:i w:val="0"/>
          <w:iCs/>
          <w:color w:val="auto"/>
          <w:lang w:val="en-AU"/>
        </w:rPr>
        <w:t>.</w:t>
      </w:r>
    </w:p>
    <w:p w14:paraId="478DEE12" w14:textId="77777777" w:rsidR="00D60EF7" w:rsidRPr="00D60EF7" w:rsidRDefault="00D60EF7" w:rsidP="00D60EF7">
      <w:pPr>
        <w:pStyle w:val="Heading4"/>
        <w:jc w:val="both"/>
      </w:pPr>
      <w:r w:rsidRPr="00D60EF7">
        <w:t>Operating environment and industry outlook</w:t>
      </w:r>
    </w:p>
    <w:p w14:paraId="196FC233" w14:textId="77777777" w:rsidR="006D4976" w:rsidRPr="006D4976" w:rsidRDefault="006D4976" w:rsidP="006D4976">
      <w:pPr>
        <w:pStyle w:val="Exampletext"/>
        <w:rPr>
          <w:i w:val="0"/>
          <w:iCs/>
          <w:color w:val="auto"/>
        </w:rPr>
      </w:pPr>
      <w:r w:rsidRPr="006D4976">
        <w:rPr>
          <w:i w:val="0"/>
          <w:iCs/>
          <w:color w:val="auto"/>
        </w:rPr>
        <w:t xml:space="preserve">In 2022–23, various economic, travel industry, marketing channel and consumer trends are predicted to impact Australian tourism and TA’s operating model. </w:t>
      </w:r>
    </w:p>
    <w:p w14:paraId="6F79EC73" w14:textId="00F1F656" w:rsidR="006D4976" w:rsidRPr="006D4976" w:rsidRDefault="00BF0419" w:rsidP="006D4976">
      <w:pPr>
        <w:pStyle w:val="Exampletext"/>
        <w:rPr>
          <w:i w:val="0"/>
          <w:iCs/>
          <w:color w:val="auto"/>
        </w:rPr>
      </w:pPr>
      <w:r w:rsidRPr="00BF0419">
        <w:rPr>
          <w:i w:val="0"/>
          <w:iCs/>
          <w:color w:val="auto"/>
        </w:rPr>
        <w:t>While rollout of vaccination programs raised hopes of a return to economic strength, the spread of the Omicron variant is presenting concerns for the global economic outlook. The global economy is projected to moderate from 5.9 per cent in 2021 to 4.4 per cent in 2022 and to slow to 3.8 per cent in 2023 (IMF, January 2022). Australia has managed the health and general economic impacts of the pandemic relatively well. The overall economic outlook is positive. TA will continue to monitor the economic environment and its impact on consumer confidence to inform our marketing activities and initiatives to support the recovery of Australia’s tourism industry. We will concentrate effort in 15 international markets, adjusting approaches to ensure the best use of resources</w:t>
      </w:r>
      <w:r w:rsidR="006D4976" w:rsidRPr="006D4976">
        <w:rPr>
          <w:i w:val="0"/>
          <w:iCs/>
          <w:color w:val="auto"/>
        </w:rPr>
        <w:t xml:space="preserve">. </w:t>
      </w:r>
    </w:p>
    <w:p w14:paraId="3370F462" w14:textId="3E501C21" w:rsidR="006D4976" w:rsidRPr="006D4976" w:rsidRDefault="00BF0419" w:rsidP="006D4976">
      <w:pPr>
        <w:pStyle w:val="Exampletext"/>
        <w:rPr>
          <w:i w:val="0"/>
          <w:iCs/>
          <w:color w:val="auto"/>
        </w:rPr>
      </w:pPr>
      <w:r w:rsidRPr="00BF0419">
        <w:rPr>
          <w:i w:val="0"/>
          <w:iCs/>
          <w:color w:val="auto"/>
        </w:rPr>
        <w:t xml:space="preserve">Omicron-related uncertainty has made international travellers more cautious and continues to impact bookings but return to travel is forecast to gather pace this year, with short haul </w:t>
      </w:r>
      <w:proofErr w:type="spellStart"/>
      <w:r w:rsidRPr="00BF0419">
        <w:rPr>
          <w:i w:val="0"/>
          <w:iCs/>
          <w:color w:val="auto"/>
        </w:rPr>
        <w:t>intra regional</w:t>
      </w:r>
      <w:proofErr w:type="spellEnd"/>
      <w:r w:rsidRPr="00BF0419">
        <w:rPr>
          <w:i w:val="0"/>
          <w:iCs/>
          <w:color w:val="auto"/>
        </w:rPr>
        <w:t xml:space="preserve"> travel predicted to lead the recovery (Tourism Economics, 2021). Australian borders reopened to international travellers from 21 February 2022, leading to an initial spike in interest to travel, with searches for inbound travel to Australia increasing by 23 per cent (Skyscanner, 2022). International aviation capacity is predicted to take until 2023–24 for Australian airports and airlines to recover to pre-COVID passenger levels. Forward airline schedules show Australia is forecast to see </w:t>
      </w:r>
      <w:r w:rsidR="003C78FF">
        <w:rPr>
          <w:i w:val="0"/>
          <w:iCs/>
          <w:color w:val="auto"/>
        </w:rPr>
        <w:br/>
      </w:r>
      <w:r w:rsidRPr="00BF0419">
        <w:rPr>
          <w:i w:val="0"/>
          <w:iCs/>
          <w:color w:val="auto"/>
        </w:rPr>
        <w:t>31 per cent of pre-COVID seat capacity in March, increasing to 60 per cent in April 2022</w:t>
      </w:r>
      <w:r w:rsidR="006D4976" w:rsidRPr="006D4976">
        <w:rPr>
          <w:i w:val="0"/>
          <w:iCs/>
          <w:color w:val="auto"/>
        </w:rPr>
        <w:t xml:space="preserve">. </w:t>
      </w:r>
    </w:p>
    <w:p w14:paraId="2CDC98C3" w14:textId="77777777" w:rsidR="00DF71CE" w:rsidRDefault="00DF71CE">
      <w:pPr>
        <w:spacing w:after="0" w:line="240" w:lineRule="auto"/>
        <w:jc w:val="left"/>
        <w:rPr>
          <w:iCs/>
          <w:lang w:val="x-none" w:eastAsia="x-none"/>
        </w:rPr>
      </w:pPr>
      <w:r>
        <w:rPr>
          <w:i/>
          <w:iCs/>
        </w:rPr>
        <w:br w:type="page"/>
      </w:r>
    </w:p>
    <w:p w14:paraId="63F98D28" w14:textId="4E47A047" w:rsidR="006D4976" w:rsidRDefault="006D4976" w:rsidP="006D4976">
      <w:pPr>
        <w:pStyle w:val="Exampletext"/>
        <w:rPr>
          <w:i w:val="0"/>
          <w:iCs/>
          <w:color w:val="auto"/>
          <w:lang w:val="en-AU"/>
        </w:rPr>
      </w:pPr>
      <w:r w:rsidRPr="006D4976">
        <w:rPr>
          <w:i w:val="0"/>
          <w:iCs/>
          <w:color w:val="auto"/>
        </w:rPr>
        <w:t xml:space="preserve">TA will provide a competitive edge for Australian tourism by launching a global campaign to re-establish Australia as the most desirable destination in the world. Communications will highlight what makes Australia unique, building on the longstanding </w:t>
      </w:r>
      <w:r w:rsidRPr="000D3B2C">
        <w:rPr>
          <w:color w:val="auto"/>
        </w:rPr>
        <w:t>There’s Nothing Like Australia</w:t>
      </w:r>
      <w:r w:rsidRPr="006D4976">
        <w:rPr>
          <w:i w:val="0"/>
          <w:iCs/>
          <w:color w:val="auto"/>
        </w:rPr>
        <w:t xml:space="preserve"> campaign. TA will focus on rejuvenating industry advocacy through trade engagement and programs to support industry to return to growth, maximising conversion and supporting aviation recovery. This will include trade familiarisatio</w:t>
      </w:r>
      <w:r w:rsidR="00F07BE6">
        <w:rPr>
          <w:i w:val="0"/>
          <w:iCs/>
          <w:color w:val="auto"/>
          <w:lang w:val="en-AU"/>
        </w:rPr>
        <w:t>n</w:t>
      </w:r>
      <w:r w:rsidRPr="006D4976">
        <w:rPr>
          <w:i w:val="0"/>
          <w:iCs/>
          <w:color w:val="auto"/>
        </w:rPr>
        <w:t xml:space="preserve"> programs to inspire distributors and frontline travel sellers to promote and sell Australian tourism experiences to their customers</w:t>
      </w:r>
      <w:r w:rsidR="00F07BE6">
        <w:rPr>
          <w:i w:val="0"/>
          <w:iCs/>
          <w:color w:val="auto"/>
          <w:lang w:val="en-AU"/>
        </w:rPr>
        <w:t>,</w:t>
      </w:r>
      <w:r w:rsidRPr="006D4976">
        <w:rPr>
          <w:i w:val="0"/>
          <w:iCs/>
          <w:color w:val="auto"/>
        </w:rPr>
        <w:t xml:space="preserve"> partnership marketing activities to extend the reach of our campaigns through bought media and our partners’ marketing channels; connecting Australian industry with global distributors through trade event platforms such as in-market marketplaces and events; and continuing to educate through the Aussie Specialist Program</w:t>
      </w:r>
      <w:r>
        <w:rPr>
          <w:i w:val="0"/>
          <w:iCs/>
          <w:color w:val="auto"/>
          <w:lang w:val="en-AU"/>
        </w:rPr>
        <w:t>.</w:t>
      </w:r>
    </w:p>
    <w:p w14:paraId="282CEED4" w14:textId="15939BF0" w:rsidR="006D4976" w:rsidRPr="006D4976" w:rsidRDefault="006D4976" w:rsidP="006D4976">
      <w:pPr>
        <w:pStyle w:val="Exampletext"/>
        <w:rPr>
          <w:i w:val="0"/>
          <w:iCs/>
          <w:color w:val="auto"/>
          <w:lang w:val="en-AU"/>
        </w:rPr>
      </w:pPr>
      <w:r w:rsidRPr="006D4976">
        <w:rPr>
          <w:i w:val="0"/>
          <w:iCs/>
          <w:color w:val="auto"/>
          <w:lang w:val="en-AU"/>
        </w:rPr>
        <w:t>While the use of traditional marketing channels remains relevant, digital</w:t>
      </w:r>
      <w:r w:rsidR="002F0659">
        <w:rPr>
          <w:i w:val="0"/>
          <w:iCs/>
          <w:color w:val="auto"/>
          <w:lang w:val="en-AU"/>
        </w:rPr>
        <w:t xml:space="preserve"> and </w:t>
      </w:r>
      <w:r w:rsidRPr="006D4976">
        <w:rPr>
          <w:i w:val="0"/>
          <w:iCs/>
          <w:color w:val="auto"/>
          <w:lang w:val="en-AU"/>
        </w:rPr>
        <w:t xml:space="preserve">video </w:t>
      </w:r>
      <w:r w:rsidR="002F0659">
        <w:rPr>
          <w:i w:val="0"/>
          <w:iCs/>
          <w:color w:val="auto"/>
          <w:lang w:val="en-AU"/>
        </w:rPr>
        <w:t xml:space="preserve">channels </w:t>
      </w:r>
      <w:r w:rsidRPr="006D4976">
        <w:rPr>
          <w:i w:val="0"/>
          <w:iCs/>
          <w:color w:val="auto"/>
          <w:lang w:val="en-AU"/>
        </w:rPr>
        <w:t>continue to rise in importance</w:t>
      </w:r>
      <w:r w:rsidR="002F0659">
        <w:rPr>
          <w:i w:val="0"/>
          <w:iCs/>
          <w:color w:val="auto"/>
          <w:lang w:val="en-AU"/>
        </w:rPr>
        <w:t>, as does content</w:t>
      </w:r>
      <w:r w:rsidRPr="006D4976">
        <w:rPr>
          <w:i w:val="0"/>
          <w:iCs/>
          <w:color w:val="auto"/>
          <w:lang w:val="en-AU"/>
        </w:rPr>
        <w:t xml:space="preserve">. As consumers stayed home due to COVID-19 restrictions, the use of digital services soared. A significant proportion of the habits amassed over these restricted periods are predicted to continue (PWC, 2021), including the growth in streaming, gaming and user-generated content. TA will continue to work with our media agency partner, Universal McCann (UM), to ensure our marketing activities maximise consumer and technology trends. We will continue to use consumer insights to inform our efforts.  </w:t>
      </w:r>
    </w:p>
    <w:p w14:paraId="19E238BF" w14:textId="313B79D7" w:rsidR="006D4976" w:rsidRPr="006D4976" w:rsidRDefault="006D4976" w:rsidP="006D4976">
      <w:pPr>
        <w:pStyle w:val="Exampletext"/>
        <w:rPr>
          <w:i w:val="0"/>
          <w:iCs/>
          <w:color w:val="auto"/>
          <w:lang w:val="en-AU"/>
        </w:rPr>
      </w:pPr>
      <w:r w:rsidRPr="006D4976">
        <w:rPr>
          <w:i w:val="0"/>
          <w:iCs/>
          <w:color w:val="auto"/>
          <w:lang w:val="en-AU"/>
        </w:rPr>
        <w:t>TA will continue to monitor consumer and travel sentiment. The results from our International Sentiment Tracker (January 2022), show impacts of the Omicron variant, with consumer confidence down by 6 percentage points to 101 overall in our key markets. Most consumers surveyed perceive Australia positively, but the perception of Australia as a safe destination decreased. Sentiment across European markets improved (potentially reflecting consumers feeling the current COVID-19 wave had reached its peak), while there were declines in sentiment by consumers in Eastern markets, particularly in China, India and Indonesia. We will also monitor forward bookings and searches to inform delivery of the right messaging at the most opportune time and continue to be flexible and nimble in our response to consumer needs</w:t>
      </w:r>
      <w:r>
        <w:rPr>
          <w:i w:val="0"/>
          <w:iCs/>
          <w:color w:val="auto"/>
          <w:lang w:val="en-AU"/>
        </w:rPr>
        <w:t>.</w:t>
      </w:r>
    </w:p>
    <w:p w14:paraId="0D4663EF" w14:textId="77777777" w:rsidR="00DF71CE" w:rsidRDefault="00DF71CE">
      <w:pPr>
        <w:spacing w:after="0" w:line="240" w:lineRule="auto"/>
        <w:jc w:val="left"/>
        <w:rPr>
          <w:rFonts w:ascii="Arial Bold" w:hAnsi="Arial Bold"/>
          <w:b/>
        </w:rPr>
      </w:pPr>
      <w:r>
        <w:br w:type="page"/>
      </w:r>
    </w:p>
    <w:p w14:paraId="42338700" w14:textId="22074DF5" w:rsidR="00D60EF7" w:rsidRPr="00D60EF7" w:rsidRDefault="00D60EF7" w:rsidP="00D60EF7">
      <w:pPr>
        <w:pStyle w:val="Heading4"/>
        <w:jc w:val="both"/>
      </w:pPr>
      <w:r w:rsidRPr="00D60EF7">
        <w:t>Strategies</w:t>
      </w:r>
    </w:p>
    <w:p w14:paraId="4DCEDBB2" w14:textId="77777777" w:rsidR="00D60EF7" w:rsidRPr="00D60EF7" w:rsidRDefault="00D60EF7" w:rsidP="00D60EF7">
      <w:pPr>
        <w:pStyle w:val="Heading4"/>
        <w:jc w:val="both"/>
      </w:pPr>
      <w:r w:rsidRPr="00D60EF7">
        <w:t>Target audiences and markets</w:t>
      </w:r>
    </w:p>
    <w:p w14:paraId="13CF2D8F" w14:textId="03DF8192" w:rsidR="00D60EF7" w:rsidRDefault="0092191D" w:rsidP="00D60EF7">
      <w:pPr>
        <w:pStyle w:val="Exampletext"/>
        <w:rPr>
          <w:i w:val="0"/>
          <w:iCs/>
          <w:color w:val="auto"/>
          <w:lang w:val="en-AU"/>
        </w:rPr>
      </w:pPr>
      <w:r>
        <w:rPr>
          <w:i w:val="0"/>
          <w:iCs/>
          <w:color w:val="auto"/>
          <w:lang w:val="en-AU"/>
        </w:rPr>
        <w:t xml:space="preserve">TA </w:t>
      </w:r>
      <w:r w:rsidR="005B5FEC" w:rsidRPr="005B5FEC">
        <w:rPr>
          <w:i w:val="0"/>
          <w:iCs/>
          <w:color w:val="auto"/>
        </w:rPr>
        <w:t>will target leisure and business events consumers in markets that offer the best potential to build Australia’s tourism recovery</w:t>
      </w:r>
      <w:r w:rsidR="005B5FEC">
        <w:rPr>
          <w:i w:val="0"/>
          <w:iCs/>
          <w:color w:val="auto"/>
          <w:lang w:val="en-AU"/>
        </w:rPr>
        <w:t>.</w:t>
      </w:r>
    </w:p>
    <w:tbl>
      <w:tblPr>
        <w:tblStyle w:val="TableGrid1"/>
        <w:tblW w:w="5000" w:type="pct"/>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5"/>
        <w:gridCol w:w="2837"/>
        <w:gridCol w:w="3168"/>
      </w:tblGrid>
      <w:tr w:rsidR="005B5FEC" w14:paraId="38258F57" w14:textId="77777777" w:rsidTr="00127463">
        <w:trPr>
          <w:trHeight w:val="211"/>
        </w:trPr>
        <w:tc>
          <w:tcPr>
            <w:tcW w:w="2942"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13B39213" w14:textId="77777777" w:rsidR="005B5FEC" w:rsidRDefault="005B5FEC">
            <w:pPr>
              <w:pStyle w:val="Body"/>
              <w:spacing w:after="0" w:line="240" w:lineRule="auto"/>
              <w:ind w:left="7" w:hanging="7"/>
              <w:rPr>
                <w:rFonts w:ascii="Arial" w:eastAsia="TA Philausophy SemiBold" w:hAnsi="Arial" w:cs="Arial"/>
                <w:b/>
                <w:bCs/>
                <w:color w:val="000000" w:themeColor="text1"/>
                <w:sz w:val="18"/>
                <w:szCs w:val="18"/>
                <w:lang w:val="en-US"/>
              </w:rPr>
            </w:pPr>
            <w:r>
              <w:rPr>
                <w:rFonts w:ascii="Arial" w:eastAsia="TA Philausophy SemiBold" w:hAnsi="Arial" w:cs="Arial"/>
                <w:b/>
                <w:bCs/>
                <w:color w:val="000000" w:themeColor="text1"/>
                <w:sz w:val="18"/>
                <w:szCs w:val="18"/>
                <w:lang w:val="en-US"/>
              </w:rPr>
              <w:t>Leisure</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AF79BEC" w14:textId="77777777" w:rsidR="005B5FEC" w:rsidRDefault="005B5FEC">
            <w:pPr>
              <w:pStyle w:val="Body"/>
              <w:spacing w:after="0" w:line="240" w:lineRule="auto"/>
              <w:ind w:left="318"/>
              <w:rPr>
                <w:rFonts w:ascii="Arial" w:eastAsia="TA Philausophy SemiBold" w:hAnsi="Arial" w:cs="Arial"/>
                <w:b/>
                <w:bCs/>
                <w:color w:val="000000" w:themeColor="text1"/>
                <w:sz w:val="16"/>
                <w:szCs w:val="16"/>
                <w:lang w:val="en-US"/>
              </w:rPr>
            </w:pPr>
          </w:p>
        </w:tc>
      </w:tr>
      <w:tr w:rsidR="005B5FEC" w14:paraId="7B7EBFE1" w14:textId="77777777" w:rsidTr="00127463">
        <w:trPr>
          <w:trHeight w:val="226"/>
        </w:trPr>
        <w:tc>
          <w:tcPr>
            <w:tcW w:w="11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13F8D7F2" w14:textId="77777777" w:rsidR="005B5FEC" w:rsidRDefault="005B5FEC">
            <w:pPr>
              <w:pStyle w:val="Body"/>
              <w:spacing w:after="0" w:line="240" w:lineRule="auto"/>
              <w:ind w:left="22" w:hanging="22"/>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Audience</w:t>
            </w:r>
          </w:p>
        </w:tc>
        <w:tc>
          <w:tcPr>
            <w:tcW w:w="18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4C812280" w14:textId="77777777" w:rsidR="005B5FEC" w:rsidRDefault="005B5FEC">
            <w:pPr>
              <w:pStyle w:val="Body"/>
              <w:spacing w:after="0" w:line="240" w:lineRule="auto"/>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Definition</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11155C33" w14:textId="77777777" w:rsidR="005B5FEC" w:rsidRDefault="005B5FEC">
            <w:pPr>
              <w:pStyle w:val="Body"/>
              <w:spacing w:after="0" w:line="240" w:lineRule="auto"/>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Markets</w:t>
            </w:r>
          </w:p>
        </w:tc>
      </w:tr>
      <w:tr w:rsidR="005B5FEC" w14:paraId="0CD2E5D5" w14:textId="77777777" w:rsidTr="004628A2">
        <w:trPr>
          <w:trHeight w:val="1183"/>
        </w:trPr>
        <w:tc>
          <w:tcPr>
            <w:tcW w:w="11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8941326" w14:textId="77777777" w:rsidR="005B5FEC" w:rsidRDefault="005B5FEC">
            <w:pPr>
              <w:pStyle w:val="Body"/>
              <w:spacing w:after="0" w:line="240" w:lineRule="auto"/>
              <w:ind w:left="22" w:hanging="22"/>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 xml:space="preserve">High Yield </w:t>
            </w:r>
            <w:proofErr w:type="spellStart"/>
            <w:r>
              <w:rPr>
                <w:rFonts w:ascii="Arial" w:eastAsia="TA Philausophy SemiBold" w:hAnsi="Arial" w:cs="Arial"/>
                <w:color w:val="000000" w:themeColor="text1"/>
                <w:sz w:val="16"/>
                <w:szCs w:val="16"/>
                <w:lang w:val="en-US"/>
              </w:rPr>
              <w:t>Travellers</w:t>
            </w:r>
            <w:proofErr w:type="spellEnd"/>
            <w:r>
              <w:rPr>
                <w:rFonts w:ascii="Arial" w:eastAsia="TA Philausophy SemiBold" w:hAnsi="Arial" w:cs="Arial"/>
                <w:color w:val="000000" w:themeColor="text1"/>
                <w:sz w:val="16"/>
                <w:szCs w:val="16"/>
                <w:lang w:val="en-US"/>
              </w:rPr>
              <w:t xml:space="preserve"> (HYT)</w:t>
            </w:r>
          </w:p>
        </w:tc>
        <w:tc>
          <w:tcPr>
            <w:tcW w:w="18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3AF6EBF" w14:textId="71F0994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 xml:space="preserve">Purpose of trip: Holiday and </w:t>
            </w:r>
            <w:r w:rsidR="00127463">
              <w:rPr>
                <w:rFonts w:ascii="Arial" w:eastAsia="TA Philausophy SemiBold" w:hAnsi="Arial" w:cs="Arial"/>
                <w:color w:val="000000" w:themeColor="text1"/>
                <w:sz w:val="16"/>
                <w:szCs w:val="16"/>
                <w:lang w:val="en-US"/>
              </w:rPr>
              <w:t>visiting friends and relatives (</w:t>
            </w:r>
            <w:r>
              <w:rPr>
                <w:rFonts w:ascii="Arial" w:eastAsia="TA Philausophy SemiBold" w:hAnsi="Arial" w:cs="Arial"/>
                <w:color w:val="000000" w:themeColor="text1"/>
                <w:sz w:val="16"/>
                <w:szCs w:val="16"/>
                <w:lang w:val="en-US"/>
              </w:rPr>
              <w:t>VFR</w:t>
            </w:r>
            <w:r w:rsidR="00127463">
              <w:rPr>
                <w:rFonts w:ascii="Arial" w:eastAsia="TA Philausophy SemiBold" w:hAnsi="Arial" w:cs="Arial"/>
                <w:color w:val="000000" w:themeColor="text1"/>
                <w:sz w:val="16"/>
                <w:szCs w:val="16"/>
                <w:lang w:val="en-US"/>
              </w:rPr>
              <w:t>)</w:t>
            </w:r>
          </w:p>
          <w:p w14:paraId="2C387C57"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Spend per night: &gt;$200</w:t>
            </w:r>
          </w:p>
          <w:p w14:paraId="0E06DF43"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 xml:space="preserve">Total </w:t>
            </w:r>
            <w:proofErr w:type="gramStart"/>
            <w:r>
              <w:rPr>
                <w:rFonts w:ascii="Arial" w:eastAsia="TA Philausophy SemiBold" w:hAnsi="Arial" w:cs="Arial"/>
                <w:color w:val="000000" w:themeColor="text1"/>
                <w:sz w:val="16"/>
                <w:szCs w:val="16"/>
                <w:lang w:val="en-US"/>
              </w:rPr>
              <w:t>trip</w:t>
            </w:r>
            <w:proofErr w:type="gramEnd"/>
            <w:r>
              <w:rPr>
                <w:rFonts w:ascii="Arial" w:eastAsia="TA Philausophy SemiBold" w:hAnsi="Arial" w:cs="Arial"/>
                <w:color w:val="000000" w:themeColor="text1"/>
                <w:sz w:val="16"/>
                <w:szCs w:val="16"/>
                <w:lang w:val="en-US"/>
              </w:rPr>
              <w:t xml:space="preserve"> spend: &gt;$1,500</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8AFD605" w14:textId="2330A36B"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Grow – U</w:t>
            </w:r>
            <w:r w:rsidR="00127463">
              <w:rPr>
                <w:rFonts w:ascii="Arial" w:eastAsia="TA Philausophy SemiBold" w:hAnsi="Arial" w:cs="Arial"/>
                <w:color w:val="000000" w:themeColor="text1"/>
                <w:sz w:val="16"/>
                <w:szCs w:val="16"/>
                <w:lang w:val="en-US"/>
              </w:rPr>
              <w:t xml:space="preserve">nited </w:t>
            </w:r>
            <w:r>
              <w:rPr>
                <w:rFonts w:ascii="Arial" w:eastAsia="TA Philausophy SemiBold" w:hAnsi="Arial" w:cs="Arial"/>
                <w:color w:val="000000" w:themeColor="text1"/>
                <w:sz w:val="16"/>
                <w:szCs w:val="16"/>
                <w:lang w:val="en-US"/>
              </w:rPr>
              <w:t>K</w:t>
            </w:r>
            <w:r w:rsidR="00127463">
              <w:rPr>
                <w:rFonts w:ascii="Arial" w:eastAsia="TA Philausophy SemiBold" w:hAnsi="Arial" w:cs="Arial"/>
                <w:color w:val="000000" w:themeColor="text1"/>
                <w:sz w:val="16"/>
                <w:szCs w:val="16"/>
                <w:lang w:val="en-US"/>
              </w:rPr>
              <w:t>ingdom</w:t>
            </w:r>
            <w:r>
              <w:rPr>
                <w:rFonts w:ascii="Arial" w:eastAsia="TA Philausophy SemiBold" w:hAnsi="Arial" w:cs="Arial"/>
                <w:color w:val="000000" w:themeColor="text1"/>
                <w:sz w:val="16"/>
                <w:szCs w:val="16"/>
                <w:lang w:val="en-US"/>
              </w:rPr>
              <w:t>, U</w:t>
            </w:r>
            <w:r w:rsidR="00127463">
              <w:rPr>
                <w:rFonts w:ascii="Arial" w:eastAsia="TA Philausophy SemiBold" w:hAnsi="Arial" w:cs="Arial"/>
                <w:color w:val="000000" w:themeColor="text1"/>
                <w:sz w:val="16"/>
                <w:szCs w:val="16"/>
                <w:lang w:val="en-US"/>
              </w:rPr>
              <w:t xml:space="preserve">nited </w:t>
            </w:r>
            <w:r>
              <w:rPr>
                <w:rFonts w:ascii="Arial" w:eastAsia="TA Philausophy SemiBold" w:hAnsi="Arial" w:cs="Arial"/>
                <w:color w:val="000000" w:themeColor="text1"/>
                <w:sz w:val="16"/>
                <w:szCs w:val="16"/>
                <w:lang w:val="en-US"/>
              </w:rPr>
              <w:t>S</w:t>
            </w:r>
            <w:r w:rsidR="00127463">
              <w:rPr>
                <w:rFonts w:ascii="Arial" w:eastAsia="TA Philausophy SemiBold" w:hAnsi="Arial" w:cs="Arial"/>
                <w:color w:val="000000" w:themeColor="text1"/>
                <w:sz w:val="16"/>
                <w:szCs w:val="16"/>
                <w:lang w:val="en-US"/>
              </w:rPr>
              <w:t>tates</w:t>
            </w:r>
            <w:r>
              <w:rPr>
                <w:rFonts w:ascii="Arial" w:eastAsia="TA Philausophy SemiBold" w:hAnsi="Arial" w:cs="Arial"/>
                <w:color w:val="000000" w:themeColor="text1"/>
                <w:sz w:val="16"/>
                <w:szCs w:val="16"/>
                <w:lang w:val="en-US"/>
              </w:rPr>
              <w:t>, Germany, Singapore, Japan</w:t>
            </w:r>
          </w:p>
          <w:p w14:paraId="4CB25EFF" w14:textId="6F2A03CD"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 xml:space="preserve">Watch – China, </w:t>
            </w:r>
            <w:r w:rsidR="00127463">
              <w:rPr>
                <w:rFonts w:ascii="Arial" w:eastAsia="TA Philausophy SemiBold" w:hAnsi="Arial" w:cs="Arial"/>
                <w:color w:val="000000" w:themeColor="text1"/>
                <w:sz w:val="16"/>
                <w:szCs w:val="16"/>
                <w:lang w:val="en-US"/>
              </w:rPr>
              <w:t>Hong Kong</w:t>
            </w:r>
          </w:p>
          <w:p w14:paraId="71F34D07" w14:textId="7ACA7186"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Sustain – N</w:t>
            </w:r>
            <w:r w:rsidR="00127463">
              <w:rPr>
                <w:rFonts w:ascii="Arial" w:eastAsia="TA Philausophy SemiBold" w:hAnsi="Arial" w:cs="Arial"/>
                <w:color w:val="000000" w:themeColor="text1"/>
                <w:sz w:val="16"/>
                <w:szCs w:val="16"/>
                <w:lang w:val="en-US"/>
              </w:rPr>
              <w:t xml:space="preserve">ew </w:t>
            </w:r>
            <w:r>
              <w:rPr>
                <w:rFonts w:ascii="Arial" w:eastAsia="TA Philausophy SemiBold" w:hAnsi="Arial" w:cs="Arial"/>
                <w:color w:val="000000" w:themeColor="text1"/>
                <w:sz w:val="16"/>
                <w:szCs w:val="16"/>
                <w:lang w:val="en-US"/>
              </w:rPr>
              <w:t>Z</w:t>
            </w:r>
            <w:r w:rsidR="00127463">
              <w:rPr>
                <w:rFonts w:ascii="Arial" w:eastAsia="TA Philausophy SemiBold" w:hAnsi="Arial" w:cs="Arial"/>
                <w:color w:val="000000" w:themeColor="text1"/>
                <w:sz w:val="16"/>
                <w:szCs w:val="16"/>
                <w:lang w:val="en-US"/>
              </w:rPr>
              <w:t>ealand</w:t>
            </w:r>
            <w:r>
              <w:rPr>
                <w:rFonts w:ascii="Arial" w:eastAsia="TA Philausophy SemiBold" w:hAnsi="Arial" w:cs="Arial"/>
                <w:color w:val="000000" w:themeColor="text1"/>
                <w:sz w:val="16"/>
                <w:szCs w:val="16"/>
                <w:lang w:val="en-US"/>
              </w:rPr>
              <w:t>, Malaysia, Canada, India, France, Indonesia</w:t>
            </w:r>
          </w:p>
          <w:p w14:paraId="1DDEF111" w14:textId="5D4BA493"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Distribu</w:t>
            </w:r>
            <w:r w:rsidR="0092191D">
              <w:rPr>
                <w:rFonts w:ascii="Arial" w:eastAsia="TA Philausophy SemiBold" w:hAnsi="Arial" w:cs="Arial"/>
                <w:color w:val="000000" w:themeColor="text1"/>
                <w:sz w:val="16"/>
                <w:szCs w:val="16"/>
                <w:lang w:val="en-US"/>
              </w:rPr>
              <w:t>te</w:t>
            </w:r>
            <w:r>
              <w:rPr>
                <w:rFonts w:ascii="Arial" w:eastAsia="TA Philausophy SemiBold" w:hAnsi="Arial" w:cs="Arial"/>
                <w:color w:val="000000" w:themeColor="text1"/>
                <w:sz w:val="16"/>
                <w:szCs w:val="16"/>
                <w:lang w:val="en-US"/>
              </w:rPr>
              <w:t xml:space="preserve"> – Italy, </w:t>
            </w:r>
            <w:r w:rsidR="00403261">
              <w:rPr>
                <w:rFonts w:ascii="Arial" w:eastAsia="TA Philausophy SemiBold" w:hAnsi="Arial" w:cs="Arial"/>
                <w:color w:val="000000" w:themeColor="text1"/>
                <w:sz w:val="16"/>
                <w:szCs w:val="16"/>
                <w:lang w:val="en-US"/>
              </w:rPr>
              <w:t xml:space="preserve">Republic of </w:t>
            </w:r>
            <w:r>
              <w:rPr>
                <w:rFonts w:ascii="Arial" w:eastAsia="TA Philausophy SemiBold" w:hAnsi="Arial" w:cs="Arial"/>
                <w:color w:val="000000" w:themeColor="text1"/>
                <w:sz w:val="16"/>
                <w:szCs w:val="16"/>
                <w:lang w:val="en-US"/>
              </w:rPr>
              <w:t>Korea</w:t>
            </w:r>
          </w:p>
        </w:tc>
      </w:tr>
      <w:tr w:rsidR="005B5FEC" w14:paraId="1187E02D" w14:textId="77777777" w:rsidTr="0092191D">
        <w:trPr>
          <w:trHeight w:val="559"/>
        </w:trPr>
        <w:tc>
          <w:tcPr>
            <w:tcW w:w="11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1C7C8E4" w14:textId="77777777" w:rsidR="005B5FEC" w:rsidRDefault="005B5FEC">
            <w:pPr>
              <w:pStyle w:val="Body"/>
              <w:spacing w:after="0" w:line="240" w:lineRule="auto"/>
              <w:ind w:left="22" w:hanging="22"/>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HYT – Premium/ Luxury</w:t>
            </w:r>
          </w:p>
        </w:tc>
        <w:tc>
          <w:tcPr>
            <w:tcW w:w="18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8728242"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Purpose of trip: Holiday and VFR</w:t>
            </w:r>
          </w:p>
          <w:p w14:paraId="1BFBF6FE"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Spend per person per night: &gt;$1,000</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3F4006" w14:textId="31DDB635"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China, U</w:t>
            </w:r>
            <w:r w:rsidR="00127463">
              <w:rPr>
                <w:rFonts w:ascii="Arial" w:eastAsia="TA Philausophy SemiBold" w:hAnsi="Arial" w:cs="Arial"/>
                <w:color w:val="000000" w:themeColor="text1"/>
                <w:sz w:val="16"/>
                <w:szCs w:val="16"/>
                <w:lang w:val="en-US"/>
              </w:rPr>
              <w:t>nited States</w:t>
            </w:r>
            <w:r>
              <w:rPr>
                <w:rFonts w:ascii="Arial" w:eastAsia="TA Philausophy SemiBold" w:hAnsi="Arial" w:cs="Arial"/>
                <w:color w:val="000000" w:themeColor="text1"/>
                <w:sz w:val="16"/>
                <w:szCs w:val="16"/>
                <w:lang w:val="en-US"/>
              </w:rPr>
              <w:t>, U</w:t>
            </w:r>
            <w:r w:rsidR="00127463">
              <w:rPr>
                <w:rFonts w:ascii="Arial" w:eastAsia="TA Philausophy SemiBold" w:hAnsi="Arial" w:cs="Arial"/>
                <w:color w:val="000000" w:themeColor="text1"/>
                <w:sz w:val="16"/>
                <w:szCs w:val="16"/>
                <w:lang w:val="en-US"/>
              </w:rPr>
              <w:t xml:space="preserve">nited </w:t>
            </w:r>
            <w:r>
              <w:rPr>
                <w:rFonts w:ascii="Arial" w:eastAsia="TA Philausophy SemiBold" w:hAnsi="Arial" w:cs="Arial"/>
                <w:color w:val="000000" w:themeColor="text1"/>
                <w:sz w:val="16"/>
                <w:szCs w:val="16"/>
                <w:lang w:val="en-US"/>
              </w:rPr>
              <w:t>K</w:t>
            </w:r>
            <w:r w:rsidR="00127463">
              <w:rPr>
                <w:rFonts w:ascii="Arial" w:eastAsia="TA Philausophy SemiBold" w:hAnsi="Arial" w:cs="Arial"/>
                <w:color w:val="000000" w:themeColor="text1"/>
                <w:sz w:val="16"/>
                <w:szCs w:val="16"/>
                <w:lang w:val="en-US"/>
              </w:rPr>
              <w:t>ingdom</w:t>
            </w:r>
          </w:p>
        </w:tc>
      </w:tr>
      <w:tr w:rsidR="005B5FEC" w14:paraId="0B451718" w14:textId="77777777" w:rsidTr="0092191D">
        <w:trPr>
          <w:trHeight w:val="644"/>
        </w:trPr>
        <w:tc>
          <w:tcPr>
            <w:tcW w:w="11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4AFE874" w14:textId="77777777" w:rsidR="005B5FEC" w:rsidRDefault="005B5FEC">
            <w:pPr>
              <w:pStyle w:val="Body"/>
              <w:spacing w:after="0" w:line="240" w:lineRule="auto"/>
              <w:ind w:left="22" w:hanging="22"/>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HYT - Working Holiday Makers</w:t>
            </w:r>
          </w:p>
        </w:tc>
        <w:tc>
          <w:tcPr>
            <w:tcW w:w="18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757645"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Purpose of trip: Employment</w:t>
            </w:r>
          </w:p>
          <w:p w14:paraId="3446FD86"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Length of stay: &gt;31 days</w:t>
            </w:r>
          </w:p>
          <w:p w14:paraId="2278C9F5"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Age group: &lt;35 years</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E89266" w14:textId="6AD346FB"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U</w:t>
            </w:r>
            <w:r w:rsidR="00127463">
              <w:rPr>
                <w:rFonts w:ascii="Arial" w:eastAsia="TA Philausophy SemiBold" w:hAnsi="Arial" w:cs="Arial"/>
                <w:color w:val="000000" w:themeColor="text1"/>
                <w:sz w:val="16"/>
                <w:szCs w:val="16"/>
                <w:lang w:val="en-US"/>
              </w:rPr>
              <w:t xml:space="preserve">nited </w:t>
            </w:r>
            <w:r>
              <w:rPr>
                <w:rFonts w:ascii="Arial" w:eastAsia="TA Philausophy SemiBold" w:hAnsi="Arial" w:cs="Arial"/>
                <w:color w:val="000000" w:themeColor="text1"/>
                <w:sz w:val="16"/>
                <w:szCs w:val="16"/>
                <w:lang w:val="en-US"/>
              </w:rPr>
              <w:t>K</w:t>
            </w:r>
            <w:r w:rsidR="00127463">
              <w:rPr>
                <w:rFonts w:ascii="Arial" w:eastAsia="TA Philausophy SemiBold" w:hAnsi="Arial" w:cs="Arial"/>
                <w:color w:val="000000" w:themeColor="text1"/>
                <w:sz w:val="16"/>
                <w:szCs w:val="16"/>
                <w:lang w:val="en-US"/>
              </w:rPr>
              <w:t>ingdom</w:t>
            </w:r>
            <w:r>
              <w:rPr>
                <w:rFonts w:ascii="Arial" w:eastAsia="TA Philausophy SemiBold" w:hAnsi="Arial" w:cs="Arial"/>
                <w:color w:val="000000" w:themeColor="text1"/>
                <w:sz w:val="16"/>
                <w:szCs w:val="16"/>
                <w:lang w:val="en-US"/>
              </w:rPr>
              <w:t xml:space="preserve">, France, </w:t>
            </w:r>
            <w:r w:rsidR="00403261">
              <w:rPr>
                <w:rFonts w:ascii="Arial" w:eastAsia="TA Philausophy SemiBold" w:hAnsi="Arial" w:cs="Arial"/>
                <w:color w:val="000000" w:themeColor="text1"/>
                <w:sz w:val="16"/>
                <w:szCs w:val="16"/>
                <w:lang w:val="en-US"/>
              </w:rPr>
              <w:t xml:space="preserve">Republic of </w:t>
            </w:r>
            <w:r>
              <w:rPr>
                <w:rFonts w:ascii="Arial" w:eastAsia="TA Philausophy SemiBold" w:hAnsi="Arial" w:cs="Arial"/>
                <w:color w:val="000000" w:themeColor="text1"/>
                <w:sz w:val="16"/>
                <w:szCs w:val="16"/>
                <w:lang w:val="en-US"/>
              </w:rPr>
              <w:t>Korea, Japan, Germany</w:t>
            </w:r>
          </w:p>
        </w:tc>
      </w:tr>
      <w:tr w:rsidR="005B5FEC" w14:paraId="1699D938" w14:textId="77777777" w:rsidTr="00127463">
        <w:trPr>
          <w:trHeight w:val="226"/>
        </w:trPr>
        <w:tc>
          <w:tcPr>
            <w:tcW w:w="2942"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7493A47F" w14:textId="3CD16EA0" w:rsidR="005B5FEC" w:rsidRPr="00127463" w:rsidRDefault="005B5FEC">
            <w:pPr>
              <w:pStyle w:val="Body"/>
              <w:spacing w:after="0" w:line="240" w:lineRule="auto"/>
              <w:ind w:left="301" w:hanging="283"/>
              <w:jc w:val="left"/>
              <w:rPr>
                <w:rFonts w:ascii="Arial" w:eastAsia="TA Philausophy SemiBold" w:hAnsi="Arial" w:cs="Arial"/>
                <w:b/>
                <w:bCs/>
                <w:color w:val="000000" w:themeColor="text1"/>
                <w:sz w:val="18"/>
                <w:szCs w:val="18"/>
                <w:lang w:val="en-US"/>
              </w:rPr>
            </w:pPr>
            <w:r w:rsidRPr="00127463">
              <w:rPr>
                <w:rFonts w:ascii="Arial" w:eastAsia="TA Philausophy SemiBold" w:hAnsi="Arial" w:cs="Arial"/>
                <w:b/>
                <w:bCs/>
                <w:color w:val="000000" w:themeColor="text1"/>
                <w:sz w:val="18"/>
                <w:szCs w:val="18"/>
                <w:lang w:val="en-US"/>
              </w:rPr>
              <w:t>Business Events</w:t>
            </w:r>
            <w:r w:rsidR="00127463">
              <w:rPr>
                <w:rFonts w:ascii="Arial" w:eastAsia="TA Philausophy SemiBold" w:hAnsi="Arial" w:cs="Arial"/>
                <w:b/>
                <w:bCs/>
                <w:color w:val="000000" w:themeColor="text1"/>
                <w:sz w:val="18"/>
                <w:szCs w:val="18"/>
                <w:lang w:val="en-US"/>
              </w:rPr>
              <w:t xml:space="preserve"> (BE)</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F1A7F7D" w14:textId="77777777" w:rsidR="005B5FEC" w:rsidRDefault="005B5FEC">
            <w:pPr>
              <w:pStyle w:val="Body"/>
              <w:spacing w:after="0" w:line="240" w:lineRule="auto"/>
              <w:ind w:left="305" w:hanging="283"/>
              <w:jc w:val="left"/>
              <w:rPr>
                <w:rFonts w:ascii="Arial" w:eastAsia="TA Philausophy SemiBold" w:hAnsi="Arial" w:cs="Arial"/>
                <w:b/>
                <w:bCs/>
                <w:color w:val="000000" w:themeColor="text1"/>
                <w:sz w:val="16"/>
                <w:szCs w:val="16"/>
                <w:lang w:val="en-US"/>
              </w:rPr>
            </w:pPr>
          </w:p>
        </w:tc>
      </w:tr>
      <w:tr w:rsidR="005B5FEC" w14:paraId="7967A54D" w14:textId="77777777" w:rsidTr="00127463">
        <w:trPr>
          <w:trHeight w:val="211"/>
        </w:trPr>
        <w:tc>
          <w:tcPr>
            <w:tcW w:w="11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272F0805"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Audience</w:t>
            </w:r>
          </w:p>
        </w:tc>
        <w:tc>
          <w:tcPr>
            <w:tcW w:w="18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52537704" w14:textId="77777777" w:rsidR="005B5FEC" w:rsidRDefault="005B5FEC" w:rsidP="0039314D">
            <w:pPr>
              <w:pStyle w:val="Body"/>
              <w:spacing w:after="0" w:line="240" w:lineRule="auto"/>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Definition</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6709AE11" w14:textId="77777777" w:rsidR="005B5FEC" w:rsidRDefault="005B5FEC" w:rsidP="0039314D">
            <w:pPr>
              <w:pStyle w:val="Body"/>
              <w:spacing w:after="0" w:line="240" w:lineRule="auto"/>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Markets</w:t>
            </w:r>
          </w:p>
        </w:tc>
      </w:tr>
      <w:tr w:rsidR="005B5FEC" w14:paraId="62A56F80" w14:textId="77777777" w:rsidTr="00127463">
        <w:trPr>
          <w:trHeight w:val="453"/>
        </w:trPr>
        <w:tc>
          <w:tcPr>
            <w:tcW w:w="11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83D8717"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HYT – BE Incentive</w:t>
            </w:r>
          </w:p>
        </w:tc>
        <w:tc>
          <w:tcPr>
            <w:tcW w:w="18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744A9C"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 xml:space="preserve">Incentive </w:t>
            </w:r>
            <w:r>
              <w:rPr>
                <w:rFonts w:ascii="Arial" w:hAnsi="Arial" w:cs="Arial"/>
                <w:color w:val="000000" w:themeColor="text1"/>
                <w:sz w:val="16"/>
                <w:szCs w:val="16"/>
              </w:rPr>
              <w:t>agents and corporate decision makers</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75F0091" w14:textId="1A49542B"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N</w:t>
            </w:r>
            <w:r w:rsidR="00127463">
              <w:rPr>
                <w:rFonts w:ascii="Arial" w:eastAsia="TA Philausophy SemiBold" w:hAnsi="Arial" w:cs="Arial"/>
                <w:color w:val="000000" w:themeColor="text1"/>
                <w:sz w:val="16"/>
                <w:szCs w:val="16"/>
                <w:lang w:val="en-US"/>
              </w:rPr>
              <w:t xml:space="preserve">ew </w:t>
            </w:r>
            <w:r>
              <w:rPr>
                <w:rFonts w:ascii="Arial" w:eastAsia="TA Philausophy SemiBold" w:hAnsi="Arial" w:cs="Arial"/>
                <w:color w:val="000000" w:themeColor="text1"/>
                <w:sz w:val="16"/>
                <w:szCs w:val="16"/>
                <w:lang w:val="en-US"/>
              </w:rPr>
              <w:t>Z</w:t>
            </w:r>
            <w:r w:rsidR="00127463">
              <w:rPr>
                <w:rFonts w:ascii="Arial" w:eastAsia="TA Philausophy SemiBold" w:hAnsi="Arial" w:cs="Arial"/>
                <w:color w:val="000000" w:themeColor="text1"/>
                <w:sz w:val="16"/>
                <w:szCs w:val="16"/>
                <w:lang w:val="en-US"/>
              </w:rPr>
              <w:t>ealand</w:t>
            </w:r>
            <w:r>
              <w:rPr>
                <w:rFonts w:ascii="Arial" w:eastAsia="TA Philausophy SemiBold" w:hAnsi="Arial" w:cs="Arial"/>
                <w:color w:val="000000" w:themeColor="text1"/>
                <w:sz w:val="16"/>
                <w:szCs w:val="16"/>
                <w:lang w:val="en-US"/>
              </w:rPr>
              <w:t xml:space="preserve">, China, </w:t>
            </w:r>
            <w:r w:rsidR="00127463">
              <w:rPr>
                <w:rFonts w:ascii="Arial" w:eastAsia="TA Philausophy SemiBold" w:hAnsi="Arial" w:cs="Arial"/>
                <w:color w:val="000000" w:themeColor="text1"/>
                <w:sz w:val="16"/>
                <w:szCs w:val="16"/>
                <w:lang w:val="en-US"/>
              </w:rPr>
              <w:t xml:space="preserve">North </w:t>
            </w:r>
            <w:r>
              <w:rPr>
                <w:rFonts w:ascii="Arial" w:eastAsia="TA Philausophy SemiBold" w:hAnsi="Arial" w:cs="Arial"/>
                <w:color w:val="000000" w:themeColor="text1"/>
                <w:sz w:val="16"/>
                <w:szCs w:val="16"/>
                <w:lang w:val="en-US"/>
              </w:rPr>
              <w:t xml:space="preserve">America, </w:t>
            </w:r>
            <w:r w:rsidR="00127463">
              <w:rPr>
                <w:rFonts w:ascii="Arial" w:eastAsia="TA Philausophy SemiBold" w:hAnsi="Arial" w:cs="Arial"/>
                <w:color w:val="000000" w:themeColor="text1"/>
                <w:sz w:val="16"/>
                <w:szCs w:val="16"/>
                <w:lang w:val="en-US"/>
              </w:rPr>
              <w:t>United Kingdom</w:t>
            </w:r>
            <w:r>
              <w:rPr>
                <w:rFonts w:ascii="Arial" w:eastAsia="TA Philausophy SemiBold" w:hAnsi="Arial" w:cs="Arial"/>
                <w:color w:val="000000" w:themeColor="text1"/>
                <w:sz w:val="16"/>
                <w:szCs w:val="16"/>
                <w:lang w:val="en-US"/>
              </w:rPr>
              <w:t>, South/Southeast Asia</w:t>
            </w:r>
          </w:p>
        </w:tc>
      </w:tr>
      <w:tr w:rsidR="005B5FEC" w14:paraId="3066F20D" w14:textId="77777777" w:rsidTr="00127463">
        <w:trPr>
          <w:trHeight w:val="438"/>
        </w:trPr>
        <w:tc>
          <w:tcPr>
            <w:tcW w:w="110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B35D82"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HYT – BE Association</w:t>
            </w:r>
          </w:p>
        </w:tc>
        <w:tc>
          <w:tcPr>
            <w:tcW w:w="18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F174687" w14:textId="77777777"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 xml:space="preserve">Association planners and decision-makers </w:t>
            </w:r>
          </w:p>
        </w:tc>
        <w:tc>
          <w:tcPr>
            <w:tcW w:w="20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AF97E16" w14:textId="3EC013E9" w:rsidR="005B5FEC" w:rsidRDefault="005B5FEC">
            <w:pPr>
              <w:pStyle w:val="Body"/>
              <w:spacing w:after="0" w:line="240" w:lineRule="auto"/>
              <w:jc w:val="left"/>
              <w:rPr>
                <w:rFonts w:ascii="Arial" w:eastAsia="TA Philausophy SemiBold" w:hAnsi="Arial" w:cs="Arial"/>
                <w:color w:val="000000" w:themeColor="text1"/>
                <w:sz w:val="16"/>
                <w:szCs w:val="16"/>
                <w:lang w:val="en-US"/>
              </w:rPr>
            </w:pPr>
            <w:r>
              <w:rPr>
                <w:rFonts w:ascii="Arial" w:eastAsia="TA Philausophy SemiBold" w:hAnsi="Arial" w:cs="Arial"/>
                <w:color w:val="000000" w:themeColor="text1"/>
                <w:sz w:val="16"/>
                <w:szCs w:val="16"/>
                <w:lang w:val="en-US"/>
              </w:rPr>
              <w:t>U</w:t>
            </w:r>
            <w:r w:rsidR="00127463">
              <w:rPr>
                <w:rFonts w:ascii="Arial" w:eastAsia="TA Philausophy SemiBold" w:hAnsi="Arial" w:cs="Arial"/>
                <w:color w:val="000000" w:themeColor="text1"/>
                <w:sz w:val="16"/>
                <w:szCs w:val="16"/>
                <w:lang w:val="en-US"/>
              </w:rPr>
              <w:t>nited Kingdom</w:t>
            </w:r>
            <w:r>
              <w:rPr>
                <w:rFonts w:ascii="Arial" w:eastAsia="TA Philausophy SemiBold" w:hAnsi="Arial" w:cs="Arial"/>
                <w:color w:val="000000" w:themeColor="text1"/>
                <w:sz w:val="16"/>
                <w:szCs w:val="16"/>
                <w:lang w:val="en-US"/>
              </w:rPr>
              <w:t xml:space="preserve">/Europe, </w:t>
            </w:r>
            <w:r w:rsidR="00127463">
              <w:rPr>
                <w:rFonts w:ascii="Arial" w:eastAsia="TA Philausophy SemiBold" w:hAnsi="Arial" w:cs="Arial"/>
                <w:color w:val="000000" w:themeColor="text1"/>
                <w:sz w:val="16"/>
                <w:szCs w:val="16"/>
                <w:lang w:val="en-US"/>
              </w:rPr>
              <w:t xml:space="preserve">North </w:t>
            </w:r>
            <w:r>
              <w:rPr>
                <w:rFonts w:ascii="Arial" w:eastAsia="TA Philausophy SemiBold" w:hAnsi="Arial" w:cs="Arial"/>
                <w:color w:val="000000" w:themeColor="text1"/>
                <w:sz w:val="16"/>
                <w:szCs w:val="16"/>
                <w:lang w:val="en-US"/>
              </w:rPr>
              <w:t>America</w:t>
            </w:r>
          </w:p>
        </w:tc>
      </w:tr>
    </w:tbl>
    <w:p w14:paraId="4071EFF0" w14:textId="77777777" w:rsidR="002F26B7" w:rsidRPr="004628A2" w:rsidRDefault="002F26B7" w:rsidP="002F26B7">
      <w:pPr>
        <w:spacing w:after="120" w:line="240" w:lineRule="auto"/>
        <w:textAlignment w:val="baseline"/>
        <w:rPr>
          <w:b/>
          <w:bCs/>
          <w:sz w:val="10"/>
          <w:szCs w:val="10"/>
          <w:lang w:eastAsia="zh-CN"/>
        </w:rPr>
      </w:pPr>
    </w:p>
    <w:p w14:paraId="66B012ED" w14:textId="6E0EB27C" w:rsidR="002F26B7" w:rsidRPr="002F26B7" w:rsidRDefault="002F26B7" w:rsidP="002F26B7">
      <w:pPr>
        <w:pStyle w:val="Heading4"/>
        <w:jc w:val="both"/>
      </w:pPr>
      <w:r w:rsidRPr="002F26B7">
        <w:t>Strategic priorities and enabling factors</w:t>
      </w:r>
    </w:p>
    <w:p w14:paraId="0BD2FE45" w14:textId="78F7F5A7" w:rsidR="002F26B7" w:rsidRDefault="002F26B7" w:rsidP="002F26B7">
      <w:pPr>
        <w:pStyle w:val="Exampletext"/>
        <w:rPr>
          <w:i w:val="0"/>
          <w:iCs/>
          <w:color w:val="auto"/>
        </w:rPr>
      </w:pPr>
      <w:r w:rsidRPr="002F26B7">
        <w:rPr>
          <w:i w:val="0"/>
          <w:iCs/>
          <w:color w:val="auto"/>
        </w:rPr>
        <w:t xml:space="preserve">To aid the recovery of our industry, </w:t>
      </w:r>
      <w:r w:rsidR="0092191D">
        <w:rPr>
          <w:i w:val="0"/>
          <w:iCs/>
          <w:color w:val="auto"/>
          <w:lang w:val="en-AU"/>
        </w:rPr>
        <w:t xml:space="preserve">TA </w:t>
      </w:r>
      <w:r w:rsidRPr="002F26B7">
        <w:rPr>
          <w:i w:val="0"/>
          <w:iCs/>
          <w:color w:val="auto"/>
        </w:rPr>
        <w:t xml:space="preserve">will focus effort </w:t>
      </w:r>
      <w:r w:rsidR="0092191D">
        <w:rPr>
          <w:i w:val="0"/>
          <w:iCs/>
          <w:color w:val="auto"/>
          <w:lang w:val="en-AU"/>
        </w:rPr>
        <w:t xml:space="preserve">on </w:t>
      </w:r>
      <w:r w:rsidRPr="002F26B7">
        <w:rPr>
          <w:i w:val="0"/>
          <w:iCs/>
          <w:color w:val="auto"/>
        </w:rPr>
        <w:t>s</w:t>
      </w:r>
      <w:r w:rsidR="005B5FEC">
        <w:rPr>
          <w:i w:val="0"/>
          <w:iCs/>
          <w:color w:val="auto"/>
          <w:lang w:val="en-AU"/>
        </w:rPr>
        <w:t>ix</w:t>
      </w:r>
      <w:r w:rsidRPr="002F26B7">
        <w:rPr>
          <w:i w:val="0"/>
          <w:iCs/>
          <w:color w:val="auto"/>
        </w:rPr>
        <w:t xml:space="preserve"> strategic priorities:</w:t>
      </w:r>
    </w:p>
    <w:p w14:paraId="092DC447" w14:textId="77777777" w:rsidR="005B5FEC" w:rsidRPr="005B5FEC" w:rsidRDefault="005B5FEC" w:rsidP="00091F80">
      <w:pPr>
        <w:numPr>
          <w:ilvl w:val="0"/>
          <w:numId w:val="38"/>
        </w:numPr>
        <w:spacing w:after="0" w:line="240" w:lineRule="auto"/>
        <w:rPr>
          <w:rFonts w:eastAsia="Calibri Light" w:cs="Calibri"/>
          <w:color w:val="000000" w:themeColor="text1"/>
          <w:bdr w:val="none" w:sz="0" w:space="0" w:color="auto" w:frame="1"/>
          <w:lang w:val="en-US"/>
        </w:rPr>
      </w:pPr>
      <w:r w:rsidRPr="005B5FEC">
        <w:rPr>
          <w:rFonts w:eastAsia="Calibri Light" w:cs="Calibri"/>
          <w:b/>
          <w:bCs/>
          <w:color w:val="000000" w:themeColor="text1"/>
          <w:bdr w:val="none" w:sz="0" w:space="0" w:color="auto" w:frame="1"/>
          <w:lang w:val="en-US"/>
        </w:rPr>
        <w:t>Reinvigorate our brand to recapture market share</w:t>
      </w:r>
      <w:r w:rsidRPr="005B5FEC">
        <w:rPr>
          <w:rFonts w:eastAsia="Calibri Light" w:cs="Calibri"/>
          <w:color w:val="000000" w:themeColor="text1"/>
          <w:bdr w:val="none" w:sz="0" w:space="0" w:color="auto" w:frame="1"/>
          <w:lang w:val="en-US"/>
        </w:rPr>
        <w:t xml:space="preserve">: Produce effective marketing campaigns and clever through-the-funnel activity to keep Australia on High Yield </w:t>
      </w:r>
      <w:proofErr w:type="spellStart"/>
      <w:r w:rsidRPr="005B5FEC">
        <w:rPr>
          <w:rFonts w:eastAsia="Calibri Light" w:cs="Calibri"/>
          <w:color w:val="000000" w:themeColor="text1"/>
          <w:bdr w:val="none" w:sz="0" w:space="0" w:color="auto" w:frame="1"/>
          <w:lang w:val="en-US"/>
        </w:rPr>
        <w:t>Travellers’</w:t>
      </w:r>
      <w:proofErr w:type="spellEnd"/>
      <w:r w:rsidRPr="005B5FEC">
        <w:rPr>
          <w:rFonts w:eastAsia="Calibri Light" w:cs="Calibri"/>
          <w:color w:val="000000" w:themeColor="text1"/>
          <w:bdr w:val="none" w:sz="0" w:space="0" w:color="auto" w:frame="1"/>
          <w:lang w:val="en-US"/>
        </w:rPr>
        <w:t xml:space="preserve"> consideration list and drive demand as markets open. Develop impactful brand campaigns to regain competitiveness and grow market share.</w:t>
      </w:r>
    </w:p>
    <w:p w14:paraId="3BCF87BF" w14:textId="77777777" w:rsidR="005B5FEC" w:rsidRPr="005B5FEC" w:rsidRDefault="005B5FEC" w:rsidP="00091F80">
      <w:pPr>
        <w:numPr>
          <w:ilvl w:val="0"/>
          <w:numId w:val="38"/>
        </w:numPr>
        <w:spacing w:after="0" w:line="240" w:lineRule="auto"/>
        <w:rPr>
          <w:rFonts w:eastAsia="Calibri Light" w:cs="Calibri"/>
          <w:color w:val="000000" w:themeColor="text1"/>
          <w:bdr w:val="none" w:sz="0" w:space="0" w:color="auto" w:frame="1"/>
          <w:lang w:val="en-US"/>
        </w:rPr>
      </w:pPr>
      <w:proofErr w:type="spellStart"/>
      <w:r w:rsidRPr="005B5FEC">
        <w:rPr>
          <w:rFonts w:eastAsia="Calibri Light" w:cs="Calibri"/>
          <w:b/>
          <w:bCs/>
          <w:color w:val="000000" w:themeColor="text1"/>
          <w:bdr w:val="none" w:sz="0" w:space="0" w:color="auto" w:frame="1"/>
          <w:lang w:val="en-US"/>
        </w:rPr>
        <w:t>Maximise</w:t>
      </w:r>
      <w:proofErr w:type="spellEnd"/>
      <w:r w:rsidRPr="005B5FEC">
        <w:rPr>
          <w:rFonts w:eastAsia="Calibri Light" w:cs="Calibri"/>
          <w:b/>
          <w:bCs/>
          <w:color w:val="000000" w:themeColor="text1"/>
          <w:bdr w:val="none" w:sz="0" w:space="0" w:color="auto" w:frame="1"/>
          <w:lang w:val="en-US"/>
        </w:rPr>
        <w:t xml:space="preserve"> conversion and support aviation recovery</w:t>
      </w:r>
      <w:r w:rsidRPr="005B5FEC">
        <w:rPr>
          <w:rFonts w:eastAsia="Calibri Light" w:cs="Calibri"/>
          <w:color w:val="000000" w:themeColor="text1"/>
          <w:bdr w:val="none" w:sz="0" w:space="0" w:color="auto" w:frame="1"/>
          <w:lang w:val="en-US"/>
        </w:rPr>
        <w:t>: Continue to drive conversion with commercial partners (key distribution partners and airlines) supporting aviation route recovery.</w:t>
      </w:r>
    </w:p>
    <w:p w14:paraId="23978DD2" w14:textId="77777777" w:rsidR="005B5FEC" w:rsidRPr="005B5FEC" w:rsidRDefault="005B5FEC" w:rsidP="00091F80">
      <w:pPr>
        <w:numPr>
          <w:ilvl w:val="0"/>
          <w:numId w:val="38"/>
        </w:numPr>
        <w:spacing w:after="0" w:line="240" w:lineRule="auto"/>
        <w:rPr>
          <w:rFonts w:eastAsia="Calibri Light" w:cs="Calibri"/>
          <w:color w:val="000000" w:themeColor="text1"/>
          <w:bdr w:val="none" w:sz="0" w:space="0" w:color="auto" w:frame="1"/>
          <w:lang w:val="en-US"/>
        </w:rPr>
      </w:pPr>
      <w:r w:rsidRPr="005B5FEC">
        <w:rPr>
          <w:rFonts w:eastAsia="Calibri Light" w:cs="Calibri"/>
          <w:b/>
          <w:bCs/>
          <w:color w:val="000000" w:themeColor="text1"/>
          <w:bdr w:val="none" w:sz="0" w:space="0" w:color="auto" w:frame="1"/>
          <w:lang w:val="en-US"/>
        </w:rPr>
        <w:t>Rejuvenate advocacy fast with face-to-face engagement with trade and media</w:t>
      </w:r>
      <w:r w:rsidRPr="005B5FEC">
        <w:rPr>
          <w:rFonts w:eastAsia="Calibri Light" w:cs="Calibri"/>
          <w:color w:val="000000" w:themeColor="text1"/>
          <w:bdr w:val="none" w:sz="0" w:space="0" w:color="auto" w:frame="1"/>
          <w:lang w:val="en-US"/>
        </w:rPr>
        <w:t>: Create highly credible, motivating and timely advocacy for Australia by getting the trade and media to experience it first-hand for the first time since the pandemic struck our shores.</w:t>
      </w:r>
    </w:p>
    <w:p w14:paraId="08286631" w14:textId="518B3FD7" w:rsidR="005B5FEC" w:rsidRPr="005B5FEC" w:rsidRDefault="005B5FEC" w:rsidP="00091F80">
      <w:pPr>
        <w:numPr>
          <w:ilvl w:val="0"/>
          <w:numId w:val="38"/>
        </w:numPr>
        <w:spacing w:after="0" w:line="240" w:lineRule="auto"/>
        <w:rPr>
          <w:rFonts w:eastAsia="Calibri Light" w:cs="Calibri"/>
          <w:color w:val="000000" w:themeColor="text1"/>
          <w:bdr w:val="none" w:sz="0" w:space="0" w:color="auto" w:frame="1"/>
          <w:lang w:val="en-US"/>
        </w:rPr>
      </w:pPr>
      <w:r w:rsidRPr="005B5FEC">
        <w:rPr>
          <w:rFonts w:eastAsia="Calibri Light" w:cs="Calibri"/>
          <w:b/>
          <w:bCs/>
          <w:color w:val="000000" w:themeColor="text1"/>
          <w:bdr w:val="none" w:sz="0" w:space="0" w:color="auto" w:frame="1"/>
          <w:lang w:val="en-US"/>
        </w:rPr>
        <w:t>Elevate and champion Indigenous and sustainable tourism</w:t>
      </w:r>
      <w:r w:rsidRPr="005B5FEC">
        <w:rPr>
          <w:rFonts w:eastAsia="Calibri Light" w:cs="Calibri"/>
          <w:color w:val="000000" w:themeColor="text1"/>
          <w:bdr w:val="none" w:sz="0" w:space="0" w:color="auto" w:frame="1"/>
          <w:lang w:val="en-US"/>
        </w:rPr>
        <w:t>: Continue to improve understanding, support industry readiness, and build demand to create an even more competitive future destination.</w:t>
      </w:r>
    </w:p>
    <w:p w14:paraId="10E5226C" w14:textId="31B2039A" w:rsidR="005B5FEC" w:rsidRPr="005B5FEC" w:rsidRDefault="005B5FEC" w:rsidP="00091F80">
      <w:pPr>
        <w:numPr>
          <w:ilvl w:val="0"/>
          <w:numId w:val="38"/>
        </w:numPr>
        <w:spacing w:after="0" w:line="240" w:lineRule="auto"/>
        <w:rPr>
          <w:rFonts w:eastAsia="Calibri Light" w:cs="Calibri"/>
          <w:color w:val="000000" w:themeColor="text1"/>
          <w:bdr w:val="none" w:sz="0" w:space="0" w:color="auto" w:frame="1"/>
          <w:lang w:val="en-US"/>
        </w:rPr>
      </w:pPr>
      <w:r w:rsidRPr="005B5FEC">
        <w:rPr>
          <w:rFonts w:eastAsia="Calibri Light" w:cs="Calibri"/>
          <w:b/>
          <w:bCs/>
          <w:color w:val="000000" w:themeColor="text1"/>
          <w:bdr w:val="none" w:sz="0" w:space="0" w:color="auto" w:frame="1"/>
          <w:lang w:val="en-US"/>
        </w:rPr>
        <w:t>Support industry recovery and growth</w:t>
      </w:r>
      <w:r w:rsidRPr="005B5FEC">
        <w:rPr>
          <w:rFonts w:eastAsia="Calibri Light" w:cs="Calibri"/>
          <w:color w:val="000000" w:themeColor="text1"/>
          <w:bdr w:val="none" w:sz="0" w:space="0" w:color="auto" w:frame="1"/>
          <w:lang w:val="en-US"/>
        </w:rPr>
        <w:t>: Continue to be a platform for industry, a source of information and insights, and an advocate with stakeholders to reengage international markets and reimagine future opportunities.</w:t>
      </w:r>
    </w:p>
    <w:p w14:paraId="41663AB0" w14:textId="2FD6268F" w:rsidR="005B5FEC" w:rsidRDefault="005B5FEC" w:rsidP="00091F80">
      <w:pPr>
        <w:numPr>
          <w:ilvl w:val="0"/>
          <w:numId w:val="38"/>
        </w:numPr>
        <w:spacing w:after="0" w:line="240" w:lineRule="auto"/>
        <w:rPr>
          <w:rFonts w:eastAsia="Calibri Light" w:cs="Calibri"/>
          <w:color w:val="000000" w:themeColor="text1"/>
          <w:bdr w:val="none" w:sz="0" w:space="0" w:color="auto" w:frame="1"/>
          <w:lang w:val="en-US"/>
        </w:rPr>
      </w:pPr>
      <w:r w:rsidRPr="005B5FEC">
        <w:rPr>
          <w:rFonts w:eastAsia="Calibri Light" w:cs="Calibri"/>
          <w:b/>
          <w:bCs/>
          <w:color w:val="000000" w:themeColor="text1"/>
          <w:bdr w:val="none" w:sz="0" w:space="0" w:color="auto" w:frame="1"/>
          <w:lang w:val="en-US"/>
        </w:rPr>
        <w:t>Expedite Business Events recovery</w:t>
      </w:r>
      <w:r w:rsidRPr="005B5FEC">
        <w:rPr>
          <w:rFonts w:eastAsia="Calibri Light" w:cs="Calibri"/>
          <w:color w:val="000000" w:themeColor="text1"/>
          <w:bdr w:val="none" w:sz="0" w:space="0" w:color="auto" w:frame="1"/>
          <w:lang w:val="en-US"/>
        </w:rPr>
        <w:t>: Drive demand to increase conversion and position Australia for long</w:t>
      </w:r>
      <w:r w:rsidR="00D734C3">
        <w:rPr>
          <w:rFonts w:eastAsia="Calibri Light" w:cs="Calibri"/>
          <w:color w:val="000000" w:themeColor="text1"/>
          <w:bdr w:val="none" w:sz="0" w:space="0" w:color="auto" w:frame="1"/>
          <w:lang w:val="en-US"/>
        </w:rPr>
        <w:t>-</w:t>
      </w:r>
      <w:r w:rsidRPr="005B5FEC">
        <w:rPr>
          <w:rFonts w:eastAsia="Calibri Light" w:cs="Calibri"/>
          <w:color w:val="000000" w:themeColor="text1"/>
          <w:bdr w:val="none" w:sz="0" w:space="0" w:color="auto" w:frame="1"/>
          <w:lang w:val="en-US"/>
        </w:rPr>
        <w:t>term growth.</w:t>
      </w:r>
    </w:p>
    <w:p w14:paraId="42985C56" w14:textId="77777777" w:rsidR="005B5FEC" w:rsidRPr="005B5FEC" w:rsidRDefault="005B5FEC" w:rsidP="005B5FEC">
      <w:pPr>
        <w:spacing w:after="0" w:line="240" w:lineRule="auto"/>
        <w:ind w:left="720"/>
        <w:rPr>
          <w:rFonts w:eastAsia="Calibri Light" w:cs="Calibri"/>
          <w:color w:val="000000" w:themeColor="text1"/>
          <w:bdr w:val="none" w:sz="0" w:space="0" w:color="auto" w:frame="1"/>
          <w:lang w:val="en-US"/>
        </w:rPr>
      </w:pPr>
    </w:p>
    <w:p w14:paraId="1823DB72" w14:textId="77777777" w:rsidR="002F26B7" w:rsidRPr="002F26B7" w:rsidRDefault="002F26B7" w:rsidP="002F26B7">
      <w:pPr>
        <w:pStyle w:val="Exampletext"/>
        <w:rPr>
          <w:i w:val="0"/>
          <w:iCs/>
          <w:color w:val="auto"/>
        </w:rPr>
      </w:pPr>
      <w:r w:rsidRPr="002F26B7">
        <w:rPr>
          <w:i w:val="0"/>
          <w:iCs/>
          <w:color w:val="auto"/>
        </w:rPr>
        <w:t>The following enabling factors will be important to delivery of our strategic priorities:</w:t>
      </w:r>
    </w:p>
    <w:p w14:paraId="32A653FF" w14:textId="77777777" w:rsidR="002F26B7" w:rsidRDefault="002F26B7" w:rsidP="00091F80">
      <w:pPr>
        <w:numPr>
          <w:ilvl w:val="0"/>
          <w:numId w:val="38"/>
        </w:numPr>
        <w:spacing w:after="0" w:line="240" w:lineRule="auto"/>
        <w:rPr>
          <w:rFonts w:eastAsia="Calibri Light" w:cs="Calibri"/>
          <w:color w:val="000000" w:themeColor="text1"/>
          <w:bdr w:val="none" w:sz="0" w:space="0" w:color="auto" w:frame="1"/>
          <w:lang w:val="en-US"/>
        </w:rPr>
      </w:pPr>
      <w:r>
        <w:rPr>
          <w:rFonts w:eastAsia="Calibri Light" w:cs="Calibri"/>
          <w:color w:val="000000" w:themeColor="text1"/>
          <w:bdr w:val="none" w:sz="0" w:space="0" w:color="auto" w:frame="1"/>
          <w:lang w:val="en-US"/>
        </w:rPr>
        <w:t xml:space="preserve">insights-driven strategies and </w:t>
      </w:r>
      <w:proofErr w:type="gramStart"/>
      <w:r>
        <w:rPr>
          <w:rFonts w:eastAsia="Calibri Light" w:cs="Calibri"/>
          <w:color w:val="000000" w:themeColor="text1"/>
          <w:bdr w:val="none" w:sz="0" w:space="0" w:color="auto" w:frame="1"/>
          <w:lang w:val="en-US"/>
        </w:rPr>
        <w:t>decision-making;</w:t>
      </w:r>
      <w:proofErr w:type="gramEnd"/>
    </w:p>
    <w:p w14:paraId="31F11E3A" w14:textId="77777777" w:rsidR="002F26B7" w:rsidRDefault="002F26B7" w:rsidP="00091F80">
      <w:pPr>
        <w:numPr>
          <w:ilvl w:val="0"/>
          <w:numId w:val="38"/>
        </w:numPr>
        <w:spacing w:after="0" w:line="240" w:lineRule="auto"/>
        <w:rPr>
          <w:rFonts w:eastAsia="Calibri Light" w:cs="Calibri"/>
          <w:color w:val="000000" w:themeColor="text1"/>
          <w:bdr w:val="none" w:sz="0" w:space="0" w:color="auto" w:frame="1"/>
          <w:lang w:val="en-US"/>
        </w:rPr>
      </w:pPr>
      <w:r>
        <w:rPr>
          <w:rFonts w:eastAsia="Calibri Light" w:cs="Calibri"/>
          <w:color w:val="000000" w:themeColor="text1"/>
          <w:bdr w:val="none" w:sz="0" w:space="0" w:color="auto" w:frame="1"/>
          <w:lang w:val="en-US"/>
        </w:rPr>
        <w:t xml:space="preserve">engaged and supportive </w:t>
      </w:r>
      <w:proofErr w:type="gramStart"/>
      <w:r>
        <w:rPr>
          <w:rFonts w:eastAsia="Calibri Light" w:cs="Calibri"/>
          <w:color w:val="000000" w:themeColor="text1"/>
          <w:bdr w:val="none" w:sz="0" w:space="0" w:color="auto" w:frame="1"/>
          <w:lang w:val="en-US"/>
        </w:rPr>
        <w:t>stakeholders;</w:t>
      </w:r>
      <w:proofErr w:type="gramEnd"/>
    </w:p>
    <w:p w14:paraId="0A216094" w14:textId="77777777" w:rsidR="002F26B7" w:rsidRDefault="002F26B7" w:rsidP="00091F80">
      <w:pPr>
        <w:numPr>
          <w:ilvl w:val="0"/>
          <w:numId w:val="38"/>
        </w:numPr>
        <w:spacing w:after="0" w:line="240" w:lineRule="auto"/>
        <w:rPr>
          <w:rFonts w:eastAsia="Calibri Light" w:cs="Calibri"/>
          <w:color w:val="000000" w:themeColor="text1"/>
          <w:bdr w:val="none" w:sz="0" w:space="0" w:color="auto" w:frame="1"/>
          <w:lang w:val="en-US"/>
        </w:rPr>
      </w:pPr>
      <w:r>
        <w:rPr>
          <w:rFonts w:eastAsia="Calibri Light" w:cs="Calibri"/>
          <w:color w:val="000000" w:themeColor="text1"/>
          <w:bdr w:val="none" w:sz="0" w:space="0" w:color="auto" w:frame="1"/>
          <w:lang w:val="en-US"/>
        </w:rPr>
        <w:t xml:space="preserve">motivated </w:t>
      </w:r>
      <w:proofErr w:type="gramStart"/>
      <w:r>
        <w:rPr>
          <w:rFonts w:eastAsia="Calibri Light" w:cs="Calibri"/>
          <w:color w:val="000000" w:themeColor="text1"/>
          <w:bdr w:val="none" w:sz="0" w:space="0" w:color="auto" w:frame="1"/>
          <w:lang w:val="en-US"/>
        </w:rPr>
        <w:t>staff;</w:t>
      </w:r>
      <w:proofErr w:type="gramEnd"/>
    </w:p>
    <w:p w14:paraId="3D82C883" w14:textId="77777777" w:rsidR="002F26B7" w:rsidRDefault="002F26B7" w:rsidP="00091F80">
      <w:pPr>
        <w:numPr>
          <w:ilvl w:val="0"/>
          <w:numId w:val="38"/>
        </w:numPr>
        <w:spacing w:after="0" w:line="240" w:lineRule="auto"/>
        <w:rPr>
          <w:rFonts w:eastAsia="Calibri Light" w:cs="Calibri"/>
          <w:color w:val="000000" w:themeColor="text1"/>
          <w:bdr w:val="none" w:sz="0" w:space="0" w:color="auto" w:frame="1"/>
          <w:lang w:val="en-US"/>
        </w:rPr>
      </w:pPr>
      <w:r>
        <w:rPr>
          <w:rFonts w:eastAsia="Calibri Light" w:cs="Calibri"/>
          <w:color w:val="000000" w:themeColor="text1"/>
          <w:bdr w:val="none" w:sz="0" w:space="0" w:color="auto" w:frame="1"/>
          <w:lang w:val="en-US"/>
        </w:rPr>
        <w:t xml:space="preserve">agile </w:t>
      </w:r>
      <w:proofErr w:type="gramStart"/>
      <w:r>
        <w:rPr>
          <w:rFonts w:eastAsia="Calibri Light" w:cs="Calibri"/>
          <w:color w:val="000000" w:themeColor="text1"/>
          <w:bdr w:val="none" w:sz="0" w:space="0" w:color="auto" w:frame="1"/>
          <w:lang w:val="en-US"/>
        </w:rPr>
        <w:t>resourcing;</w:t>
      </w:r>
      <w:proofErr w:type="gramEnd"/>
    </w:p>
    <w:p w14:paraId="5D530CA6" w14:textId="02702207" w:rsidR="002F26B7" w:rsidRDefault="005B5FEC" w:rsidP="00091F80">
      <w:pPr>
        <w:numPr>
          <w:ilvl w:val="0"/>
          <w:numId w:val="38"/>
        </w:numPr>
        <w:spacing w:after="0" w:line="240" w:lineRule="auto"/>
        <w:rPr>
          <w:rFonts w:eastAsia="Calibri Light" w:cs="Calibri"/>
          <w:color w:val="000000" w:themeColor="text1"/>
          <w:bdr w:val="none" w:sz="0" w:space="0" w:color="auto" w:frame="1"/>
          <w:lang w:val="en-US"/>
        </w:rPr>
      </w:pPr>
      <w:r>
        <w:rPr>
          <w:rFonts w:eastAsia="Calibri Light" w:cs="Calibri"/>
          <w:color w:val="000000" w:themeColor="text1"/>
          <w:bdr w:val="none" w:sz="0" w:space="0" w:color="auto" w:frame="1"/>
          <w:lang w:val="en-US"/>
        </w:rPr>
        <w:t xml:space="preserve">strategic </w:t>
      </w:r>
      <w:r w:rsidR="002F26B7">
        <w:rPr>
          <w:rFonts w:eastAsia="Calibri Light" w:cs="Calibri"/>
          <w:color w:val="000000" w:themeColor="text1"/>
          <w:bdr w:val="none" w:sz="0" w:space="0" w:color="auto" w:frame="1"/>
          <w:lang w:val="en-US"/>
        </w:rPr>
        <w:t>financial management; and</w:t>
      </w:r>
    </w:p>
    <w:p w14:paraId="56192BF2" w14:textId="77777777" w:rsidR="002F26B7" w:rsidRDefault="002F26B7" w:rsidP="00091F80">
      <w:pPr>
        <w:numPr>
          <w:ilvl w:val="0"/>
          <w:numId w:val="38"/>
        </w:numPr>
        <w:spacing w:after="0" w:line="240" w:lineRule="auto"/>
        <w:rPr>
          <w:rFonts w:eastAsia="Calibri Light" w:cs="Calibri"/>
          <w:color w:val="000000" w:themeColor="text1"/>
          <w:bdr w:val="none" w:sz="0" w:space="0" w:color="auto" w:frame="1"/>
          <w:lang w:val="en-US"/>
        </w:rPr>
      </w:pPr>
      <w:r>
        <w:rPr>
          <w:rFonts w:eastAsia="Calibri Light" w:cs="Calibri"/>
          <w:color w:val="000000" w:themeColor="text1"/>
          <w:bdr w:val="none" w:sz="0" w:space="0" w:color="auto" w:frame="1"/>
          <w:lang w:val="en-US"/>
        </w:rPr>
        <w:t>robust governance.</w:t>
      </w:r>
    </w:p>
    <w:p w14:paraId="1E604009" w14:textId="6BD920F9" w:rsidR="00D60EF7" w:rsidRDefault="00D60EF7" w:rsidP="00D60EF7">
      <w:pPr>
        <w:spacing w:after="0" w:line="240" w:lineRule="auto"/>
        <w:textAlignment w:val="baseline"/>
        <w:rPr>
          <w:b/>
          <w:bCs/>
          <w:lang w:eastAsia="zh-CN"/>
        </w:rPr>
      </w:pPr>
    </w:p>
    <w:p w14:paraId="03D2D5FD" w14:textId="16D66469" w:rsidR="0092191D" w:rsidRDefault="0092191D" w:rsidP="00D60EF7">
      <w:pPr>
        <w:spacing w:after="0" w:line="240" w:lineRule="auto"/>
        <w:textAlignment w:val="baseline"/>
        <w:rPr>
          <w:b/>
          <w:bCs/>
          <w:lang w:eastAsia="zh-CN"/>
        </w:rPr>
      </w:pPr>
      <w:r w:rsidRPr="00594A2A">
        <w:rPr>
          <w:iCs/>
        </w:rPr>
        <w:t>Further detail is available in our Corporate Plan 2022–23 to 2025–26, with outcomes presented in our annual report</w:t>
      </w:r>
      <w:r>
        <w:rPr>
          <w:iCs/>
        </w:rPr>
        <w:t>.</w:t>
      </w:r>
    </w:p>
    <w:p w14:paraId="082BDF4F" w14:textId="77777777" w:rsidR="0026795D" w:rsidRDefault="0026795D" w:rsidP="0026795D">
      <w:pPr>
        <w:pStyle w:val="Heading3"/>
      </w:pPr>
      <w:r w:rsidRPr="0079797F">
        <w:br w:type="page"/>
      </w:r>
      <w:bookmarkStart w:id="367" w:name="_Toc95217819"/>
      <w:bookmarkStart w:id="368" w:name="_Toc95217883"/>
      <w:bookmarkStart w:id="369" w:name="_Toc95229710"/>
      <w:bookmarkStart w:id="370" w:name="_Toc95289017"/>
      <w:bookmarkStart w:id="371" w:name="_Toc95291904"/>
      <w:bookmarkStart w:id="372" w:name="_Toc95293777"/>
      <w:bookmarkStart w:id="373" w:name="_Toc95296428"/>
      <w:bookmarkStart w:id="374" w:name="_Toc97387929"/>
      <w:bookmarkStart w:id="375" w:name="_Toc97540666"/>
      <w:bookmarkStart w:id="376" w:name="_Toc99111669"/>
      <w:r>
        <w:t>1.2</w:t>
      </w:r>
      <w:r>
        <w:tab/>
        <w:t>Entity resource statement</w:t>
      </w:r>
      <w:bookmarkEnd w:id="367"/>
      <w:bookmarkEnd w:id="368"/>
      <w:bookmarkEnd w:id="369"/>
      <w:bookmarkEnd w:id="370"/>
      <w:bookmarkEnd w:id="371"/>
      <w:bookmarkEnd w:id="372"/>
      <w:bookmarkEnd w:id="373"/>
      <w:bookmarkEnd w:id="374"/>
      <w:bookmarkEnd w:id="375"/>
      <w:bookmarkEnd w:id="376"/>
    </w:p>
    <w:p w14:paraId="16228456" w14:textId="77777777" w:rsidR="0026795D" w:rsidRDefault="0026795D" w:rsidP="0026795D">
      <w:r>
        <w:t>Table 1.1 shows the total funding from all sources available to the entity for its operations and to deliver programs and services on behalf of the Government.</w:t>
      </w:r>
    </w:p>
    <w:p w14:paraId="453B9848" w14:textId="3279E3A0" w:rsidR="0026795D" w:rsidRDefault="0026795D" w:rsidP="0026795D">
      <w:r>
        <w:t xml:space="preserve">The table summarises how resources will be applied by outcome (government strategic policy objectives) and by administered (on behalf of the Government or the public) and departmental (for </w:t>
      </w:r>
      <w:r w:rsidR="002F26B7">
        <w:t>Tourism Australia</w:t>
      </w:r>
      <w:r>
        <w:t>’s operations) classification.</w:t>
      </w:r>
    </w:p>
    <w:p w14:paraId="1A4DCF1C" w14:textId="77777777" w:rsidR="0026795D" w:rsidRDefault="0026795D" w:rsidP="0026795D">
      <w:r>
        <w:t xml:space="preserve">For more detailed information on special accounts and special appropriations, please refer to </w:t>
      </w:r>
      <w:r w:rsidRPr="00412C0B">
        <w:rPr>
          <w:i/>
        </w:rPr>
        <w:t>Budget Paper No. 4 – Agency Resourcing</w:t>
      </w:r>
      <w:r>
        <w:t>.</w:t>
      </w:r>
    </w:p>
    <w:p w14:paraId="360F2D8E" w14:textId="232F333F" w:rsidR="0026795D" w:rsidRDefault="0026795D" w:rsidP="0026795D">
      <w:r>
        <w:t>Information in this table is presented on a resourcing (that is, appropriations/cash available) basis, whilst the ‘Budgeted expenses by Outcome’ tables in Section 2 and the financial statements in Section 3 are presented on an accrual basis.</w:t>
      </w:r>
    </w:p>
    <w:p w14:paraId="60B7CF6A" w14:textId="6B7B00B2" w:rsidR="0026795D" w:rsidRPr="00FE1091" w:rsidRDefault="0026795D" w:rsidP="0026795D">
      <w:pPr>
        <w:pStyle w:val="TableHeading"/>
        <w:rPr>
          <w:b w:val="0"/>
          <w:lang w:val="en-AU"/>
        </w:rPr>
      </w:pPr>
      <w:r>
        <w:br w:type="page"/>
      </w:r>
      <w:r w:rsidRPr="00D44150">
        <w:t xml:space="preserve">Table 1.1: </w:t>
      </w:r>
      <w:r w:rsidR="002F26B7">
        <w:rPr>
          <w:lang w:val="en-AU"/>
        </w:rPr>
        <w:t xml:space="preserve">Tourism Australia </w:t>
      </w:r>
      <w:r w:rsidRPr="00D44150">
        <w:t>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p w14:paraId="069CF02D" w14:textId="4AB3EDE3" w:rsidR="0026795D" w:rsidRDefault="00591684" w:rsidP="0026795D">
      <w:pPr>
        <w:pStyle w:val="TableGraphic"/>
        <w:rPr>
          <w:rFonts w:ascii="Arial" w:hAnsi="Arial"/>
          <w:color w:val="000000"/>
          <w:lang w:val="x-none" w:eastAsia="x-none"/>
        </w:rPr>
      </w:pPr>
      <w:r w:rsidRPr="00591684">
        <w:rPr>
          <w:noProof/>
        </w:rPr>
        <w:drawing>
          <wp:inline distT="0" distB="0" distL="0" distR="0" wp14:anchorId="26A34F3C" wp14:editId="2724962D">
            <wp:extent cx="4895850" cy="32956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95850" cy="3295650"/>
                    </a:xfrm>
                    <a:prstGeom prst="rect">
                      <a:avLst/>
                    </a:prstGeom>
                    <a:noFill/>
                    <a:ln>
                      <a:noFill/>
                    </a:ln>
                  </pic:spPr>
                </pic:pic>
              </a:graphicData>
            </a:graphic>
          </wp:inline>
        </w:drawing>
      </w:r>
    </w:p>
    <w:p w14:paraId="7D25050F" w14:textId="77777777" w:rsidR="0026795D" w:rsidRPr="00CB2844" w:rsidRDefault="0026795D" w:rsidP="0026795D">
      <w:pPr>
        <w:pStyle w:val="ChartandTableFootnote"/>
      </w:pPr>
      <w:r w:rsidRPr="00696AA8">
        <w:t>All figures shown above are GST exclusive - these may not match figures in the cash flow statement.</w:t>
      </w:r>
    </w:p>
    <w:p w14:paraId="10401A8C" w14:textId="77777777" w:rsidR="0026795D" w:rsidRDefault="0026795D" w:rsidP="0026795D">
      <w:pPr>
        <w:pStyle w:val="ChartandTableFootnote"/>
      </w:pPr>
      <w:r>
        <w:t>Prepared on a resourcing (</w:t>
      </w:r>
      <w:r>
        <w:rPr>
          <w:lang w:val="en-AU"/>
        </w:rPr>
        <w:t>that is,</w:t>
      </w:r>
      <w:r>
        <w:t xml:space="preserve"> appropriations available) basis.</w:t>
      </w:r>
    </w:p>
    <w:p w14:paraId="06471759" w14:textId="4F16C1FA" w:rsidR="0026795D" w:rsidRDefault="0026795D" w:rsidP="00091F80">
      <w:pPr>
        <w:pStyle w:val="ChartandTableFootnoteAlpha"/>
        <w:numPr>
          <w:ilvl w:val="0"/>
          <w:numId w:val="20"/>
        </w:numPr>
      </w:pPr>
      <w:r w:rsidRPr="001071C7">
        <w:t>Appr</w:t>
      </w:r>
      <w:r>
        <w:t>opriation Bill (No. 1) 2022-23.</w:t>
      </w:r>
    </w:p>
    <w:p w14:paraId="371C7C1F" w14:textId="35E83FD6" w:rsidR="00BF27A3" w:rsidRDefault="00BF27A3" w:rsidP="00BF27A3">
      <w:pPr>
        <w:pStyle w:val="ChartandTableFootnoteAlpha"/>
      </w:pPr>
      <w:r>
        <w:t>Funding provided by the portfolio department (Asia Marketing Fund</w:t>
      </w:r>
      <w:r w:rsidR="00B512B1">
        <w:t xml:space="preserve"> and Tourism </w:t>
      </w:r>
      <w:r w:rsidR="00BC4914">
        <w:t>Support</w:t>
      </w:r>
      <w:r>
        <w:t>) as payment to Tourism A</w:t>
      </w:r>
      <w:r w:rsidR="0039314D">
        <w:t>u</w:t>
      </w:r>
      <w:r>
        <w:t xml:space="preserve">stralia from portfolio department’s administered programs. </w:t>
      </w:r>
    </w:p>
    <w:p w14:paraId="4DCB3055" w14:textId="09C1122C" w:rsidR="00BF27A3" w:rsidRPr="00BF27A3" w:rsidRDefault="00BF27A3" w:rsidP="00BF27A3">
      <w:pPr>
        <w:pStyle w:val="ChartandTableFootnoteAlpha"/>
      </w:pPr>
      <w:r>
        <w:t xml:space="preserve">Average Staffing Level (ASL) figures are estimates only. </w:t>
      </w:r>
    </w:p>
    <w:p w14:paraId="0658628B" w14:textId="77777777" w:rsidR="0026795D" w:rsidRPr="005A7C0B" w:rsidRDefault="0026795D" w:rsidP="0026795D">
      <w:pPr>
        <w:pStyle w:val="Heading3"/>
        <w:spacing w:before="0"/>
      </w:pPr>
      <w:r>
        <w:br w:type="page"/>
      </w:r>
      <w:bookmarkStart w:id="377" w:name="_Toc95217820"/>
      <w:bookmarkStart w:id="378" w:name="_Toc95217884"/>
      <w:bookmarkStart w:id="379" w:name="_Toc95229711"/>
      <w:bookmarkStart w:id="380" w:name="_Toc95289018"/>
      <w:bookmarkStart w:id="381" w:name="_Toc95291905"/>
      <w:bookmarkStart w:id="382" w:name="_Toc95293778"/>
      <w:bookmarkStart w:id="383" w:name="_Toc95296429"/>
      <w:bookmarkStart w:id="384" w:name="_Toc97387930"/>
      <w:bookmarkStart w:id="385" w:name="_Toc97540667"/>
      <w:bookmarkStart w:id="386" w:name="_Toc99111670"/>
      <w:r w:rsidRPr="005A7C0B">
        <w:t>1.3</w:t>
      </w:r>
      <w:r w:rsidRPr="005A7C0B">
        <w:tab/>
        <w:t>Budget measures</w:t>
      </w:r>
      <w:bookmarkEnd w:id="377"/>
      <w:bookmarkEnd w:id="378"/>
      <w:bookmarkEnd w:id="379"/>
      <w:bookmarkEnd w:id="380"/>
      <w:bookmarkEnd w:id="381"/>
      <w:bookmarkEnd w:id="382"/>
      <w:bookmarkEnd w:id="383"/>
      <w:bookmarkEnd w:id="384"/>
      <w:bookmarkEnd w:id="385"/>
      <w:bookmarkEnd w:id="386"/>
    </w:p>
    <w:p w14:paraId="07C915C3" w14:textId="166AB481" w:rsidR="0026795D" w:rsidRDefault="0026795D" w:rsidP="0026795D">
      <w:r w:rsidRPr="00DC32EC">
        <w:t xml:space="preserve">Budget measures </w:t>
      </w:r>
      <w:r>
        <w:t xml:space="preserve">in Part 1 </w:t>
      </w:r>
      <w:r w:rsidRPr="00DC32EC">
        <w:t>relating to</w:t>
      </w:r>
      <w:r>
        <w:t xml:space="preserve"> </w:t>
      </w:r>
      <w:r w:rsidR="002E4D10">
        <w:t xml:space="preserve">Tourism Australia </w:t>
      </w:r>
      <w:r w:rsidRPr="00DC32EC">
        <w:t>a</w:t>
      </w:r>
      <w:r>
        <w:t xml:space="preserve">re detailed in Budget Paper </w:t>
      </w:r>
      <w:r w:rsidRPr="0003334F">
        <w:t>No. 2 and are summarised below.</w:t>
      </w:r>
    </w:p>
    <w:p w14:paraId="48549435" w14:textId="2D6FDC83" w:rsidR="0026795D" w:rsidRDefault="0026795D" w:rsidP="0026795D">
      <w:pPr>
        <w:pStyle w:val="TableHeading"/>
      </w:pPr>
      <w:r w:rsidRPr="0003334F">
        <w:t xml:space="preserve">Table 1.2: </w:t>
      </w:r>
      <w:r w:rsidR="002E4D10" w:rsidRPr="0003334F">
        <w:rPr>
          <w:lang w:val="en-AU"/>
        </w:rPr>
        <w:t xml:space="preserve">Tourism Australia </w:t>
      </w:r>
      <w:r w:rsidRPr="0003334F">
        <w:rPr>
          <w:lang w:val="en-AU"/>
        </w:rPr>
        <w:t xml:space="preserve">2022-23 </w:t>
      </w:r>
      <w:r w:rsidRPr="0003334F">
        <w:t>Budget measures</w:t>
      </w:r>
    </w:p>
    <w:p w14:paraId="376B5FF0" w14:textId="1C623E33" w:rsidR="00470CE8" w:rsidRPr="00470CE8" w:rsidRDefault="00591684" w:rsidP="00470CE8">
      <w:pPr>
        <w:pStyle w:val="TableGraphic"/>
        <w:rPr>
          <w:lang w:val="x-none" w:eastAsia="x-none"/>
        </w:rPr>
      </w:pPr>
      <w:r w:rsidRPr="00591684">
        <w:rPr>
          <w:noProof/>
        </w:rPr>
        <w:drawing>
          <wp:inline distT="0" distB="0" distL="0" distR="0" wp14:anchorId="2D8F2BF7" wp14:editId="00B9D782">
            <wp:extent cx="4895850" cy="130111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895850" cy="1301115"/>
                    </a:xfrm>
                    <a:prstGeom prst="rect">
                      <a:avLst/>
                    </a:prstGeom>
                    <a:noFill/>
                    <a:ln>
                      <a:noFill/>
                    </a:ln>
                  </pic:spPr>
                </pic:pic>
              </a:graphicData>
            </a:graphic>
          </wp:inline>
        </w:drawing>
      </w:r>
    </w:p>
    <w:p w14:paraId="6D5B3E07" w14:textId="20324E22" w:rsidR="00B512B1" w:rsidRDefault="00B512B1" w:rsidP="00B512B1">
      <w:pPr>
        <w:pStyle w:val="ChartandTableFootnote"/>
      </w:pPr>
      <w:r>
        <w:t>Prepared on a Government Finance Statistics (Underlying Cash) basis. Figures displayed as a negative (-) represent a decrease in funds and a positive (+) represent an increase in funds.</w:t>
      </w:r>
    </w:p>
    <w:p w14:paraId="03FE0C20" w14:textId="47CBBBF9" w:rsidR="0026795D" w:rsidRDefault="00B512B1" w:rsidP="00B512B1">
      <w:pPr>
        <w:pStyle w:val="ChartandTableFootnote"/>
        <w:rPr>
          <w:rFonts w:ascii="Arial Bold" w:hAnsi="Arial Bold"/>
          <w:b/>
        </w:rPr>
      </w:pPr>
      <w:r>
        <w:t xml:space="preserve">(a) Measure relates to a decision made post MYEFO. This measure forms part of the Government’s </w:t>
      </w:r>
      <w:r>
        <w:rPr>
          <w:lang w:val="en-AU"/>
        </w:rPr>
        <w:t xml:space="preserve">Tourism </w:t>
      </w:r>
      <w:r w:rsidR="003320FF">
        <w:rPr>
          <w:lang w:val="en-AU"/>
        </w:rPr>
        <w:t>Support</w:t>
      </w:r>
      <w:r>
        <w:t>.</w:t>
      </w:r>
      <w:r w:rsidR="0026795D">
        <w:br w:type="page"/>
      </w:r>
    </w:p>
    <w:p w14:paraId="789145F9" w14:textId="72B74208" w:rsidR="0026795D" w:rsidRPr="00810C6A" w:rsidRDefault="0026795D" w:rsidP="0026795D">
      <w:pPr>
        <w:pStyle w:val="Heading2"/>
      </w:pPr>
      <w:bookmarkStart w:id="387" w:name="_Toc95217821"/>
      <w:bookmarkStart w:id="388" w:name="_Toc95217885"/>
      <w:bookmarkStart w:id="389" w:name="_Toc95229712"/>
      <w:bookmarkStart w:id="390" w:name="_Toc95289019"/>
      <w:bookmarkStart w:id="391" w:name="_Toc95291906"/>
      <w:bookmarkStart w:id="392" w:name="_Toc95293779"/>
      <w:bookmarkStart w:id="393" w:name="_Toc95296430"/>
      <w:bookmarkStart w:id="394" w:name="_Toc97387931"/>
      <w:bookmarkStart w:id="395" w:name="_Toc97540668"/>
      <w:bookmarkStart w:id="396" w:name="_Toc99111671"/>
      <w:r w:rsidRPr="00810C6A">
        <w:t>Section 2: Outcomes and planned performance</w:t>
      </w:r>
      <w:bookmarkEnd w:id="387"/>
      <w:bookmarkEnd w:id="388"/>
      <w:bookmarkEnd w:id="389"/>
      <w:bookmarkEnd w:id="390"/>
      <w:bookmarkEnd w:id="391"/>
      <w:bookmarkEnd w:id="392"/>
      <w:bookmarkEnd w:id="393"/>
      <w:bookmarkEnd w:id="394"/>
      <w:bookmarkEnd w:id="395"/>
      <w:bookmarkEnd w:id="396"/>
    </w:p>
    <w:p w14:paraId="78365777" w14:textId="77777777" w:rsidR="0026795D" w:rsidRPr="005E6F2B" w:rsidRDefault="0026795D" w:rsidP="0026795D">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7C673BA" w14:textId="44359820" w:rsidR="0026795D" w:rsidRPr="00470CE8" w:rsidRDefault="0026795D" w:rsidP="0026795D">
      <w:pPr>
        <w:rPr>
          <w:i/>
          <w:color w:val="000000" w:themeColor="text1"/>
        </w:rPr>
      </w:pPr>
      <w:r w:rsidRPr="005E6F2B">
        <w:t xml:space="preserve">Each outcome is described below together with its related programs. The following </w:t>
      </w:r>
      <w:r w:rsidRPr="00470CE8">
        <w:rPr>
          <w:color w:val="000000" w:themeColor="text1"/>
        </w:rPr>
        <w:t xml:space="preserve">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26795D" w14:paraId="49D6BAF3" w14:textId="77777777" w:rsidTr="00637CC0">
        <w:tc>
          <w:tcPr>
            <w:tcW w:w="7700" w:type="dxa"/>
          </w:tcPr>
          <w:p w14:paraId="73529E61" w14:textId="77777777" w:rsidR="0026795D" w:rsidRPr="006906E4" w:rsidRDefault="0026795D" w:rsidP="00637CC0">
            <w:pPr>
              <w:spacing w:before="120" w:after="120" w:line="240" w:lineRule="auto"/>
              <w:rPr>
                <w:b/>
              </w:rPr>
            </w:pPr>
            <w:r w:rsidRPr="006906E4">
              <w:rPr>
                <w:b/>
              </w:rPr>
              <w:t>Note:</w:t>
            </w:r>
          </w:p>
          <w:p w14:paraId="4392DA16" w14:textId="61A52899" w:rsidR="0026795D" w:rsidRDefault="0026795D" w:rsidP="00637CC0">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 described in Portfolio Budget Statements will be read with broader information provided in an entity’s corporate plans and annual performance statements – included in Annual Reports </w:t>
            </w:r>
            <w:r w:rsidR="00437DA8">
              <w:t>–</w:t>
            </w:r>
            <w:r>
              <w:t xml:space="preserve"> to provide a complete picture of an entity’s planned and actual performance.</w:t>
            </w:r>
          </w:p>
          <w:p w14:paraId="28951BE4" w14:textId="59A410B5" w:rsidR="000A2520" w:rsidRDefault="0026795D" w:rsidP="000A2520">
            <w:pPr>
              <w:spacing w:after="0"/>
            </w:pPr>
            <w:r>
              <w:t xml:space="preserve">The most recent corporate plan for </w:t>
            </w:r>
            <w:r w:rsidR="000A2520">
              <w:t>Tourism Australia</w:t>
            </w:r>
            <w:r>
              <w:t xml:space="preserve"> can be found at: </w:t>
            </w:r>
          </w:p>
          <w:p w14:paraId="0621CDF1" w14:textId="001FFBB1" w:rsidR="000A2520" w:rsidRDefault="000F6D08" w:rsidP="00637CC0">
            <w:hyperlink r:id="rId184" w:history="1">
              <w:r w:rsidR="00E6759E" w:rsidRPr="00AD3138">
                <w:rPr>
                  <w:rStyle w:val="Hyperlink"/>
                </w:rPr>
                <w:t>https://www.tourism.australia.com/en/about/our-organisation/our-performance-and-reporting.html</w:t>
              </w:r>
            </w:hyperlink>
            <w:r w:rsidR="00E6759E">
              <w:t xml:space="preserve">. </w:t>
            </w:r>
          </w:p>
          <w:p w14:paraId="3FDFC9AC" w14:textId="77777777" w:rsidR="000A2520" w:rsidRDefault="0026795D" w:rsidP="000A2520">
            <w:pPr>
              <w:spacing w:after="0"/>
            </w:pPr>
            <w:r>
              <w:t xml:space="preserve">The most recent annual performance statement can be found at: </w:t>
            </w:r>
          </w:p>
          <w:p w14:paraId="74E9D67F" w14:textId="735D9DCA" w:rsidR="0026795D" w:rsidRDefault="000F6D08" w:rsidP="00637CC0">
            <w:hyperlink r:id="rId185" w:history="1">
              <w:r w:rsidR="00E6759E" w:rsidRPr="00AD3138">
                <w:rPr>
                  <w:rStyle w:val="Hyperlink"/>
                </w:rPr>
                <w:t>https://www.tourism.australia.com/en/about/our-organisation/our-performance-and-reporting.html</w:t>
              </w:r>
            </w:hyperlink>
            <w:r w:rsidR="00E6759E">
              <w:t xml:space="preserve">. </w:t>
            </w:r>
          </w:p>
        </w:tc>
      </w:tr>
    </w:tbl>
    <w:p w14:paraId="4DCEDD02" w14:textId="77777777" w:rsidR="0026795D" w:rsidRDefault="0026795D" w:rsidP="0026795D">
      <w:pPr>
        <w:rPr>
          <w:highlight w:val="yellow"/>
        </w:rPr>
      </w:pPr>
    </w:p>
    <w:p w14:paraId="140182AD" w14:textId="77777777" w:rsidR="0026795D" w:rsidRDefault="0026795D" w:rsidP="0026795D">
      <w:pPr>
        <w:pStyle w:val="Heading3"/>
        <w:sectPr w:rsidR="0026795D" w:rsidSect="00503FD8">
          <w:headerReference w:type="even" r:id="rId186"/>
          <w:headerReference w:type="default" r:id="rId187"/>
          <w:headerReference w:type="first" r:id="rId188"/>
          <w:footerReference w:type="first" r:id="rId189"/>
          <w:type w:val="oddPage"/>
          <w:pgSz w:w="11906" w:h="16838" w:code="9"/>
          <w:pgMar w:top="2835" w:right="2098" w:bottom="2466" w:left="2098" w:header="1814" w:footer="1814" w:gutter="0"/>
          <w:cols w:space="708"/>
          <w:titlePg/>
          <w:docGrid w:linePitch="360"/>
        </w:sectPr>
      </w:pPr>
    </w:p>
    <w:p w14:paraId="18FEDE5F" w14:textId="44898AD4" w:rsidR="0026795D" w:rsidRPr="00F743D8" w:rsidRDefault="0026795D" w:rsidP="0026795D">
      <w:pPr>
        <w:pStyle w:val="Heading3"/>
      </w:pPr>
      <w:bookmarkStart w:id="397" w:name="_Toc95217822"/>
      <w:bookmarkStart w:id="398" w:name="_Toc95217886"/>
      <w:bookmarkStart w:id="399" w:name="_Toc95229713"/>
      <w:bookmarkStart w:id="400" w:name="_Toc95289020"/>
      <w:bookmarkStart w:id="401" w:name="_Toc95291907"/>
      <w:bookmarkStart w:id="402" w:name="_Toc95293780"/>
      <w:bookmarkStart w:id="403" w:name="_Toc95296431"/>
      <w:bookmarkStart w:id="404" w:name="_Toc97387932"/>
      <w:bookmarkStart w:id="405" w:name="_Toc97540669"/>
      <w:bookmarkStart w:id="406" w:name="_Toc99111672"/>
      <w:r>
        <w:t>2.1</w:t>
      </w:r>
      <w:r w:rsidRPr="00F743D8">
        <w:t xml:space="preserve"> </w:t>
      </w:r>
      <w:r w:rsidRPr="00F743D8">
        <w:tab/>
        <w:t xml:space="preserve">Budgeted expenses and performance for Outcome </w:t>
      </w:r>
      <w:r w:rsidR="00135D56">
        <w:t>1</w:t>
      </w:r>
      <w:bookmarkEnd w:id="397"/>
      <w:bookmarkEnd w:id="398"/>
      <w:bookmarkEnd w:id="399"/>
      <w:bookmarkEnd w:id="400"/>
      <w:bookmarkEnd w:id="401"/>
      <w:bookmarkEnd w:id="402"/>
      <w:bookmarkEnd w:id="403"/>
      <w:bookmarkEnd w:id="404"/>
      <w:bookmarkEnd w:id="405"/>
      <w:bookmarkEnd w:id="40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26795D" w:rsidRPr="005E6F2B" w14:paraId="4947E3E9" w14:textId="77777777" w:rsidTr="00135D56">
        <w:tc>
          <w:tcPr>
            <w:tcW w:w="7704" w:type="dxa"/>
            <w:shd w:val="clear" w:color="auto" w:fill="E6E6E6"/>
          </w:tcPr>
          <w:p w14:paraId="444C96F4" w14:textId="3874E0D9" w:rsidR="0026795D" w:rsidRPr="005E6F2B" w:rsidRDefault="0026795D" w:rsidP="00637CC0">
            <w:pPr>
              <w:pStyle w:val="TableColumnHeadingLeft"/>
            </w:pPr>
            <w:r w:rsidRPr="005E6F2B">
              <w:t xml:space="preserve">Outcome </w:t>
            </w:r>
            <w:r w:rsidR="000A2520">
              <w:t>1</w:t>
            </w:r>
            <w:r w:rsidRPr="005E6F2B">
              <w:t xml:space="preserve">: </w:t>
            </w:r>
            <w:r w:rsidR="000A2520">
              <w:t>Grow demand and foster a competitive and sustainable Australian tourism industry through partnership marketing to targeted global consumers in key markets</w:t>
            </w:r>
          </w:p>
        </w:tc>
      </w:tr>
    </w:tbl>
    <w:p w14:paraId="65FF303E" w14:textId="77777777" w:rsidR="0026795D" w:rsidRPr="005E6F2B" w:rsidRDefault="0026795D" w:rsidP="0026795D">
      <w:pPr>
        <w:pStyle w:val="NoSpacing"/>
      </w:pPr>
    </w:p>
    <w:p w14:paraId="09EAA91F" w14:textId="468B7617" w:rsidR="0026795D" w:rsidRPr="005E6F2B" w:rsidRDefault="0026795D" w:rsidP="0026795D">
      <w:pPr>
        <w:pStyle w:val="Heading4"/>
      </w:pPr>
      <w:r w:rsidRPr="005E6F2B">
        <w:t xml:space="preserve">Linked programs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470CE8" w:rsidRPr="00470CE8" w14:paraId="3F6B3712" w14:textId="77777777" w:rsidTr="0013748B">
        <w:trPr>
          <w:trHeight w:val="113"/>
          <w:tblHeader/>
        </w:trPr>
        <w:tc>
          <w:tcPr>
            <w:tcW w:w="7705" w:type="dxa"/>
            <w:tcBorders>
              <w:top w:val="single" w:sz="4" w:space="0" w:color="auto"/>
              <w:left w:val="single" w:sz="4" w:space="0" w:color="auto"/>
              <w:bottom w:val="dotted" w:sz="4" w:space="0" w:color="auto"/>
              <w:right w:val="single" w:sz="4" w:space="0" w:color="auto"/>
            </w:tcBorders>
            <w:hideMark/>
          </w:tcPr>
          <w:p w14:paraId="18744441" w14:textId="77777777" w:rsidR="0013748B" w:rsidRPr="00470CE8" w:rsidRDefault="0013748B">
            <w:pPr>
              <w:pStyle w:val="ExampleText0"/>
              <w:spacing w:before="60" w:after="60" w:line="240" w:lineRule="auto"/>
              <w:rPr>
                <w:rFonts w:cs="Arial"/>
                <w:color w:val="000000" w:themeColor="text1"/>
              </w:rPr>
            </w:pPr>
            <w:r w:rsidRPr="00470CE8">
              <w:rPr>
                <w:rStyle w:val="ExampletextCharChar"/>
                <w:rFonts w:cs="Arial"/>
                <w:b/>
                <w:color w:val="000000" w:themeColor="text1"/>
              </w:rPr>
              <w:t>Department of Foreign Affairs and Trade</w:t>
            </w:r>
          </w:p>
        </w:tc>
      </w:tr>
      <w:tr w:rsidR="00470CE8" w:rsidRPr="00470CE8" w14:paraId="05BF1DB8" w14:textId="77777777" w:rsidTr="0013748B">
        <w:trPr>
          <w:trHeight w:val="501"/>
        </w:trPr>
        <w:tc>
          <w:tcPr>
            <w:tcW w:w="7705" w:type="dxa"/>
            <w:tcBorders>
              <w:top w:val="dotted" w:sz="4" w:space="0" w:color="auto"/>
              <w:left w:val="single" w:sz="4" w:space="0" w:color="auto"/>
              <w:bottom w:val="single" w:sz="4" w:space="0" w:color="auto"/>
              <w:right w:val="single" w:sz="4" w:space="0" w:color="auto"/>
            </w:tcBorders>
            <w:hideMark/>
          </w:tcPr>
          <w:p w14:paraId="0F2C95FE" w14:textId="77777777" w:rsidR="0013748B" w:rsidRPr="00470CE8" w:rsidRDefault="0013748B">
            <w:pPr>
              <w:spacing w:after="0" w:line="240" w:lineRule="auto"/>
              <w:rPr>
                <w:rFonts w:cs="Arial"/>
                <w:b/>
                <w:color w:val="000000" w:themeColor="text1"/>
              </w:rPr>
            </w:pPr>
            <w:r w:rsidRPr="00470CE8">
              <w:rPr>
                <w:rFonts w:cs="Arial"/>
                <w:b/>
                <w:color w:val="000000" w:themeColor="text1"/>
              </w:rPr>
              <w:t>Programs</w:t>
            </w:r>
          </w:p>
          <w:p w14:paraId="3C82ECB1" w14:textId="3B166380" w:rsidR="0013748B" w:rsidRPr="00470CE8" w:rsidRDefault="0013748B" w:rsidP="00091F80">
            <w:pPr>
              <w:pStyle w:val="ListParagraph"/>
              <w:numPr>
                <w:ilvl w:val="0"/>
                <w:numId w:val="39"/>
              </w:numPr>
              <w:spacing w:after="0" w:line="240" w:lineRule="auto"/>
              <w:rPr>
                <w:rStyle w:val="ExampletextCharChar"/>
                <w:color w:val="000000" w:themeColor="text1"/>
                <w:sz w:val="20"/>
                <w:szCs w:val="20"/>
              </w:rPr>
            </w:pPr>
            <w:r w:rsidRPr="00470CE8">
              <w:rPr>
                <w:rFonts w:ascii="Book Antiqua" w:hAnsi="Book Antiqua" w:cs="Arial"/>
                <w:bCs/>
                <w:color w:val="000000" w:themeColor="text1"/>
                <w:sz w:val="20"/>
                <w:szCs w:val="20"/>
              </w:rPr>
              <w:t xml:space="preserve">Program 1.7 – </w:t>
            </w:r>
            <w:r w:rsidRPr="00470CE8">
              <w:rPr>
                <w:rFonts w:ascii="Book Antiqua" w:hAnsi="Book Antiqua" w:cs="Arial"/>
                <w:color w:val="000000" w:themeColor="text1"/>
                <w:sz w:val="20"/>
                <w:szCs w:val="20"/>
              </w:rPr>
              <w:t xml:space="preserve">Programs to </w:t>
            </w:r>
            <w:r w:rsidR="00942482">
              <w:rPr>
                <w:rFonts w:ascii="Book Antiqua" w:hAnsi="Book Antiqua" w:cs="Arial"/>
                <w:color w:val="000000" w:themeColor="text1"/>
                <w:sz w:val="20"/>
                <w:szCs w:val="20"/>
              </w:rPr>
              <w:t>p</w:t>
            </w:r>
            <w:r w:rsidRPr="00470CE8">
              <w:rPr>
                <w:rFonts w:ascii="Book Antiqua" w:hAnsi="Book Antiqua" w:cs="Arial"/>
                <w:color w:val="000000" w:themeColor="text1"/>
                <w:sz w:val="20"/>
                <w:szCs w:val="20"/>
              </w:rPr>
              <w:t xml:space="preserve">romote Australia’s </w:t>
            </w:r>
            <w:r w:rsidR="00942482">
              <w:rPr>
                <w:rFonts w:ascii="Book Antiqua" w:hAnsi="Book Antiqua" w:cs="Arial"/>
                <w:color w:val="000000" w:themeColor="text1"/>
                <w:sz w:val="20"/>
                <w:szCs w:val="20"/>
              </w:rPr>
              <w:t>i</w:t>
            </w:r>
            <w:r w:rsidRPr="00470CE8">
              <w:rPr>
                <w:rFonts w:ascii="Book Antiqua" w:hAnsi="Book Antiqua" w:cs="Arial"/>
                <w:color w:val="000000" w:themeColor="text1"/>
                <w:sz w:val="20"/>
                <w:szCs w:val="20"/>
              </w:rPr>
              <w:t xml:space="preserve">nternational </w:t>
            </w:r>
            <w:r w:rsidR="00942482">
              <w:rPr>
                <w:rFonts w:ascii="Book Antiqua" w:hAnsi="Book Antiqua" w:cs="Arial"/>
                <w:color w:val="000000" w:themeColor="text1"/>
                <w:sz w:val="20"/>
                <w:szCs w:val="20"/>
              </w:rPr>
              <w:t>t</w:t>
            </w:r>
            <w:r w:rsidRPr="00470CE8">
              <w:rPr>
                <w:rFonts w:ascii="Book Antiqua" w:hAnsi="Book Antiqua" w:cs="Arial"/>
                <w:color w:val="000000" w:themeColor="text1"/>
                <w:sz w:val="20"/>
                <w:szCs w:val="20"/>
              </w:rPr>
              <w:t xml:space="preserve">ourism </w:t>
            </w:r>
            <w:r w:rsidR="00942482">
              <w:rPr>
                <w:rFonts w:ascii="Book Antiqua" w:hAnsi="Book Antiqua" w:cs="Arial"/>
                <w:color w:val="000000" w:themeColor="text1"/>
                <w:sz w:val="20"/>
                <w:szCs w:val="20"/>
              </w:rPr>
              <w:t>i</w:t>
            </w:r>
            <w:r w:rsidRPr="00470CE8">
              <w:rPr>
                <w:rFonts w:ascii="Book Antiqua" w:hAnsi="Book Antiqua" w:cs="Arial"/>
                <w:color w:val="000000" w:themeColor="text1"/>
                <w:sz w:val="20"/>
                <w:szCs w:val="20"/>
              </w:rPr>
              <w:t>nterests</w:t>
            </w:r>
          </w:p>
        </w:tc>
      </w:tr>
      <w:tr w:rsidR="00470CE8" w:rsidRPr="00470CE8" w14:paraId="67D37C8F" w14:textId="77777777" w:rsidTr="0013748B">
        <w:trPr>
          <w:trHeight w:val="113"/>
        </w:trPr>
        <w:tc>
          <w:tcPr>
            <w:tcW w:w="7705" w:type="dxa"/>
            <w:tcBorders>
              <w:top w:val="single" w:sz="4" w:space="0" w:color="auto"/>
              <w:left w:val="single" w:sz="4" w:space="0" w:color="auto"/>
              <w:bottom w:val="dotted" w:sz="4" w:space="0" w:color="auto"/>
              <w:right w:val="single" w:sz="4" w:space="0" w:color="auto"/>
            </w:tcBorders>
            <w:hideMark/>
          </w:tcPr>
          <w:p w14:paraId="0FE3C00A" w14:textId="77777777" w:rsidR="0013748B" w:rsidRPr="00470CE8" w:rsidRDefault="0013748B">
            <w:pPr>
              <w:spacing w:before="60" w:after="60" w:line="240" w:lineRule="auto"/>
              <w:rPr>
                <w:rStyle w:val="ExampletextCharChar"/>
                <w:rFonts w:cs="Arial"/>
                <w:b/>
                <w:i w:val="0"/>
                <w:iCs/>
                <w:color w:val="000000" w:themeColor="text1"/>
              </w:rPr>
            </w:pPr>
            <w:r w:rsidRPr="00470CE8">
              <w:rPr>
                <w:rStyle w:val="ExampletextCharChar"/>
                <w:rFonts w:cs="Arial"/>
                <w:b/>
                <w:i w:val="0"/>
                <w:iCs/>
                <w:color w:val="000000" w:themeColor="text1"/>
              </w:rPr>
              <w:t>Contribution to Outcome 1 made by linked programs</w:t>
            </w:r>
          </w:p>
          <w:p w14:paraId="2F4AE8D8" w14:textId="77777777" w:rsidR="0013748B" w:rsidRPr="00470CE8" w:rsidRDefault="0013748B">
            <w:pPr>
              <w:pStyle w:val="ExampleText0"/>
              <w:spacing w:before="60" w:after="60" w:line="240" w:lineRule="auto"/>
              <w:rPr>
                <w:rStyle w:val="ExampletextCharChar"/>
                <w:rFonts w:cs="Arial"/>
                <w:b/>
                <w:color w:val="000000" w:themeColor="text1"/>
              </w:rPr>
            </w:pPr>
            <w:r w:rsidRPr="00470CE8">
              <w:rPr>
                <w:rFonts w:cs="Arial"/>
                <w:i w:val="0"/>
                <w:color w:val="000000" w:themeColor="text1"/>
              </w:rPr>
              <w:t>The program provides funding to Tourism Australia to deliver Outcome 1.</w:t>
            </w:r>
          </w:p>
        </w:tc>
      </w:tr>
      <w:tr w:rsidR="00470CE8" w:rsidRPr="00470CE8" w14:paraId="3CCEEF5E" w14:textId="77777777" w:rsidTr="0013748B">
        <w:trPr>
          <w:trHeight w:val="113"/>
        </w:trPr>
        <w:tc>
          <w:tcPr>
            <w:tcW w:w="7705" w:type="dxa"/>
            <w:tcBorders>
              <w:top w:val="single" w:sz="4" w:space="0" w:color="auto"/>
              <w:left w:val="single" w:sz="4" w:space="0" w:color="auto"/>
              <w:bottom w:val="dotted" w:sz="4" w:space="0" w:color="auto"/>
              <w:right w:val="single" w:sz="4" w:space="0" w:color="auto"/>
            </w:tcBorders>
            <w:hideMark/>
          </w:tcPr>
          <w:p w14:paraId="375E6ED7" w14:textId="1B90D5F6" w:rsidR="0013748B" w:rsidRPr="00470CE8" w:rsidRDefault="0013748B">
            <w:pPr>
              <w:pStyle w:val="ExampleText0"/>
              <w:spacing w:before="60" w:after="60" w:line="240" w:lineRule="auto"/>
              <w:rPr>
                <w:color w:val="000000" w:themeColor="text1"/>
              </w:rPr>
            </w:pPr>
            <w:r w:rsidRPr="00470CE8">
              <w:rPr>
                <w:rFonts w:cs="Arial"/>
                <w:b/>
                <w:i w:val="0"/>
                <w:color w:val="000000" w:themeColor="text1"/>
              </w:rPr>
              <w:t xml:space="preserve">Australian Trade and Investment Commission </w:t>
            </w:r>
          </w:p>
        </w:tc>
      </w:tr>
      <w:tr w:rsidR="00470CE8" w:rsidRPr="00470CE8" w14:paraId="6F1CB0D1" w14:textId="77777777" w:rsidTr="0013748B">
        <w:trPr>
          <w:trHeight w:val="113"/>
        </w:trPr>
        <w:tc>
          <w:tcPr>
            <w:tcW w:w="7705" w:type="dxa"/>
            <w:tcBorders>
              <w:top w:val="dotted" w:sz="4" w:space="0" w:color="auto"/>
              <w:left w:val="single" w:sz="4" w:space="0" w:color="auto"/>
              <w:bottom w:val="single" w:sz="4" w:space="0" w:color="auto"/>
              <w:right w:val="single" w:sz="4" w:space="0" w:color="auto"/>
            </w:tcBorders>
            <w:hideMark/>
          </w:tcPr>
          <w:p w14:paraId="69C1CB01" w14:textId="77777777" w:rsidR="0013748B" w:rsidRPr="00470CE8" w:rsidRDefault="0013748B">
            <w:pPr>
              <w:spacing w:after="0" w:line="240" w:lineRule="auto"/>
              <w:rPr>
                <w:rStyle w:val="ExampletextCharChar"/>
                <w:i w:val="0"/>
                <w:iCs/>
                <w:color w:val="000000" w:themeColor="text1"/>
              </w:rPr>
            </w:pPr>
            <w:r w:rsidRPr="00470CE8">
              <w:rPr>
                <w:rStyle w:val="ExampletextCharChar"/>
                <w:rFonts w:cs="Arial"/>
                <w:b/>
                <w:i w:val="0"/>
                <w:iCs/>
                <w:color w:val="000000" w:themeColor="text1"/>
              </w:rPr>
              <w:t>Programs</w:t>
            </w:r>
          </w:p>
          <w:p w14:paraId="4A95C7BE" w14:textId="3FBD5CA0" w:rsidR="0013748B" w:rsidRPr="00470CE8" w:rsidRDefault="0013748B" w:rsidP="00437DA8">
            <w:pPr>
              <w:numPr>
                <w:ilvl w:val="0"/>
                <w:numId w:val="40"/>
              </w:numPr>
              <w:spacing w:before="60" w:after="60" w:line="240" w:lineRule="auto"/>
              <w:ind w:left="714" w:hanging="357"/>
              <w:jc w:val="left"/>
              <w:rPr>
                <w:rStyle w:val="ExampletextCharChar"/>
                <w:rFonts w:cs="Arial"/>
                <w:i w:val="0"/>
                <w:iCs/>
                <w:color w:val="000000" w:themeColor="text1"/>
              </w:rPr>
            </w:pPr>
            <w:r w:rsidRPr="00470CE8">
              <w:rPr>
                <w:rStyle w:val="ExampletextCharChar"/>
                <w:rFonts w:cs="Arial"/>
                <w:i w:val="0"/>
                <w:iCs/>
                <w:color w:val="000000" w:themeColor="text1"/>
              </w:rPr>
              <w:t xml:space="preserve">Program 1.2 – </w:t>
            </w:r>
            <w:r w:rsidRPr="00470CE8">
              <w:rPr>
                <w:rFonts w:cs="Arial"/>
                <w:color w:val="000000" w:themeColor="text1"/>
              </w:rPr>
              <w:t>Programs to promote Australia’s export and other international economic interests</w:t>
            </w:r>
          </w:p>
        </w:tc>
      </w:tr>
      <w:tr w:rsidR="00470CE8" w:rsidRPr="00470CE8" w14:paraId="18A61C17" w14:textId="77777777" w:rsidTr="0013748B">
        <w:trPr>
          <w:trHeight w:val="113"/>
        </w:trPr>
        <w:tc>
          <w:tcPr>
            <w:tcW w:w="7705" w:type="dxa"/>
            <w:tcBorders>
              <w:top w:val="single" w:sz="4" w:space="0" w:color="auto"/>
              <w:left w:val="single" w:sz="4" w:space="0" w:color="auto"/>
              <w:bottom w:val="single" w:sz="4" w:space="0" w:color="auto"/>
              <w:right w:val="single" w:sz="4" w:space="0" w:color="auto"/>
            </w:tcBorders>
            <w:hideMark/>
          </w:tcPr>
          <w:p w14:paraId="3AB8383D" w14:textId="77777777" w:rsidR="0013748B" w:rsidRPr="00470CE8" w:rsidRDefault="0013748B">
            <w:pPr>
              <w:spacing w:before="60" w:after="60" w:line="240" w:lineRule="auto"/>
              <w:rPr>
                <w:rStyle w:val="ExampletextCharChar"/>
                <w:rFonts w:cs="Arial"/>
                <w:b/>
                <w:i w:val="0"/>
                <w:iCs/>
                <w:color w:val="000000" w:themeColor="text1"/>
              </w:rPr>
            </w:pPr>
            <w:r w:rsidRPr="00470CE8">
              <w:rPr>
                <w:rStyle w:val="ExampletextCharChar"/>
                <w:rFonts w:cs="Arial"/>
                <w:b/>
                <w:i w:val="0"/>
                <w:iCs/>
                <w:color w:val="000000" w:themeColor="text1"/>
              </w:rPr>
              <w:t>Contribution to Outcome 1 made by linked programs</w:t>
            </w:r>
          </w:p>
          <w:p w14:paraId="48524ECE" w14:textId="3AB3DFA3" w:rsidR="0013748B" w:rsidRPr="00470CE8" w:rsidRDefault="0013748B">
            <w:pPr>
              <w:spacing w:before="60" w:after="60" w:line="240" w:lineRule="auto"/>
              <w:rPr>
                <w:rStyle w:val="ExampletextCharChar"/>
                <w:rFonts w:cs="Arial"/>
                <w:color w:val="000000" w:themeColor="text1"/>
              </w:rPr>
            </w:pPr>
            <w:r w:rsidRPr="00470CE8">
              <w:rPr>
                <w:rFonts w:cs="Arial"/>
                <w:color w:val="000000" w:themeColor="text1"/>
              </w:rPr>
              <w:t xml:space="preserve">Austrade </w:t>
            </w:r>
            <w:r w:rsidR="00B34EC9" w:rsidRPr="00470CE8">
              <w:rPr>
                <w:rFonts w:cs="Arial"/>
                <w:color w:val="000000" w:themeColor="text1"/>
              </w:rPr>
              <w:t xml:space="preserve">has Commonwealth responsibility for international and domestic tourism policy and issues official tourism statistics. Austrade </w:t>
            </w:r>
            <w:r w:rsidRPr="00470CE8">
              <w:rPr>
                <w:rFonts w:cs="Arial"/>
                <w:color w:val="000000" w:themeColor="text1"/>
              </w:rPr>
              <w:t xml:space="preserve">provides </w:t>
            </w:r>
            <w:r w:rsidR="00B34EC9" w:rsidRPr="00470CE8">
              <w:rPr>
                <w:rFonts w:cs="Arial"/>
                <w:color w:val="000000" w:themeColor="text1"/>
              </w:rPr>
              <w:t xml:space="preserve">the information </w:t>
            </w:r>
            <w:r w:rsidRPr="00470CE8">
              <w:rPr>
                <w:rFonts w:cs="Arial"/>
                <w:color w:val="000000" w:themeColor="text1"/>
              </w:rPr>
              <w:t>to Tourism Australia</w:t>
            </w:r>
            <w:r w:rsidR="00B34EC9" w:rsidRPr="00470CE8">
              <w:rPr>
                <w:rFonts w:cs="Arial"/>
                <w:color w:val="000000" w:themeColor="text1"/>
              </w:rPr>
              <w:t xml:space="preserve"> to promote </w:t>
            </w:r>
            <w:r w:rsidRPr="00470CE8">
              <w:rPr>
                <w:rFonts w:cs="Arial"/>
                <w:color w:val="000000" w:themeColor="text1"/>
              </w:rPr>
              <w:t>the export of Australian tourism services</w:t>
            </w:r>
            <w:r w:rsidR="00B34EC9" w:rsidRPr="00470CE8">
              <w:rPr>
                <w:rFonts w:cs="Arial"/>
                <w:color w:val="000000" w:themeColor="text1"/>
              </w:rPr>
              <w:t xml:space="preserve">, contributing </w:t>
            </w:r>
            <w:r w:rsidRPr="00470CE8">
              <w:rPr>
                <w:rFonts w:cs="Arial"/>
                <w:color w:val="000000" w:themeColor="text1"/>
              </w:rPr>
              <w:t>to Australia’s prosperity.</w:t>
            </w:r>
          </w:p>
        </w:tc>
      </w:tr>
      <w:tr w:rsidR="00470CE8" w:rsidRPr="00470CE8" w14:paraId="385AD623" w14:textId="77777777" w:rsidTr="0013748B">
        <w:trPr>
          <w:trHeight w:val="113"/>
        </w:trPr>
        <w:tc>
          <w:tcPr>
            <w:tcW w:w="7705" w:type="dxa"/>
            <w:tcBorders>
              <w:top w:val="single" w:sz="4" w:space="0" w:color="auto"/>
              <w:left w:val="single" w:sz="4" w:space="0" w:color="auto"/>
              <w:bottom w:val="dotted" w:sz="4" w:space="0" w:color="auto"/>
              <w:right w:val="single" w:sz="4" w:space="0" w:color="auto"/>
            </w:tcBorders>
            <w:hideMark/>
          </w:tcPr>
          <w:p w14:paraId="37905D5F" w14:textId="77777777" w:rsidR="0013748B" w:rsidRPr="00470CE8" w:rsidRDefault="0013748B">
            <w:pPr>
              <w:pStyle w:val="ExampleText0"/>
              <w:spacing w:before="60" w:after="60" w:line="240" w:lineRule="auto"/>
              <w:rPr>
                <w:color w:val="000000" w:themeColor="text1"/>
              </w:rPr>
            </w:pPr>
            <w:r w:rsidRPr="00470CE8">
              <w:rPr>
                <w:rFonts w:cs="Arial"/>
                <w:b/>
                <w:i w:val="0"/>
                <w:color w:val="000000" w:themeColor="text1"/>
              </w:rPr>
              <w:t>Department of Home Affairs</w:t>
            </w:r>
          </w:p>
        </w:tc>
      </w:tr>
      <w:tr w:rsidR="00470CE8" w:rsidRPr="00470CE8" w14:paraId="27F55F6B" w14:textId="77777777" w:rsidTr="0013748B">
        <w:trPr>
          <w:trHeight w:val="113"/>
        </w:trPr>
        <w:tc>
          <w:tcPr>
            <w:tcW w:w="7705" w:type="dxa"/>
            <w:tcBorders>
              <w:top w:val="dotted" w:sz="4" w:space="0" w:color="auto"/>
              <w:left w:val="single" w:sz="4" w:space="0" w:color="auto"/>
              <w:bottom w:val="single" w:sz="4" w:space="0" w:color="auto"/>
              <w:right w:val="single" w:sz="4" w:space="0" w:color="auto"/>
            </w:tcBorders>
            <w:hideMark/>
          </w:tcPr>
          <w:p w14:paraId="0FD5C147" w14:textId="77777777" w:rsidR="0013748B" w:rsidRPr="00470CE8" w:rsidRDefault="0013748B">
            <w:pPr>
              <w:spacing w:after="0" w:line="240" w:lineRule="auto"/>
              <w:rPr>
                <w:rFonts w:cs="Arial"/>
                <w:b/>
                <w:color w:val="000000" w:themeColor="text1"/>
              </w:rPr>
            </w:pPr>
            <w:r w:rsidRPr="00470CE8">
              <w:rPr>
                <w:rFonts w:cs="Arial"/>
                <w:b/>
                <w:color w:val="000000" w:themeColor="text1"/>
              </w:rPr>
              <w:t>Programs</w:t>
            </w:r>
          </w:p>
          <w:p w14:paraId="16647BFD" w14:textId="4C6FD387" w:rsidR="0013748B" w:rsidRPr="00470CE8" w:rsidRDefault="0013748B" w:rsidP="00091F80">
            <w:pPr>
              <w:numPr>
                <w:ilvl w:val="0"/>
                <w:numId w:val="40"/>
              </w:numPr>
              <w:spacing w:before="60" w:after="60" w:line="240" w:lineRule="auto"/>
              <w:ind w:left="714" w:hanging="357"/>
              <w:rPr>
                <w:rStyle w:val="ExampletextCharChar"/>
                <w:i w:val="0"/>
                <w:color w:val="000000" w:themeColor="text1"/>
              </w:rPr>
            </w:pPr>
            <w:r w:rsidRPr="00470CE8">
              <w:rPr>
                <w:rFonts w:cs="Arial"/>
                <w:color w:val="000000" w:themeColor="text1"/>
              </w:rPr>
              <w:t>Program 3.</w:t>
            </w:r>
            <w:r w:rsidR="00E6759E">
              <w:rPr>
                <w:rFonts w:cs="Arial"/>
                <w:color w:val="000000" w:themeColor="text1"/>
              </w:rPr>
              <w:t>1</w:t>
            </w:r>
            <w:r w:rsidRPr="00470CE8">
              <w:rPr>
                <w:rFonts w:cs="Arial"/>
                <w:color w:val="000000" w:themeColor="text1"/>
              </w:rPr>
              <w:t xml:space="preserve"> </w:t>
            </w:r>
            <w:r w:rsidRPr="00470CE8">
              <w:rPr>
                <w:rStyle w:val="ExampletextCharChar"/>
                <w:rFonts w:cs="Arial"/>
                <w:i w:val="0"/>
                <w:iCs/>
                <w:color w:val="000000" w:themeColor="text1"/>
              </w:rPr>
              <w:t>–</w:t>
            </w:r>
            <w:r w:rsidRPr="00470CE8">
              <w:rPr>
                <w:rFonts w:cs="Arial"/>
                <w:color w:val="000000" w:themeColor="text1"/>
              </w:rPr>
              <w:t xml:space="preserve"> Trade facilitation and industry engagement</w:t>
            </w:r>
          </w:p>
        </w:tc>
      </w:tr>
      <w:tr w:rsidR="00470CE8" w:rsidRPr="00470CE8" w14:paraId="20F5A50A" w14:textId="77777777" w:rsidTr="0013748B">
        <w:trPr>
          <w:trHeight w:val="113"/>
        </w:trPr>
        <w:tc>
          <w:tcPr>
            <w:tcW w:w="7705" w:type="dxa"/>
            <w:tcBorders>
              <w:top w:val="single" w:sz="4" w:space="0" w:color="auto"/>
              <w:left w:val="single" w:sz="4" w:space="0" w:color="auto"/>
              <w:bottom w:val="single" w:sz="4" w:space="0" w:color="auto"/>
              <w:right w:val="single" w:sz="4" w:space="0" w:color="auto"/>
            </w:tcBorders>
            <w:hideMark/>
          </w:tcPr>
          <w:p w14:paraId="0B5A62CB" w14:textId="77777777" w:rsidR="0013748B" w:rsidRPr="00470CE8" w:rsidRDefault="0013748B">
            <w:pPr>
              <w:spacing w:before="60" w:after="60" w:line="240" w:lineRule="auto"/>
              <w:rPr>
                <w:rStyle w:val="ExampletextCharChar"/>
                <w:rFonts w:cs="Arial"/>
                <w:b/>
                <w:i w:val="0"/>
                <w:iCs/>
                <w:color w:val="000000" w:themeColor="text1"/>
              </w:rPr>
            </w:pPr>
            <w:r w:rsidRPr="00470CE8">
              <w:rPr>
                <w:rStyle w:val="ExampletextCharChar"/>
                <w:rFonts w:cs="Arial"/>
                <w:b/>
                <w:i w:val="0"/>
                <w:iCs/>
                <w:color w:val="000000" w:themeColor="text1"/>
              </w:rPr>
              <w:t>Contribution to Outcome 1 made by linked programs</w:t>
            </w:r>
          </w:p>
          <w:p w14:paraId="258CADD6" w14:textId="1B69505A" w:rsidR="0013748B" w:rsidRPr="00470CE8" w:rsidRDefault="0013748B">
            <w:pPr>
              <w:spacing w:before="60" w:after="60" w:line="240" w:lineRule="auto"/>
              <w:rPr>
                <w:rStyle w:val="ExampletextCharChar"/>
                <w:rFonts w:cs="Arial"/>
                <w:color w:val="000000" w:themeColor="text1"/>
              </w:rPr>
            </w:pPr>
            <w:r w:rsidRPr="00470CE8">
              <w:rPr>
                <w:rFonts w:cs="Arial"/>
                <w:color w:val="000000" w:themeColor="text1"/>
              </w:rPr>
              <w:t>Tourism Australia works with the Department of Home Affairs by providing advice on visa and traveller facilitation policy relevant to the Australian tourism industry.</w:t>
            </w:r>
          </w:p>
        </w:tc>
      </w:tr>
    </w:tbl>
    <w:p w14:paraId="152D7513" w14:textId="77777777" w:rsidR="0013748B" w:rsidRPr="002F26B7" w:rsidRDefault="0013748B" w:rsidP="0013748B">
      <w:pPr>
        <w:pStyle w:val="ChartandTableFootnote"/>
        <w:rPr>
          <w:lang w:val="en-AU"/>
        </w:rPr>
      </w:pPr>
      <w:r>
        <w:rPr>
          <w:rFonts w:cs="Arial"/>
          <w:lang w:val="en-AU"/>
        </w:rPr>
        <w:t xml:space="preserve">Table </w:t>
      </w:r>
      <w:proofErr w:type="gramStart"/>
      <w:r>
        <w:rPr>
          <w:rFonts w:cs="Arial"/>
          <w:lang w:val="en-AU"/>
        </w:rPr>
        <w:t>continued on</w:t>
      </w:r>
      <w:proofErr w:type="gramEnd"/>
      <w:r>
        <w:rPr>
          <w:rFonts w:cs="Arial"/>
          <w:lang w:val="en-AU"/>
        </w:rPr>
        <w:t xml:space="preserve"> the next page. </w:t>
      </w:r>
    </w:p>
    <w:p w14:paraId="162ADB3C" w14:textId="72E225C3" w:rsidR="0013748B" w:rsidRDefault="0013748B">
      <w:pPr>
        <w:spacing w:after="0" w:line="240" w:lineRule="auto"/>
        <w:jc w:val="left"/>
      </w:pPr>
      <w:r>
        <w:br w:type="page"/>
      </w:r>
    </w:p>
    <w:p w14:paraId="3ABB030F" w14:textId="51ADBEB8" w:rsidR="0013748B" w:rsidRPr="005E6F2B" w:rsidRDefault="0013748B" w:rsidP="0013748B">
      <w:pPr>
        <w:pStyle w:val="Heading4"/>
      </w:pPr>
      <w:r w:rsidRPr="005E6F2B">
        <w:t xml:space="preserve">Linked programs </w:t>
      </w:r>
      <w:r>
        <w:t>(continued)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470CE8" w:rsidRPr="00470CE8" w14:paraId="634CC2E4" w14:textId="77777777" w:rsidTr="0013748B">
        <w:trPr>
          <w:trHeight w:val="113"/>
        </w:trPr>
        <w:tc>
          <w:tcPr>
            <w:tcW w:w="7705" w:type="dxa"/>
            <w:tcBorders>
              <w:top w:val="single" w:sz="4" w:space="0" w:color="auto"/>
              <w:left w:val="single" w:sz="4" w:space="0" w:color="auto"/>
              <w:bottom w:val="dotted" w:sz="4" w:space="0" w:color="auto"/>
              <w:right w:val="single" w:sz="4" w:space="0" w:color="auto"/>
            </w:tcBorders>
            <w:hideMark/>
          </w:tcPr>
          <w:p w14:paraId="0AC93040" w14:textId="77777777" w:rsidR="0013748B" w:rsidRPr="00470CE8" w:rsidRDefault="0013748B">
            <w:pPr>
              <w:pStyle w:val="ExampleText0"/>
              <w:spacing w:before="60" w:after="60" w:line="240" w:lineRule="auto"/>
              <w:rPr>
                <w:color w:val="000000" w:themeColor="text1"/>
              </w:rPr>
            </w:pPr>
            <w:r w:rsidRPr="00470CE8">
              <w:rPr>
                <w:rFonts w:cs="Arial"/>
                <w:b/>
                <w:i w:val="0"/>
                <w:color w:val="000000" w:themeColor="text1"/>
              </w:rPr>
              <w:t>Department of Infrastructure, Transport, Regional Development and Communications</w:t>
            </w:r>
          </w:p>
        </w:tc>
      </w:tr>
      <w:tr w:rsidR="00470CE8" w:rsidRPr="00470CE8" w14:paraId="3F5A5756" w14:textId="77777777" w:rsidTr="0013748B">
        <w:trPr>
          <w:trHeight w:val="113"/>
        </w:trPr>
        <w:tc>
          <w:tcPr>
            <w:tcW w:w="7705" w:type="dxa"/>
            <w:tcBorders>
              <w:top w:val="dotted" w:sz="4" w:space="0" w:color="auto"/>
              <w:left w:val="single" w:sz="4" w:space="0" w:color="auto"/>
              <w:bottom w:val="single" w:sz="4" w:space="0" w:color="auto"/>
              <w:right w:val="single" w:sz="4" w:space="0" w:color="auto"/>
            </w:tcBorders>
            <w:hideMark/>
          </w:tcPr>
          <w:p w14:paraId="12DD9526" w14:textId="77777777" w:rsidR="0013748B" w:rsidRPr="00470CE8" w:rsidRDefault="0013748B">
            <w:pPr>
              <w:spacing w:after="0" w:line="240" w:lineRule="auto"/>
              <w:rPr>
                <w:rFonts w:cs="Arial"/>
                <w:b/>
                <w:color w:val="000000" w:themeColor="text1"/>
              </w:rPr>
            </w:pPr>
            <w:r w:rsidRPr="00470CE8">
              <w:rPr>
                <w:rFonts w:cs="Arial"/>
                <w:b/>
                <w:color w:val="000000" w:themeColor="text1"/>
              </w:rPr>
              <w:t>Programs</w:t>
            </w:r>
          </w:p>
          <w:p w14:paraId="59AF90FE" w14:textId="58712ABB" w:rsidR="0013748B" w:rsidRPr="00470CE8" w:rsidRDefault="0013748B" w:rsidP="00091F80">
            <w:pPr>
              <w:numPr>
                <w:ilvl w:val="0"/>
                <w:numId w:val="40"/>
              </w:numPr>
              <w:spacing w:before="60" w:after="60" w:line="240" w:lineRule="auto"/>
              <w:ind w:left="714" w:hanging="357"/>
              <w:rPr>
                <w:rStyle w:val="ExampletextCharChar"/>
                <w:i w:val="0"/>
                <w:color w:val="000000" w:themeColor="text1"/>
              </w:rPr>
            </w:pPr>
            <w:r w:rsidRPr="00470CE8">
              <w:rPr>
                <w:rFonts w:cs="Arial"/>
                <w:bCs/>
                <w:color w:val="000000" w:themeColor="text1"/>
              </w:rPr>
              <w:t>Program 2.</w:t>
            </w:r>
            <w:r w:rsidR="004666E9">
              <w:rPr>
                <w:rFonts w:cs="Arial"/>
                <w:bCs/>
                <w:color w:val="000000" w:themeColor="text1"/>
              </w:rPr>
              <w:t>3</w:t>
            </w:r>
            <w:r w:rsidRPr="00470CE8">
              <w:rPr>
                <w:rFonts w:cs="Arial"/>
                <w:color w:val="000000" w:themeColor="text1"/>
              </w:rPr>
              <w:t xml:space="preserve"> </w:t>
            </w:r>
            <w:r w:rsidRPr="00470CE8">
              <w:rPr>
                <w:rStyle w:val="ExampletextCharChar"/>
                <w:rFonts w:cs="Arial"/>
                <w:i w:val="0"/>
                <w:iCs/>
                <w:color w:val="000000" w:themeColor="text1"/>
              </w:rPr>
              <w:t>–</w:t>
            </w:r>
            <w:r w:rsidRPr="00470CE8">
              <w:rPr>
                <w:rFonts w:cs="Arial"/>
                <w:color w:val="000000" w:themeColor="text1"/>
              </w:rPr>
              <w:t xml:space="preserve"> Air </w:t>
            </w:r>
            <w:r w:rsidR="00942482">
              <w:rPr>
                <w:rFonts w:cs="Arial"/>
                <w:color w:val="000000" w:themeColor="text1"/>
              </w:rPr>
              <w:t>t</w:t>
            </w:r>
            <w:r w:rsidRPr="00470CE8">
              <w:rPr>
                <w:rFonts w:cs="Arial"/>
                <w:color w:val="000000" w:themeColor="text1"/>
              </w:rPr>
              <w:t>ransport</w:t>
            </w:r>
          </w:p>
        </w:tc>
      </w:tr>
      <w:tr w:rsidR="00470CE8" w:rsidRPr="00470CE8" w14:paraId="5880353F" w14:textId="77777777" w:rsidTr="0013748B">
        <w:trPr>
          <w:trHeight w:val="113"/>
        </w:trPr>
        <w:tc>
          <w:tcPr>
            <w:tcW w:w="7705" w:type="dxa"/>
            <w:tcBorders>
              <w:top w:val="single" w:sz="4" w:space="0" w:color="auto"/>
              <w:left w:val="single" w:sz="4" w:space="0" w:color="auto"/>
              <w:bottom w:val="single" w:sz="4" w:space="0" w:color="auto"/>
              <w:right w:val="single" w:sz="4" w:space="0" w:color="auto"/>
            </w:tcBorders>
            <w:hideMark/>
          </w:tcPr>
          <w:p w14:paraId="07D549C6" w14:textId="77777777" w:rsidR="0013748B" w:rsidRPr="00470CE8" w:rsidRDefault="0013748B">
            <w:pPr>
              <w:spacing w:before="60" w:after="60" w:line="240" w:lineRule="auto"/>
              <w:rPr>
                <w:rStyle w:val="ExampletextCharChar"/>
                <w:rFonts w:cs="Arial"/>
                <w:b/>
                <w:i w:val="0"/>
                <w:iCs/>
                <w:color w:val="000000" w:themeColor="text1"/>
              </w:rPr>
            </w:pPr>
            <w:r w:rsidRPr="00470CE8">
              <w:rPr>
                <w:rStyle w:val="ExampletextCharChar"/>
                <w:rFonts w:cs="Arial"/>
                <w:b/>
                <w:i w:val="0"/>
                <w:iCs/>
                <w:color w:val="000000" w:themeColor="text1"/>
              </w:rPr>
              <w:t>Contribution to Outcome 1 made by linked programs</w:t>
            </w:r>
          </w:p>
          <w:p w14:paraId="1C7BE801" w14:textId="77777777" w:rsidR="0013748B" w:rsidRPr="00470CE8" w:rsidRDefault="0013748B">
            <w:pPr>
              <w:spacing w:after="0" w:line="240" w:lineRule="auto"/>
              <w:rPr>
                <w:rStyle w:val="ExampletextCharChar"/>
                <w:rFonts w:cs="Arial"/>
                <w:color w:val="000000" w:themeColor="text1"/>
              </w:rPr>
            </w:pPr>
            <w:r w:rsidRPr="00470CE8">
              <w:rPr>
                <w:rFonts w:cs="Arial"/>
                <w:color w:val="000000" w:themeColor="text1"/>
              </w:rPr>
              <w:t>An efficient, sustainable, competitive, safe and secure air transport system contributes increasing international visitor arrivals and expenditure, and growing demand for Australia as a destination for tourism and business events.</w:t>
            </w:r>
          </w:p>
        </w:tc>
      </w:tr>
      <w:tr w:rsidR="00470CE8" w:rsidRPr="00470CE8" w14:paraId="79880150" w14:textId="77777777" w:rsidTr="0013748B">
        <w:trPr>
          <w:trHeight w:val="113"/>
        </w:trPr>
        <w:tc>
          <w:tcPr>
            <w:tcW w:w="7705" w:type="dxa"/>
            <w:tcBorders>
              <w:top w:val="single" w:sz="4" w:space="0" w:color="auto"/>
              <w:left w:val="single" w:sz="4" w:space="0" w:color="auto"/>
              <w:bottom w:val="single" w:sz="4" w:space="0" w:color="auto"/>
              <w:right w:val="single" w:sz="4" w:space="0" w:color="auto"/>
            </w:tcBorders>
            <w:hideMark/>
          </w:tcPr>
          <w:p w14:paraId="49878548" w14:textId="77777777" w:rsidR="0013748B" w:rsidRPr="00470CE8" w:rsidRDefault="0013748B">
            <w:pPr>
              <w:spacing w:after="0" w:line="240" w:lineRule="auto"/>
              <w:rPr>
                <w:b/>
                <w:color w:val="000000" w:themeColor="text1"/>
              </w:rPr>
            </w:pPr>
            <w:r w:rsidRPr="00470CE8">
              <w:rPr>
                <w:rFonts w:cs="Arial"/>
                <w:b/>
                <w:color w:val="000000" w:themeColor="text1"/>
              </w:rPr>
              <w:t>Programs</w:t>
            </w:r>
          </w:p>
          <w:p w14:paraId="6F10FB5D" w14:textId="6B1A80C8" w:rsidR="0013748B" w:rsidRPr="00470CE8" w:rsidRDefault="0013748B" w:rsidP="00091F80">
            <w:pPr>
              <w:numPr>
                <w:ilvl w:val="0"/>
                <w:numId w:val="40"/>
              </w:numPr>
              <w:spacing w:before="60" w:after="60" w:line="240" w:lineRule="auto"/>
              <w:ind w:left="714" w:hanging="357"/>
              <w:rPr>
                <w:rStyle w:val="ExampletextCharChar"/>
                <w:i w:val="0"/>
                <w:color w:val="000000" w:themeColor="text1"/>
              </w:rPr>
            </w:pPr>
            <w:r w:rsidRPr="00470CE8">
              <w:rPr>
                <w:rFonts w:cs="Arial"/>
                <w:bCs/>
                <w:color w:val="000000" w:themeColor="text1"/>
              </w:rPr>
              <w:t>Program 3.1</w:t>
            </w:r>
            <w:r w:rsidRPr="00470CE8">
              <w:rPr>
                <w:rFonts w:cs="Arial"/>
                <w:color w:val="000000" w:themeColor="text1"/>
              </w:rPr>
              <w:t xml:space="preserve"> </w:t>
            </w:r>
            <w:r w:rsidRPr="00470CE8">
              <w:rPr>
                <w:rStyle w:val="ExampletextCharChar"/>
                <w:rFonts w:cs="Arial"/>
                <w:i w:val="0"/>
                <w:iCs/>
                <w:color w:val="000000" w:themeColor="text1"/>
              </w:rPr>
              <w:t>–</w:t>
            </w:r>
            <w:r w:rsidRPr="00470CE8">
              <w:rPr>
                <w:rFonts w:cs="Arial"/>
                <w:color w:val="000000" w:themeColor="text1"/>
              </w:rPr>
              <w:t xml:space="preserve"> Regional development</w:t>
            </w:r>
          </w:p>
        </w:tc>
      </w:tr>
      <w:tr w:rsidR="00470CE8" w:rsidRPr="00470CE8" w14:paraId="48CFB815" w14:textId="77777777" w:rsidTr="0013748B">
        <w:trPr>
          <w:trHeight w:val="113"/>
        </w:trPr>
        <w:tc>
          <w:tcPr>
            <w:tcW w:w="7705" w:type="dxa"/>
            <w:tcBorders>
              <w:top w:val="single" w:sz="4" w:space="0" w:color="auto"/>
              <w:left w:val="single" w:sz="4" w:space="0" w:color="auto"/>
              <w:bottom w:val="single" w:sz="4" w:space="0" w:color="auto"/>
              <w:right w:val="single" w:sz="4" w:space="0" w:color="auto"/>
            </w:tcBorders>
            <w:hideMark/>
          </w:tcPr>
          <w:p w14:paraId="71A754DE" w14:textId="77777777" w:rsidR="0013748B" w:rsidRPr="00470CE8" w:rsidRDefault="0013748B">
            <w:pPr>
              <w:spacing w:before="60" w:after="60" w:line="240" w:lineRule="auto"/>
              <w:rPr>
                <w:rStyle w:val="ExampletextCharChar"/>
                <w:rFonts w:cs="Arial"/>
                <w:b/>
                <w:i w:val="0"/>
                <w:iCs/>
                <w:color w:val="000000" w:themeColor="text1"/>
              </w:rPr>
            </w:pPr>
            <w:r w:rsidRPr="00470CE8">
              <w:rPr>
                <w:rStyle w:val="ExampletextCharChar"/>
                <w:rFonts w:cs="Arial"/>
                <w:b/>
                <w:i w:val="0"/>
                <w:iCs/>
                <w:color w:val="000000" w:themeColor="text1"/>
              </w:rPr>
              <w:t>Contribution to Outcome 1 made by linked programs</w:t>
            </w:r>
          </w:p>
          <w:p w14:paraId="3B6FBDC3" w14:textId="77777777" w:rsidR="0013748B" w:rsidRPr="00470CE8" w:rsidRDefault="0013748B">
            <w:pPr>
              <w:spacing w:after="60" w:line="240" w:lineRule="auto"/>
              <w:rPr>
                <w:rStyle w:val="ExampletextCharChar"/>
                <w:rFonts w:cs="Arial"/>
                <w:i w:val="0"/>
                <w:color w:val="000000" w:themeColor="text1"/>
              </w:rPr>
            </w:pPr>
            <w:r w:rsidRPr="00470CE8">
              <w:rPr>
                <w:rFonts w:cs="Arial"/>
                <w:color w:val="000000" w:themeColor="text1"/>
              </w:rPr>
              <w:t>Tourism Australia works in partnership with state and territory governments, industry and commercial partners to build demand and increase visitor arrivals and spend in Australia, including encouraging international visitors to disperse beyond gateway cities into regional areas.</w:t>
            </w:r>
          </w:p>
        </w:tc>
      </w:tr>
    </w:tbl>
    <w:p w14:paraId="611677EF" w14:textId="254F1D9D" w:rsidR="0026795D" w:rsidRPr="00E26389" w:rsidRDefault="0026795D" w:rsidP="0026795D">
      <w:pPr>
        <w:pStyle w:val="Heading5"/>
        <w:rPr>
          <w:b/>
          <w:bCs w:val="0"/>
        </w:rPr>
      </w:pPr>
      <w:r w:rsidRPr="00E26389">
        <w:rPr>
          <w:b/>
          <w:bCs w:val="0"/>
        </w:rPr>
        <w:br w:type="page"/>
        <w:t xml:space="preserve">Budgeted expenses for Outcome </w:t>
      </w:r>
      <w:r w:rsidR="00135D56" w:rsidRPr="00E26389">
        <w:rPr>
          <w:b/>
          <w:bCs w:val="0"/>
        </w:rPr>
        <w:t>1</w:t>
      </w:r>
    </w:p>
    <w:p w14:paraId="3603ED62" w14:textId="77777777" w:rsidR="0026795D" w:rsidRDefault="0026795D" w:rsidP="0026795D">
      <w:r w:rsidRPr="00950281">
        <w:t>This table shows how much the entity intends to spend (on an accrual basis) on achieving the outcome, broken down by program, as well as by Administered an</w:t>
      </w:r>
      <w:r>
        <w:t>d Departmental funding sources.</w:t>
      </w:r>
    </w:p>
    <w:p w14:paraId="4FB68F1C" w14:textId="07C143B0" w:rsidR="0026795D" w:rsidRPr="0013748B" w:rsidRDefault="0026795D" w:rsidP="0013748B">
      <w:pPr>
        <w:pStyle w:val="TableHeading"/>
        <w:rPr>
          <w:lang w:val="en-AU"/>
        </w:rPr>
      </w:pPr>
      <w:r w:rsidRPr="0013748B">
        <w:t>Table 2.</w:t>
      </w:r>
      <w:r w:rsidR="0013748B">
        <w:rPr>
          <w:lang w:val="en-AU"/>
        </w:rPr>
        <w:t>1</w:t>
      </w:r>
      <w:r w:rsidRPr="0013748B">
        <w:t xml:space="preserve">.1: Budgeted expenses for Outcome </w:t>
      </w:r>
      <w:r w:rsidR="0013748B">
        <w:rPr>
          <w:lang w:val="en-AU"/>
        </w:rPr>
        <w:t>1</w:t>
      </w:r>
    </w:p>
    <w:p w14:paraId="299CFC17" w14:textId="7F1DE74F" w:rsidR="0026795D" w:rsidRDefault="00591684" w:rsidP="0026795D">
      <w:pPr>
        <w:pStyle w:val="TableHeading"/>
      </w:pPr>
      <w:r w:rsidRPr="00591684">
        <w:rPr>
          <w:noProof/>
        </w:rPr>
        <w:drawing>
          <wp:inline distT="0" distB="0" distL="0" distR="0" wp14:anchorId="6EDD1DE5" wp14:editId="4FD6D107">
            <wp:extent cx="4819650" cy="40767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819650" cy="4076700"/>
                    </a:xfrm>
                    <a:prstGeom prst="rect">
                      <a:avLst/>
                    </a:prstGeom>
                    <a:noFill/>
                    <a:ln>
                      <a:noFill/>
                    </a:ln>
                  </pic:spPr>
                </pic:pic>
              </a:graphicData>
            </a:graphic>
          </wp:inline>
        </w:drawing>
      </w:r>
    </w:p>
    <w:p w14:paraId="5A068367" w14:textId="7C31ED2A" w:rsidR="0026795D" w:rsidRPr="00950281" w:rsidRDefault="004666E9" w:rsidP="00091F80">
      <w:pPr>
        <w:pStyle w:val="ChartandTableFootnoteAlpha"/>
        <w:numPr>
          <w:ilvl w:val="0"/>
          <w:numId w:val="19"/>
        </w:numPr>
      </w:pPr>
      <w:r>
        <w:t>Asia Marketing Fund</w:t>
      </w:r>
      <w:r w:rsidR="00B512B1">
        <w:t xml:space="preserve"> and Tourism </w:t>
      </w:r>
      <w:r w:rsidR="009B2F38">
        <w:t>Support</w:t>
      </w:r>
      <w:r>
        <w:t xml:space="preserve">. </w:t>
      </w:r>
    </w:p>
    <w:p w14:paraId="46EBFDDB" w14:textId="090C3227" w:rsidR="0026795D" w:rsidRDefault="0026795D" w:rsidP="0026795D">
      <w:pPr>
        <w:pStyle w:val="ChartandTableFootnoteAlpha"/>
      </w:pPr>
      <w:r w:rsidRPr="00950281">
        <w:t xml:space="preserve">Expenses not requiring appropriation in the Budget year are made up of depreciation expenses, amortisation expenses, make good expenses, </w:t>
      </w:r>
      <w:r w:rsidR="00B34EC9">
        <w:t xml:space="preserve">and </w:t>
      </w:r>
      <w:r w:rsidRPr="00950281">
        <w:t>audit fees.</w:t>
      </w:r>
    </w:p>
    <w:p w14:paraId="66768290" w14:textId="150605AF" w:rsidR="0026795D" w:rsidRPr="00C43DF8" w:rsidRDefault="004666E9" w:rsidP="0026795D">
      <w:pPr>
        <w:pStyle w:val="ChartandTableFootnoteAlpha"/>
      </w:pPr>
      <w:r>
        <w:t xml:space="preserve">Average Staffing Level (ASL) figures are estimates only. </w:t>
      </w:r>
    </w:p>
    <w:p w14:paraId="6B7BBD81" w14:textId="77777777" w:rsidR="0026795D" w:rsidRPr="00446612" w:rsidRDefault="0026795D" w:rsidP="0026795D">
      <w:pPr>
        <w:pStyle w:val="ChartandTableFootnote"/>
      </w:pPr>
      <w:r w:rsidRPr="00446612">
        <w:t>Note: Departmental appropriation splits and totals are indicative estimates and may change in the course of the budget year as government priorities change.</w:t>
      </w:r>
    </w:p>
    <w:p w14:paraId="7CFA1D26" w14:textId="5107CBEF" w:rsidR="0026795D" w:rsidRPr="00470CE8" w:rsidRDefault="0026795D" w:rsidP="0026795D">
      <w:pPr>
        <w:spacing w:after="0"/>
        <w:rPr>
          <w:b/>
          <w:color w:val="000000" w:themeColor="text1"/>
        </w:rPr>
      </w:pPr>
      <w:r>
        <w:rPr>
          <w:highlight w:val="yellow"/>
        </w:rPr>
        <w:br w:type="page"/>
      </w:r>
      <w:r w:rsidRPr="00470CE8">
        <w:rPr>
          <w:rStyle w:val="TableHeadingChar"/>
          <w:color w:val="000000" w:themeColor="text1"/>
        </w:rPr>
        <w:t>Table 2.</w:t>
      </w:r>
      <w:r w:rsidR="0013748B" w:rsidRPr="00470CE8">
        <w:rPr>
          <w:rStyle w:val="TableHeadingChar"/>
          <w:color w:val="000000" w:themeColor="text1"/>
          <w:lang w:val="en-AU"/>
        </w:rPr>
        <w:t>1</w:t>
      </w:r>
      <w:r w:rsidRPr="00470CE8">
        <w:rPr>
          <w:rStyle w:val="TableHeadingChar"/>
          <w:color w:val="000000" w:themeColor="text1"/>
        </w:rPr>
        <w:t xml:space="preserve">.2: Program components of Outcome </w:t>
      </w:r>
      <w:r w:rsidR="00E26389" w:rsidRPr="00470CE8">
        <w:rPr>
          <w:rStyle w:val="TableHeadingChar"/>
          <w:color w:val="000000" w:themeColor="text1"/>
          <w:lang w:val="en-AU"/>
        </w:rPr>
        <w:t>1</w:t>
      </w:r>
      <w:r w:rsidRPr="00470CE8">
        <w:rPr>
          <w:color w:val="000000" w:themeColor="text1"/>
        </w:rPr>
        <w:t xml:space="preserve"> </w:t>
      </w:r>
    </w:p>
    <w:p w14:paraId="223D2398" w14:textId="0054108B" w:rsidR="0026795D" w:rsidRPr="00C978F2" w:rsidRDefault="00591684" w:rsidP="0026795D">
      <w:pPr>
        <w:pStyle w:val="TableGraphic"/>
      </w:pPr>
      <w:r w:rsidRPr="00591684">
        <w:rPr>
          <w:noProof/>
        </w:rPr>
        <w:drawing>
          <wp:inline distT="0" distB="0" distL="0" distR="0" wp14:anchorId="231572B6" wp14:editId="49D80C13">
            <wp:extent cx="4857750" cy="21717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857750" cy="2171700"/>
                    </a:xfrm>
                    <a:prstGeom prst="rect">
                      <a:avLst/>
                    </a:prstGeom>
                    <a:noFill/>
                    <a:ln>
                      <a:noFill/>
                    </a:ln>
                  </pic:spPr>
                </pic:pic>
              </a:graphicData>
            </a:graphic>
          </wp:inline>
        </w:drawing>
      </w:r>
    </w:p>
    <w:p w14:paraId="2E5345ED" w14:textId="77777777" w:rsidR="00B34EC9" w:rsidRPr="00446612" w:rsidRDefault="00B34EC9" w:rsidP="00B34EC9">
      <w:pPr>
        <w:pStyle w:val="ChartandTableFootnote"/>
      </w:pPr>
      <w:r w:rsidRPr="00446612">
        <w:t>Note: Departmental appropriation splits and totals are indicative estimates and may change in the course of the budget year as government priorities change.</w:t>
      </w:r>
    </w:p>
    <w:p w14:paraId="6006686B" w14:textId="2DBB265D" w:rsidR="0026795D" w:rsidRPr="0013748B" w:rsidRDefault="0026795D" w:rsidP="0026795D">
      <w:pPr>
        <w:pStyle w:val="TableHeading"/>
        <w:rPr>
          <w:lang w:val="en-AU"/>
        </w:rPr>
      </w:pPr>
      <w:r w:rsidRPr="004666E9">
        <w:rPr>
          <w:lang w:val="en-US"/>
        </w:rPr>
        <w:br w:type="page"/>
      </w:r>
      <w:r w:rsidRPr="004666E9">
        <w:t>Table 2.</w:t>
      </w:r>
      <w:r w:rsidR="0013748B" w:rsidRPr="004666E9">
        <w:rPr>
          <w:lang w:val="en-AU"/>
        </w:rPr>
        <w:t>1</w:t>
      </w:r>
      <w:r w:rsidRPr="004666E9">
        <w:t xml:space="preserve">.3: Performance </w:t>
      </w:r>
      <w:r w:rsidRPr="004666E9">
        <w:rPr>
          <w:lang w:val="en-AU"/>
        </w:rPr>
        <w:t>measure</w:t>
      </w:r>
      <w:r w:rsidRPr="004666E9">
        <w:t xml:space="preserve"> for Outcome </w:t>
      </w:r>
      <w:r w:rsidR="0013748B" w:rsidRPr="004666E9">
        <w:rPr>
          <w:lang w:val="en-AU"/>
        </w:rPr>
        <w:t>1</w:t>
      </w:r>
    </w:p>
    <w:p w14:paraId="70E0AA1C" w14:textId="6F03EBDE" w:rsidR="0026795D" w:rsidRDefault="0026795D" w:rsidP="0026795D">
      <w:r w:rsidRPr="001B2F81">
        <w:t>Table 2.</w:t>
      </w:r>
      <w:r w:rsidR="0013748B">
        <w:t>1</w:t>
      </w:r>
      <w:r w:rsidRPr="001B2F81">
        <w:t>.</w:t>
      </w:r>
      <w:r>
        <w:t>3</w:t>
      </w:r>
      <w:r w:rsidRPr="001B2F81">
        <w:t xml:space="preserve"> details the performance measures for each program associated with Outcome</w:t>
      </w:r>
      <w:r w:rsidR="003D7DC8">
        <w:t> </w:t>
      </w:r>
      <w:r w:rsidR="0013748B">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C22B98">
        <w:t>–</w:t>
      </w:r>
      <w:r>
        <w:t>23</w:t>
      </w:r>
      <w:r w:rsidRPr="001B2F81">
        <w:t xml:space="preserve"> Budget measures that have created new programs or materially changed existing programs </w:t>
      </w:r>
      <w:r>
        <w:t>are</w:t>
      </w:r>
      <w:r w:rsidRPr="001B2F81">
        <w:t xml:space="preserve"> provided.</w:t>
      </w:r>
      <w:r>
        <w:t xml:space="preserve"> </w:t>
      </w:r>
    </w:p>
    <w:tbl>
      <w:tblPr>
        <w:tblW w:w="7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201"/>
        <w:gridCol w:w="2654"/>
      </w:tblGrid>
      <w:tr w:rsidR="0013748B" w14:paraId="5F420AB3" w14:textId="77777777" w:rsidTr="0013748B">
        <w:trPr>
          <w:trHeight w:val="725"/>
          <w:tblHeader/>
        </w:trPr>
        <w:tc>
          <w:tcPr>
            <w:tcW w:w="761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9B2E682" w14:textId="77777777" w:rsidR="0013748B" w:rsidRDefault="0013748B">
            <w:pPr>
              <w:spacing w:after="0" w:line="240" w:lineRule="auto"/>
              <w:jc w:val="left"/>
              <w:textAlignment w:val="baseline"/>
              <w:rPr>
                <w:rFonts w:ascii="Times New Roman" w:hAnsi="Times New Roman"/>
                <w:sz w:val="24"/>
                <w:szCs w:val="24"/>
                <w:lang w:eastAsia="zh-CN"/>
              </w:rPr>
            </w:pPr>
            <w:r>
              <w:rPr>
                <w:rFonts w:ascii="Arial" w:hAnsi="Arial" w:cs="Arial"/>
                <w:b/>
                <w:bCs/>
                <w:color w:val="000000"/>
                <w:lang w:eastAsia="zh-CN"/>
              </w:rPr>
              <w:t>Outcome 1 – Grow demand and foster a competitive and sustainable Australian tourism industry through partnership marketing to targeted global consumers in key markets</w:t>
            </w:r>
          </w:p>
        </w:tc>
      </w:tr>
      <w:tr w:rsidR="004666E9" w14:paraId="6F90AE31" w14:textId="77777777" w:rsidTr="00464EAA">
        <w:trPr>
          <w:trHeight w:val="680"/>
          <w:tblHeader/>
        </w:trPr>
        <w:tc>
          <w:tcPr>
            <w:tcW w:w="7616" w:type="dxa"/>
            <w:gridSpan w:val="3"/>
            <w:shd w:val="clear" w:color="auto" w:fill="F2F2F2"/>
            <w:hideMark/>
          </w:tcPr>
          <w:p w14:paraId="17239BBC" w14:textId="77777777" w:rsidR="004666E9" w:rsidRDefault="004666E9" w:rsidP="004666E9">
            <w:pPr>
              <w:tabs>
                <w:tab w:val="left" w:pos="709"/>
              </w:tabs>
              <w:spacing w:after="0"/>
              <w:jc w:val="left"/>
              <w:rPr>
                <w:rFonts w:ascii="Arial" w:hAnsi="Arial" w:cs="Arial"/>
                <w:b/>
                <w:sz w:val="16"/>
                <w:szCs w:val="16"/>
              </w:rPr>
            </w:pPr>
            <w:bookmarkStart w:id="407" w:name="_Hlk97623508"/>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 Supporting Outcome 1</w:t>
            </w:r>
          </w:p>
          <w:p w14:paraId="4C1A3E22" w14:textId="77777777" w:rsidR="004666E9" w:rsidRDefault="004666E9" w:rsidP="004666E9">
            <w:pPr>
              <w:tabs>
                <w:tab w:val="left" w:pos="709"/>
              </w:tabs>
              <w:spacing w:after="0"/>
              <w:jc w:val="left"/>
              <w:rPr>
                <w:b/>
                <w:bCs/>
                <w:color w:val="000000"/>
                <w:sz w:val="22"/>
                <w:szCs w:val="22"/>
              </w:rPr>
            </w:pPr>
            <w:r w:rsidRPr="00FC4B8C">
              <w:rPr>
                <w:rFonts w:ascii="Arial" w:hAnsi="Arial" w:cs="Arial"/>
                <w:b/>
                <w:bCs/>
                <w:color w:val="000000"/>
                <w:sz w:val="16"/>
                <w:szCs w:val="22"/>
              </w:rPr>
              <w:t xml:space="preserve">Component </w:t>
            </w:r>
            <w:r>
              <w:rPr>
                <w:rFonts w:ascii="Arial" w:hAnsi="Arial" w:cs="Arial"/>
                <w:b/>
                <w:bCs/>
                <w:color w:val="000000"/>
                <w:sz w:val="16"/>
                <w:szCs w:val="22"/>
              </w:rPr>
              <w:t>1.1.</w:t>
            </w:r>
            <w:r w:rsidRPr="00FC4B8C">
              <w:rPr>
                <w:rFonts w:ascii="Arial" w:hAnsi="Arial" w:cs="Arial"/>
                <w:b/>
                <w:bCs/>
                <w:color w:val="000000"/>
                <w:sz w:val="16"/>
                <w:szCs w:val="22"/>
              </w:rPr>
              <w:t>1: Grow Demand</w:t>
            </w:r>
          </w:p>
          <w:p w14:paraId="63633261" w14:textId="25CE7917" w:rsidR="004666E9" w:rsidRDefault="004666E9" w:rsidP="004666E9">
            <w:pPr>
              <w:tabs>
                <w:tab w:val="left" w:pos="709"/>
              </w:tabs>
              <w:spacing w:before="60" w:after="60" w:line="240" w:lineRule="auto"/>
              <w:jc w:val="left"/>
              <w:rPr>
                <w:rFonts w:ascii="Arial" w:hAnsi="Arial" w:cs="Arial"/>
                <w:sz w:val="16"/>
                <w:szCs w:val="16"/>
              </w:rPr>
            </w:pPr>
            <w:r w:rsidRPr="00CC5B06">
              <w:rPr>
                <w:rFonts w:ascii="Arial" w:hAnsi="Arial" w:cs="Arial"/>
                <w:sz w:val="16"/>
                <w:szCs w:val="16"/>
              </w:rPr>
              <w:t>Objective</w:t>
            </w:r>
            <w:r>
              <w:rPr>
                <w:rFonts w:ascii="Arial" w:hAnsi="Arial" w:cs="Arial"/>
                <w:sz w:val="16"/>
                <w:szCs w:val="16"/>
              </w:rPr>
              <w:t>:</w:t>
            </w:r>
            <w:r>
              <w:t xml:space="preserve"> </w:t>
            </w:r>
            <w:r w:rsidRPr="000D6866">
              <w:rPr>
                <w:rFonts w:ascii="Arial" w:hAnsi="Arial" w:cs="Arial"/>
                <w:sz w:val="16"/>
                <w:szCs w:val="16"/>
              </w:rPr>
              <w:t>Identify and target best prospect consumers both in Australia and in our target markets, inspire them to travel to and throughout Australia.</w:t>
            </w:r>
          </w:p>
        </w:tc>
      </w:tr>
      <w:bookmarkEnd w:id="407"/>
      <w:tr w:rsidR="0013748B" w14:paraId="1361B0A1" w14:textId="77777777" w:rsidTr="003048AA">
        <w:trPr>
          <w:trHeight w:val="4161"/>
        </w:trPr>
        <w:tc>
          <w:tcPr>
            <w:tcW w:w="1761" w:type="dxa"/>
            <w:tcBorders>
              <w:top w:val="single" w:sz="4" w:space="0" w:color="auto"/>
              <w:left w:val="single" w:sz="4" w:space="0" w:color="auto"/>
              <w:bottom w:val="double" w:sz="4" w:space="0" w:color="auto"/>
              <w:right w:val="single" w:sz="4" w:space="0" w:color="auto"/>
            </w:tcBorders>
            <w:hideMark/>
          </w:tcPr>
          <w:p w14:paraId="1C7790C7" w14:textId="25C44F75" w:rsidR="0013748B" w:rsidRPr="004666E9" w:rsidRDefault="004666E9">
            <w:pPr>
              <w:tabs>
                <w:tab w:val="left" w:pos="709"/>
              </w:tabs>
              <w:spacing w:before="60" w:after="60" w:line="240" w:lineRule="auto"/>
              <w:jc w:val="left"/>
              <w:rPr>
                <w:rFonts w:ascii="Arial" w:hAnsi="Arial" w:cs="Arial"/>
                <w:b/>
                <w:sz w:val="16"/>
                <w:szCs w:val="16"/>
              </w:rPr>
            </w:pPr>
            <w:r w:rsidRPr="004666E9">
              <w:rPr>
                <w:rFonts w:ascii="Arial" w:hAnsi="Arial" w:cs="Arial"/>
                <w:b/>
                <w:sz w:val="16"/>
                <w:szCs w:val="16"/>
              </w:rPr>
              <w:t>Key Activities</w:t>
            </w:r>
          </w:p>
        </w:tc>
        <w:tc>
          <w:tcPr>
            <w:tcW w:w="5855" w:type="dxa"/>
            <w:gridSpan w:val="2"/>
            <w:tcBorders>
              <w:top w:val="single" w:sz="4" w:space="0" w:color="auto"/>
              <w:left w:val="single" w:sz="4" w:space="0" w:color="auto"/>
              <w:bottom w:val="double" w:sz="4" w:space="0" w:color="auto"/>
              <w:right w:val="single" w:sz="4" w:space="0" w:color="auto"/>
            </w:tcBorders>
            <w:hideMark/>
          </w:tcPr>
          <w:p w14:paraId="31F9E940" w14:textId="4EAB7432" w:rsidR="0013748B" w:rsidRDefault="003048AA">
            <w:pPr>
              <w:spacing w:after="0" w:line="240" w:lineRule="auto"/>
              <w:jc w:val="left"/>
              <w:textAlignment w:val="baseline"/>
              <w:rPr>
                <w:rFonts w:ascii="Arial" w:hAnsi="Arial" w:cs="Arial"/>
                <w:color w:val="000000" w:themeColor="text1"/>
                <w:sz w:val="16"/>
                <w:szCs w:val="16"/>
              </w:rPr>
            </w:pPr>
            <w:r w:rsidRPr="003048AA">
              <w:rPr>
                <w:rFonts w:ascii="Arial" w:hAnsi="Arial" w:cs="Arial"/>
                <w:color w:val="000000" w:themeColor="text1"/>
                <w:sz w:val="16"/>
                <w:szCs w:val="16"/>
              </w:rPr>
              <w:t>Leisure travellers in key international markets (High Yield Travellers (HYT), Premium/Luxury HYT, Working Holiday Maker HYT):</w:t>
            </w:r>
            <w:r w:rsidR="0013748B">
              <w:rPr>
                <w:rFonts w:ascii="Arial" w:hAnsi="Arial" w:cs="Arial"/>
                <w:color w:val="000000" w:themeColor="text1"/>
                <w:sz w:val="16"/>
                <w:szCs w:val="16"/>
              </w:rPr>
              <w:t> </w:t>
            </w:r>
          </w:p>
          <w:p w14:paraId="5B76169D" w14:textId="77777777" w:rsidR="0013748B" w:rsidRDefault="0013748B" w:rsidP="00091F80">
            <w:pPr>
              <w:numPr>
                <w:ilvl w:val="0"/>
                <w:numId w:val="41"/>
              </w:numPr>
              <w:spacing w:after="0" w:line="240" w:lineRule="auto"/>
              <w:ind w:left="171" w:hanging="171"/>
              <w:jc w:val="left"/>
              <w:textAlignment w:val="baseline"/>
              <w:rPr>
                <w:rFonts w:ascii="Arial" w:hAnsi="Arial" w:cs="Arial"/>
                <w:color w:val="000000" w:themeColor="text1"/>
                <w:sz w:val="16"/>
                <w:szCs w:val="16"/>
              </w:rPr>
            </w:pPr>
            <w:r>
              <w:rPr>
                <w:rFonts w:ascii="Arial" w:hAnsi="Arial" w:cs="Arial"/>
                <w:color w:val="000000" w:themeColor="text1"/>
                <w:sz w:val="16"/>
                <w:szCs w:val="16"/>
                <w:lang w:val="en-US"/>
              </w:rPr>
              <w:t xml:space="preserve">Consumer research to build knowledge about what motivates target audiences when choosing a travel </w:t>
            </w:r>
            <w:proofErr w:type="gramStart"/>
            <w:r>
              <w:rPr>
                <w:rFonts w:ascii="Arial" w:hAnsi="Arial" w:cs="Arial"/>
                <w:color w:val="000000" w:themeColor="text1"/>
                <w:sz w:val="16"/>
                <w:szCs w:val="16"/>
                <w:lang w:val="en-US"/>
              </w:rPr>
              <w:t>destination;</w:t>
            </w:r>
            <w:proofErr w:type="gramEnd"/>
            <w:r>
              <w:rPr>
                <w:rFonts w:ascii="Arial" w:hAnsi="Arial" w:cs="Arial"/>
                <w:color w:val="000000" w:themeColor="text1"/>
                <w:sz w:val="16"/>
                <w:szCs w:val="16"/>
              </w:rPr>
              <w:t> </w:t>
            </w:r>
          </w:p>
          <w:p w14:paraId="5C4E611F" w14:textId="612D73B4" w:rsidR="0013748B" w:rsidRDefault="0013748B" w:rsidP="00091F80">
            <w:pPr>
              <w:numPr>
                <w:ilvl w:val="0"/>
                <w:numId w:val="41"/>
              </w:numPr>
              <w:spacing w:after="0" w:line="240" w:lineRule="auto"/>
              <w:ind w:left="171" w:hanging="171"/>
              <w:jc w:val="left"/>
              <w:textAlignment w:val="baseline"/>
              <w:rPr>
                <w:rFonts w:ascii="Arial" w:hAnsi="Arial" w:cs="Arial"/>
                <w:color w:val="000000" w:themeColor="text1"/>
                <w:sz w:val="16"/>
                <w:szCs w:val="16"/>
              </w:rPr>
            </w:pPr>
            <w:r>
              <w:rPr>
                <w:rFonts w:ascii="Arial" w:hAnsi="Arial" w:cs="Arial"/>
                <w:color w:val="000000" w:themeColor="text1"/>
                <w:sz w:val="16"/>
                <w:szCs w:val="16"/>
                <w:lang w:val="en-US"/>
              </w:rPr>
              <w:t>Marketing activities to stimulate target audiences (brand advertising and promotions, broadcasts, public relations, international media hosting, content development and social media</w:t>
            </w:r>
            <w:proofErr w:type="gramStart"/>
            <w:r>
              <w:rPr>
                <w:rFonts w:ascii="Arial" w:hAnsi="Arial" w:cs="Arial"/>
                <w:color w:val="000000" w:themeColor="text1"/>
                <w:sz w:val="16"/>
                <w:szCs w:val="16"/>
                <w:lang w:val="en-US"/>
              </w:rPr>
              <w:t>);</w:t>
            </w:r>
            <w:proofErr w:type="gramEnd"/>
          </w:p>
          <w:p w14:paraId="45F0C52B" w14:textId="77777777" w:rsidR="0013748B" w:rsidRDefault="0013748B" w:rsidP="00091F80">
            <w:pPr>
              <w:numPr>
                <w:ilvl w:val="0"/>
                <w:numId w:val="41"/>
              </w:numPr>
              <w:spacing w:after="0" w:line="240" w:lineRule="auto"/>
              <w:ind w:left="171" w:hanging="171"/>
              <w:jc w:val="left"/>
              <w:textAlignment w:val="baseline"/>
              <w:rPr>
                <w:rFonts w:ascii="Arial" w:hAnsi="Arial" w:cs="Arial"/>
                <w:color w:val="000000" w:themeColor="text1"/>
                <w:sz w:val="16"/>
                <w:szCs w:val="16"/>
              </w:rPr>
            </w:pPr>
            <w:r>
              <w:rPr>
                <w:rFonts w:ascii="Arial" w:hAnsi="Arial" w:cs="Arial"/>
                <w:color w:val="000000" w:themeColor="text1"/>
                <w:sz w:val="16"/>
                <w:szCs w:val="16"/>
                <w:lang w:val="en-US"/>
              </w:rPr>
              <w:t>Campaigns, supported by state and territory tourism organisations and commercial partners; and</w:t>
            </w:r>
          </w:p>
          <w:p w14:paraId="40C8D378" w14:textId="77777777" w:rsidR="0013748B" w:rsidRDefault="0013748B" w:rsidP="00091F80">
            <w:pPr>
              <w:numPr>
                <w:ilvl w:val="0"/>
                <w:numId w:val="41"/>
              </w:numPr>
              <w:spacing w:after="120" w:line="240" w:lineRule="auto"/>
              <w:ind w:left="170" w:hanging="170"/>
              <w:jc w:val="left"/>
              <w:textAlignment w:val="baseline"/>
              <w:rPr>
                <w:rFonts w:ascii="Arial" w:hAnsi="Arial" w:cs="Arial"/>
                <w:color w:val="000000" w:themeColor="text1"/>
                <w:sz w:val="16"/>
                <w:szCs w:val="16"/>
              </w:rPr>
            </w:pPr>
            <w:r>
              <w:rPr>
                <w:rFonts w:ascii="Arial" w:hAnsi="Arial" w:cs="Arial"/>
                <w:color w:val="000000" w:themeColor="text1"/>
                <w:sz w:val="16"/>
                <w:szCs w:val="16"/>
                <w:lang w:val="en-US"/>
              </w:rPr>
              <w:t>Work in partnership with government and industry to align efforts and activities, increasing Australia’s collective share of voice to achieve efficiency and effectiveness.</w:t>
            </w:r>
            <w:r>
              <w:rPr>
                <w:rFonts w:ascii="Arial" w:hAnsi="Arial" w:cs="Arial"/>
                <w:color w:val="000000" w:themeColor="text1"/>
                <w:sz w:val="16"/>
                <w:szCs w:val="16"/>
              </w:rPr>
              <w:t> </w:t>
            </w:r>
          </w:p>
          <w:p w14:paraId="73657C0E" w14:textId="00701B31" w:rsidR="0013748B" w:rsidRDefault="0013748B" w:rsidP="00FD2BC4">
            <w:pPr>
              <w:spacing w:after="0" w:line="240" w:lineRule="auto"/>
              <w:jc w:val="left"/>
              <w:textAlignment w:val="baseline"/>
              <w:rPr>
                <w:rFonts w:ascii="Arial" w:hAnsi="Arial" w:cs="Arial"/>
                <w:color w:val="000000" w:themeColor="text1"/>
                <w:sz w:val="16"/>
                <w:szCs w:val="16"/>
              </w:rPr>
            </w:pPr>
            <w:r>
              <w:rPr>
                <w:rFonts w:ascii="Arial" w:hAnsi="Arial" w:cs="Arial"/>
                <w:color w:val="000000" w:themeColor="text1"/>
                <w:sz w:val="16"/>
                <w:szCs w:val="16"/>
              </w:rPr>
              <w:t xml:space="preserve">Business </w:t>
            </w:r>
            <w:r w:rsidR="00437DA8">
              <w:rPr>
                <w:rFonts w:ascii="Arial" w:hAnsi="Arial" w:cs="Arial"/>
                <w:color w:val="000000" w:themeColor="text1"/>
                <w:sz w:val="16"/>
                <w:szCs w:val="16"/>
              </w:rPr>
              <w:t>e</w:t>
            </w:r>
            <w:r>
              <w:rPr>
                <w:rFonts w:ascii="Arial" w:hAnsi="Arial" w:cs="Arial"/>
                <w:color w:val="000000" w:themeColor="text1"/>
                <w:sz w:val="16"/>
                <w:szCs w:val="16"/>
              </w:rPr>
              <w:t>vents decision-makers in key international markets: </w:t>
            </w:r>
          </w:p>
          <w:p w14:paraId="175520A5" w14:textId="77777777" w:rsidR="0013748B" w:rsidRDefault="0013748B" w:rsidP="00091F80">
            <w:pPr>
              <w:numPr>
                <w:ilvl w:val="0"/>
                <w:numId w:val="42"/>
              </w:numPr>
              <w:spacing w:after="0" w:line="240" w:lineRule="auto"/>
              <w:ind w:left="171" w:hanging="140"/>
              <w:jc w:val="left"/>
              <w:textAlignment w:val="baseline"/>
              <w:rPr>
                <w:rFonts w:ascii="Arial" w:hAnsi="Arial" w:cs="Arial"/>
                <w:color w:val="000000" w:themeColor="text1"/>
                <w:sz w:val="16"/>
                <w:szCs w:val="16"/>
              </w:rPr>
            </w:pPr>
            <w:r>
              <w:rPr>
                <w:rFonts w:ascii="Arial" w:hAnsi="Arial" w:cs="Arial"/>
                <w:color w:val="000000" w:themeColor="text1"/>
                <w:sz w:val="16"/>
                <w:szCs w:val="16"/>
                <w:lang w:val="en-US"/>
              </w:rPr>
              <w:t>Consumer research to build knowledge of the needs of incentive and association decision-makers when choosing destinations for corporate and association meetings; and </w:t>
            </w:r>
            <w:r>
              <w:rPr>
                <w:rFonts w:ascii="Arial" w:hAnsi="Arial" w:cs="Arial"/>
                <w:color w:val="000000" w:themeColor="text1"/>
                <w:sz w:val="16"/>
                <w:szCs w:val="16"/>
              </w:rPr>
              <w:t> </w:t>
            </w:r>
          </w:p>
          <w:p w14:paraId="37D221A6" w14:textId="03A8D69A" w:rsidR="0013748B" w:rsidRDefault="0013748B" w:rsidP="00091F80">
            <w:pPr>
              <w:numPr>
                <w:ilvl w:val="0"/>
                <w:numId w:val="42"/>
              </w:numPr>
              <w:spacing w:after="0" w:line="240" w:lineRule="auto"/>
              <w:ind w:left="171" w:hanging="140"/>
              <w:jc w:val="left"/>
              <w:textAlignment w:val="baseline"/>
              <w:rPr>
                <w:rFonts w:ascii="Arial" w:hAnsi="Arial" w:cs="Arial"/>
                <w:color w:val="000000"/>
                <w:sz w:val="16"/>
                <w:szCs w:val="16"/>
              </w:rPr>
            </w:pPr>
            <w:r>
              <w:rPr>
                <w:rFonts w:ascii="Arial" w:hAnsi="Arial" w:cs="Arial"/>
                <w:color w:val="000000" w:themeColor="text1"/>
                <w:sz w:val="16"/>
                <w:szCs w:val="16"/>
                <w:lang w:val="en-US"/>
              </w:rPr>
              <w:t>Marketing activities to promote Australia as a business events destination, including brand advertising, content and public relations, trade events</w:t>
            </w:r>
            <w:r w:rsidR="003048A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and</w:t>
            </w:r>
            <w:r w:rsidR="003048A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buyer and agent </w:t>
            </w:r>
            <w:proofErr w:type="spellStart"/>
            <w:r>
              <w:rPr>
                <w:rFonts w:ascii="Arial" w:hAnsi="Arial" w:cs="Arial"/>
                <w:color w:val="000000" w:themeColor="text1"/>
                <w:sz w:val="16"/>
                <w:szCs w:val="16"/>
                <w:lang w:val="en-US"/>
              </w:rPr>
              <w:t>familiarisations</w:t>
            </w:r>
            <w:proofErr w:type="spellEnd"/>
            <w:r>
              <w:rPr>
                <w:rFonts w:ascii="Arial" w:hAnsi="Arial" w:cs="Arial"/>
                <w:color w:val="000000" w:themeColor="text1"/>
                <w:sz w:val="16"/>
                <w:szCs w:val="16"/>
                <w:lang w:val="en-US"/>
              </w:rPr>
              <w:t>.</w:t>
            </w:r>
          </w:p>
        </w:tc>
      </w:tr>
      <w:tr w:rsidR="0013748B" w14:paraId="4357AD7F" w14:textId="77777777" w:rsidTr="004666E9">
        <w:trPr>
          <w:trHeight w:val="300"/>
        </w:trPr>
        <w:tc>
          <w:tcPr>
            <w:tcW w:w="1761" w:type="dxa"/>
            <w:tcBorders>
              <w:top w:val="double" w:sz="4" w:space="0" w:color="auto"/>
              <w:left w:val="single" w:sz="4" w:space="0" w:color="auto"/>
              <w:bottom w:val="single" w:sz="4" w:space="0" w:color="auto"/>
              <w:right w:val="single" w:sz="4" w:space="0" w:color="auto"/>
            </w:tcBorders>
            <w:hideMark/>
          </w:tcPr>
          <w:p w14:paraId="1EBA75AF" w14:textId="77777777" w:rsidR="0013748B" w:rsidRDefault="0013748B">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201" w:type="dxa"/>
            <w:tcBorders>
              <w:top w:val="double" w:sz="4" w:space="0" w:color="auto"/>
              <w:left w:val="single" w:sz="4" w:space="0" w:color="auto"/>
              <w:bottom w:val="single" w:sz="4" w:space="0" w:color="auto"/>
              <w:right w:val="single" w:sz="4" w:space="0" w:color="auto"/>
            </w:tcBorders>
            <w:hideMark/>
          </w:tcPr>
          <w:p w14:paraId="724185CD" w14:textId="5893E74B" w:rsidR="0013748B" w:rsidRDefault="004666E9">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Performance measures </w:t>
            </w:r>
          </w:p>
        </w:tc>
        <w:tc>
          <w:tcPr>
            <w:tcW w:w="2654" w:type="dxa"/>
            <w:tcBorders>
              <w:top w:val="double" w:sz="4" w:space="0" w:color="auto"/>
              <w:left w:val="single" w:sz="4" w:space="0" w:color="auto"/>
              <w:bottom w:val="single" w:sz="4" w:space="0" w:color="auto"/>
              <w:right w:val="single" w:sz="4" w:space="0" w:color="auto"/>
            </w:tcBorders>
            <w:hideMark/>
          </w:tcPr>
          <w:p w14:paraId="56B6F166" w14:textId="2B4059F4" w:rsidR="0013748B" w:rsidRDefault="004666E9">
            <w:pPr>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4666E9" w14:paraId="26F9252A" w14:textId="77777777" w:rsidTr="008D6724">
        <w:trPr>
          <w:trHeight w:val="1649"/>
        </w:trPr>
        <w:tc>
          <w:tcPr>
            <w:tcW w:w="1761" w:type="dxa"/>
            <w:tcBorders>
              <w:top w:val="single" w:sz="4" w:space="0" w:color="auto"/>
              <w:left w:val="single" w:sz="4" w:space="0" w:color="auto"/>
              <w:bottom w:val="single" w:sz="4" w:space="0" w:color="auto"/>
              <w:right w:val="single" w:sz="4" w:space="0" w:color="auto"/>
            </w:tcBorders>
            <w:hideMark/>
          </w:tcPr>
          <w:p w14:paraId="5A41EC9A" w14:textId="2306C441" w:rsidR="0082415E" w:rsidRDefault="004666E9" w:rsidP="004666E9">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Current year </w:t>
            </w:r>
          </w:p>
          <w:p w14:paraId="15A7BA01" w14:textId="2F7FF0B4" w:rsidR="004666E9" w:rsidRDefault="004666E9" w:rsidP="004666E9">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3201" w:type="dxa"/>
            <w:tcBorders>
              <w:top w:val="single" w:sz="4" w:space="0" w:color="auto"/>
              <w:left w:val="single" w:sz="4" w:space="0" w:color="auto"/>
              <w:bottom w:val="single" w:sz="4" w:space="0" w:color="auto"/>
              <w:right w:val="single" w:sz="4" w:space="0" w:color="auto"/>
            </w:tcBorders>
            <w:hideMark/>
          </w:tcPr>
          <w:p w14:paraId="7BA2D34A" w14:textId="7EA4C1BD" w:rsidR="004666E9" w:rsidRPr="0082415E" w:rsidRDefault="004666E9" w:rsidP="004666E9">
            <w:pPr>
              <w:spacing w:after="0" w:line="240" w:lineRule="auto"/>
              <w:jc w:val="left"/>
              <w:textAlignment w:val="baseline"/>
              <w:rPr>
                <w:rFonts w:ascii="Arial" w:hAnsi="Arial" w:cs="Arial"/>
                <w:color w:val="000000" w:themeColor="text1"/>
                <w:sz w:val="16"/>
                <w:szCs w:val="16"/>
                <w:u w:val="single"/>
              </w:rPr>
            </w:pPr>
            <w:r w:rsidRPr="0082415E">
              <w:rPr>
                <w:rFonts w:ascii="Arial" w:hAnsi="Arial" w:cs="Arial"/>
                <w:i/>
                <w:iCs/>
                <w:color w:val="000000" w:themeColor="text1"/>
                <w:sz w:val="16"/>
                <w:szCs w:val="16"/>
                <w:u w:val="single"/>
              </w:rPr>
              <w:t xml:space="preserve">Key </w:t>
            </w:r>
            <w:r w:rsidR="0082415E" w:rsidRPr="0082415E">
              <w:rPr>
                <w:rFonts w:ascii="Arial" w:hAnsi="Arial" w:cs="Arial"/>
                <w:i/>
                <w:iCs/>
                <w:color w:val="000000" w:themeColor="text1"/>
                <w:sz w:val="16"/>
                <w:szCs w:val="16"/>
                <w:u w:val="single"/>
              </w:rPr>
              <w:t>m</w:t>
            </w:r>
            <w:r w:rsidRPr="0082415E">
              <w:rPr>
                <w:rFonts w:ascii="Arial" w:hAnsi="Arial" w:cs="Arial"/>
                <w:i/>
                <w:iCs/>
                <w:color w:val="000000" w:themeColor="text1"/>
                <w:sz w:val="16"/>
                <w:szCs w:val="16"/>
                <w:u w:val="single"/>
              </w:rPr>
              <w:t>etric</w:t>
            </w:r>
            <w:r w:rsidRPr="0082415E">
              <w:rPr>
                <w:rFonts w:ascii="Arial" w:hAnsi="Arial" w:cs="Arial"/>
                <w:color w:val="000000" w:themeColor="text1"/>
                <w:sz w:val="16"/>
                <w:szCs w:val="16"/>
              </w:rPr>
              <w:t> </w:t>
            </w:r>
          </w:p>
          <w:p w14:paraId="3090B060" w14:textId="77777777" w:rsidR="004666E9" w:rsidRPr="00FB0AD3" w:rsidRDefault="004666E9" w:rsidP="004666E9">
            <w:pPr>
              <w:spacing w:after="0" w:line="240" w:lineRule="auto"/>
              <w:jc w:val="left"/>
              <w:textAlignment w:val="baseline"/>
              <w:rPr>
                <w:rFonts w:ascii="Arial" w:hAnsi="Arial" w:cs="Arial"/>
                <w:i/>
                <w:iCs/>
                <w:color w:val="000000" w:themeColor="text1"/>
                <w:sz w:val="16"/>
                <w:szCs w:val="16"/>
              </w:rPr>
            </w:pPr>
            <w:r w:rsidRPr="00FB0AD3">
              <w:rPr>
                <w:rFonts w:ascii="Arial" w:hAnsi="Arial" w:cs="Arial"/>
                <w:i/>
                <w:iCs/>
                <w:color w:val="000000" w:themeColor="text1"/>
                <w:sz w:val="16"/>
                <w:szCs w:val="16"/>
              </w:rPr>
              <w:t>Total tourism expenditure</w:t>
            </w:r>
          </w:p>
          <w:p w14:paraId="39CB1B55" w14:textId="77777777" w:rsidR="004666E9" w:rsidRPr="00FB0AD3" w:rsidRDefault="004666E9" w:rsidP="004666E9">
            <w:pPr>
              <w:spacing w:after="0" w:line="240" w:lineRule="auto"/>
              <w:jc w:val="left"/>
              <w:textAlignment w:val="baseline"/>
              <w:rPr>
                <w:rFonts w:ascii="Arial" w:hAnsi="Arial" w:cs="Arial"/>
                <w:i/>
                <w:iCs/>
                <w:color w:val="000000" w:themeColor="text1"/>
                <w:sz w:val="16"/>
                <w:szCs w:val="16"/>
              </w:rPr>
            </w:pPr>
            <w:r w:rsidRPr="00FB0AD3">
              <w:rPr>
                <w:rFonts w:ascii="Arial" w:hAnsi="Arial" w:cs="Arial"/>
                <w:i/>
                <w:iCs/>
                <w:color w:val="000000" w:themeColor="text1"/>
                <w:sz w:val="16"/>
                <w:szCs w:val="16"/>
              </w:rPr>
              <w:t>International tourism expenditure</w:t>
            </w:r>
          </w:p>
          <w:p w14:paraId="3FE45828" w14:textId="77777777" w:rsidR="004666E9" w:rsidRPr="00FB0AD3" w:rsidRDefault="004666E9" w:rsidP="004666E9">
            <w:pPr>
              <w:spacing w:after="0" w:line="240" w:lineRule="auto"/>
              <w:jc w:val="left"/>
              <w:textAlignment w:val="baseline"/>
              <w:rPr>
                <w:rFonts w:ascii="Arial" w:hAnsi="Arial" w:cs="Arial"/>
                <w:i/>
                <w:iCs/>
                <w:color w:val="000000" w:themeColor="text1"/>
                <w:sz w:val="16"/>
                <w:szCs w:val="16"/>
              </w:rPr>
            </w:pPr>
            <w:r w:rsidRPr="00FB0AD3">
              <w:rPr>
                <w:rFonts w:ascii="Arial" w:hAnsi="Arial" w:cs="Arial"/>
                <w:i/>
                <w:iCs/>
                <w:color w:val="000000" w:themeColor="text1"/>
                <w:sz w:val="16"/>
                <w:szCs w:val="16"/>
              </w:rPr>
              <w:t>International leisure expenditure</w:t>
            </w:r>
          </w:p>
          <w:p w14:paraId="3616CCED" w14:textId="0A77DE2C" w:rsidR="004666E9" w:rsidRPr="00FB0AD3" w:rsidRDefault="004666E9" w:rsidP="004666E9">
            <w:pPr>
              <w:spacing w:after="0" w:line="240" w:lineRule="auto"/>
              <w:jc w:val="left"/>
              <w:textAlignment w:val="baseline"/>
              <w:rPr>
                <w:rFonts w:ascii="Arial" w:hAnsi="Arial" w:cs="Arial"/>
                <w:i/>
                <w:iCs/>
                <w:color w:val="000000" w:themeColor="text1"/>
                <w:sz w:val="16"/>
                <w:szCs w:val="16"/>
              </w:rPr>
            </w:pPr>
            <w:r w:rsidRPr="00FB0AD3">
              <w:rPr>
                <w:rFonts w:ascii="Arial" w:hAnsi="Arial" w:cs="Arial"/>
                <w:i/>
                <w:iCs/>
                <w:color w:val="000000" w:themeColor="text1"/>
                <w:sz w:val="16"/>
                <w:szCs w:val="16"/>
              </w:rPr>
              <w:t xml:space="preserve">Business </w:t>
            </w:r>
            <w:r w:rsidR="00437DA8">
              <w:rPr>
                <w:rFonts w:ascii="Arial" w:hAnsi="Arial" w:cs="Arial"/>
                <w:i/>
                <w:iCs/>
                <w:color w:val="000000" w:themeColor="text1"/>
                <w:sz w:val="16"/>
                <w:szCs w:val="16"/>
              </w:rPr>
              <w:t>e</w:t>
            </w:r>
            <w:r w:rsidRPr="00FB0AD3">
              <w:rPr>
                <w:rFonts w:ascii="Arial" w:hAnsi="Arial" w:cs="Arial"/>
                <w:i/>
                <w:iCs/>
                <w:color w:val="000000" w:themeColor="text1"/>
                <w:sz w:val="16"/>
                <w:szCs w:val="16"/>
              </w:rPr>
              <w:t>vents expenditure</w:t>
            </w:r>
          </w:p>
          <w:p w14:paraId="23C06422" w14:textId="77777777" w:rsidR="004666E9" w:rsidRPr="00FB0AD3" w:rsidRDefault="004666E9" w:rsidP="004666E9">
            <w:pPr>
              <w:spacing w:after="0" w:line="240" w:lineRule="auto"/>
              <w:jc w:val="left"/>
              <w:textAlignment w:val="baseline"/>
              <w:rPr>
                <w:rFonts w:ascii="Arial" w:hAnsi="Arial" w:cs="Arial"/>
                <w:i/>
                <w:iCs/>
                <w:color w:val="000000" w:themeColor="text1"/>
                <w:sz w:val="16"/>
                <w:szCs w:val="16"/>
              </w:rPr>
            </w:pPr>
            <w:r w:rsidRPr="00FB0AD3">
              <w:rPr>
                <w:rFonts w:ascii="Arial" w:hAnsi="Arial" w:cs="Arial"/>
                <w:i/>
                <w:iCs/>
                <w:color w:val="000000" w:themeColor="text1"/>
                <w:sz w:val="16"/>
                <w:szCs w:val="16"/>
              </w:rPr>
              <w:t>Destination brand – awareness</w:t>
            </w:r>
          </w:p>
          <w:p w14:paraId="26CE437F" w14:textId="77777777" w:rsidR="004666E9" w:rsidRPr="00FB0AD3" w:rsidRDefault="004666E9" w:rsidP="004666E9">
            <w:pPr>
              <w:spacing w:after="0" w:line="240" w:lineRule="auto"/>
              <w:jc w:val="left"/>
              <w:textAlignment w:val="baseline"/>
              <w:rPr>
                <w:rFonts w:ascii="Arial" w:hAnsi="Arial" w:cs="Arial"/>
                <w:i/>
                <w:iCs/>
                <w:color w:val="000000" w:themeColor="text1"/>
                <w:sz w:val="16"/>
                <w:szCs w:val="16"/>
              </w:rPr>
            </w:pPr>
            <w:r w:rsidRPr="00FB0AD3">
              <w:rPr>
                <w:rFonts w:ascii="Arial" w:hAnsi="Arial" w:cs="Arial"/>
                <w:i/>
                <w:iCs/>
                <w:color w:val="000000" w:themeColor="text1"/>
                <w:sz w:val="16"/>
                <w:szCs w:val="16"/>
              </w:rPr>
              <w:t>Destination brand – consideration</w:t>
            </w:r>
          </w:p>
          <w:p w14:paraId="1FB19CA0" w14:textId="52001C21" w:rsidR="004666E9" w:rsidRDefault="004666E9" w:rsidP="004666E9">
            <w:pPr>
              <w:tabs>
                <w:tab w:val="left" w:pos="709"/>
              </w:tabs>
              <w:spacing w:after="0" w:line="240" w:lineRule="auto"/>
              <w:jc w:val="left"/>
              <w:rPr>
                <w:rFonts w:ascii="Arial" w:hAnsi="Arial" w:cs="Arial"/>
                <w:i/>
                <w:color w:val="FF0000"/>
                <w:sz w:val="16"/>
                <w:szCs w:val="16"/>
              </w:rPr>
            </w:pPr>
            <w:r w:rsidRPr="00FB0AD3">
              <w:rPr>
                <w:rFonts w:ascii="Arial" w:hAnsi="Arial" w:cs="Arial"/>
                <w:i/>
                <w:iCs/>
                <w:color w:val="000000" w:themeColor="text1"/>
                <w:sz w:val="16"/>
                <w:szCs w:val="16"/>
              </w:rPr>
              <w:t>Destination brand – intention</w:t>
            </w:r>
          </w:p>
        </w:tc>
        <w:tc>
          <w:tcPr>
            <w:tcW w:w="2654" w:type="dxa"/>
            <w:tcBorders>
              <w:top w:val="single" w:sz="4" w:space="0" w:color="auto"/>
              <w:left w:val="single" w:sz="4" w:space="0" w:color="auto"/>
              <w:bottom w:val="single" w:sz="4" w:space="0" w:color="auto"/>
            </w:tcBorders>
          </w:tcPr>
          <w:p w14:paraId="6943F248" w14:textId="77777777" w:rsidR="004666E9" w:rsidRPr="0082415E" w:rsidRDefault="004666E9" w:rsidP="004666E9">
            <w:pPr>
              <w:spacing w:after="0" w:line="240" w:lineRule="auto"/>
              <w:jc w:val="left"/>
              <w:textAlignment w:val="baseline"/>
              <w:rPr>
                <w:rFonts w:ascii="Arial" w:hAnsi="Arial" w:cs="Arial"/>
                <w:i/>
                <w:iCs/>
                <w:color w:val="000000" w:themeColor="text1"/>
                <w:sz w:val="16"/>
                <w:szCs w:val="16"/>
                <w:u w:val="single"/>
              </w:rPr>
            </w:pPr>
            <w:r w:rsidRPr="0082415E">
              <w:rPr>
                <w:rFonts w:ascii="Arial" w:hAnsi="Arial" w:cs="Arial"/>
                <w:i/>
                <w:iCs/>
                <w:color w:val="000000" w:themeColor="text1"/>
                <w:sz w:val="16"/>
                <w:szCs w:val="16"/>
                <w:u w:val="single"/>
              </w:rPr>
              <w:t>Estimated performance</w:t>
            </w:r>
          </w:p>
          <w:p w14:paraId="6EB29B41" w14:textId="77777777" w:rsidR="004666E9" w:rsidRPr="00FB0AD3" w:rsidRDefault="004666E9" w:rsidP="004666E9">
            <w:pPr>
              <w:spacing w:after="0" w:line="240" w:lineRule="auto"/>
              <w:jc w:val="left"/>
              <w:textAlignment w:val="baseline"/>
              <w:rPr>
                <w:rFonts w:ascii="Arial" w:hAnsi="Arial" w:cs="Arial"/>
                <w:sz w:val="16"/>
                <w:szCs w:val="16"/>
              </w:rPr>
            </w:pPr>
            <w:r w:rsidRPr="00FB0AD3">
              <w:rPr>
                <w:rFonts w:ascii="Arial" w:hAnsi="Arial" w:cs="Arial"/>
                <w:color w:val="000000" w:themeColor="text1"/>
                <w:sz w:val="16"/>
                <w:szCs w:val="16"/>
              </w:rPr>
              <w:t xml:space="preserve">$64.6b </w:t>
            </w:r>
            <w:r w:rsidRPr="00FB0AD3">
              <w:rPr>
                <w:rFonts w:ascii="Arial" w:hAnsi="Arial" w:cs="Arial"/>
                <w:i/>
                <w:iCs/>
                <w:color w:val="000000" w:themeColor="text1"/>
                <w:sz w:val="16"/>
                <w:szCs w:val="16"/>
              </w:rPr>
              <w:t>–</w:t>
            </w:r>
            <w:r w:rsidRPr="00FB0AD3">
              <w:rPr>
                <w:rFonts w:ascii="Arial" w:hAnsi="Arial" w:cs="Arial"/>
                <w:color w:val="000000" w:themeColor="text1"/>
                <w:sz w:val="16"/>
                <w:szCs w:val="16"/>
              </w:rPr>
              <w:t xml:space="preserve"> </w:t>
            </w:r>
            <w:r w:rsidRPr="00FB0AD3">
              <w:rPr>
                <w:rFonts w:ascii="Arial" w:hAnsi="Arial" w:cs="Arial"/>
                <w:sz w:val="16"/>
                <w:szCs w:val="16"/>
              </w:rPr>
              <w:t>Partially on track</w:t>
            </w:r>
          </w:p>
          <w:p w14:paraId="54FB0A6B" w14:textId="77777777" w:rsidR="004666E9" w:rsidRPr="00FB0AD3" w:rsidRDefault="004666E9" w:rsidP="004666E9">
            <w:pPr>
              <w:spacing w:after="0" w:line="240" w:lineRule="auto"/>
              <w:jc w:val="left"/>
              <w:textAlignment w:val="baseline"/>
              <w:rPr>
                <w:rFonts w:ascii="Arial" w:hAnsi="Arial" w:cs="Arial"/>
                <w:sz w:val="16"/>
                <w:szCs w:val="16"/>
              </w:rPr>
            </w:pPr>
            <w:r w:rsidRPr="00FB0AD3">
              <w:rPr>
                <w:rFonts w:ascii="Arial" w:hAnsi="Arial" w:cs="Arial"/>
                <w:color w:val="000000" w:themeColor="text1"/>
                <w:sz w:val="16"/>
                <w:szCs w:val="16"/>
              </w:rPr>
              <w:t xml:space="preserve">$3.5b </w:t>
            </w:r>
            <w:r w:rsidRPr="00FB0AD3">
              <w:rPr>
                <w:rFonts w:ascii="Arial" w:hAnsi="Arial" w:cs="Arial"/>
                <w:i/>
                <w:iCs/>
                <w:color w:val="000000" w:themeColor="text1"/>
                <w:sz w:val="16"/>
                <w:szCs w:val="16"/>
              </w:rPr>
              <w:t>–</w:t>
            </w:r>
            <w:r w:rsidRPr="00FB0AD3">
              <w:rPr>
                <w:rFonts w:ascii="Arial" w:hAnsi="Arial" w:cs="Arial"/>
                <w:color w:val="000000" w:themeColor="text1"/>
                <w:sz w:val="16"/>
                <w:szCs w:val="16"/>
              </w:rPr>
              <w:t xml:space="preserve"> Partially on track</w:t>
            </w:r>
          </w:p>
          <w:p w14:paraId="3DCB83D0" w14:textId="77777777" w:rsidR="004666E9" w:rsidRPr="00FB0AD3" w:rsidRDefault="004666E9" w:rsidP="004666E9">
            <w:pPr>
              <w:spacing w:after="0" w:line="240" w:lineRule="auto"/>
              <w:jc w:val="left"/>
              <w:textAlignment w:val="baseline"/>
              <w:rPr>
                <w:rFonts w:ascii="Arial" w:hAnsi="Arial" w:cs="Arial"/>
                <w:color w:val="000000" w:themeColor="text1"/>
                <w:sz w:val="16"/>
                <w:szCs w:val="16"/>
              </w:rPr>
            </w:pPr>
            <w:r w:rsidRPr="00FB0AD3">
              <w:rPr>
                <w:rFonts w:ascii="Arial" w:hAnsi="Arial" w:cs="Arial"/>
                <w:color w:val="000000" w:themeColor="text1"/>
                <w:sz w:val="16"/>
                <w:szCs w:val="16"/>
              </w:rPr>
              <w:t xml:space="preserve">$1.8b </w:t>
            </w:r>
            <w:r w:rsidRPr="00FB0AD3">
              <w:rPr>
                <w:rFonts w:ascii="Arial" w:hAnsi="Arial" w:cs="Arial"/>
                <w:i/>
                <w:iCs/>
                <w:color w:val="000000" w:themeColor="text1"/>
                <w:sz w:val="16"/>
                <w:szCs w:val="16"/>
              </w:rPr>
              <w:t>–</w:t>
            </w:r>
            <w:r w:rsidRPr="00FB0AD3">
              <w:rPr>
                <w:rFonts w:ascii="Arial" w:hAnsi="Arial" w:cs="Arial"/>
                <w:color w:val="000000" w:themeColor="text1"/>
                <w:sz w:val="16"/>
                <w:szCs w:val="16"/>
              </w:rPr>
              <w:t xml:space="preserve"> Partially on track</w:t>
            </w:r>
          </w:p>
          <w:p w14:paraId="438C8D57" w14:textId="77777777" w:rsidR="004666E9" w:rsidRPr="00FB0AD3" w:rsidRDefault="004666E9" w:rsidP="004666E9">
            <w:pPr>
              <w:spacing w:after="0" w:line="240" w:lineRule="auto"/>
              <w:jc w:val="left"/>
              <w:textAlignment w:val="baseline"/>
              <w:rPr>
                <w:rFonts w:ascii="Arial" w:hAnsi="Arial" w:cs="Arial"/>
                <w:color w:val="000000" w:themeColor="text1"/>
                <w:sz w:val="16"/>
                <w:szCs w:val="16"/>
              </w:rPr>
            </w:pPr>
            <w:r w:rsidRPr="00FB0AD3">
              <w:rPr>
                <w:rFonts w:ascii="Arial" w:hAnsi="Arial" w:cs="Arial"/>
                <w:color w:val="000000" w:themeColor="text1"/>
                <w:sz w:val="16"/>
                <w:szCs w:val="16"/>
              </w:rPr>
              <w:t xml:space="preserve">$0.2b </w:t>
            </w:r>
            <w:r w:rsidRPr="00FB0AD3">
              <w:rPr>
                <w:rFonts w:ascii="Arial" w:hAnsi="Arial" w:cs="Arial"/>
                <w:i/>
                <w:iCs/>
                <w:color w:val="000000" w:themeColor="text1"/>
                <w:sz w:val="16"/>
                <w:szCs w:val="16"/>
              </w:rPr>
              <w:t>–</w:t>
            </w:r>
            <w:r w:rsidRPr="00FB0AD3">
              <w:rPr>
                <w:rFonts w:ascii="Arial" w:hAnsi="Arial" w:cs="Arial"/>
                <w:color w:val="000000" w:themeColor="text1"/>
                <w:sz w:val="16"/>
                <w:szCs w:val="16"/>
              </w:rPr>
              <w:t xml:space="preserve"> Partially on track</w:t>
            </w:r>
          </w:p>
          <w:p w14:paraId="02172717" w14:textId="77777777" w:rsidR="004666E9" w:rsidRPr="00FB0AD3" w:rsidRDefault="004666E9" w:rsidP="004666E9">
            <w:pPr>
              <w:spacing w:after="0" w:line="240" w:lineRule="auto"/>
              <w:jc w:val="left"/>
              <w:textAlignment w:val="baseline"/>
              <w:rPr>
                <w:rFonts w:ascii="Arial" w:hAnsi="Arial" w:cs="Arial"/>
                <w:color w:val="000000" w:themeColor="text1"/>
                <w:sz w:val="16"/>
                <w:szCs w:val="16"/>
              </w:rPr>
            </w:pPr>
            <w:r w:rsidRPr="00FB0AD3">
              <w:rPr>
                <w:rFonts w:ascii="Arial" w:hAnsi="Arial" w:cs="Arial"/>
                <w:color w:val="000000" w:themeColor="text1"/>
                <w:sz w:val="16"/>
                <w:szCs w:val="16"/>
              </w:rPr>
              <w:t xml:space="preserve">40 per cent </w:t>
            </w:r>
            <w:r w:rsidRPr="00FB0AD3">
              <w:rPr>
                <w:rFonts w:ascii="Arial" w:hAnsi="Arial" w:cs="Arial"/>
                <w:i/>
                <w:iCs/>
                <w:color w:val="000000" w:themeColor="text1"/>
                <w:sz w:val="16"/>
                <w:szCs w:val="16"/>
              </w:rPr>
              <w:t>–</w:t>
            </w:r>
            <w:r w:rsidRPr="00FB0AD3">
              <w:rPr>
                <w:rFonts w:ascii="Arial" w:hAnsi="Arial" w:cs="Arial"/>
                <w:color w:val="000000" w:themeColor="text1"/>
                <w:sz w:val="16"/>
                <w:szCs w:val="16"/>
              </w:rPr>
              <w:t xml:space="preserve"> Achieved</w:t>
            </w:r>
          </w:p>
          <w:p w14:paraId="4D4340B9" w14:textId="77777777" w:rsidR="004666E9" w:rsidRPr="00FB0AD3" w:rsidRDefault="004666E9" w:rsidP="004666E9">
            <w:pPr>
              <w:spacing w:after="0" w:line="240" w:lineRule="auto"/>
              <w:jc w:val="left"/>
              <w:textAlignment w:val="baseline"/>
              <w:rPr>
                <w:rFonts w:ascii="Arial" w:hAnsi="Arial" w:cs="Arial"/>
                <w:color w:val="000000" w:themeColor="text1"/>
                <w:sz w:val="16"/>
                <w:szCs w:val="16"/>
              </w:rPr>
            </w:pPr>
            <w:r w:rsidRPr="00FB0AD3">
              <w:rPr>
                <w:rFonts w:ascii="Arial" w:hAnsi="Arial" w:cs="Arial"/>
                <w:color w:val="000000" w:themeColor="text1"/>
                <w:sz w:val="16"/>
                <w:szCs w:val="16"/>
              </w:rPr>
              <w:t xml:space="preserve">35 per cent </w:t>
            </w:r>
            <w:r w:rsidRPr="00FB0AD3">
              <w:rPr>
                <w:rFonts w:ascii="Arial" w:hAnsi="Arial" w:cs="Arial"/>
                <w:i/>
                <w:iCs/>
                <w:color w:val="000000" w:themeColor="text1"/>
                <w:sz w:val="16"/>
                <w:szCs w:val="16"/>
              </w:rPr>
              <w:t>–</w:t>
            </w:r>
            <w:r w:rsidRPr="00FB0AD3">
              <w:rPr>
                <w:rFonts w:ascii="Arial" w:hAnsi="Arial" w:cs="Arial"/>
                <w:color w:val="000000" w:themeColor="text1"/>
                <w:sz w:val="16"/>
                <w:szCs w:val="16"/>
              </w:rPr>
              <w:t xml:space="preserve"> On track</w:t>
            </w:r>
          </w:p>
          <w:p w14:paraId="12C1918A" w14:textId="2816C8DC" w:rsidR="004666E9" w:rsidRDefault="004666E9" w:rsidP="004666E9">
            <w:pPr>
              <w:tabs>
                <w:tab w:val="left" w:pos="709"/>
              </w:tabs>
              <w:spacing w:after="0" w:line="240" w:lineRule="auto"/>
              <w:jc w:val="left"/>
              <w:rPr>
                <w:rFonts w:ascii="Arial" w:hAnsi="Arial" w:cs="Arial"/>
                <w:color w:val="FF0000"/>
                <w:sz w:val="16"/>
                <w:szCs w:val="16"/>
              </w:rPr>
            </w:pPr>
            <w:r w:rsidRPr="00FB0AD3">
              <w:rPr>
                <w:rFonts w:ascii="Arial" w:hAnsi="Arial" w:cs="Arial"/>
                <w:color w:val="000000" w:themeColor="text1"/>
                <w:sz w:val="16"/>
                <w:szCs w:val="16"/>
              </w:rPr>
              <w:t xml:space="preserve">21 per cent </w:t>
            </w:r>
            <w:r w:rsidRPr="00FB0AD3">
              <w:rPr>
                <w:rFonts w:ascii="Arial" w:hAnsi="Arial" w:cs="Arial"/>
                <w:i/>
                <w:iCs/>
                <w:color w:val="000000" w:themeColor="text1"/>
                <w:sz w:val="16"/>
                <w:szCs w:val="16"/>
              </w:rPr>
              <w:t>–</w:t>
            </w:r>
            <w:r w:rsidRPr="00FB0AD3">
              <w:rPr>
                <w:rFonts w:ascii="Arial" w:hAnsi="Arial" w:cs="Arial"/>
                <w:color w:val="000000" w:themeColor="text1"/>
                <w:sz w:val="16"/>
                <w:szCs w:val="16"/>
              </w:rPr>
              <w:t xml:space="preserve"> Achieved</w:t>
            </w:r>
          </w:p>
        </w:tc>
      </w:tr>
    </w:tbl>
    <w:p w14:paraId="26A78FF7" w14:textId="749BBE03" w:rsidR="004666E9" w:rsidRDefault="004666E9" w:rsidP="004666E9">
      <w:pPr>
        <w:pStyle w:val="Source"/>
        <w:rPr>
          <w:rFonts w:cs="Arial"/>
          <w:szCs w:val="16"/>
        </w:rPr>
      </w:pPr>
      <w:r w:rsidRPr="004666E9">
        <w:rPr>
          <w:rFonts w:cs="Arial"/>
          <w:szCs w:val="16"/>
        </w:rPr>
        <w:t xml:space="preserve">Table </w:t>
      </w:r>
      <w:proofErr w:type="gramStart"/>
      <w:r w:rsidRPr="004666E9">
        <w:rPr>
          <w:rFonts w:cs="Arial"/>
          <w:szCs w:val="16"/>
        </w:rPr>
        <w:t>continued on</w:t>
      </w:r>
      <w:proofErr w:type="gramEnd"/>
      <w:r w:rsidRPr="004666E9">
        <w:rPr>
          <w:rFonts w:cs="Arial"/>
          <w:szCs w:val="16"/>
        </w:rPr>
        <w:t xml:space="preserve"> the next page. </w:t>
      </w:r>
    </w:p>
    <w:p w14:paraId="15D56F41" w14:textId="4C27F464" w:rsidR="004666E9" w:rsidRDefault="004666E9">
      <w:pPr>
        <w:spacing w:after="0" w:line="240" w:lineRule="auto"/>
        <w:jc w:val="left"/>
        <w:rPr>
          <w:rFonts w:ascii="Arial" w:hAnsi="Arial" w:cs="Arial"/>
          <w:sz w:val="16"/>
          <w:szCs w:val="16"/>
        </w:rPr>
      </w:pPr>
      <w:r>
        <w:rPr>
          <w:rFonts w:cs="Arial"/>
          <w:szCs w:val="16"/>
        </w:rPr>
        <w:br w:type="page"/>
      </w:r>
    </w:p>
    <w:p w14:paraId="1B865CF7" w14:textId="50BE7530" w:rsidR="004666E9" w:rsidRDefault="004666E9" w:rsidP="004666E9">
      <w:pPr>
        <w:pStyle w:val="TableHeading"/>
        <w:rPr>
          <w:lang w:val="en-AU"/>
        </w:rPr>
      </w:pPr>
      <w:r w:rsidRPr="004666E9">
        <w:t>Table 2.</w:t>
      </w:r>
      <w:r w:rsidRPr="004666E9">
        <w:rPr>
          <w:lang w:val="en-AU"/>
        </w:rPr>
        <w:t>1</w:t>
      </w:r>
      <w:r w:rsidRPr="004666E9">
        <w:t xml:space="preserve">.3: Performance </w:t>
      </w:r>
      <w:r w:rsidRPr="004666E9">
        <w:rPr>
          <w:lang w:val="en-AU"/>
        </w:rPr>
        <w:t>measure</w:t>
      </w:r>
      <w:r w:rsidRPr="004666E9">
        <w:t xml:space="preserve"> for Outcome </w:t>
      </w:r>
      <w:r w:rsidRPr="004666E9">
        <w:rPr>
          <w:lang w:val="en-AU"/>
        </w:rPr>
        <w:t>1</w:t>
      </w:r>
      <w:r>
        <w:rPr>
          <w:lang w:val="en-AU"/>
        </w:rPr>
        <w:t xml:space="preserve"> (continued)</w:t>
      </w:r>
    </w:p>
    <w:tbl>
      <w:tblPr>
        <w:tblW w:w="7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201"/>
        <w:gridCol w:w="2654"/>
      </w:tblGrid>
      <w:tr w:rsidR="004666E9" w14:paraId="78E937AE" w14:textId="77777777" w:rsidTr="00464EAA">
        <w:trPr>
          <w:trHeight w:val="680"/>
          <w:tblHeader/>
        </w:trPr>
        <w:tc>
          <w:tcPr>
            <w:tcW w:w="761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476D88B" w14:textId="77777777" w:rsidR="004666E9" w:rsidRDefault="004666E9" w:rsidP="004666E9">
            <w:pPr>
              <w:tabs>
                <w:tab w:val="left" w:pos="709"/>
              </w:tabs>
              <w:spacing w:after="0"/>
              <w:jc w:val="left"/>
              <w:rPr>
                <w:rFonts w:ascii="Arial" w:hAnsi="Arial" w:cs="Arial"/>
                <w:b/>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 Supporting Outcome 1</w:t>
            </w:r>
          </w:p>
          <w:p w14:paraId="4E5E1A0C" w14:textId="1CFA6145" w:rsidR="004666E9" w:rsidRDefault="004666E9" w:rsidP="004666E9">
            <w:pPr>
              <w:tabs>
                <w:tab w:val="left" w:pos="709"/>
              </w:tabs>
              <w:spacing w:after="0"/>
              <w:jc w:val="left"/>
              <w:rPr>
                <w:b/>
                <w:bCs/>
                <w:color w:val="000000"/>
                <w:sz w:val="22"/>
                <w:szCs w:val="22"/>
              </w:rPr>
            </w:pPr>
            <w:r w:rsidRPr="00FC4B8C">
              <w:rPr>
                <w:rFonts w:ascii="Arial" w:hAnsi="Arial" w:cs="Arial"/>
                <w:b/>
                <w:bCs/>
                <w:color w:val="000000"/>
                <w:sz w:val="16"/>
                <w:szCs w:val="22"/>
              </w:rPr>
              <w:t xml:space="preserve">Component </w:t>
            </w:r>
            <w:r>
              <w:rPr>
                <w:rFonts w:ascii="Arial" w:hAnsi="Arial" w:cs="Arial"/>
                <w:b/>
                <w:bCs/>
                <w:color w:val="000000"/>
                <w:sz w:val="16"/>
                <w:szCs w:val="22"/>
              </w:rPr>
              <w:t>1.1.</w:t>
            </w:r>
            <w:r w:rsidRPr="00FC4B8C">
              <w:rPr>
                <w:rFonts w:ascii="Arial" w:hAnsi="Arial" w:cs="Arial"/>
                <w:b/>
                <w:bCs/>
                <w:color w:val="000000"/>
                <w:sz w:val="16"/>
                <w:szCs w:val="22"/>
              </w:rPr>
              <w:t>1: Grow Demand</w:t>
            </w:r>
            <w:r w:rsidR="00D142C4">
              <w:rPr>
                <w:rFonts w:ascii="Arial" w:hAnsi="Arial" w:cs="Arial"/>
                <w:b/>
                <w:bCs/>
                <w:color w:val="000000"/>
                <w:sz w:val="16"/>
                <w:szCs w:val="22"/>
              </w:rPr>
              <w:t xml:space="preserve"> (continued) </w:t>
            </w:r>
          </w:p>
          <w:p w14:paraId="7A5A6532" w14:textId="0B1A1821" w:rsidR="004666E9" w:rsidRDefault="004666E9" w:rsidP="004666E9">
            <w:pPr>
              <w:tabs>
                <w:tab w:val="left" w:pos="709"/>
              </w:tabs>
              <w:spacing w:before="60" w:after="60" w:line="240" w:lineRule="auto"/>
              <w:jc w:val="left"/>
              <w:rPr>
                <w:rFonts w:ascii="Arial" w:hAnsi="Arial" w:cs="Arial"/>
                <w:sz w:val="16"/>
                <w:szCs w:val="16"/>
              </w:rPr>
            </w:pPr>
            <w:r w:rsidRPr="00CC5B06">
              <w:rPr>
                <w:rFonts w:ascii="Arial" w:hAnsi="Arial" w:cs="Arial"/>
                <w:sz w:val="16"/>
                <w:szCs w:val="16"/>
              </w:rPr>
              <w:t>Objective</w:t>
            </w:r>
            <w:r>
              <w:rPr>
                <w:rFonts w:ascii="Arial" w:hAnsi="Arial" w:cs="Arial"/>
                <w:sz w:val="16"/>
                <w:szCs w:val="16"/>
              </w:rPr>
              <w:t>:</w:t>
            </w:r>
            <w:r>
              <w:t xml:space="preserve"> </w:t>
            </w:r>
            <w:r w:rsidRPr="000D6866">
              <w:rPr>
                <w:rFonts w:ascii="Arial" w:hAnsi="Arial" w:cs="Arial"/>
                <w:sz w:val="16"/>
                <w:szCs w:val="16"/>
              </w:rPr>
              <w:t>Identify and target best prospect consumers both in Australia and in our target markets, inspire them to travel to and throughout Australia.</w:t>
            </w:r>
          </w:p>
        </w:tc>
      </w:tr>
      <w:tr w:rsidR="004666E9" w14:paraId="7A2BB20D" w14:textId="77777777" w:rsidTr="00464EAA">
        <w:trPr>
          <w:trHeight w:val="300"/>
        </w:trPr>
        <w:tc>
          <w:tcPr>
            <w:tcW w:w="1761" w:type="dxa"/>
            <w:tcBorders>
              <w:top w:val="double" w:sz="4" w:space="0" w:color="auto"/>
              <w:left w:val="single" w:sz="4" w:space="0" w:color="auto"/>
              <w:bottom w:val="single" w:sz="4" w:space="0" w:color="auto"/>
              <w:right w:val="single" w:sz="4" w:space="0" w:color="auto"/>
            </w:tcBorders>
            <w:hideMark/>
          </w:tcPr>
          <w:p w14:paraId="0E450314" w14:textId="77777777" w:rsidR="004666E9" w:rsidRDefault="004666E9" w:rsidP="00464EAA">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201" w:type="dxa"/>
            <w:tcBorders>
              <w:top w:val="double" w:sz="4" w:space="0" w:color="auto"/>
              <w:left w:val="single" w:sz="4" w:space="0" w:color="auto"/>
              <w:bottom w:val="single" w:sz="4" w:space="0" w:color="auto"/>
              <w:right w:val="single" w:sz="4" w:space="0" w:color="auto"/>
            </w:tcBorders>
            <w:hideMark/>
          </w:tcPr>
          <w:p w14:paraId="0893CE8A" w14:textId="77777777" w:rsidR="004666E9" w:rsidRDefault="004666E9" w:rsidP="00464EAA">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Performance measures </w:t>
            </w:r>
          </w:p>
        </w:tc>
        <w:tc>
          <w:tcPr>
            <w:tcW w:w="2654" w:type="dxa"/>
            <w:tcBorders>
              <w:top w:val="double" w:sz="4" w:space="0" w:color="auto"/>
              <w:left w:val="single" w:sz="4" w:space="0" w:color="auto"/>
              <w:bottom w:val="single" w:sz="4" w:space="0" w:color="auto"/>
              <w:right w:val="single" w:sz="4" w:space="0" w:color="auto"/>
            </w:tcBorders>
            <w:hideMark/>
          </w:tcPr>
          <w:p w14:paraId="2967476C" w14:textId="1BC925D2" w:rsidR="004666E9" w:rsidRDefault="004666E9" w:rsidP="00464EAA">
            <w:pPr>
              <w:tabs>
                <w:tab w:val="left" w:pos="709"/>
              </w:tabs>
              <w:spacing w:before="60" w:after="60" w:line="240" w:lineRule="auto"/>
              <w:jc w:val="left"/>
              <w:rPr>
                <w:rFonts w:ascii="Arial" w:hAnsi="Arial" w:cs="Arial"/>
                <w:b/>
                <w:sz w:val="16"/>
                <w:szCs w:val="16"/>
              </w:rPr>
            </w:pPr>
            <w:r>
              <w:rPr>
                <w:rFonts w:ascii="Arial" w:hAnsi="Arial" w:cs="Arial"/>
                <w:b/>
                <w:sz w:val="16"/>
                <w:szCs w:val="16"/>
              </w:rPr>
              <w:t>Planned Performance Resu</w:t>
            </w:r>
            <w:r w:rsidR="00E55A87">
              <w:rPr>
                <w:rFonts w:ascii="Arial" w:hAnsi="Arial" w:cs="Arial"/>
                <w:b/>
                <w:sz w:val="16"/>
                <w:szCs w:val="16"/>
              </w:rPr>
              <w:t>l</w:t>
            </w:r>
            <w:r>
              <w:rPr>
                <w:rFonts w:ascii="Arial" w:hAnsi="Arial" w:cs="Arial"/>
                <w:b/>
                <w:sz w:val="16"/>
                <w:szCs w:val="16"/>
              </w:rPr>
              <w:t>ts</w:t>
            </w:r>
          </w:p>
        </w:tc>
      </w:tr>
      <w:tr w:rsidR="008D6724" w14:paraId="14FCFA52" w14:textId="77777777" w:rsidTr="0082415E">
        <w:trPr>
          <w:trHeight w:val="1079"/>
        </w:trPr>
        <w:tc>
          <w:tcPr>
            <w:tcW w:w="1761" w:type="dxa"/>
            <w:tcBorders>
              <w:top w:val="dotted" w:sz="4" w:space="0" w:color="auto"/>
              <w:bottom w:val="dotted" w:sz="4" w:space="0" w:color="auto"/>
              <w:right w:val="single" w:sz="4" w:space="0" w:color="auto"/>
            </w:tcBorders>
            <w:hideMark/>
          </w:tcPr>
          <w:p w14:paraId="0A78F222" w14:textId="77777777" w:rsidR="0082415E" w:rsidRDefault="008D6724" w:rsidP="008D6724">
            <w:pPr>
              <w:tabs>
                <w:tab w:val="left" w:pos="709"/>
              </w:tabs>
              <w:spacing w:before="60" w:after="60" w:line="240" w:lineRule="auto"/>
              <w:jc w:val="left"/>
              <w:rPr>
                <w:rFonts w:ascii="Arial" w:hAnsi="Arial" w:cs="Arial"/>
                <w:color w:val="000000" w:themeColor="text1"/>
                <w:sz w:val="16"/>
                <w:szCs w:val="16"/>
              </w:rPr>
            </w:pPr>
            <w:r w:rsidRPr="004666E9">
              <w:rPr>
                <w:rFonts w:ascii="Arial" w:hAnsi="Arial" w:cs="Arial"/>
                <w:color w:val="000000" w:themeColor="text1"/>
                <w:sz w:val="16"/>
                <w:szCs w:val="16"/>
              </w:rPr>
              <w:t xml:space="preserve">Budget Year </w:t>
            </w:r>
          </w:p>
          <w:p w14:paraId="3F13816B" w14:textId="474A5A59" w:rsidR="008D6724" w:rsidRPr="004666E9" w:rsidRDefault="008D6724" w:rsidP="008D6724">
            <w:pPr>
              <w:tabs>
                <w:tab w:val="left" w:pos="709"/>
              </w:tabs>
              <w:spacing w:before="60" w:after="60" w:line="240" w:lineRule="auto"/>
              <w:jc w:val="left"/>
              <w:rPr>
                <w:rFonts w:ascii="Arial" w:hAnsi="Arial" w:cs="Arial"/>
                <w:sz w:val="16"/>
                <w:szCs w:val="16"/>
              </w:rPr>
            </w:pPr>
            <w:r w:rsidRPr="004666E9">
              <w:rPr>
                <w:rFonts w:ascii="Arial" w:hAnsi="Arial" w:cs="Arial"/>
                <w:color w:val="000000" w:themeColor="text1"/>
                <w:sz w:val="16"/>
                <w:szCs w:val="16"/>
              </w:rPr>
              <w:t>2022-23</w:t>
            </w:r>
          </w:p>
        </w:tc>
        <w:tc>
          <w:tcPr>
            <w:tcW w:w="3201" w:type="dxa"/>
            <w:tcBorders>
              <w:top w:val="dotted" w:sz="4" w:space="0" w:color="auto"/>
              <w:left w:val="single" w:sz="4" w:space="0" w:color="auto"/>
              <w:bottom w:val="dotted" w:sz="4" w:space="0" w:color="auto"/>
              <w:right w:val="single" w:sz="4" w:space="0" w:color="auto"/>
            </w:tcBorders>
            <w:hideMark/>
          </w:tcPr>
          <w:p w14:paraId="0A384D3D" w14:textId="0955498F" w:rsidR="008D6724" w:rsidRPr="0082415E" w:rsidRDefault="008D6724" w:rsidP="008D6724">
            <w:pPr>
              <w:spacing w:after="0" w:line="240" w:lineRule="auto"/>
              <w:jc w:val="left"/>
              <w:textAlignment w:val="baseline"/>
              <w:rPr>
                <w:rFonts w:ascii="Arial" w:hAnsi="Arial" w:cs="Arial"/>
                <w:color w:val="000000" w:themeColor="text1"/>
                <w:sz w:val="16"/>
                <w:szCs w:val="16"/>
                <w:u w:val="single"/>
              </w:rPr>
            </w:pPr>
            <w:r w:rsidRPr="0082415E">
              <w:rPr>
                <w:rFonts w:ascii="Arial" w:hAnsi="Arial" w:cs="Arial"/>
                <w:i/>
                <w:iCs/>
                <w:color w:val="000000" w:themeColor="text1"/>
                <w:sz w:val="16"/>
                <w:szCs w:val="16"/>
                <w:u w:val="single"/>
              </w:rPr>
              <w:t xml:space="preserve">Key </w:t>
            </w:r>
            <w:r w:rsidR="0082415E" w:rsidRPr="0082415E">
              <w:rPr>
                <w:rFonts w:ascii="Arial" w:hAnsi="Arial" w:cs="Arial"/>
                <w:i/>
                <w:iCs/>
                <w:color w:val="000000" w:themeColor="text1"/>
                <w:sz w:val="16"/>
                <w:szCs w:val="16"/>
                <w:u w:val="single"/>
              </w:rPr>
              <w:t>m</w:t>
            </w:r>
            <w:r w:rsidRPr="0082415E">
              <w:rPr>
                <w:rFonts w:ascii="Arial" w:hAnsi="Arial" w:cs="Arial"/>
                <w:i/>
                <w:iCs/>
                <w:color w:val="000000" w:themeColor="text1"/>
                <w:sz w:val="16"/>
                <w:szCs w:val="16"/>
                <w:u w:val="single"/>
              </w:rPr>
              <w:t>etric</w:t>
            </w:r>
            <w:r w:rsidRPr="0082415E">
              <w:rPr>
                <w:rFonts w:ascii="Arial" w:hAnsi="Arial" w:cs="Arial"/>
                <w:color w:val="000000" w:themeColor="text1"/>
                <w:sz w:val="16"/>
                <w:szCs w:val="16"/>
              </w:rPr>
              <w:t> </w:t>
            </w:r>
          </w:p>
          <w:p w14:paraId="2CF7C326" w14:textId="77777777" w:rsidR="008D6724" w:rsidRDefault="008D6724" w:rsidP="008D6724">
            <w:pPr>
              <w:spacing w:after="0" w:line="240" w:lineRule="auto"/>
              <w:jc w:val="left"/>
              <w:textAlignment w:val="baseline"/>
              <w:rPr>
                <w:rFonts w:ascii="Arial" w:hAnsi="Arial" w:cs="Arial"/>
                <w:color w:val="000000" w:themeColor="text1"/>
                <w:sz w:val="16"/>
                <w:szCs w:val="16"/>
              </w:rPr>
            </w:pPr>
            <w:r>
              <w:rPr>
                <w:rFonts w:ascii="Arial" w:hAnsi="Arial" w:cs="Arial"/>
                <w:i/>
                <w:iCs/>
                <w:color w:val="000000" w:themeColor="text1"/>
                <w:sz w:val="16"/>
                <w:szCs w:val="16"/>
              </w:rPr>
              <w:t>Total tourism expenditure</w:t>
            </w:r>
            <w:r>
              <w:rPr>
                <w:rFonts w:ascii="Arial" w:hAnsi="Arial" w:cs="Arial"/>
                <w:color w:val="000000" w:themeColor="text1"/>
                <w:sz w:val="16"/>
                <w:szCs w:val="16"/>
              </w:rPr>
              <w:t> </w:t>
            </w:r>
          </w:p>
          <w:p w14:paraId="3806662B" w14:textId="77777777" w:rsidR="008D6724" w:rsidRDefault="008D6724" w:rsidP="008D6724">
            <w:pPr>
              <w:spacing w:after="0" w:line="240" w:lineRule="auto"/>
              <w:jc w:val="left"/>
              <w:textAlignment w:val="baseline"/>
              <w:rPr>
                <w:rFonts w:ascii="Arial" w:hAnsi="Arial" w:cs="Arial"/>
                <w:i/>
                <w:color w:val="FF0000"/>
                <w:sz w:val="16"/>
                <w:szCs w:val="16"/>
              </w:rPr>
            </w:pPr>
          </w:p>
          <w:p w14:paraId="02EDB645" w14:textId="688A3F88" w:rsidR="008D6724" w:rsidRDefault="008D6724" w:rsidP="008D6724">
            <w:pPr>
              <w:spacing w:after="0" w:line="240" w:lineRule="auto"/>
              <w:jc w:val="left"/>
              <w:textAlignment w:val="baseline"/>
              <w:rPr>
                <w:rFonts w:ascii="Arial" w:hAnsi="Arial" w:cs="Arial"/>
                <w:i/>
                <w:color w:val="FF0000"/>
                <w:sz w:val="16"/>
                <w:szCs w:val="16"/>
                <w:lang w:eastAsia="zh-CN"/>
              </w:rPr>
            </w:pPr>
            <w:r>
              <w:rPr>
                <w:rFonts w:ascii="Arial" w:hAnsi="Arial" w:cs="Arial"/>
                <w:i/>
                <w:iCs/>
                <w:color w:val="000000" w:themeColor="text1"/>
                <w:sz w:val="16"/>
                <w:szCs w:val="16"/>
              </w:rPr>
              <w:t>Other metrics as outlined in Tourism Australia’s 2022-26 Corporate Plan</w:t>
            </w:r>
            <w:r>
              <w:rPr>
                <w:rFonts w:ascii="Arial" w:hAnsi="Arial" w:cs="Arial"/>
                <w:color w:val="000000" w:themeColor="text1"/>
                <w:sz w:val="16"/>
                <w:szCs w:val="16"/>
              </w:rPr>
              <w:t> </w:t>
            </w:r>
          </w:p>
        </w:tc>
        <w:tc>
          <w:tcPr>
            <w:tcW w:w="2654" w:type="dxa"/>
            <w:tcBorders>
              <w:top w:val="dotted" w:sz="4" w:space="0" w:color="auto"/>
              <w:left w:val="single" w:sz="4" w:space="0" w:color="auto"/>
              <w:bottom w:val="dotted" w:sz="4" w:space="0" w:color="auto"/>
              <w:right w:val="single" w:sz="4" w:space="0" w:color="auto"/>
            </w:tcBorders>
          </w:tcPr>
          <w:p w14:paraId="105FCA5B" w14:textId="77777777" w:rsidR="008D6724" w:rsidRPr="0082415E" w:rsidRDefault="008D6724" w:rsidP="008D6724">
            <w:pPr>
              <w:spacing w:after="0" w:line="240" w:lineRule="auto"/>
              <w:jc w:val="left"/>
              <w:textAlignment w:val="baseline"/>
              <w:rPr>
                <w:rFonts w:ascii="Arial" w:hAnsi="Arial" w:cs="Arial"/>
                <w:i/>
                <w:iCs/>
                <w:color w:val="000000" w:themeColor="text1"/>
                <w:sz w:val="16"/>
                <w:szCs w:val="16"/>
                <w:u w:val="single"/>
              </w:rPr>
            </w:pPr>
            <w:r w:rsidRPr="0082415E">
              <w:rPr>
                <w:rFonts w:ascii="Arial" w:hAnsi="Arial" w:cs="Arial"/>
                <w:i/>
                <w:iCs/>
                <w:color w:val="000000" w:themeColor="text1"/>
                <w:sz w:val="16"/>
                <w:szCs w:val="16"/>
                <w:u w:val="single"/>
              </w:rPr>
              <w:t>Estimated performance</w:t>
            </w:r>
          </w:p>
          <w:p w14:paraId="45E2C4BF" w14:textId="77777777" w:rsidR="008D6724" w:rsidRDefault="008D6724" w:rsidP="008D6724">
            <w:pPr>
              <w:spacing w:after="0" w:line="240" w:lineRule="auto"/>
              <w:jc w:val="left"/>
              <w:textAlignment w:val="baseline"/>
              <w:rPr>
                <w:rFonts w:ascii="Arial" w:hAnsi="Arial" w:cs="Arial"/>
                <w:color w:val="000000" w:themeColor="text1"/>
                <w:sz w:val="16"/>
                <w:szCs w:val="16"/>
              </w:rPr>
            </w:pPr>
            <w:r>
              <w:rPr>
                <w:rFonts w:ascii="Arial" w:hAnsi="Arial" w:cs="Arial"/>
                <w:color w:val="000000" w:themeColor="text1"/>
                <w:sz w:val="16"/>
                <w:szCs w:val="16"/>
              </w:rPr>
              <w:t>$102.1b</w:t>
            </w:r>
          </w:p>
          <w:p w14:paraId="27A2BC5D" w14:textId="77777777" w:rsidR="008D6724" w:rsidRDefault="008D6724" w:rsidP="008D6724">
            <w:pPr>
              <w:spacing w:after="0" w:line="240" w:lineRule="auto"/>
              <w:jc w:val="left"/>
              <w:textAlignment w:val="baseline"/>
              <w:rPr>
                <w:rFonts w:ascii="Arial" w:hAnsi="Arial" w:cs="Arial"/>
                <w:color w:val="000000" w:themeColor="text1"/>
                <w:sz w:val="16"/>
                <w:szCs w:val="16"/>
              </w:rPr>
            </w:pPr>
          </w:p>
          <w:p w14:paraId="3276DCAF" w14:textId="1AB4424A" w:rsidR="008D6724" w:rsidRDefault="008D6724" w:rsidP="008D6724">
            <w:pPr>
              <w:tabs>
                <w:tab w:val="left" w:pos="709"/>
              </w:tabs>
              <w:spacing w:after="0" w:line="240" w:lineRule="auto"/>
              <w:jc w:val="left"/>
              <w:rPr>
                <w:rFonts w:ascii="Arial" w:hAnsi="Arial" w:cs="Arial"/>
                <w:iCs/>
                <w:color w:val="000000"/>
                <w:szCs w:val="22"/>
                <w:lang w:eastAsia="zh-CN"/>
              </w:rPr>
            </w:pPr>
          </w:p>
        </w:tc>
      </w:tr>
      <w:tr w:rsidR="004666E9" w14:paraId="367DD95B" w14:textId="77777777" w:rsidTr="006113B4">
        <w:trPr>
          <w:trHeight w:val="1115"/>
        </w:trPr>
        <w:tc>
          <w:tcPr>
            <w:tcW w:w="1761" w:type="dxa"/>
            <w:tcBorders>
              <w:top w:val="dotted" w:sz="4" w:space="0" w:color="auto"/>
              <w:bottom w:val="single" w:sz="4" w:space="0" w:color="auto"/>
              <w:right w:val="single" w:sz="4" w:space="0" w:color="auto"/>
            </w:tcBorders>
            <w:hideMark/>
          </w:tcPr>
          <w:p w14:paraId="3D6A807B" w14:textId="6FA8F5AF" w:rsidR="004666E9" w:rsidRDefault="004666E9" w:rsidP="004666E9">
            <w:pPr>
              <w:tabs>
                <w:tab w:val="left" w:pos="709"/>
              </w:tabs>
              <w:spacing w:before="60" w:after="60" w:line="240" w:lineRule="auto"/>
              <w:jc w:val="left"/>
              <w:rPr>
                <w:rFonts w:ascii="Arial" w:hAnsi="Arial" w:cs="Arial"/>
                <w:color w:val="000000" w:themeColor="text1"/>
                <w:sz w:val="16"/>
                <w:szCs w:val="16"/>
              </w:rPr>
            </w:pPr>
            <w:r>
              <w:rPr>
                <w:rFonts w:ascii="Arial" w:hAnsi="Arial" w:cs="Arial"/>
                <w:color w:val="000000" w:themeColor="text1"/>
                <w:sz w:val="16"/>
                <w:szCs w:val="16"/>
              </w:rPr>
              <w:t>Forward Estimates</w:t>
            </w:r>
          </w:p>
          <w:p w14:paraId="481BDFF9" w14:textId="7F716CDE" w:rsidR="004666E9" w:rsidRDefault="004666E9" w:rsidP="004666E9">
            <w:pPr>
              <w:tabs>
                <w:tab w:val="left" w:pos="709"/>
              </w:tabs>
              <w:spacing w:before="60" w:after="60" w:line="240" w:lineRule="auto"/>
              <w:jc w:val="left"/>
              <w:rPr>
                <w:rFonts w:ascii="Arial" w:hAnsi="Arial" w:cs="Arial"/>
                <w:sz w:val="16"/>
                <w:szCs w:val="16"/>
              </w:rPr>
            </w:pPr>
            <w:r w:rsidRPr="00FB0AD3">
              <w:rPr>
                <w:rFonts w:ascii="Arial" w:hAnsi="Arial" w:cs="Arial"/>
                <w:color w:val="000000" w:themeColor="text1"/>
                <w:sz w:val="16"/>
                <w:szCs w:val="16"/>
              </w:rPr>
              <w:t>2023-2</w:t>
            </w:r>
            <w:r>
              <w:rPr>
                <w:rFonts w:ascii="Arial" w:hAnsi="Arial" w:cs="Arial"/>
                <w:color w:val="000000" w:themeColor="text1"/>
                <w:sz w:val="16"/>
                <w:szCs w:val="16"/>
              </w:rPr>
              <w:t>6</w:t>
            </w:r>
          </w:p>
        </w:tc>
        <w:tc>
          <w:tcPr>
            <w:tcW w:w="3201" w:type="dxa"/>
            <w:tcBorders>
              <w:top w:val="dotted" w:sz="4" w:space="0" w:color="auto"/>
              <w:left w:val="single" w:sz="4" w:space="0" w:color="auto"/>
              <w:bottom w:val="single" w:sz="4" w:space="0" w:color="auto"/>
              <w:right w:val="single" w:sz="4" w:space="0" w:color="auto"/>
            </w:tcBorders>
            <w:hideMark/>
          </w:tcPr>
          <w:p w14:paraId="00227C53" w14:textId="4760E5E2" w:rsidR="004666E9" w:rsidRPr="0082415E" w:rsidRDefault="004666E9" w:rsidP="006113B4">
            <w:pPr>
              <w:spacing w:after="0" w:line="240" w:lineRule="auto"/>
              <w:jc w:val="left"/>
              <w:textAlignment w:val="baseline"/>
              <w:rPr>
                <w:rFonts w:ascii="Arial" w:hAnsi="Arial" w:cs="Arial"/>
                <w:color w:val="000000" w:themeColor="text1"/>
                <w:sz w:val="16"/>
                <w:szCs w:val="16"/>
                <w:u w:val="single"/>
              </w:rPr>
            </w:pPr>
            <w:r w:rsidRPr="0082415E">
              <w:rPr>
                <w:rFonts w:ascii="Arial" w:hAnsi="Arial" w:cs="Arial"/>
                <w:i/>
                <w:iCs/>
                <w:color w:val="000000" w:themeColor="text1"/>
                <w:sz w:val="16"/>
                <w:szCs w:val="16"/>
                <w:u w:val="single"/>
              </w:rPr>
              <w:t xml:space="preserve">Key </w:t>
            </w:r>
            <w:r w:rsidR="0082415E" w:rsidRPr="0082415E">
              <w:rPr>
                <w:rFonts w:ascii="Arial" w:hAnsi="Arial" w:cs="Arial"/>
                <w:i/>
                <w:iCs/>
                <w:color w:val="000000" w:themeColor="text1"/>
                <w:sz w:val="16"/>
                <w:szCs w:val="16"/>
                <w:u w:val="single"/>
              </w:rPr>
              <w:t>m</w:t>
            </w:r>
            <w:r w:rsidRPr="0082415E">
              <w:rPr>
                <w:rFonts w:ascii="Arial" w:hAnsi="Arial" w:cs="Arial"/>
                <w:i/>
                <w:iCs/>
                <w:color w:val="000000" w:themeColor="text1"/>
                <w:sz w:val="16"/>
                <w:szCs w:val="16"/>
                <w:u w:val="single"/>
              </w:rPr>
              <w:t>etric</w:t>
            </w:r>
            <w:r w:rsidRPr="0082415E">
              <w:rPr>
                <w:rFonts w:ascii="Arial" w:hAnsi="Arial" w:cs="Arial"/>
                <w:color w:val="000000" w:themeColor="text1"/>
                <w:sz w:val="16"/>
                <w:szCs w:val="16"/>
              </w:rPr>
              <w:t> </w:t>
            </w:r>
          </w:p>
          <w:p w14:paraId="46082344" w14:textId="77777777" w:rsidR="004666E9" w:rsidRPr="00FB0AD3" w:rsidRDefault="004666E9" w:rsidP="006113B4">
            <w:pPr>
              <w:spacing w:after="0" w:line="240" w:lineRule="auto"/>
              <w:jc w:val="left"/>
              <w:textAlignment w:val="baseline"/>
              <w:rPr>
                <w:rFonts w:ascii="Arial" w:hAnsi="Arial" w:cs="Arial"/>
                <w:color w:val="000000" w:themeColor="text1"/>
                <w:sz w:val="16"/>
                <w:szCs w:val="16"/>
              </w:rPr>
            </w:pPr>
            <w:r w:rsidRPr="00FB0AD3">
              <w:rPr>
                <w:rFonts w:ascii="Arial" w:hAnsi="Arial" w:cs="Arial"/>
                <w:i/>
                <w:iCs/>
                <w:color w:val="000000" w:themeColor="text1"/>
                <w:sz w:val="16"/>
                <w:szCs w:val="16"/>
              </w:rPr>
              <w:t>Total tourism expenditure</w:t>
            </w:r>
            <w:r w:rsidRPr="00FB0AD3">
              <w:rPr>
                <w:rFonts w:ascii="Arial" w:hAnsi="Arial" w:cs="Arial"/>
                <w:color w:val="000000" w:themeColor="text1"/>
                <w:sz w:val="16"/>
                <w:szCs w:val="16"/>
              </w:rPr>
              <w:t> </w:t>
            </w:r>
          </w:p>
          <w:p w14:paraId="413DBA80" w14:textId="77777777" w:rsidR="004666E9" w:rsidRPr="00FB0AD3" w:rsidRDefault="004666E9" w:rsidP="006113B4">
            <w:pPr>
              <w:spacing w:after="0" w:line="240" w:lineRule="auto"/>
              <w:jc w:val="left"/>
              <w:textAlignment w:val="baseline"/>
              <w:rPr>
                <w:rFonts w:ascii="Arial" w:hAnsi="Arial" w:cs="Arial"/>
                <w:color w:val="000000" w:themeColor="text1"/>
                <w:sz w:val="16"/>
                <w:szCs w:val="16"/>
              </w:rPr>
            </w:pPr>
            <w:r w:rsidRPr="00FB0AD3">
              <w:rPr>
                <w:rFonts w:ascii="Arial" w:hAnsi="Arial" w:cs="Arial"/>
                <w:color w:val="000000" w:themeColor="text1"/>
                <w:sz w:val="16"/>
                <w:szCs w:val="16"/>
              </w:rPr>
              <w:t> </w:t>
            </w:r>
          </w:p>
          <w:p w14:paraId="60087C80" w14:textId="78289DB5" w:rsidR="004666E9" w:rsidRDefault="004666E9" w:rsidP="006113B4">
            <w:pPr>
              <w:tabs>
                <w:tab w:val="left" w:pos="709"/>
              </w:tabs>
              <w:spacing w:after="0" w:line="240" w:lineRule="auto"/>
              <w:jc w:val="left"/>
              <w:rPr>
                <w:rFonts w:ascii="Arial" w:hAnsi="Arial" w:cs="Arial"/>
                <w:i/>
                <w:color w:val="FF0000"/>
                <w:sz w:val="16"/>
                <w:szCs w:val="16"/>
              </w:rPr>
            </w:pPr>
            <w:r w:rsidRPr="00FB0AD3">
              <w:rPr>
                <w:rFonts w:ascii="Arial" w:hAnsi="Arial" w:cs="Arial"/>
                <w:i/>
                <w:iCs/>
                <w:color w:val="000000" w:themeColor="text1"/>
                <w:sz w:val="16"/>
                <w:szCs w:val="16"/>
              </w:rPr>
              <w:t>Other metrics as outlined in Tourism Australia’s 2022-26 Corporate Plan</w:t>
            </w:r>
            <w:r w:rsidRPr="00FB0AD3">
              <w:rPr>
                <w:rFonts w:ascii="Arial" w:hAnsi="Arial" w:cs="Arial"/>
                <w:color w:val="000000" w:themeColor="text1"/>
                <w:sz w:val="16"/>
                <w:szCs w:val="16"/>
              </w:rPr>
              <w:t> </w:t>
            </w:r>
          </w:p>
        </w:tc>
        <w:tc>
          <w:tcPr>
            <w:tcW w:w="2654" w:type="dxa"/>
            <w:tcBorders>
              <w:top w:val="dotted" w:sz="4" w:space="0" w:color="auto"/>
              <w:left w:val="single" w:sz="4" w:space="0" w:color="auto"/>
              <w:bottom w:val="single" w:sz="4" w:space="0" w:color="auto"/>
            </w:tcBorders>
          </w:tcPr>
          <w:p w14:paraId="49372775" w14:textId="63AFF089" w:rsidR="004666E9" w:rsidRPr="0082415E" w:rsidRDefault="004666E9" w:rsidP="006113B4">
            <w:pPr>
              <w:spacing w:after="0" w:line="240" w:lineRule="auto"/>
              <w:jc w:val="left"/>
              <w:textAlignment w:val="baseline"/>
              <w:rPr>
                <w:rFonts w:ascii="Arial" w:hAnsi="Arial" w:cs="Arial"/>
                <w:color w:val="000000" w:themeColor="text1"/>
                <w:sz w:val="16"/>
                <w:szCs w:val="16"/>
                <w:u w:val="single"/>
              </w:rPr>
            </w:pPr>
            <w:r w:rsidRPr="0082415E">
              <w:rPr>
                <w:rFonts w:ascii="Arial" w:hAnsi="Arial" w:cs="Arial"/>
                <w:i/>
                <w:iCs/>
                <w:color w:val="000000" w:themeColor="text1"/>
                <w:sz w:val="16"/>
                <w:szCs w:val="16"/>
                <w:u w:val="single"/>
              </w:rPr>
              <w:t>Target</w:t>
            </w:r>
          </w:p>
          <w:p w14:paraId="63F19356" w14:textId="77777777" w:rsidR="004666E9" w:rsidRPr="00FB0AD3" w:rsidRDefault="004666E9" w:rsidP="006113B4">
            <w:pPr>
              <w:spacing w:after="0" w:line="240" w:lineRule="auto"/>
              <w:jc w:val="left"/>
              <w:textAlignment w:val="baseline"/>
              <w:rPr>
                <w:rFonts w:ascii="Arial" w:hAnsi="Arial" w:cs="Arial"/>
                <w:color w:val="000000" w:themeColor="text1"/>
                <w:sz w:val="16"/>
                <w:szCs w:val="16"/>
              </w:rPr>
            </w:pPr>
            <w:r w:rsidRPr="00FB0AD3">
              <w:rPr>
                <w:rFonts w:ascii="Arial" w:hAnsi="Arial" w:cs="Arial"/>
                <w:color w:val="000000" w:themeColor="text1"/>
                <w:sz w:val="16"/>
                <w:szCs w:val="16"/>
              </w:rPr>
              <w:t>$123.8b</w:t>
            </w:r>
          </w:p>
          <w:p w14:paraId="0046C846" w14:textId="77777777" w:rsidR="004666E9" w:rsidRDefault="004666E9" w:rsidP="006113B4">
            <w:pPr>
              <w:tabs>
                <w:tab w:val="left" w:pos="709"/>
              </w:tabs>
              <w:spacing w:after="0" w:line="240" w:lineRule="auto"/>
              <w:jc w:val="left"/>
              <w:rPr>
                <w:rFonts w:ascii="Arial" w:hAnsi="Arial" w:cs="Arial"/>
                <w:iCs/>
                <w:color w:val="000000"/>
                <w:sz w:val="16"/>
                <w:szCs w:val="16"/>
                <w:lang w:eastAsia="zh-CN"/>
              </w:rPr>
            </w:pPr>
          </w:p>
        </w:tc>
      </w:tr>
    </w:tbl>
    <w:p w14:paraId="08B8B0D2" w14:textId="77777777" w:rsidR="006113B4" w:rsidRDefault="006113B4" w:rsidP="006113B4">
      <w:pPr>
        <w:pStyle w:val="Source"/>
        <w:rPr>
          <w:rFonts w:cs="Arial"/>
          <w:szCs w:val="16"/>
        </w:rPr>
      </w:pPr>
      <w:r w:rsidRPr="004666E9">
        <w:rPr>
          <w:rFonts w:cs="Arial"/>
          <w:szCs w:val="16"/>
        </w:rPr>
        <w:t xml:space="preserve">Table </w:t>
      </w:r>
      <w:proofErr w:type="gramStart"/>
      <w:r w:rsidRPr="004666E9">
        <w:rPr>
          <w:rFonts w:cs="Arial"/>
          <w:szCs w:val="16"/>
        </w:rPr>
        <w:t>continued on</w:t>
      </w:r>
      <w:proofErr w:type="gramEnd"/>
      <w:r w:rsidRPr="004666E9">
        <w:rPr>
          <w:rFonts w:cs="Arial"/>
          <w:szCs w:val="16"/>
        </w:rPr>
        <w:t xml:space="preserve"> the next page. </w:t>
      </w:r>
    </w:p>
    <w:p w14:paraId="4227A0D1" w14:textId="26F5234C" w:rsidR="0013748B" w:rsidRDefault="0013748B" w:rsidP="0026795D"/>
    <w:p w14:paraId="6FB5A7D9" w14:textId="482C6F06" w:rsidR="0013748B" w:rsidRDefault="0013748B" w:rsidP="0013748B">
      <w:pPr>
        <w:spacing w:after="0" w:line="240" w:lineRule="auto"/>
        <w:jc w:val="left"/>
      </w:pPr>
      <w:r>
        <w:br w:type="page"/>
      </w:r>
    </w:p>
    <w:p w14:paraId="6BAC1A49" w14:textId="69E5432F" w:rsidR="006113B4" w:rsidRDefault="006113B4" w:rsidP="006113B4">
      <w:pPr>
        <w:pStyle w:val="TableHeading"/>
        <w:rPr>
          <w:lang w:val="en-AU"/>
        </w:rPr>
      </w:pPr>
      <w:r w:rsidRPr="004666E9">
        <w:t>Table 2.</w:t>
      </w:r>
      <w:r w:rsidRPr="004666E9">
        <w:rPr>
          <w:lang w:val="en-AU"/>
        </w:rPr>
        <w:t>1</w:t>
      </w:r>
      <w:r w:rsidRPr="004666E9">
        <w:t xml:space="preserve">.3: Performance </w:t>
      </w:r>
      <w:r w:rsidRPr="004666E9">
        <w:rPr>
          <w:lang w:val="en-AU"/>
        </w:rPr>
        <w:t>measure</w:t>
      </w:r>
      <w:r w:rsidRPr="004666E9">
        <w:t xml:space="preserve"> for Outcome </w:t>
      </w:r>
      <w:r w:rsidRPr="004666E9">
        <w:rPr>
          <w:lang w:val="en-AU"/>
        </w:rPr>
        <w:t>1</w:t>
      </w:r>
      <w:r>
        <w:rPr>
          <w:lang w:val="en-AU"/>
        </w:rPr>
        <w:t xml:space="preserve"> (continued)</w:t>
      </w:r>
    </w:p>
    <w:tbl>
      <w:tblPr>
        <w:tblW w:w="7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201"/>
        <w:gridCol w:w="2654"/>
      </w:tblGrid>
      <w:tr w:rsidR="00D142C4" w14:paraId="5D418D7C" w14:textId="77777777" w:rsidTr="00D142C4">
        <w:trPr>
          <w:trHeight w:val="680"/>
          <w:tblHeader/>
        </w:trPr>
        <w:tc>
          <w:tcPr>
            <w:tcW w:w="761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8C0F346" w14:textId="77777777" w:rsidR="00D142C4" w:rsidRPr="00D142C4" w:rsidRDefault="00D142C4" w:rsidP="00D142C4">
            <w:pPr>
              <w:spacing w:after="0" w:line="240" w:lineRule="auto"/>
              <w:jc w:val="left"/>
              <w:textAlignment w:val="baseline"/>
              <w:rPr>
                <w:rFonts w:ascii="Arial" w:hAnsi="Arial" w:cs="Arial"/>
                <w:b/>
                <w:sz w:val="16"/>
                <w:szCs w:val="16"/>
              </w:rPr>
            </w:pPr>
            <w:r w:rsidRPr="00D142C4">
              <w:rPr>
                <w:rFonts w:ascii="Arial" w:hAnsi="Arial" w:cs="Arial"/>
                <w:b/>
                <w:bCs/>
                <w:color w:val="000000"/>
                <w:lang w:eastAsia="zh-CN"/>
              </w:rPr>
              <w:t>Outcome 1 – Grow demand and foster a competitive and sustainable Australian tourism industry through partnership marketing to targeted global consumers in key markets</w:t>
            </w:r>
          </w:p>
        </w:tc>
      </w:tr>
      <w:tr w:rsidR="00D142C4" w:rsidRPr="006113B4" w14:paraId="2573D89C" w14:textId="77777777" w:rsidTr="00D142C4">
        <w:trPr>
          <w:trHeight w:val="680"/>
          <w:tblHeader/>
        </w:trPr>
        <w:tc>
          <w:tcPr>
            <w:tcW w:w="761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A08CCD0" w14:textId="77777777" w:rsidR="00D142C4" w:rsidRDefault="00D142C4" w:rsidP="00D16599">
            <w:pPr>
              <w:tabs>
                <w:tab w:val="left" w:pos="709"/>
              </w:tabs>
              <w:spacing w:after="0"/>
              <w:jc w:val="left"/>
              <w:rPr>
                <w:rFonts w:ascii="Arial" w:hAnsi="Arial" w:cs="Arial"/>
                <w:b/>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 Supporting Outcome 1</w:t>
            </w:r>
          </w:p>
          <w:p w14:paraId="6EA645D0" w14:textId="77777777" w:rsidR="00D142C4" w:rsidRPr="00D142C4" w:rsidRDefault="00D142C4" w:rsidP="00D16599">
            <w:pPr>
              <w:tabs>
                <w:tab w:val="left" w:pos="709"/>
              </w:tabs>
              <w:spacing w:after="0"/>
              <w:jc w:val="left"/>
              <w:rPr>
                <w:rFonts w:ascii="Arial" w:hAnsi="Arial" w:cs="Arial"/>
                <w:b/>
                <w:sz w:val="16"/>
                <w:szCs w:val="16"/>
              </w:rPr>
            </w:pPr>
            <w:r w:rsidRPr="00D142C4">
              <w:rPr>
                <w:rFonts w:ascii="Arial" w:hAnsi="Arial" w:cs="Arial"/>
                <w:b/>
                <w:sz w:val="16"/>
                <w:szCs w:val="16"/>
              </w:rPr>
              <w:t>Component 1.1.2: Industry development</w:t>
            </w:r>
          </w:p>
          <w:p w14:paraId="7BD13F3C" w14:textId="77777777" w:rsidR="00D142C4" w:rsidRPr="0082415E" w:rsidRDefault="00D142C4" w:rsidP="00D16599">
            <w:pPr>
              <w:tabs>
                <w:tab w:val="left" w:pos="709"/>
              </w:tabs>
              <w:spacing w:after="0"/>
              <w:jc w:val="left"/>
              <w:rPr>
                <w:rFonts w:ascii="Arial" w:hAnsi="Arial" w:cs="Arial"/>
                <w:bCs/>
                <w:sz w:val="16"/>
                <w:szCs w:val="16"/>
              </w:rPr>
            </w:pPr>
            <w:r w:rsidRPr="0082415E">
              <w:rPr>
                <w:rFonts w:ascii="Arial" w:hAnsi="Arial" w:cs="Arial"/>
                <w:bCs/>
                <w:sz w:val="16"/>
                <w:szCs w:val="16"/>
              </w:rPr>
              <w:t>Objective: An Australian tourism industry that is competitive and sustainable and delivers on the needs of the target customer.</w:t>
            </w:r>
          </w:p>
        </w:tc>
      </w:tr>
      <w:tr w:rsidR="00D142C4" w14:paraId="56660B73" w14:textId="77777777" w:rsidTr="0082415E">
        <w:trPr>
          <w:trHeight w:val="1666"/>
        </w:trPr>
        <w:tc>
          <w:tcPr>
            <w:tcW w:w="1761" w:type="dxa"/>
            <w:tcBorders>
              <w:top w:val="single" w:sz="4" w:space="0" w:color="auto"/>
              <w:left w:val="single" w:sz="4" w:space="0" w:color="auto"/>
              <w:bottom w:val="double" w:sz="4" w:space="0" w:color="auto"/>
              <w:right w:val="single" w:sz="4" w:space="0" w:color="auto"/>
            </w:tcBorders>
            <w:hideMark/>
          </w:tcPr>
          <w:p w14:paraId="68499D3B" w14:textId="77777777" w:rsidR="00D142C4" w:rsidRPr="004666E9" w:rsidRDefault="00D142C4" w:rsidP="00D16599">
            <w:pPr>
              <w:tabs>
                <w:tab w:val="left" w:pos="709"/>
              </w:tabs>
              <w:spacing w:before="60" w:after="60" w:line="240" w:lineRule="auto"/>
              <w:jc w:val="left"/>
              <w:rPr>
                <w:rFonts w:ascii="Arial" w:hAnsi="Arial" w:cs="Arial"/>
                <w:b/>
                <w:sz w:val="16"/>
                <w:szCs w:val="16"/>
              </w:rPr>
            </w:pPr>
            <w:r w:rsidRPr="004666E9">
              <w:rPr>
                <w:rFonts w:ascii="Arial" w:hAnsi="Arial" w:cs="Arial"/>
                <w:b/>
                <w:sz w:val="16"/>
                <w:szCs w:val="16"/>
              </w:rPr>
              <w:t>Key Activities</w:t>
            </w:r>
          </w:p>
        </w:tc>
        <w:tc>
          <w:tcPr>
            <w:tcW w:w="5855" w:type="dxa"/>
            <w:gridSpan w:val="2"/>
            <w:tcBorders>
              <w:bottom w:val="double" w:sz="4" w:space="0" w:color="auto"/>
            </w:tcBorders>
            <w:hideMark/>
          </w:tcPr>
          <w:p w14:paraId="6B21C1FD" w14:textId="77777777" w:rsidR="00D142C4" w:rsidRPr="00C021BF" w:rsidRDefault="00D142C4" w:rsidP="00D16599">
            <w:pPr>
              <w:spacing w:after="0" w:line="240" w:lineRule="auto"/>
              <w:jc w:val="left"/>
              <w:textAlignment w:val="baseline"/>
              <w:rPr>
                <w:rFonts w:ascii="Arial" w:hAnsi="Arial" w:cs="Arial"/>
                <w:color w:val="000000" w:themeColor="text1"/>
                <w:sz w:val="16"/>
                <w:szCs w:val="16"/>
              </w:rPr>
            </w:pPr>
            <w:r w:rsidRPr="00C021BF">
              <w:rPr>
                <w:rFonts w:ascii="Arial" w:hAnsi="Arial" w:cs="Arial"/>
                <w:color w:val="000000" w:themeColor="text1"/>
                <w:sz w:val="16"/>
                <w:szCs w:val="16"/>
              </w:rPr>
              <w:t>Target audiences: The Australian tourism industry and trade and distribution partners in key international markets </w:t>
            </w:r>
          </w:p>
          <w:p w14:paraId="091BF3C9" w14:textId="77777777" w:rsidR="00D142C4" w:rsidRPr="00C021BF" w:rsidRDefault="00D142C4" w:rsidP="0082415E">
            <w:pPr>
              <w:spacing w:before="120" w:after="0" w:line="240" w:lineRule="auto"/>
              <w:textAlignment w:val="baseline"/>
              <w:rPr>
                <w:rFonts w:ascii="Arial" w:hAnsi="Arial" w:cs="Arial"/>
                <w:color w:val="000000" w:themeColor="text1"/>
                <w:sz w:val="16"/>
                <w:szCs w:val="16"/>
              </w:rPr>
            </w:pPr>
            <w:r w:rsidRPr="00C021BF">
              <w:rPr>
                <w:rFonts w:ascii="Arial" w:hAnsi="Arial" w:cs="Arial"/>
                <w:color w:val="000000" w:themeColor="text1"/>
                <w:sz w:val="16"/>
                <w:szCs w:val="16"/>
              </w:rPr>
              <w:t>Key activities: </w:t>
            </w:r>
          </w:p>
          <w:p w14:paraId="106416A7" w14:textId="77777777" w:rsidR="00D142C4" w:rsidRPr="00C021BF" w:rsidRDefault="00D142C4" w:rsidP="00D16599">
            <w:pPr>
              <w:numPr>
                <w:ilvl w:val="0"/>
                <w:numId w:val="44"/>
              </w:numPr>
              <w:tabs>
                <w:tab w:val="clear" w:pos="1058"/>
                <w:tab w:val="num" w:pos="360"/>
              </w:tabs>
              <w:spacing w:after="0" w:line="240" w:lineRule="auto"/>
              <w:ind w:left="360"/>
              <w:jc w:val="left"/>
              <w:textAlignment w:val="baseline"/>
              <w:rPr>
                <w:rFonts w:ascii="Arial" w:hAnsi="Arial" w:cs="Arial"/>
                <w:color w:val="000000" w:themeColor="text1"/>
                <w:sz w:val="16"/>
                <w:szCs w:val="16"/>
              </w:rPr>
            </w:pPr>
            <w:r w:rsidRPr="00C021BF">
              <w:rPr>
                <w:rFonts w:ascii="Arial" w:hAnsi="Arial" w:cs="Arial"/>
                <w:color w:val="000000" w:themeColor="text1"/>
                <w:sz w:val="16"/>
                <w:szCs w:val="16"/>
                <w:lang w:val="en-US"/>
              </w:rPr>
              <w:t>Driving industry recovery through programs and platforms for the distribution system</w:t>
            </w:r>
            <w:r w:rsidRPr="00C021BF">
              <w:rPr>
                <w:rFonts w:ascii="Arial" w:hAnsi="Arial" w:cs="Arial"/>
                <w:color w:val="000000" w:themeColor="text1"/>
                <w:sz w:val="16"/>
                <w:szCs w:val="16"/>
              </w:rPr>
              <w:t> to do business</w:t>
            </w:r>
          </w:p>
          <w:p w14:paraId="6AC5B3B8" w14:textId="77777777" w:rsidR="00D142C4" w:rsidRPr="00C021BF" w:rsidRDefault="00D142C4" w:rsidP="00D16599">
            <w:pPr>
              <w:numPr>
                <w:ilvl w:val="0"/>
                <w:numId w:val="44"/>
              </w:numPr>
              <w:tabs>
                <w:tab w:val="clear" w:pos="1058"/>
                <w:tab w:val="num" w:pos="360"/>
              </w:tabs>
              <w:spacing w:after="0" w:line="240" w:lineRule="auto"/>
              <w:ind w:left="360"/>
              <w:jc w:val="left"/>
              <w:textAlignment w:val="baseline"/>
              <w:rPr>
                <w:rFonts w:ascii="Arial" w:hAnsi="Arial" w:cs="Arial"/>
                <w:color w:val="000000" w:themeColor="text1"/>
                <w:sz w:val="16"/>
                <w:szCs w:val="16"/>
              </w:rPr>
            </w:pPr>
            <w:r w:rsidRPr="00C021BF">
              <w:rPr>
                <w:rFonts w:ascii="Arial" w:hAnsi="Arial" w:cs="Arial"/>
                <w:color w:val="000000" w:themeColor="text1"/>
                <w:sz w:val="16"/>
                <w:szCs w:val="16"/>
                <w:lang w:val="en-US"/>
              </w:rPr>
              <w:t>Supporting supply-side industry goals</w:t>
            </w:r>
            <w:r w:rsidRPr="00C021BF">
              <w:rPr>
                <w:rFonts w:ascii="Arial" w:hAnsi="Arial" w:cs="Arial"/>
                <w:color w:val="000000" w:themeColor="text1"/>
                <w:sz w:val="16"/>
                <w:szCs w:val="16"/>
              </w:rPr>
              <w:t> </w:t>
            </w:r>
          </w:p>
          <w:p w14:paraId="3D8C9CBE" w14:textId="77777777" w:rsidR="00D142C4" w:rsidRDefault="00D142C4" w:rsidP="00D16599">
            <w:pPr>
              <w:numPr>
                <w:ilvl w:val="0"/>
                <w:numId w:val="44"/>
              </w:numPr>
              <w:tabs>
                <w:tab w:val="clear" w:pos="1058"/>
                <w:tab w:val="num" w:pos="360"/>
              </w:tabs>
              <w:spacing w:after="0" w:line="240" w:lineRule="auto"/>
              <w:ind w:left="360"/>
              <w:jc w:val="left"/>
              <w:textAlignment w:val="baseline"/>
              <w:rPr>
                <w:rFonts w:ascii="Arial" w:hAnsi="Arial" w:cs="Arial"/>
                <w:color w:val="000000"/>
                <w:sz w:val="16"/>
                <w:szCs w:val="16"/>
              </w:rPr>
            </w:pPr>
            <w:r w:rsidRPr="00C021BF">
              <w:rPr>
                <w:rFonts w:ascii="Arial" w:hAnsi="Arial" w:cs="Arial"/>
                <w:color w:val="000000" w:themeColor="text1"/>
                <w:sz w:val="16"/>
                <w:szCs w:val="16"/>
              </w:rPr>
              <w:t xml:space="preserve">Dissemination </w:t>
            </w:r>
            <w:r w:rsidRPr="00C021BF">
              <w:rPr>
                <w:rFonts w:ascii="Arial" w:hAnsi="Arial" w:cs="Arial"/>
                <w:color w:val="000000" w:themeColor="text1"/>
                <w:sz w:val="16"/>
                <w:szCs w:val="16"/>
                <w:lang w:val="en-US"/>
              </w:rPr>
              <w:t>of insights and engagement of industry stakeholders.</w:t>
            </w:r>
            <w:r w:rsidRPr="00762996">
              <w:rPr>
                <w:rFonts w:cs="Arial"/>
                <w:color w:val="000000" w:themeColor="text1"/>
                <w:sz w:val="18"/>
                <w:szCs w:val="18"/>
              </w:rPr>
              <w:t> </w:t>
            </w:r>
          </w:p>
        </w:tc>
      </w:tr>
      <w:tr w:rsidR="00D142C4" w14:paraId="0ED1A21E" w14:textId="77777777" w:rsidTr="00D16599">
        <w:trPr>
          <w:trHeight w:val="300"/>
        </w:trPr>
        <w:tc>
          <w:tcPr>
            <w:tcW w:w="1761" w:type="dxa"/>
            <w:tcBorders>
              <w:top w:val="double" w:sz="4" w:space="0" w:color="auto"/>
              <w:left w:val="single" w:sz="4" w:space="0" w:color="auto"/>
              <w:bottom w:val="single" w:sz="4" w:space="0" w:color="auto"/>
              <w:right w:val="single" w:sz="4" w:space="0" w:color="auto"/>
            </w:tcBorders>
            <w:hideMark/>
          </w:tcPr>
          <w:p w14:paraId="23D2203B" w14:textId="77777777" w:rsidR="00D142C4" w:rsidRDefault="00D142C4" w:rsidP="00D16599">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201" w:type="dxa"/>
            <w:tcBorders>
              <w:top w:val="double" w:sz="4" w:space="0" w:color="auto"/>
              <w:left w:val="single" w:sz="4" w:space="0" w:color="auto"/>
              <w:bottom w:val="single" w:sz="4" w:space="0" w:color="auto"/>
              <w:right w:val="single" w:sz="4" w:space="0" w:color="auto"/>
            </w:tcBorders>
            <w:hideMark/>
          </w:tcPr>
          <w:p w14:paraId="4F2B4F06" w14:textId="77777777" w:rsidR="00D142C4" w:rsidRDefault="00D142C4" w:rsidP="00D16599">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Performance measures </w:t>
            </w:r>
          </w:p>
        </w:tc>
        <w:tc>
          <w:tcPr>
            <w:tcW w:w="2654" w:type="dxa"/>
            <w:tcBorders>
              <w:top w:val="double" w:sz="4" w:space="0" w:color="auto"/>
              <w:left w:val="single" w:sz="4" w:space="0" w:color="auto"/>
              <w:bottom w:val="single" w:sz="4" w:space="0" w:color="auto"/>
              <w:right w:val="single" w:sz="4" w:space="0" w:color="auto"/>
            </w:tcBorders>
            <w:hideMark/>
          </w:tcPr>
          <w:p w14:paraId="4B837FFB" w14:textId="77777777" w:rsidR="00D142C4" w:rsidRDefault="00D142C4" w:rsidP="00D16599">
            <w:pPr>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D142C4" w14:paraId="7C405B3E" w14:textId="77777777" w:rsidTr="00D142C4">
        <w:trPr>
          <w:trHeight w:val="1791"/>
        </w:trPr>
        <w:tc>
          <w:tcPr>
            <w:tcW w:w="1761" w:type="dxa"/>
            <w:tcBorders>
              <w:top w:val="single" w:sz="4" w:space="0" w:color="auto"/>
              <w:left w:val="single" w:sz="4" w:space="0" w:color="auto"/>
              <w:bottom w:val="single" w:sz="4" w:space="0" w:color="auto"/>
              <w:right w:val="single" w:sz="4" w:space="0" w:color="auto"/>
            </w:tcBorders>
            <w:hideMark/>
          </w:tcPr>
          <w:p w14:paraId="24DD534D" w14:textId="317F9C6A" w:rsidR="0082415E" w:rsidRDefault="00D142C4" w:rsidP="00D16599">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Current year </w:t>
            </w:r>
          </w:p>
          <w:p w14:paraId="1B451BE3" w14:textId="253CB44A" w:rsidR="00D142C4" w:rsidRDefault="00D142C4" w:rsidP="00D16599">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3201" w:type="dxa"/>
            <w:tcBorders>
              <w:top w:val="single" w:sz="4" w:space="0" w:color="auto"/>
              <w:left w:val="single" w:sz="4" w:space="0" w:color="auto"/>
              <w:bottom w:val="single" w:sz="4" w:space="0" w:color="auto"/>
              <w:right w:val="single" w:sz="4" w:space="0" w:color="auto"/>
            </w:tcBorders>
            <w:hideMark/>
          </w:tcPr>
          <w:p w14:paraId="454B95C7" w14:textId="39C393B2" w:rsidR="00D142C4" w:rsidRPr="00FB7D64" w:rsidRDefault="00D142C4" w:rsidP="00D16599">
            <w:pPr>
              <w:spacing w:after="0" w:line="240" w:lineRule="auto"/>
              <w:jc w:val="left"/>
              <w:textAlignment w:val="baseline"/>
              <w:rPr>
                <w:rFonts w:ascii="Arial" w:hAnsi="Arial" w:cs="Arial"/>
                <w:color w:val="000000" w:themeColor="text1"/>
                <w:sz w:val="16"/>
                <w:szCs w:val="16"/>
                <w:u w:val="single"/>
              </w:rPr>
            </w:pPr>
            <w:r w:rsidRPr="00FB7D64">
              <w:rPr>
                <w:rFonts w:ascii="Arial" w:hAnsi="Arial" w:cs="Arial"/>
                <w:i/>
                <w:iCs/>
                <w:color w:val="000000" w:themeColor="text1"/>
                <w:sz w:val="16"/>
                <w:szCs w:val="16"/>
                <w:u w:val="single"/>
              </w:rPr>
              <w:t xml:space="preserve">Key </w:t>
            </w:r>
            <w:r w:rsidR="0082415E">
              <w:rPr>
                <w:rFonts w:ascii="Arial" w:hAnsi="Arial" w:cs="Arial"/>
                <w:i/>
                <w:iCs/>
                <w:color w:val="000000" w:themeColor="text1"/>
                <w:sz w:val="16"/>
                <w:szCs w:val="16"/>
                <w:u w:val="single"/>
              </w:rPr>
              <w:t>m</w:t>
            </w:r>
            <w:r w:rsidRPr="00FB7D64">
              <w:rPr>
                <w:rFonts w:ascii="Arial" w:hAnsi="Arial" w:cs="Arial"/>
                <w:i/>
                <w:iCs/>
                <w:color w:val="000000" w:themeColor="text1"/>
                <w:sz w:val="16"/>
                <w:szCs w:val="16"/>
                <w:u w:val="single"/>
              </w:rPr>
              <w:t>etric</w:t>
            </w:r>
            <w:r w:rsidRPr="0082415E">
              <w:rPr>
                <w:rFonts w:ascii="Arial" w:hAnsi="Arial" w:cs="Arial"/>
                <w:color w:val="000000" w:themeColor="text1"/>
                <w:sz w:val="16"/>
                <w:szCs w:val="16"/>
              </w:rPr>
              <w:t> </w:t>
            </w:r>
          </w:p>
          <w:p w14:paraId="7FBDC39D"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Industry stakeholder </w:t>
            </w:r>
            <w:r>
              <w:rPr>
                <w:rFonts w:ascii="Arial" w:hAnsi="Arial" w:cs="Arial"/>
                <w:i/>
                <w:iCs/>
                <w:color w:val="000000" w:themeColor="text1"/>
                <w:sz w:val="16"/>
                <w:szCs w:val="16"/>
              </w:rPr>
              <w:t>net promoter score (</w:t>
            </w:r>
            <w:r w:rsidRPr="00FB7D64">
              <w:rPr>
                <w:rFonts w:ascii="Arial" w:hAnsi="Arial" w:cs="Arial"/>
                <w:i/>
                <w:iCs/>
                <w:color w:val="000000" w:themeColor="text1"/>
                <w:sz w:val="16"/>
                <w:szCs w:val="16"/>
              </w:rPr>
              <w:t>NPS</w:t>
            </w:r>
            <w:r>
              <w:rPr>
                <w:rFonts w:ascii="Arial" w:hAnsi="Arial" w:cs="Arial"/>
                <w:i/>
                <w:iCs/>
                <w:color w:val="000000" w:themeColor="text1"/>
                <w:sz w:val="16"/>
                <w:szCs w:val="16"/>
              </w:rPr>
              <w:t>)</w:t>
            </w:r>
          </w:p>
          <w:p w14:paraId="2E065373"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Qualified Aussie Specialist Agents</w:t>
            </w:r>
          </w:p>
          <w:p w14:paraId="43BC2E88"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Event satisfaction of participants</w:t>
            </w:r>
          </w:p>
          <w:p w14:paraId="2551E363" w14:textId="77777777" w:rsidR="00D142C4" w:rsidRPr="00FB7D64" w:rsidRDefault="00D142C4" w:rsidP="00D16599">
            <w:pPr>
              <w:pStyle w:val="paragraph"/>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BE Bid Fund Program, total ROI</w:t>
            </w:r>
          </w:p>
          <w:p w14:paraId="518D077C" w14:textId="77777777" w:rsidR="00D142C4" w:rsidRPr="00FB7D64" w:rsidRDefault="00D142C4" w:rsidP="00D16599">
            <w:pPr>
              <w:pStyle w:val="paragraph"/>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BE Bid Fund Program, economic impact of converted events</w:t>
            </w:r>
          </w:p>
          <w:p w14:paraId="2A64F491" w14:textId="77777777" w:rsidR="00D142C4" w:rsidRDefault="00D142C4" w:rsidP="00D16599">
            <w:pPr>
              <w:tabs>
                <w:tab w:val="left" w:pos="709"/>
              </w:tabs>
              <w:spacing w:after="0" w:line="240" w:lineRule="auto"/>
              <w:jc w:val="left"/>
              <w:rPr>
                <w:rFonts w:ascii="Arial" w:hAnsi="Arial" w:cs="Arial"/>
                <w:i/>
                <w:color w:val="FF0000"/>
                <w:sz w:val="16"/>
                <w:szCs w:val="16"/>
              </w:rPr>
            </w:pPr>
            <w:r w:rsidRPr="00FB7D64">
              <w:rPr>
                <w:rFonts w:ascii="Arial" w:hAnsi="Arial" w:cs="Arial"/>
                <w:i/>
                <w:iCs/>
                <w:color w:val="000000" w:themeColor="text1"/>
                <w:sz w:val="16"/>
                <w:szCs w:val="16"/>
              </w:rPr>
              <w:t>BE Advance Program partnerships</w:t>
            </w:r>
          </w:p>
        </w:tc>
        <w:tc>
          <w:tcPr>
            <w:tcW w:w="2654" w:type="dxa"/>
            <w:tcBorders>
              <w:top w:val="single" w:sz="4" w:space="0" w:color="auto"/>
              <w:left w:val="single" w:sz="4" w:space="0" w:color="auto"/>
              <w:bottom w:val="single" w:sz="4" w:space="0" w:color="auto"/>
            </w:tcBorders>
          </w:tcPr>
          <w:p w14:paraId="7E073451" w14:textId="6F3B9227" w:rsidR="00D142C4" w:rsidRPr="00FB7D64" w:rsidRDefault="00D142C4" w:rsidP="00D16599">
            <w:pPr>
              <w:spacing w:after="0" w:line="240" w:lineRule="auto"/>
              <w:jc w:val="left"/>
              <w:textAlignment w:val="baseline"/>
              <w:rPr>
                <w:rFonts w:ascii="Arial" w:hAnsi="Arial" w:cs="Arial"/>
                <w:i/>
                <w:iCs/>
                <w:color w:val="000000" w:themeColor="text1"/>
                <w:sz w:val="16"/>
                <w:szCs w:val="16"/>
                <w:u w:val="single"/>
              </w:rPr>
            </w:pPr>
            <w:r w:rsidRPr="00FB7D64">
              <w:rPr>
                <w:rFonts w:ascii="Arial" w:hAnsi="Arial" w:cs="Arial"/>
                <w:i/>
                <w:iCs/>
                <w:color w:val="000000" w:themeColor="text1"/>
                <w:sz w:val="16"/>
                <w:szCs w:val="16"/>
                <w:u w:val="single"/>
              </w:rPr>
              <w:t xml:space="preserve">Estimated </w:t>
            </w:r>
            <w:r w:rsidR="0082415E">
              <w:rPr>
                <w:rFonts w:ascii="Arial" w:hAnsi="Arial" w:cs="Arial"/>
                <w:i/>
                <w:iCs/>
                <w:color w:val="000000" w:themeColor="text1"/>
                <w:sz w:val="16"/>
                <w:szCs w:val="16"/>
                <w:u w:val="single"/>
              </w:rPr>
              <w:t>p</w:t>
            </w:r>
            <w:r w:rsidRPr="00FB7D64">
              <w:rPr>
                <w:rFonts w:ascii="Arial" w:hAnsi="Arial" w:cs="Arial"/>
                <w:i/>
                <w:iCs/>
                <w:color w:val="000000" w:themeColor="text1"/>
                <w:sz w:val="16"/>
                <w:szCs w:val="16"/>
                <w:u w:val="single"/>
              </w:rPr>
              <w:t>erformance</w:t>
            </w:r>
          </w:p>
          <w:p w14:paraId="756EF8DD" w14:textId="77777777" w:rsidR="00D142C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 xml:space="preserve">50 – </w:t>
            </w:r>
            <w:r>
              <w:rPr>
                <w:rFonts w:ascii="Arial" w:hAnsi="Arial" w:cs="Arial"/>
                <w:i/>
                <w:iCs/>
                <w:color w:val="000000" w:themeColor="text1"/>
                <w:sz w:val="16"/>
                <w:szCs w:val="16"/>
              </w:rPr>
              <w:t>O</w:t>
            </w:r>
            <w:r w:rsidRPr="00FB7D64">
              <w:rPr>
                <w:rFonts w:ascii="Arial" w:hAnsi="Arial" w:cs="Arial"/>
                <w:i/>
                <w:iCs/>
                <w:color w:val="000000" w:themeColor="text1"/>
                <w:sz w:val="16"/>
                <w:szCs w:val="16"/>
              </w:rPr>
              <w:t>n track</w:t>
            </w:r>
          </w:p>
          <w:p w14:paraId="3D4E36CA"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p>
          <w:p w14:paraId="7C98AAA3"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 xml:space="preserve">30,000 – </w:t>
            </w:r>
            <w:r>
              <w:rPr>
                <w:rFonts w:ascii="Arial" w:hAnsi="Arial" w:cs="Arial"/>
                <w:i/>
                <w:iCs/>
                <w:color w:val="000000" w:themeColor="text1"/>
                <w:sz w:val="16"/>
                <w:szCs w:val="16"/>
              </w:rPr>
              <w:t>A</w:t>
            </w:r>
            <w:r w:rsidRPr="00FB7D64">
              <w:rPr>
                <w:rFonts w:ascii="Arial" w:hAnsi="Arial" w:cs="Arial"/>
                <w:i/>
                <w:iCs/>
                <w:color w:val="000000" w:themeColor="text1"/>
                <w:sz w:val="16"/>
                <w:szCs w:val="16"/>
              </w:rPr>
              <w:t>chieved</w:t>
            </w:r>
          </w:p>
          <w:p w14:paraId="07D72575"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90</w:t>
            </w:r>
            <w:r>
              <w:rPr>
                <w:rFonts w:ascii="Arial" w:hAnsi="Arial" w:cs="Arial"/>
                <w:i/>
                <w:iCs/>
                <w:color w:val="000000" w:themeColor="text1"/>
                <w:sz w:val="16"/>
                <w:szCs w:val="16"/>
              </w:rPr>
              <w:t xml:space="preserve"> </w:t>
            </w:r>
            <w:r w:rsidRPr="00F072C1">
              <w:rPr>
                <w:rFonts w:ascii="Arial" w:hAnsi="Arial" w:cs="Arial"/>
                <w:i/>
                <w:iCs/>
                <w:color w:val="000000" w:themeColor="text1"/>
                <w:sz w:val="16"/>
                <w:szCs w:val="16"/>
              </w:rPr>
              <w:t xml:space="preserve">per cent </w:t>
            </w:r>
            <w:r w:rsidRPr="00FB7D64">
              <w:rPr>
                <w:rFonts w:ascii="Arial" w:hAnsi="Arial" w:cs="Arial"/>
                <w:i/>
                <w:iCs/>
                <w:color w:val="000000" w:themeColor="text1"/>
                <w:sz w:val="16"/>
                <w:szCs w:val="16"/>
              </w:rPr>
              <w:t xml:space="preserve">– </w:t>
            </w:r>
            <w:r>
              <w:rPr>
                <w:rFonts w:ascii="Arial" w:hAnsi="Arial" w:cs="Arial"/>
                <w:i/>
                <w:iCs/>
                <w:color w:val="000000" w:themeColor="text1"/>
                <w:sz w:val="16"/>
                <w:szCs w:val="16"/>
              </w:rPr>
              <w:t>A</w:t>
            </w:r>
            <w:r w:rsidRPr="00FB7D64">
              <w:rPr>
                <w:rFonts w:ascii="Arial" w:hAnsi="Arial" w:cs="Arial"/>
                <w:i/>
                <w:iCs/>
                <w:color w:val="000000" w:themeColor="text1"/>
                <w:sz w:val="16"/>
                <w:szCs w:val="16"/>
              </w:rPr>
              <w:t>chieved</w:t>
            </w:r>
          </w:p>
          <w:p w14:paraId="63C49EE4"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 xml:space="preserve">21:1 – </w:t>
            </w:r>
            <w:r>
              <w:rPr>
                <w:rFonts w:ascii="Arial" w:hAnsi="Arial" w:cs="Arial"/>
                <w:i/>
                <w:iCs/>
                <w:color w:val="000000" w:themeColor="text1"/>
                <w:sz w:val="16"/>
                <w:szCs w:val="16"/>
              </w:rPr>
              <w:t>O</w:t>
            </w:r>
            <w:r w:rsidRPr="00FB7D64">
              <w:rPr>
                <w:rFonts w:ascii="Arial" w:hAnsi="Arial" w:cs="Arial"/>
                <w:i/>
                <w:iCs/>
                <w:color w:val="000000" w:themeColor="text1"/>
                <w:sz w:val="16"/>
                <w:szCs w:val="16"/>
              </w:rPr>
              <w:t>n track</w:t>
            </w:r>
          </w:p>
          <w:p w14:paraId="0910832C" w14:textId="3F96DEA5" w:rsidR="00D142C4" w:rsidRDefault="00D142C4" w:rsidP="00D16599">
            <w:pPr>
              <w:spacing w:after="0" w:line="240" w:lineRule="auto"/>
              <w:jc w:val="left"/>
              <w:textAlignment w:val="baseline"/>
              <w:rPr>
                <w:rFonts w:ascii="Arial" w:hAnsi="Arial" w:cs="Arial"/>
                <w:i/>
                <w:iCs/>
                <w:color w:val="000000" w:themeColor="text1"/>
                <w:sz w:val="16"/>
                <w:szCs w:val="16"/>
              </w:rPr>
            </w:pPr>
            <w:r w:rsidRPr="00FB7D64">
              <w:rPr>
                <w:rFonts w:ascii="Arial" w:hAnsi="Arial" w:cs="Arial"/>
                <w:i/>
                <w:iCs/>
                <w:color w:val="000000" w:themeColor="text1"/>
                <w:sz w:val="16"/>
                <w:szCs w:val="16"/>
              </w:rPr>
              <w:t>$150m –</w:t>
            </w:r>
            <w:r w:rsidR="0082415E">
              <w:rPr>
                <w:rFonts w:ascii="Arial" w:hAnsi="Arial" w:cs="Arial"/>
                <w:i/>
                <w:iCs/>
                <w:color w:val="000000" w:themeColor="text1"/>
                <w:sz w:val="16"/>
                <w:szCs w:val="16"/>
              </w:rPr>
              <w:t xml:space="preserve"> </w:t>
            </w:r>
            <w:r>
              <w:rPr>
                <w:rFonts w:ascii="Arial" w:hAnsi="Arial" w:cs="Arial"/>
                <w:i/>
                <w:iCs/>
                <w:color w:val="000000" w:themeColor="text1"/>
                <w:sz w:val="16"/>
                <w:szCs w:val="16"/>
              </w:rPr>
              <w:t>O</w:t>
            </w:r>
            <w:r w:rsidRPr="00FB7D64">
              <w:rPr>
                <w:rFonts w:ascii="Arial" w:hAnsi="Arial" w:cs="Arial"/>
                <w:i/>
                <w:iCs/>
                <w:color w:val="000000" w:themeColor="text1"/>
                <w:sz w:val="16"/>
                <w:szCs w:val="16"/>
              </w:rPr>
              <w:t>n track</w:t>
            </w:r>
          </w:p>
          <w:p w14:paraId="5984E981" w14:textId="77777777" w:rsidR="00D142C4" w:rsidRPr="00FB7D64" w:rsidRDefault="00D142C4" w:rsidP="00D16599">
            <w:pPr>
              <w:spacing w:after="0" w:line="240" w:lineRule="auto"/>
              <w:jc w:val="left"/>
              <w:textAlignment w:val="baseline"/>
              <w:rPr>
                <w:rFonts w:ascii="Arial" w:hAnsi="Arial" w:cs="Arial"/>
                <w:i/>
                <w:iCs/>
                <w:color w:val="000000" w:themeColor="text1"/>
                <w:sz w:val="16"/>
                <w:szCs w:val="16"/>
              </w:rPr>
            </w:pPr>
          </w:p>
          <w:p w14:paraId="5AFECE62" w14:textId="77777777" w:rsidR="00D142C4" w:rsidRDefault="00D142C4" w:rsidP="00D16599">
            <w:pPr>
              <w:tabs>
                <w:tab w:val="left" w:pos="709"/>
              </w:tabs>
              <w:spacing w:after="0" w:line="240" w:lineRule="auto"/>
              <w:jc w:val="left"/>
              <w:rPr>
                <w:rFonts w:ascii="Arial" w:hAnsi="Arial" w:cs="Arial"/>
                <w:color w:val="FF0000"/>
                <w:sz w:val="16"/>
                <w:szCs w:val="16"/>
              </w:rPr>
            </w:pPr>
            <w:r w:rsidRPr="00FB7D64">
              <w:rPr>
                <w:rFonts w:ascii="Arial" w:hAnsi="Arial" w:cs="Arial"/>
                <w:i/>
                <w:iCs/>
                <w:color w:val="000000" w:themeColor="text1"/>
                <w:sz w:val="16"/>
                <w:szCs w:val="16"/>
              </w:rPr>
              <w:t xml:space="preserve">20 – </w:t>
            </w:r>
            <w:r>
              <w:rPr>
                <w:rFonts w:ascii="Arial" w:hAnsi="Arial" w:cs="Arial"/>
                <w:i/>
                <w:iCs/>
                <w:color w:val="000000" w:themeColor="text1"/>
                <w:sz w:val="16"/>
                <w:szCs w:val="16"/>
              </w:rPr>
              <w:t>O</w:t>
            </w:r>
            <w:r w:rsidRPr="00FB7D64">
              <w:rPr>
                <w:rFonts w:ascii="Arial" w:hAnsi="Arial" w:cs="Arial"/>
                <w:i/>
                <w:iCs/>
                <w:color w:val="000000" w:themeColor="text1"/>
                <w:sz w:val="16"/>
                <w:szCs w:val="16"/>
              </w:rPr>
              <w:t>n track</w:t>
            </w:r>
          </w:p>
        </w:tc>
      </w:tr>
      <w:tr w:rsidR="006113B4" w14:paraId="2A79E26B" w14:textId="77777777" w:rsidTr="00D142C4">
        <w:trPr>
          <w:trHeight w:val="300"/>
        </w:trPr>
        <w:tc>
          <w:tcPr>
            <w:tcW w:w="1761" w:type="dxa"/>
            <w:tcBorders>
              <w:top w:val="single" w:sz="4" w:space="0" w:color="auto"/>
              <w:left w:val="single" w:sz="4" w:space="0" w:color="auto"/>
              <w:bottom w:val="single" w:sz="4" w:space="0" w:color="auto"/>
              <w:right w:val="single" w:sz="4" w:space="0" w:color="auto"/>
            </w:tcBorders>
            <w:hideMark/>
          </w:tcPr>
          <w:p w14:paraId="03FEACE5" w14:textId="77777777" w:rsidR="006113B4" w:rsidRDefault="006113B4" w:rsidP="00464EAA">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201" w:type="dxa"/>
            <w:tcBorders>
              <w:top w:val="single" w:sz="4" w:space="0" w:color="auto"/>
              <w:left w:val="single" w:sz="4" w:space="0" w:color="auto"/>
              <w:bottom w:val="single" w:sz="4" w:space="0" w:color="auto"/>
              <w:right w:val="single" w:sz="4" w:space="0" w:color="auto"/>
            </w:tcBorders>
            <w:hideMark/>
          </w:tcPr>
          <w:p w14:paraId="5C3B8337" w14:textId="77777777" w:rsidR="006113B4" w:rsidRDefault="006113B4" w:rsidP="00464EAA">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Performance measures </w:t>
            </w:r>
          </w:p>
        </w:tc>
        <w:tc>
          <w:tcPr>
            <w:tcW w:w="2654" w:type="dxa"/>
            <w:tcBorders>
              <w:top w:val="single" w:sz="4" w:space="0" w:color="auto"/>
              <w:left w:val="single" w:sz="4" w:space="0" w:color="auto"/>
              <w:bottom w:val="single" w:sz="4" w:space="0" w:color="auto"/>
              <w:right w:val="single" w:sz="4" w:space="0" w:color="auto"/>
            </w:tcBorders>
            <w:hideMark/>
          </w:tcPr>
          <w:p w14:paraId="7225AD65" w14:textId="7AE205CA" w:rsidR="006113B4" w:rsidRDefault="006113B4" w:rsidP="00464EAA">
            <w:pPr>
              <w:tabs>
                <w:tab w:val="left" w:pos="709"/>
              </w:tabs>
              <w:spacing w:before="60" w:after="60" w:line="240" w:lineRule="auto"/>
              <w:jc w:val="left"/>
              <w:rPr>
                <w:rFonts w:ascii="Arial" w:hAnsi="Arial" w:cs="Arial"/>
                <w:b/>
                <w:sz w:val="16"/>
                <w:szCs w:val="16"/>
              </w:rPr>
            </w:pPr>
            <w:r>
              <w:rPr>
                <w:rFonts w:ascii="Arial" w:hAnsi="Arial" w:cs="Arial"/>
                <w:b/>
                <w:sz w:val="16"/>
                <w:szCs w:val="16"/>
              </w:rPr>
              <w:t>Planned Performance Resu</w:t>
            </w:r>
            <w:r w:rsidR="00E55A87">
              <w:rPr>
                <w:rFonts w:ascii="Arial" w:hAnsi="Arial" w:cs="Arial"/>
                <w:b/>
                <w:sz w:val="16"/>
                <w:szCs w:val="16"/>
              </w:rPr>
              <w:t>l</w:t>
            </w:r>
            <w:r>
              <w:rPr>
                <w:rFonts w:ascii="Arial" w:hAnsi="Arial" w:cs="Arial"/>
                <w:b/>
                <w:sz w:val="16"/>
                <w:szCs w:val="16"/>
              </w:rPr>
              <w:t>ts</w:t>
            </w:r>
          </w:p>
        </w:tc>
      </w:tr>
      <w:tr w:rsidR="006113B4" w14:paraId="677A8714" w14:textId="77777777" w:rsidTr="006113B4">
        <w:trPr>
          <w:trHeight w:val="1089"/>
        </w:trPr>
        <w:tc>
          <w:tcPr>
            <w:tcW w:w="1761" w:type="dxa"/>
            <w:tcBorders>
              <w:top w:val="dotted" w:sz="4" w:space="0" w:color="auto"/>
              <w:bottom w:val="dotted" w:sz="4" w:space="0" w:color="auto"/>
              <w:right w:val="single" w:sz="4" w:space="0" w:color="auto"/>
            </w:tcBorders>
            <w:hideMark/>
          </w:tcPr>
          <w:p w14:paraId="6E9D9B9C" w14:textId="77777777" w:rsidR="0082415E" w:rsidRDefault="006113B4" w:rsidP="006113B4">
            <w:pPr>
              <w:tabs>
                <w:tab w:val="left" w:pos="709"/>
              </w:tabs>
              <w:spacing w:before="60" w:after="60" w:line="240" w:lineRule="auto"/>
              <w:jc w:val="left"/>
              <w:rPr>
                <w:rFonts w:ascii="Arial" w:hAnsi="Arial" w:cs="Arial"/>
                <w:color w:val="000000" w:themeColor="text1"/>
                <w:sz w:val="16"/>
                <w:szCs w:val="16"/>
              </w:rPr>
            </w:pPr>
            <w:r w:rsidRPr="004666E9">
              <w:rPr>
                <w:rFonts w:ascii="Arial" w:hAnsi="Arial" w:cs="Arial"/>
                <w:color w:val="000000" w:themeColor="text1"/>
                <w:sz w:val="16"/>
                <w:szCs w:val="16"/>
              </w:rPr>
              <w:t xml:space="preserve">Budget Year </w:t>
            </w:r>
          </w:p>
          <w:p w14:paraId="20EFFDE9" w14:textId="3F7E62B5" w:rsidR="006113B4" w:rsidRPr="004666E9" w:rsidRDefault="006113B4" w:rsidP="006113B4">
            <w:pPr>
              <w:tabs>
                <w:tab w:val="left" w:pos="709"/>
              </w:tabs>
              <w:spacing w:before="60" w:after="60" w:line="240" w:lineRule="auto"/>
              <w:jc w:val="left"/>
              <w:rPr>
                <w:rFonts w:ascii="Arial" w:hAnsi="Arial" w:cs="Arial"/>
                <w:sz w:val="16"/>
                <w:szCs w:val="16"/>
              </w:rPr>
            </w:pPr>
            <w:r w:rsidRPr="004666E9">
              <w:rPr>
                <w:rFonts w:ascii="Arial" w:hAnsi="Arial" w:cs="Arial"/>
                <w:color w:val="000000" w:themeColor="text1"/>
                <w:sz w:val="16"/>
                <w:szCs w:val="16"/>
              </w:rPr>
              <w:t>2022-23</w:t>
            </w:r>
          </w:p>
        </w:tc>
        <w:tc>
          <w:tcPr>
            <w:tcW w:w="3201" w:type="dxa"/>
            <w:tcBorders>
              <w:top w:val="single" w:sz="4" w:space="0" w:color="auto"/>
              <w:left w:val="single" w:sz="4" w:space="0" w:color="auto"/>
              <w:bottom w:val="dotted" w:sz="4" w:space="0" w:color="auto"/>
              <w:right w:val="single" w:sz="4" w:space="0" w:color="auto"/>
            </w:tcBorders>
            <w:hideMark/>
          </w:tcPr>
          <w:p w14:paraId="7D44867D" w14:textId="3E786241" w:rsidR="006113B4" w:rsidRPr="00CB0474" w:rsidRDefault="006113B4" w:rsidP="006113B4">
            <w:pPr>
              <w:spacing w:after="0" w:line="240" w:lineRule="auto"/>
              <w:jc w:val="left"/>
              <w:textAlignment w:val="baseline"/>
              <w:rPr>
                <w:rFonts w:ascii="Arial" w:hAnsi="Arial" w:cs="Arial"/>
                <w:color w:val="000000" w:themeColor="text1"/>
                <w:sz w:val="16"/>
                <w:szCs w:val="16"/>
                <w:u w:val="single"/>
              </w:rPr>
            </w:pPr>
            <w:r w:rsidRPr="00CB0474">
              <w:rPr>
                <w:rFonts w:ascii="Arial" w:hAnsi="Arial" w:cs="Arial"/>
                <w:i/>
                <w:iCs/>
                <w:color w:val="000000" w:themeColor="text1"/>
                <w:sz w:val="16"/>
                <w:szCs w:val="16"/>
                <w:u w:val="single"/>
              </w:rPr>
              <w:t xml:space="preserve">Key </w:t>
            </w:r>
            <w:r w:rsidR="0082415E">
              <w:rPr>
                <w:rFonts w:ascii="Arial" w:hAnsi="Arial" w:cs="Arial"/>
                <w:i/>
                <w:iCs/>
                <w:color w:val="000000" w:themeColor="text1"/>
                <w:sz w:val="16"/>
                <w:szCs w:val="16"/>
                <w:u w:val="single"/>
              </w:rPr>
              <w:t>m</w:t>
            </w:r>
            <w:r w:rsidRPr="00CB0474">
              <w:rPr>
                <w:rFonts w:ascii="Arial" w:hAnsi="Arial" w:cs="Arial"/>
                <w:i/>
                <w:iCs/>
                <w:color w:val="000000" w:themeColor="text1"/>
                <w:sz w:val="16"/>
                <w:szCs w:val="16"/>
                <w:u w:val="single"/>
              </w:rPr>
              <w:t>etric</w:t>
            </w:r>
            <w:r w:rsidRPr="0082415E">
              <w:rPr>
                <w:rFonts w:ascii="Arial" w:hAnsi="Arial" w:cs="Arial"/>
                <w:color w:val="000000" w:themeColor="text1"/>
                <w:sz w:val="16"/>
                <w:szCs w:val="16"/>
              </w:rPr>
              <w:t> </w:t>
            </w:r>
          </w:p>
          <w:p w14:paraId="48E860D8" w14:textId="77777777" w:rsidR="006113B4" w:rsidRPr="00CB0474" w:rsidRDefault="006113B4" w:rsidP="006113B4">
            <w:pPr>
              <w:spacing w:after="0" w:line="240" w:lineRule="auto"/>
              <w:jc w:val="left"/>
              <w:textAlignment w:val="baseline"/>
              <w:rPr>
                <w:rFonts w:ascii="Arial" w:hAnsi="Arial" w:cs="Arial"/>
                <w:i/>
                <w:iCs/>
                <w:color w:val="000000" w:themeColor="text1"/>
                <w:sz w:val="16"/>
                <w:szCs w:val="16"/>
              </w:rPr>
            </w:pPr>
            <w:r w:rsidRPr="00CB0474">
              <w:rPr>
                <w:rFonts w:ascii="Arial" w:hAnsi="Arial" w:cs="Arial"/>
                <w:i/>
                <w:iCs/>
                <w:color w:val="000000" w:themeColor="text1"/>
                <w:sz w:val="16"/>
                <w:szCs w:val="16"/>
              </w:rPr>
              <w:t>Industry stakeholder NPS</w:t>
            </w:r>
          </w:p>
          <w:p w14:paraId="15D82CFE" w14:textId="77777777" w:rsidR="006113B4" w:rsidRPr="00CB0474" w:rsidRDefault="006113B4" w:rsidP="006113B4">
            <w:pPr>
              <w:spacing w:after="0" w:line="240" w:lineRule="auto"/>
              <w:jc w:val="left"/>
              <w:textAlignment w:val="baseline"/>
              <w:rPr>
                <w:rFonts w:ascii="Arial" w:hAnsi="Arial" w:cs="Arial"/>
                <w:i/>
                <w:iCs/>
                <w:color w:val="000000" w:themeColor="text1"/>
                <w:sz w:val="16"/>
                <w:szCs w:val="16"/>
              </w:rPr>
            </w:pPr>
          </w:p>
          <w:p w14:paraId="7ED959BE" w14:textId="2142BCAE" w:rsidR="006113B4" w:rsidRDefault="006113B4" w:rsidP="006113B4">
            <w:pPr>
              <w:spacing w:after="0" w:line="240" w:lineRule="auto"/>
              <w:jc w:val="left"/>
              <w:textAlignment w:val="baseline"/>
              <w:rPr>
                <w:rFonts w:ascii="Arial" w:hAnsi="Arial" w:cs="Arial"/>
                <w:i/>
                <w:color w:val="FF0000"/>
                <w:sz w:val="16"/>
                <w:szCs w:val="16"/>
                <w:lang w:eastAsia="zh-CN"/>
              </w:rPr>
            </w:pPr>
            <w:r w:rsidRPr="00CB0474">
              <w:rPr>
                <w:rFonts w:ascii="Arial" w:hAnsi="Arial" w:cs="Arial"/>
                <w:i/>
                <w:iCs/>
                <w:color w:val="000000" w:themeColor="text1"/>
                <w:sz w:val="16"/>
                <w:szCs w:val="16"/>
              </w:rPr>
              <w:t>Other metrics as outlined in Tourism Australia’s 2022-26 Corporate Plan</w:t>
            </w:r>
            <w:r w:rsidRPr="00CB0474">
              <w:rPr>
                <w:rFonts w:ascii="Arial" w:hAnsi="Arial" w:cs="Arial"/>
                <w:color w:val="000000" w:themeColor="text1"/>
                <w:sz w:val="16"/>
                <w:szCs w:val="16"/>
              </w:rPr>
              <w:t> </w:t>
            </w:r>
          </w:p>
        </w:tc>
        <w:tc>
          <w:tcPr>
            <w:tcW w:w="2654" w:type="dxa"/>
            <w:tcBorders>
              <w:top w:val="single" w:sz="4" w:space="0" w:color="auto"/>
              <w:left w:val="single" w:sz="4" w:space="0" w:color="auto"/>
              <w:bottom w:val="dotted" w:sz="4" w:space="0" w:color="auto"/>
              <w:right w:val="single" w:sz="4" w:space="0" w:color="auto"/>
            </w:tcBorders>
          </w:tcPr>
          <w:p w14:paraId="61C6E51B" w14:textId="77777777" w:rsidR="006113B4" w:rsidRPr="006113B4" w:rsidRDefault="006113B4" w:rsidP="006113B4">
            <w:pPr>
              <w:spacing w:after="0" w:line="240" w:lineRule="auto"/>
              <w:jc w:val="left"/>
              <w:textAlignment w:val="baseline"/>
              <w:rPr>
                <w:rFonts w:ascii="Arial" w:hAnsi="Arial" w:cs="Arial"/>
                <w:color w:val="000000" w:themeColor="text1"/>
                <w:sz w:val="16"/>
                <w:szCs w:val="16"/>
                <w:u w:val="single"/>
              </w:rPr>
            </w:pPr>
            <w:r w:rsidRPr="006113B4">
              <w:rPr>
                <w:rFonts w:ascii="Arial" w:hAnsi="Arial" w:cs="Arial"/>
                <w:i/>
                <w:iCs/>
                <w:color w:val="000000" w:themeColor="text1"/>
                <w:sz w:val="16"/>
                <w:szCs w:val="16"/>
                <w:u w:val="single"/>
              </w:rPr>
              <w:t>Target</w:t>
            </w:r>
            <w:r w:rsidRPr="0082415E">
              <w:rPr>
                <w:rFonts w:ascii="Arial" w:hAnsi="Arial" w:cs="Arial"/>
                <w:color w:val="000000" w:themeColor="text1"/>
                <w:sz w:val="16"/>
                <w:szCs w:val="16"/>
              </w:rPr>
              <w:t> </w:t>
            </w:r>
          </w:p>
          <w:p w14:paraId="045C6425" w14:textId="2650220A" w:rsidR="006113B4" w:rsidRDefault="006113B4" w:rsidP="006113B4">
            <w:pPr>
              <w:tabs>
                <w:tab w:val="left" w:pos="709"/>
              </w:tabs>
              <w:spacing w:after="0" w:line="240" w:lineRule="auto"/>
              <w:jc w:val="left"/>
              <w:rPr>
                <w:rFonts w:ascii="Arial" w:hAnsi="Arial" w:cs="Arial"/>
                <w:iCs/>
                <w:color w:val="000000"/>
                <w:szCs w:val="22"/>
                <w:lang w:eastAsia="zh-CN"/>
              </w:rPr>
            </w:pPr>
            <w:r w:rsidRPr="006113B4">
              <w:rPr>
                <w:rStyle w:val="normaltextrun"/>
                <w:rFonts w:ascii="Arial" w:hAnsi="Arial" w:cs="Arial"/>
                <w:i/>
                <w:color w:val="000000" w:themeColor="text1"/>
                <w:sz w:val="16"/>
                <w:szCs w:val="16"/>
              </w:rPr>
              <w:t>52</w:t>
            </w:r>
          </w:p>
        </w:tc>
      </w:tr>
      <w:tr w:rsidR="006113B4" w14:paraId="0AC562FC" w14:textId="77777777" w:rsidTr="006113B4">
        <w:trPr>
          <w:trHeight w:val="1115"/>
        </w:trPr>
        <w:tc>
          <w:tcPr>
            <w:tcW w:w="1761" w:type="dxa"/>
            <w:tcBorders>
              <w:top w:val="dotted" w:sz="4" w:space="0" w:color="auto"/>
              <w:bottom w:val="single" w:sz="4" w:space="0" w:color="auto"/>
              <w:right w:val="single" w:sz="4" w:space="0" w:color="auto"/>
            </w:tcBorders>
            <w:hideMark/>
          </w:tcPr>
          <w:p w14:paraId="629CE77A" w14:textId="77777777" w:rsidR="006113B4" w:rsidRDefault="006113B4" w:rsidP="006113B4">
            <w:pPr>
              <w:tabs>
                <w:tab w:val="left" w:pos="709"/>
              </w:tabs>
              <w:spacing w:before="60" w:after="60" w:line="240" w:lineRule="auto"/>
              <w:jc w:val="left"/>
              <w:rPr>
                <w:rFonts w:ascii="Arial" w:hAnsi="Arial" w:cs="Arial"/>
                <w:color w:val="000000" w:themeColor="text1"/>
                <w:sz w:val="16"/>
                <w:szCs w:val="16"/>
              </w:rPr>
            </w:pPr>
            <w:r>
              <w:rPr>
                <w:rFonts w:ascii="Arial" w:hAnsi="Arial" w:cs="Arial"/>
                <w:color w:val="000000" w:themeColor="text1"/>
                <w:sz w:val="16"/>
                <w:szCs w:val="16"/>
              </w:rPr>
              <w:t>Forward Estimates</w:t>
            </w:r>
          </w:p>
          <w:p w14:paraId="38690BA9" w14:textId="77777777" w:rsidR="006113B4" w:rsidRDefault="006113B4" w:rsidP="006113B4">
            <w:pPr>
              <w:tabs>
                <w:tab w:val="left" w:pos="709"/>
              </w:tabs>
              <w:spacing w:before="60" w:after="60" w:line="240" w:lineRule="auto"/>
              <w:jc w:val="left"/>
              <w:rPr>
                <w:rFonts w:ascii="Arial" w:hAnsi="Arial" w:cs="Arial"/>
                <w:sz w:val="16"/>
                <w:szCs w:val="16"/>
              </w:rPr>
            </w:pPr>
            <w:r w:rsidRPr="00FB0AD3">
              <w:rPr>
                <w:rFonts w:ascii="Arial" w:hAnsi="Arial" w:cs="Arial"/>
                <w:color w:val="000000" w:themeColor="text1"/>
                <w:sz w:val="16"/>
                <w:szCs w:val="16"/>
              </w:rPr>
              <w:t>2023-2</w:t>
            </w:r>
            <w:r>
              <w:rPr>
                <w:rFonts w:ascii="Arial" w:hAnsi="Arial" w:cs="Arial"/>
                <w:color w:val="000000" w:themeColor="text1"/>
                <w:sz w:val="16"/>
                <w:szCs w:val="16"/>
              </w:rPr>
              <w:t>6</w:t>
            </w:r>
          </w:p>
        </w:tc>
        <w:tc>
          <w:tcPr>
            <w:tcW w:w="3201" w:type="dxa"/>
            <w:tcBorders>
              <w:top w:val="dotted" w:sz="4" w:space="0" w:color="auto"/>
              <w:left w:val="single" w:sz="4" w:space="0" w:color="auto"/>
              <w:bottom w:val="single" w:sz="4" w:space="0" w:color="auto"/>
              <w:right w:val="single" w:sz="4" w:space="0" w:color="auto"/>
            </w:tcBorders>
            <w:hideMark/>
          </w:tcPr>
          <w:p w14:paraId="2917C298" w14:textId="5A7FE348" w:rsidR="006113B4" w:rsidRPr="00CB0474" w:rsidRDefault="006113B4" w:rsidP="006113B4">
            <w:pPr>
              <w:spacing w:after="0" w:line="240" w:lineRule="auto"/>
              <w:jc w:val="left"/>
              <w:textAlignment w:val="baseline"/>
              <w:rPr>
                <w:rFonts w:ascii="Arial" w:hAnsi="Arial" w:cs="Arial"/>
                <w:i/>
                <w:iCs/>
                <w:color w:val="000000" w:themeColor="text1"/>
                <w:sz w:val="16"/>
                <w:szCs w:val="16"/>
                <w:u w:val="single"/>
              </w:rPr>
            </w:pPr>
            <w:r w:rsidRPr="00CB0474">
              <w:rPr>
                <w:rFonts w:ascii="Arial" w:hAnsi="Arial" w:cs="Arial"/>
                <w:i/>
                <w:iCs/>
                <w:color w:val="000000" w:themeColor="text1"/>
                <w:sz w:val="16"/>
                <w:szCs w:val="16"/>
                <w:u w:val="single"/>
              </w:rPr>
              <w:t xml:space="preserve">Key </w:t>
            </w:r>
            <w:r w:rsidR="0082415E">
              <w:rPr>
                <w:rFonts w:ascii="Arial" w:hAnsi="Arial" w:cs="Arial"/>
                <w:i/>
                <w:iCs/>
                <w:color w:val="000000" w:themeColor="text1"/>
                <w:sz w:val="16"/>
                <w:szCs w:val="16"/>
                <w:u w:val="single"/>
              </w:rPr>
              <w:t>m</w:t>
            </w:r>
            <w:r w:rsidRPr="00CB0474">
              <w:rPr>
                <w:rFonts w:ascii="Arial" w:hAnsi="Arial" w:cs="Arial"/>
                <w:i/>
                <w:iCs/>
                <w:color w:val="000000" w:themeColor="text1"/>
                <w:sz w:val="16"/>
                <w:szCs w:val="16"/>
                <w:u w:val="single"/>
              </w:rPr>
              <w:t>etric</w:t>
            </w:r>
            <w:r w:rsidRPr="0082415E">
              <w:rPr>
                <w:rFonts w:ascii="Arial" w:hAnsi="Arial" w:cs="Arial"/>
                <w:i/>
                <w:iCs/>
                <w:color w:val="000000" w:themeColor="text1"/>
                <w:sz w:val="16"/>
                <w:szCs w:val="16"/>
              </w:rPr>
              <w:t> </w:t>
            </w:r>
          </w:p>
          <w:p w14:paraId="0F90FBBE" w14:textId="77777777" w:rsidR="006113B4" w:rsidRPr="00CB0474" w:rsidRDefault="006113B4" w:rsidP="006113B4">
            <w:pPr>
              <w:spacing w:after="0" w:line="240" w:lineRule="auto"/>
              <w:jc w:val="left"/>
              <w:textAlignment w:val="baseline"/>
              <w:rPr>
                <w:rFonts w:ascii="Arial" w:hAnsi="Arial" w:cs="Arial"/>
                <w:i/>
                <w:iCs/>
                <w:color w:val="000000" w:themeColor="text1"/>
                <w:sz w:val="16"/>
                <w:szCs w:val="16"/>
              </w:rPr>
            </w:pPr>
            <w:r w:rsidRPr="00CB0474">
              <w:rPr>
                <w:rFonts w:ascii="Arial" w:hAnsi="Arial" w:cs="Arial"/>
                <w:i/>
                <w:iCs/>
                <w:color w:val="000000" w:themeColor="text1"/>
                <w:sz w:val="16"/>
                <w:szCs w:val="16"/>
              </w:rPr>
              <w:t>Industry stakeholder NPS</w:t>
            </w:r>
          </w:p>
          <w:p w14:paraId="4816562E" w14:textId="77777777" w:rsidR="006113B4" w:rsidRPr="00CB0474" w:rsidRDefault="006113B4" w:rsidP="006113B4">
            <w:pPr>
              <w:spacing w:after="0" w:line="240" w:lineRule="auto"/>
              <w:jc w:val="left"/>
              <w:textAlignment w:val="baseline"/>
              <w:rPr>
                <w:rFonts w:ascii="Arial" w:hAnsi="Arial" w:cs="Arial"/>
                <w:i/>
                <w:iCs/>
                <w:color w:val="000000" w:themeColor="text1"/>
                <w:sz w:val="16"/>
                <w:szCs w:val="16"/>
              </w:rPr>
            </w:pPr>
          </w:p>
          <w:p w14:paraId="7F72B8C9" w14:textId="1BF4F85B" w:rsidR="006113B4" w:rsidRDefault="006113B4" w:rsidP="006113B4">
            <w:pPr>
              <w:tabs>
                <w:tab w:val="left" w:pos="709"/>
              </w:tabs>
              <w:spacing w:after="0" w:line="240" w:lineRule="auto"/>
              <w:jc w:val="left"/>
              <w:rPr>
                <w:rFonts w:ascii="Arial" w:hAnsi="Arial" w:cs="Arial"/>
                <w:i/>
                <w:color w:val="FF0000"/>
                <w:sz w:val="16"/>
                <w:szCs w:val="16"/>
              </w:rPr>
            </w:pPr>
            <w:r w:rsidRPr="00CB0474">
              <w:rPr>
                <w:rFonts w:ascii="Arial" w:hAnsi="Arial" w:cs="Arial"/>
                <w:i/>
                <w:iCs/>
                <w:color w:val="000000" w:themeColor="text1"/>
                <w:sz w:val="16"/>
                <w:szCs w:val="16"/>
              </w:rPr>
              <w:t>Other metrics as outlined in Tourism Australia’s 2022-26 Corporate Plan </w:t>
            </w:r>
          </w:p>
        </w:tc>
        <w:tc>
          <w:tcPr>
            <w:tcW w:w="2654" w:type="dxa"/>
            <w:tcBorders>
              <w:top w:val="dotted" w:sz="4" w:space="0" w:color="auto"/>
              <w:left w:val="single" w:sz="4" w:space="0" w:color="auto"/>
              <w:bottom w:val="single" w:sz="4" w:space="0" w:color="auto"/>
              <w:right w:val="single" w:sz="4" w:space="0" w:color="auto"/>
            </w:tcBorders>
          </w:tcPr>
          <w:p w14:paraId="1FE88624" w14:textId="77777777" w:rsidR="006113B4" w:rsidRPr="00CB0474" w:rsidRDefault="006113B4" w:rsidP="006113B4">
            <w:pPr>
              <w:spacing w:after="0" w:line="240" w:lineRule="auto"/>
              <w:jc w:val="left"/>
              <w:textAlignment w:val="baseline"/>
              <w:rPr>
                <w:rFonts w:ascii="Arial" w:hAnsi="Arial" w:cs="Arial"/>
                <w:i/>
                <w:iCs/>
                <w:color w:val="000000" w:themeColor="text1"/>
                <w:sz w:val="16"/>
                <w:szCs w:val="16"/>
                <w:u w:val="single"/>
              </w:rPr>
            </w:pPr>
            <w:r w:rsidRPr="00CB0474">
              <w:rPr>
                <w:rFonts w:ascii="Arial" w:hAnsi="Arial" w:cs="Arial"/>
                <w:i/>
                <w:iCs/>
                <w:color w:val="000000" w:themeColor="text1"/>
                <w:sz w:val="16"/>
                <w:szCs w:val="16"/>
                <w:u w:val="single"/>
              </w:rPr>
              <w:t>Target</w:t>
            </w:r>
            <w:r w:rsidRPr="0082415E">
              <w:rPr>
                <w:rFonts w:ascii="Arial" w:hAnsi="Arial" w:cs="Arial"/>
                <w:i/>
                <w:iCs/>
                <w:color w:val="000000" w:themeColor="text1"/>
                <w:sz w:val="16"/>
                <w:szCs w:val="16"/>
              </w:rPr>
              <w:t> </w:t>
            </w:r>
          </w:p>
          <w:p w14:paraId="2DEA2620" w14:textId="366EC6B4" w:rsidR="006113B4" w:rsidRDefault="006113B4" w:rsidP="006113B4">
            <w:pPr>
              <w:tabs>
                <w:tab w:val="left" w:pos="709"/>
              </w:tabs>
              <w:spacing w:after="0" w:line="240" w:lineRule="auto"/>
              <w:jc w:val="left"/>
              <w:rPr>
                <w:rFonts w:ascii="Arial" w:hAnsi="Arial" w:cs="Arial"/>
                <w:iCs/>
                <w:color w:val="000000"/>
                <w:sz w:val="16"/>
                <w:szCs w:val="16"/>
                <w:lang w:eastAsia="zh-CN"/>
              </w:rPr>
            </w:pPr>
            <w:r w:rsidRPr="00CB0474">
              <w:rPr>
                <w:rFonts w:ascii="Arial" w:hAnsi="Arial" w:cs="Arial"/>
                <w:color w:val="000000" w:themeColor="text1"/>
                <w:sz w:val="16"/>
                <w:szCs w:val="16"/>
              </w:rPr>
              <w:t>52</w:t>
            </w:r>
          </w:p>
        </w:tc>
      </w:tr>
    </w:tbl>
    <w:p w14:paraId="0D98AAB2" w14:textId="720482CB" w:rsidR="0026795D" w:rsidRPr="005B6A94" w:rsidRDefault="0026795D" w:rsidP="006113B4">
      <w:pPr>
        <w:pStyle w:val="ChartandTableFootnoteAlpha"/>
        <w:numPr>
          <w:ilvl w:val="0"/>
          <w:numId w:val="0"/>
        </w:numPr>
        <w:ind w:left="284" w:hanging="284"/>
      </w:pPr>
    </w:p>
    <w:p w14:paraId="34D92F67" w14:textId="77777777" w:rsidR="0026795D" w:rsidRPr="00AD42E2" w:rsidRDefault="0026795D" w:rsidP="0026795D">
      <w:pPr>
        <w:pStyle w:val="Heading2"/>
      </w:pPr>
      <w:r w:rsidRPr="005B6A94">
        <w:br w:type="page"/>
      </w:r>
      <w:bookmarkStart w:id="408" w:name="_Toc95217823"/>
      <w:bookmarkStart w:id="409" w:name="_Toc95217887"/>
      <w:bookmarkStart w:id="410" w:name="_Toc95229714"/>
      <w:bookmarkStart w:id="411" w:name="_Toc95289021"/>
      <w:bookmarkStart w:id="412" w:name="_Toc95291908"/>
      <w:bookmarkStart w:id="413" w:name="_Toc95293781"/>
      <w:bookmarkStart w:id="414" w:name="_Toc95296432"/>
      <w:bookmarkStart w:id="415" w:name="_Toc97387933"/>
      <w:bookmarkStart w:id="416" w:name="_Toc97540670"/>
      <w:bookmarkStart w:id="417" w:name="_Toc99111673"/>
      <w:r w:rsidRPr="00AD42E2">
        <w:t>Section 3: Budgeted financial statements</w:t>
      </w:r>
      <w:bookmarkEnd w:id="408"/>
      <w:bookmarkEnd w:id="409"/>
      <w:bookmarkEnd w:id="410"/>
      <w:bookmarkEnd w:id="411"/>
      <w:bookmarkEnd w:id="412"/>
      <w:bookmarkEnd w:id="413"/>
      <w:bookmarkEnd w:id="414"/>
      <w:bookmarkEnd w:id="415"/>
      <w:bookmarkEnd w:id="416"/>
      <w:bookmarkEnd w:id="417"/>
    </w:p>
    <w:p w14:paraId="0AFC59DD" w14:textId="1B4603F3" w:rsidR="0026795D" w:rsidRDefault="0026795D" w:rsidP="0026795D">
      <w:r>
        <w:t>Section 3 presents budgeted financial statements which provide a comprehensive snapshot of entity finances for the 2022</w:t>
      </w:r>
      <w:r w:rsidR="00437DA8">
        <w:t>–</w:t>
      </w:r>
      <w:r>
        <w:t>23</w:t>
      </w:r>
      <w:r w:rsidR="00437DA8">
        <w:rPr>
          <w:color w:val="00B050"/>
        </w:rPr>
        <w:t xml:space="preserve"> </w:t>
      </w:r>
      <w:r w:rsidR="00437DA8">
        <w:t>Bu</w:t>
      </w:r>
      <w:r>
        <w:t xml:space="preserve">dget year, including the impact of </w:t>
      </w:r>
      <w:r w:rsidR="00437DA8">
        <w:t>B</w:t>
      </w:r>
      <w:r>
        <w:t>udget measures and resourcing on financial statements.</w:t>
      </w:r>
    </w:p>
    <w:p w14:paraId="0E1025CA" w14:textId="77777777" w:rsidR="0026795D" w:rsidRPr="005328A9" w:rsidRDefault="0026795D" w:rsidP="0026795D">
      <w:pPr>
        <w:pStyle w:val="Heading3"/>
      </w:pPr>
      <w:bookmarkStart w:id="418" w:name="_Toc95217824"/>
      <w:bookmarkStart w:id="419" w:name="_Toc95217888"/>
      <w:bookmarkStart w:id="420" w:name="_Toc95229715"/>
      <w:bookmarkStart w:id="421" w:name="_Toc95289022"/>
      <w:bookmarkStart w:id="422" w:name="_Toc95291909"/>
      <w:bookmarkStart w:id="423" w:name="_Toc95293782"/>
      <w:bookmarkStart w:id="424" w:name="_Toc95296433"/>
      <w:bookmarkStart w:id="425" w:name="_Toc97387934"/>
      <w:bookmarkStart w:id="426" w:name="_Toc97540671"/>
      <w:bookmarkStart w:id="427" w:name="_Toc99111674"/>
      <w:r w:rsidRPr="005328A9">
        <w:t>3.1</w:t>
      </w:r>
      <w:r w:rsidRPr="005328A9">
        <w:tab/>
        <w:t>Budgeted financial statements</w:t>
      </w:r>
      <w:bookmarkEnd w:id="418"/>
      <w:bookmarkEnd w:id="419"/>
      <w:bookmarkEnd w:id="420"/>
      <w:bookmarkEnd w:id="421"/>
      <w:bookmarkEnd w:id="422"/>
      <w:bookmarkEnd w:id="423"/>
      <w:bookmarkEnd w:id="424"/>
      <w:bookmarkEnd w:id="425"/>
      <w:bookmarkEnd w:id="426"/>
      <w:bookmarkEnd w:id="427"/>
    </w:p>
    <w:p w14:paraId="1C867A32" w14:textId="77777777" w:rsidR="0026795D" w:rsidRDefault="0026795D" w:rsidP="0026795D">
      <w:pPr>
        <w:pStyle w:val="Heading4"/>
      </w:pPr>
      <w:r>
        <w:t>3.1.1</w:t>
      </w:r>
      <w:r>
        <w:tab/>
        <w:t>Differences between entity resourcing and financial statements</w:t>
      </w:r>
    </w:p>
    <w:p w14:paraId="02F75108" w14:textId="77777777" w:rsidR="0013748B" w:rsidRPr="0013748B" w:rsidRDefault="0013748B" w:rsidP="007D44E9">
      <w:pPr>
        <w:pStyle w:val="ExampleText0"/>
        <w:spacing w:after="160"/>
        <w:jc w:val="both"/>
        <w:rPr>
          <w:i w:val="0"/>
          <w:iCs/>
          <w:color w:val="auto"/>
        </w:rPr>
      </w:pPr>
      <w:r w:rsidRPr="0013748B">
        <w:rPr>
          <w:i w:val="0"/>
          <w:iCs/>
          <w:color w:val="auto"/>
        </w:rPr>
        <w:t xml:space="preserve">Tourism Australia has no significant differences between the resource information presented in the Budget Papers and in the </w:t>
      </w:r>
      <w:proofErr w:type="gramStart"/>
      <w:r w:rsidRPr="0013748B">
        <w:rPr>
          <w:i w:val="0"/>
          <w:iCs/>
          <w:color w:val="auto"/>
        </w:rPr>
        <w:t>Portfolio</w:t>
      </w:r>
      <w:proofErr w:type="gramEnd"/>
      <w:r w:rsidRPr="0013748B">
        <w:rPr>
          <w:i w:val="0"/>
          <w:iCs/>
          <w:color w:val="auto"/>
        </w:rPr>
        <w:t xml:space="preserve"> Budget Statements as a result of differences between whole-of-government level reporting (under Australian Accounting Standard 1049) and entity level financial reporting.</w:t>
      </w:r>
    </w:p>
    <w:p w14:paraId="6D22859E" w14:textId="77777777" w:rsidR="0026795D" w:rsidRDefault="0026795D" w:rsidP="007D44E9">
      <w:pPr>
        <w:pStyle w:val="Heading4"/>
        <w:jc w:val="both"/>
      </w:pPr>
      <w:r>
        <w:t>3.1.2</w:t>
      </w:r>
      <w:r>
        <w:tab/>
        <w:t>Explanatory notes and analysis of budgeted financial statements</w:t>
      </w:r>
    </w:p>
    <w:p w14:paraId="747039F1" w14:textId="77777777" w:rsidR="0013748B" w:rsidRPr="0013748B" w:rsidRDefault="0013748B" w:rsidP="007D44E9">
      <w:pPr>
        <w:pStyle w:val="ExampleText0"/>
        <w:spacing w:after="160"/>
        <w:jc w:val="both"/>
        <w:rPr>
          <w:i w:val="0"/>
          <w:iCs/>
          <w:color w:val="auto"/>
        </w:rPr>
      </w:pPr>
      <w:r w:rsidRPr="0013748B">
        <w:rPr>
          <w:i w:val="0"/>
          <w:iCs/>
          <w:color w:val="auto"/>
        </w:rPr>
        <w:t>The departmental financial statements represent the assets, liabilities, revenues and expenses which are controlled by Tourism Australia. Departmental expenses include employee and supplier expenses and other administrative costs which are incurred by Tourism Australia in undertaking marketing operations.</w:t>
      </w:r>
    </w:p>
    <w:p w14:paraId="38417C6A" w14:textId="3A6D6B09" w:rsidR="00FD2BC4" w:rsidRDefault="0058065A" w:rsidP="00FD2BC4">
      <w:pPr>
        <w:spacing w:before="240" w:after="0" w:line="240" w:lineRule="auto"/>
      </w:pPr>
      <w:r w:rsidRPr="0058065A">
        <w:t>Total operating revenue for 2022-23 is estimated at $19</w:t>
      </w:r>
      <w:r w:rsidR="00B86A6C">
        <w:t>6</w:t>
      </w:r>
      <w:r w:rsidRPr="0058065A">
        <w:t xml:space="preserve">.4 million and is made up of the Government funding of $186.7 million, and revenue from other sources of $9.7 million. The Government funding includes (1) appropriations of $139.6 million, (2) $20.0 million for the Asian Marketing Fund, (3) $27.0 million for </w:t>
      </w:r>
      <w:r w:rsidR="00E851D5">
        <w:t>Tourism Support</w:t>
      </w:r>
      <w:r w:rsidRPr="0058065A">
        <w:t>.</w:t>
      </w:r>
    </w:p>
    <w:p w14:paraId="00846F06" w14:textId="18DED942" w:rsidR="0058065A" w:rsidRPr="0058065A" w:rsidRDefault="0058065A" w:rsidP="00FD2BC4">
      <w:pPr>
        <w:spacing w:before="240" w:after="0" w:line="240" w:lineRule="auto"/>
      </w:pPr>
      <w:r w:rsidRPr="0058065A">
        <w:t>The change from 2021-22 includes:</w:t>
      </w:r>
    </w:p>
    <w:p w14:paraId="73A3E9CE" w14:textId="77777777" w:rsidR="0058065A" w:rsidRPr="0058065A" w:rsidRDefault="0058065A" w:rsidP="0058065A">
      <w:pPr>
        <w:numPr>
          <w:ilvl w:val="0"/>
          <w:numId w:val="45"/>
        </w:numPr>
        <w:spacing w:after="120" w:line="240" w:lineRule="auto"/>
        <w:ind w:left="567" w:hanging="283"/>
      </w:pPr>
      <w:r w:rsidRPr="0058065A">
        <w:t xml:space="preserve">Appropriation for 2022-23 reflects additional level of funding for Tourism Australia adjusted for foreign exchange movements, domestic inflation and the efficiency dividend. </w:t>
      </w:r>
    </w:p>
    <w:p w14:paraId="724D7F9E" w14:textId="3825B727" w:rsidR="0058065A" w:rsidRPr="0058065A" w:rsidRDefault="0058065A" w:rsidP="0058065A">
      <w:pPr>
        <w:numPr>
          <w:ilvl w:val="0"/>
          <w:numId w:val="45"/>
        </w:numPr>
        <w:spacing w:after="120" w:line="240" w:lineRule="auto"/>
        <w:ind w:left="567" w:hanging="283"/>
      </w:pPr>
      <w:r w:rsidRPr="0058065A">
        <w:t xml:space="preserve">Two budget measures: the Asian Marketing Fund and </w:t>
      </w:r>
      <w:r w:rsidR="00E851D5">
        <w:t>Tourism Support</w:t>
      </w:r>
      <w:r w:rsidRPr="0058065A">
        <w:t xml:space="preserve"> </w:t>
      </w:r>
      <w:r w:rsidR="00E851D5">
        <w:br/>
      </w:r>
      <w:r w:rsidRPr="0058065A">
        <w:t>(FY2022-23 $27.0 million and FY2023-24 $18.0 million).</w:t>
      </w:r>
    </w:p>
    <w:p w14:paraId="2225B87A" w14:textId="77777777" w:rsidR="0058065A" w:rsidRPr="0058065A" w:rsidRDefault="0058065A" w:rsidP="0058065A">
      <w:pPr>
        <w:spacing w:before="240" w:after="0" w:line="240" w:lineRule="auto"/>
      </w:pPr>
      <w:r w:rsidRPr="0058065A">
        <w:t xml:space="preserve">Corresponding total expenses are also estimated to be $216.4 million. </w:t>
      </w:r>
    </w:p>
    <w:p w14:paraId="665A4B56" w14:textId="77777777" w:rsidR="0058065A" w:rsidRDefault="0058065A" w:rsidP="007D44E9">
      <w:pPr>
        <w:pStyle w:val="Heading4"/>
        <w:jc w:val="both"/>
      </w:pPr>
    </w:p>
    <w:p w14:paraId="60A4A171" w14:textId="01EFC4B7" w:rsidR="007D44E9" w:rsidRPr="007D44E9" w:rsidRDefault="007D44E9" w:rsidP="007D44E9">
      <w:pPr>
        <w:pStyle w:val="Heading4"/>
        <w:jc w:val="both"/>
      </w:pPr>
      <w:r w:rsidRPr="007D44E9">
        <w:t>Budgeted departmental balance sheet</w:t>
      </w:r>
    </w:p>
    <w:p w14:paraId="018E53E7" w14:textId="102EDA06" w:rsidR="007D44E9" w:rsidRPr="0013748B" w:rsidRDefault="007D44E9" w:rsidP="007D44E9">
      <w:pPr>
        <w:pStyle w:val="ExampleText0"/>
        <w:spacing w:after="160"/>
        <w:jc w:val="both"/>
        <w:rPr>
          <w:i w:val="0"/>
          <w:iCs/>
          <w:color w:val="auto"/>
        </w:rPr>
      </w:pPr>
      <w:r w:rsidRPr="007D44E9">
        <w:rPr>
          <w:i w:val="0"/>
          <w:iCs/>
          <w:color w:val="auto"/>
        </w:rPr>
        <w:t>Tourism Australia is budgeting a net asset position of $</w:t>
      </w:r>
      <w:r w:rsidR="00B34EC9">
        <w:rPr>
          <w:i w:val="0"/>
          <w:iCs/>
          <w:color w:val="auto"/>
        </w:rPr>
        <w:t>23.0 </w:t>
      </w:r>
      <w:r w:rsidRPr="007D44E9">
        <w:rPr>
          <w:i w:val="0"/>
          <w:iCs/>
          <w:color w:val="auto"/>
        </w:rPr>
        <w:t>million in 202</w:t>
      </w:r>
      <w:r>
        <w:rPr>
          <w:i w:val="0"/>
          <w:iCs/>
          <w:color w:val="auto"/>
        </w:rPr>
        <w:t>2</w:t>
      </w:r>
      <w:r w:rsidR="00152D9B">
        <w:rPr>
          <w:i w:val="0"/>
          <w:iCs/>
          <w:color w:val="auto"/>
        </w:rPr>
        <w:t>–</w:t>
      </w:r>
      <w:r w:rsidRPr="007D44E9">
        <w:rPr>
          <w:i w:val="0"/>
          <w:iCs/>
          <w:color w:val="auto"/>
        </w:rPr>
        <w:t>2</w:t>
      </w:r>
      <w:r>
        <w:rPr>
          <w:i w:val="0"/>
          <w:iCs/>
          <w:color w:val="auto"/>
        </w:rPr>
        <w:t>3</w:t>
      </w:r>
      <w:r w:rsidRPr="007D44E9">
        <w:rPr>
          <w:i w:val="0"/>
          <w:iCs/>
          <w:color w:val="auto"/>
        </w:rPr>
        <w:t>. Net assets are projected to remain the same beyond 202</w:t>
      </w:r>
      <w:r>
        <w:rPr>
          <w:i w:val="0"/>
          <w:iCs/>
          <w:color w:val="auto"/>
        </w:rPr>
        <w:t>2</w:t>
      </w:r>
      <w:r w:rsidR="00437DA8">
        <w:rPr>
          <w:i w:val="0"/>
          <w:iCs/>
          <w:color w:val="auto"/>
        </w:rPr>
        <w:t>–</w:t>
      </w:r>
      <w:r w:rsidRPr="007D44E9">
        <w:rPr>
          <w:i w:val="0"/>
          <w:iCs/>
          <w:color w:val="auto"/>
        </w:rPr>
        <w:t>2</w:t>
      </w:r>
      <w:r>
        <w:rPr>
          <w:i w:val="0"/>
          <w:iCs/>
          <w:color w:val="auto"/>
        </w:rPr>
        <w:t>3</w:t>
      </w:r>
      <w:r w:rsidRPr="007D44E9">
        <w:rPr>
          <w:i w:val="0"/>
          <w:iCs/>
          <w:color w:val="auto"/>
        </w:rPr>
        <w:t>.</w:t>
      </w:r>
    </w:p>
    <w:p w14:paraId="2F295482" w14:textId="77777777" w:rsidR="0026795D" w:rsidRDefault="0026795D" w:rsidP="0026795D">
      <w:pPr>
        <w:jc w:val="left"/>
      </w:pPr>
      <w:r>
        <w:br w:type="page"/>
      </w:r>
      <w:r w:rsidRPr="00D232B7">
        <w:rPr>
          <w:rStyle w:val="TableHeadingChar"/>
        </w:rPr>
        <w:t>3.2.</w:t>
      </w:r>
      <w:r w:rsidRPr="00D232B7">
        <w:rPr>
          <w:rStyle w:val="TableHeadingChar"/>
        </w:rPr>
        <w:tab/>
        <w:t>Budgeted financial statements tables</w:t>
      </w:r>
    </w:p>
    <w:p w14:paraId="5F9BD518" w14:textId="77777777" w:rsidR="0026795D" w:rsidRDefault="0026795D" w:rsidP="0026795D">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6A8E9C04" w14:textId="08945FE4" w:rsidR="0026795D" w:rsidRDefault="00833408" w:rsidP="00B34EC9">
      <w:pPr>
        <w:pStyle w:val="TableGraphic"/>
        <w:rPr>
          <w:snapToGrid w:val="0"/>
        </w:rPr>
      </w:pPr>
      <w:r w:rsidRPr="00833408">
        <w:t xml:space="preserve"> </w:t>
      </w:r>
      <w:r w:rsidR="00591684" w:rsidRPr="00591684">
        <w:rPr>
          <w:noProof/>
        </w:rPr>
        <w:drawing>
          <wp:inline distT="0" distB="0" distL="0" distR="0" wp14:anchorId="3F1FC382" wp14:editId="0752A519">
            <wp:extent cx="4819650" cy="41624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19650" cy="4162425"/>
                    </a:xfrm>
                    <a:prstGeom prst="rect">
                      <a:avLst/>
                    </a:prstGeom>
                    <a:noFill/>
                    <a:ln>
                      <a:noFill/>
                    </a:ln>
                  </pic:spPr>
                </pic:pic>
              </a:graphicData>
            </a:graphic>
          </wp:inline>
        </w:drawing>
      </w:r>
    </w:p>
    <w:p w14:paraId="2402621F" w14:textId="477D3CBB" w:rsidR="00C354BB" w:rsidRDefault="00C354BB" w:rsidP="00C354BB">
      <w:pPr>
        <w:pStyle w:val="Source"/>
      </w:pPr>
      <w:r>
        <w:t xml:space="preserve">Table </w:t>
      </w:r>
      <w:proofErr w:type="gramStart"/>
      <w:r>
        <w:t>continued on</w:t>
      </w:r>
      <w:proofErr w:type="gramEnd"/>
      <w:r>
        <w:t xml:space="preserve"> the next page. </w:t>
      </w:r>
    </w:p>
    <w:p w14:paraId="69FDFD1B" w14:textId="45352CBF" w:rsidR="00833408" w:rsidRDefault="00833408" w:rsidP="00C354BB">
      <w:pPr>
        <w:pStyle w:val="Source"/>
        <w:rPr>
          <w:b/>
          <w:color w:val="000000"/>
          <w:lang w:val="x-none" w:eastAsia="x-none"/>
        </w:rPr>
      </w:pPr>
      <w:r>
        <w:br w:type="page"/>
      </w:r>
    </w:p>
    <w:p w14:paraId="08CF4372" w14:textId="12AC4B1F" w:rsidR="00833408" w:rsidRPr="00833408" w:rsidRDefault="00833408" w:rsidP="00833408">
      <w:pPr>
        <w:pStyle w:val="TableHeading"/>
        <w:rPr>
          <w:snapToGrid w:val="0"/>
          <w:lang w:val="en-AU"/>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Pr>
          <w:snapToGrid w:val="0"/>
          <w:lang w:val="en-AU"/>
        </w:rPr>
        <w:t xml:space="preserve"> (continued)</w:t>
      </w:r>
    </w:p>
    <w:p w14:paraId="4C310E22" w14:textId="77777777" w:rsidR="00833408" w:rsidRDefault="00833408" w:rsidP="0026795D">
      <w:pPr>
        <w:pStyle w:val="TableHeadingNoTable"/>
        <w:spacing w:after="0"/>
      </w:pPr>
    </w:p>
    <w:p w14:paraId="4639C605" w14:textId="68637FF7" w:rsidR="0026795D" w:rsidRPr="003819E1" w:rsidRDefault="0026795D" w:rsidP="0026795D">
      <w:pPr>
        <w:pStyle w:val="TableHeadingNoTable"/>
        <w:spacing w:after="0"/>
      </w:pPr>
      <w:r w:rsidRPr="003819E1">
        <w:t>Note: Impact of net cash appropriation arrangements</w:t>
      </w:r>
    </w:p>
    <w:p w14:paraId="316E8BDA" w14:textId="2B69EC76" w:rsidR="0026795D" w:rsidRPr="009D54F3" w:rsidRDefault="0026795D" w:rsidP="0026795D">
      <w:pPr>
        <w:pStyle w:val="TableGraphic"/>
        <w:rPr>
          <w:rFonts w:ascii="Arial" w:hAnsi="Arial" w:cs="Arial"/>
        </w:rPr>
      </w:pPr>
      <w:r w:rsidRPr="00D52088">
        <w:rPr>
          <w:noProof/>
        </w:rPr>
        <w:t xml:space="preserve"> </w:t>
      </w:r>
      <w:r w:rsidR="00591684" w:rsidRPr="00591684">
        <w:rPr>
          <w:noProof/>
        </w:rPr>
        <w:drawing>
          <wp:inline distT="0" distB="0" distL="0" distR="0" wp14:anchorId="01D8C17D" wp14:editId="57D542A1">
            <wp:extent cx="4819650" cy="1581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819650" cy="1581150"/>
                    </a:xfrm>
                    <a:prstGeom prst="rect">
                      <a:avLst/>
                    </a:prstGeom>
                    <a:noFill/>
                    <a:ln>
                      <a:noFill/>
                    </a:ln>
                  </pic:spPr>
                </pic:pic>
              </a:graphicData>
            </a:graphic>
          </wp:inline>
        </w:drawing>
      </w:r>
    </w:p>
    <w:p w14:paraId="6ED6EF01" w14:textId="5DD951B2" w:rsidR="006113B4" w:rsidRDefault="006113B4" w:rsidP="006113B4">
      <w:pPr>
        <w:pStyle w:val="Source"/>
        <w:rPr>
          <w:rFonts w:cs="Arial"/>
        </w:rPr>
      </w:pPr>
      <w:r w:rsidRPr="009D54F3">
        <w:rPr>
          <w:rFonts w:cs="Arial"/>
        </w:rPr>
        <w:t>Prepared on Australian Accounting Standards basis.</w:t>
      </w:r>
    </w:p>
    <w:p w14:paraId="78F80275" w14:textId="0AC6271B" w:rsidR="0026795D" w:rsidRPr="0026795D" w:rsidRDefault="0026795D" w:rsidP="00091F80">
      <w:pPr>
        <w:pStyle w:val="ChartandTableFootnoteAlpha"/>
        <w:numPr>
          <w:ilvl w:val="0"/>
          <w:numId w:val="17"/>
        </w:numPr>
        <w:rPr>
          <w:rFonts w:cs="Arial"/>
        </w:rPr>
      </w:pPr>
      <w:r w:rsidRPr="0026795D">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5D8341A8" w14:textId="77777777" w:rsidR="0026795D" w:rsidRPr="002A0F2E" w:rsidRDefault="0026795D" w:rsidP="00091F80">
      <w:pPr>
        <w:pStyle w:val="ChartandTableFootnoteAlpha"/>
        <w:numPr>
          <w:ilvl w:val="0"/>
          <w:numId w:val="12"/>
        </w:numPr>
      </w:pPr>
      <w:r w:rsidRPr="00D52088">
        <w:t>Applies leases under AASB 16 Leases.</w:t>
      </w:r>
    </w:p>
    <w:p w14:paraId="31EFB132" w14:textId="77777777" w:rsidR="0026795D" w:rsidRDefault="0026795D" w:rsidP="0026795D">
      <w:pPr>
        <w:pStyle w:val="TableHeading"/>
      </w:pPr>
      <w:r>
        <w:br w:type="page"/>
      </w:r>
      <w:r w:rsidRPr="00E4582E">
        <w:t>Table</w:t>
      </w:r>
      <w:r>
        <w:t xml:space="preserve"> 3.</w:t>
      </w:r>
      <w:r w:rsidRPr="00E4582E">
        <w:t>2: Budg</w:t>
      </w:r>
      <w:r>
        <w:t xml:space="preserve">eted departmental balance sheet </w:t>
      </w:r>
      <w:r w:rsidRPr="00E4582E">
        <w:t>(as at 30 June)</w:t>
      </w:r>
    </w:p>
    <w:p w14:paraId="536DA66D" w14:textId="1A752654" w:rsidR="0026795D" w:rsidRPr="00F626C2" w:rsidRDefault="00591684" w:rsidP="0026795D">
      <w:pPr>
        <w:pStyle w:val="TableGraphic"/>
      </w:pPr>
      <w:r w:rsidRPr="00591684">
        <w:rPr>
          <w:noProof/>
        </w:rPr>
        <w:drawing>
          <wp:inline distT="0" distB="0" distL="0" distR="0" wp14:anchorId="74A5A1CD" wp14:editId="64332DE9">
            <wp:extent cx="4819650" cy="60102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819650" cy="6010275"/>
                    </a:xfrm>
                    <a:prstGeom prst="rect">
                      <a:avLst/>
                    </a:prstGeom>
                    <a:noFill/>
                    <a:ln>
                      <a:noFill/>
                    </a:ln>
                  </pic:spPr>
                </pic:pic>
              </a:graphicData>
            </a:graphic>
          </wp:inline>
        </w:drawing>
      </w:r>
    </w:p>
    <w:p w14:paraId="6AB73078" w14:textId="77777777" w:rsidR="0026795D" w:rsidRPr="00132F9E" w:rsidRDefault="0026795D" w:rsidP="0026795D">
      <w:pPr>
        <w:pStyle w:val="Source"/>
        <w:rPr>
          <w:rFonts w:cs="Arial"/>
        </w:rPr>
      </w:pPr>
      <w:r w:rsidRPr="00132F9E">
        <w:rPr>
          <w:rFonts w:cs="Arial"/>
        </w:rPr>
        <w:t>Prepared on Australian Accounting Standards basis.</w:t>
      </w:r>
    </w:p>
    <w:p w14:paraId="10CB6787" w14:textId="77777777" w:rsidR="0026795D" w:rsidRPr="00132F9E" w:rsidRDefault="0026795D" w:rsidP="0026795D">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4383DB07" w14:textId="77777777" w:rsidR="0026795D" w:rsidRDefault="0026795D" w:rsidP="0026795D">
      <w:pPr>
        <w:pStyle w:val="TableHeading"/>
        <w:rPr>
          <w:rFonts w:ascii="Times New Roman" w:hAnsi="Times New Roman"/>
        </w:rPr>
      </w:pPr>
      <w:r>
        <w:br w:type="page"/>
      </w:r>
      <w:r w:rsidRPr="00AD42E2">
        <w:t>Table 3.3: Departmental statement of changes in equity — summary of</w:t>
      </w:r>
      <w:r>
        <w:t xml:space="preserve"> movement (Budget year </w:t>
      </w:r>
      <w:r>
        <w:rPr>
          <w:lang w:val="en-AU"/>
        </w:rPr>
        <w:t>2022-23</w:t>
      </w:r>
      <w:r w:rsidRPr="00D30CBA">
        <w:t>)</w:t>
      </w: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14:paraId="34767037" w14:textId="75B58743" w:rsidR="0026795D" w:rsidRDefault="0026795D" w:rsidP="0026795D">
      <w:pPr>
        <w:pStyle w:val="TableGraphic"/>
      </w:pPr>
      <w:r>
        <w:fldChar w:fldCharType="end"/>
      </w:r>
      <w:r w:rsidRPr="002376AD">
        <w:t xml:space="preserve"> </w:t>
      </w:r>
      <w:r w:rsidR="00CC2BF7" w:rsidRPr="00CC2BF7">
        <w:rPr>
          <w:noProof/>
        </w:rPr>
        <w:drawing>
          <wp:inline distT="0" distB="0" distL="0" distR="0" wp14:anchorId="1FE6E02C" wp14:editId="033A7C0C">
            <wp:extent cx="4591050" cy="2733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591050" cy="2733675"/>
                    </a:xfrm>
                    <a:prstGeom prst="rect">
                      <a:avLst/>
                    </a:prstGeom>
                    <a:noFill/>
                    <a:ln>
                      <a:noFill/>
                    </a:ln>
                  </pic:spPr>
                </pic:pic>
              </a:graphicData>
            </a:graphic>
          </wp:inline>
        </w:drawing>
      </w:r>
    </w:p>
    <w:p w14:paraId="3EBBAB33" w14:textId="38392C4A" w:rsidR="0026795D" w:rsidRPr="00132F9E" w:rsidRDefault="0026795D" w:rsidP="0026795D">
      <w:pPr>
        <w:pStyle w:val="TableGraphic"/>
        <w:rPr>
          <w:rFonts w:ascii="Arial" w:hAnsi="Arial" w:cs="Arial"/>
          <w:sz w:val="16"/>
          <w:szCs w:val="16"/>
        </w:rPr>
      </w:pPr>
      <w:r w:rsidRPr="00D606C2">
        <w:rPr>
          <w:rFonts w:ascii="Arial" w:hAnsi="Arial" w:cs="Arial"/>
          <w:sz w:val="16"/>
        </w:rPr>
        <w:t>Prepared on Australian Accounting Standards basis</w:t>
      </w:r>
      <w:r w:rsidR="00DB7E0B">
        <w:rPr>
          <w:rFonts w:ascii="Arial" w:hAnsi="Arial" w:cs="Arial"/>
          <w:sz w:val="16"/>
        </w:rPr>
        <w:t>.</w:t>
      </w:r>
    </w:p>
    <w:p w14:paraId="5C667886" w14:textId="77777777" w:rsidR="0026795D" w:rsidRPr="00152B2B" w:rsidRDefault="0026795D" w:rsidP="0026795D"/>
    <w:p w14:paraId="622A853E" w14:textId="77777777" w:rsidR="0026795D" w:rsidRPr="00A00283" w:rsidRDefault="0026795D" w:rsidP="0026795D">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14469031" w14:textId="5A81A797" w:rsidR="0026795D" w:rsidRPr="00F10305" w:rsidRDefault="00591684" w:rsidP="0026795D">
      <w:pPr>
        <w:pStyle w:val="TableGraphic"/>
        <w:tabs>
          <w:tab w:val="left" w:pos="6237"/>
        </w:tabs>
      </w:pPr>
      <w:r w:rsidRPr="00591684">
        <w:rPr>
          <w:noProof/>
        </w:rPr>
        <w:drawing>
          <wp:inline distT="0" distB="0" distL="0" distR="0" wp14:anchorId="34B722D4" wp14:editId="1ADAE4A1">
            <wp:extent cx="4819650" cy="663892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819650" cy="6638925"/>
                    </a:xfrm>
                    <a:prstGeom prst="rect">
                      <a:avLst/>
                    </a:prstGeom>
                    <a:noFill/>
                    <a:ln>
                      <a:noFill/>
                    </a:ln>
                  </pic:spPr>
                </pic:pic>
              </a:graphicData>
            </a:graphic>
          </wp:inline>
        </w:drawing>
      </w:r>
    </w:p>
    <w:p w14:paraId="7B9D5714" w14:textId="77777777" w:rsidR="0026795D" w:rsidRPr="00132F9E" w:rsidRDefault="0026795D" w:rsidP="0026795D">
      <w:pPr>
        <w:pStyle w:val="TableGraphic"/>
        <w:rPr>
          <w:rFonts w:ascii="Arial" w:hAnsi="Arial" w:cs="Arial"/>
          <w:sz w:val="16"/>
          <w:szCs w:val="16"/>
        </w:rPr>
      </w:pPr>
      <w:r w:rsidRPr="00132F9E">
        <w:rPr>
          <w:rFonts w:ascii="Arial" w:hAnsi="Arial" w:cs="Arial"/>
          <w:sz w:val="16"/>
          <w:szCs w:val="16"/>
        </w:rPr>
        <w:t>Prepared on Australian Accounting Standards basis.</w:t>
      </w:r>
    </w:p>
    <w:p w14:paraId="5E229898" w14:textId="77777777" w:rsidR="0026795D" w:rsidRPr="00132F9E" w:rsidRDefault="0026795D" w:rsidP="0026795D">
      <w:pPr>
        <w:pStyle w:val="NoSpacing"/>
        <w:rPr>
          <w:rFonts w:ascii="Arial" w:hAnsi="Arial" w:cs="Arial"/>
          <w:sz w:val="16"/>
          <w:szCs w:val="16"/>
        </w:rPr>
      </w:pPr>
    </w:p>
    <w:p w14:paraId="7044E2A5" w14:textId="77777777" w:rsidR="0026795D" w:rsidRPr="00A00283" w:rsidRDefault="0026795D" w:rsidP="0026795D">
      <w:pPr>
        <w:pStyle w:val="TableHeading"/>
      </w:pPr>
      <w:r>
        <w:br w:type="page"/>
      </w:r>
      <w:r w:rsidRPr="00D30CBA">
        <w:t>Table</w:t>
      </w:r>
      <w:r>
        <w:t xml:space="preserve"> 3.5</w:t>
      </w:r>
      <w:r w:rsidRPr="00D30CBA">
        <w:t xml:space="preserve">: </w:t>
      </w:r>
      <w:r>
        <w:t>Departmental capital budget statement (for the period ended 30 June)</w:t>
      </w:r>
    </w:p>
    <w:p w14:paraId="1DB7D592" w14:textId="0656182D" w:rsidR="0026795D" w:rsidRDefault="00903DD4" w:rsidP="0026795D">
      <w:pPr>
        <w:pStyle w:val="TableGraphic"/>
      </w:pPr>
      <w:r w:rsidRPr="00903DD4">
        <w:rPr>
          <w:noProof/>
        </w:rPr>
        <w:drawing>
          <wp:inline distT="0" distB="0" distL="0" distR="0" wp14:anchorId="7E69D440" wp14:editId="36EEE864">
            <wp:extent cx="4819650" cy="20764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819650" cy="2076450"/>
                    </a:xfrm>
                    <a:prstGeom prst="rect">
                      <a:avLst/>
                    </a:prstGeom>
                    <a:noFill/>
                    <a:ln>
                      <a:noFill/>
                    </a:ln>
                  </pic:spPr>
                </pic:pic>
              </a:graphicData>
            </a:graphic>
          </wp:inline>
        </w:drawing>
      </w:r>
    </w:p>
    <w:p w14:paraId="3A370FF5" w14:textId="4A0DF305" w:rsidR="0026795D" w:rsidRPr="00DB7E0B" w:rsidRDefault="0026795D" w:rsidP="00DB7E0B">
      <w:pPr>
        <w:pStyle w:val="TableGraphic"/>
        <w:rPr>
          <w:rFonts w:ascii="Arial" w:hAnsi="Arial" w:cs="Arial"/>
          <w:sz w:val="16"/>
          <w:szCs w:val="16"/>
        </w:rPr>
      </w:pPr>
      <w:r w:rsidRPr="00132F9E">
        <w:rPr>
          <w:rFonts w:ascii="Arial" w:hAnsi="Arial" w:cs="Arial"/>
          <w:sz w:val="16"/>
          <w:szCs w:val="16"/>
        </w:rPr>
        <w:t>Prepared on Australian Accounting Standards basis.</w:t>
      </w:r>
    </w:p>
    <w:p w14:paraId="0C52352A" w14:textId="0CEF0EAD" w:rsidR="0026795D" w:rsidRPr="000F37E6" w:rsidRDefault="0026795D" w:rsidP="00091F80">
      <w:pPr>
        <w:pStyle w:val="ChartandTableFootnoteAlpha"/>
        <w:numPr>
          <w:ilvl w:val="0"/>
          <w:numId w:val="50"/>
        </w:numPr>
        <w:spacing w:after="20"/>
      </w:pPr>
      <w:r>
        <w:t xml:space="preserve">Includes the following </w:t>
      </w:r>
      <w:r w:rsidR="00DB7E0B">
        <w:t xml:space="preserve">sources of funding: current Bill 1 appropriations, and internally developed assets. </w:t>
      </w:r>
    </w:p>
    <w:p w14:paraId="48CE3997" w14:textId="77777777" w:rsidR="0026795D" w:rsidRDefault="0026795D" w:rsidP="0026795D">
      <w:pPr>
        <w:pStyle w:val="NoSpacing"/>
      </w:pPr>
    </w:p>
    <w:p w14:paraId="2A842B93" w14:textId="77777777" w:rsidR="0026795D" w:rsidRDefault="0026795D" w:rsidP="0026795D">
      <w:pPr>
        <w:spacing w:after="0" w:line="240" w:lineRule="auto"/>
        <w:jc w:val="left"/>
      </w:pPr>
      <w:r>
        <w:br w:type="page"/>
      </w:r>
    </w:p>
    <w:p w14:paraId="2B887873" w14:textId="77777777" w:rsidR="0026795D" w:rsidRDefault="0026795D" w:rsidP="0026795D">
      <w:pPr>
        <w:pStyle w:val="TableHeading"/>
      </w:pPr>
      <w:r w:rsidRPr="00B31EE8">
        <w:t>Table 3.6: Statement of departmental asset movements (Budget year 2022-23</w:t>
      </w:r>
      <w:r>
        <w:t>)</w:t>
      </w:r>
    </w:p>
    <w:p w14:paraId="2D81A9A6" w14:textId="422B2E30" w:rsidR="0026795D" w:rsidRPr="00470CE8" w:rsidRDefault="00833408" w:rsidP="0026795D">
      <w:pPr>
        <w:pStyle w:val="TableGraphic"/>
        <w:rPr>
          <w:color w:val="000000" w:themeColor="text1"/>
          <w:lang w:eastAsia="x-none"/>
        </w:rPr>
      </w:pPr>
      <w:r w:rsidRPr="00470CE8">
        <w:rPr>
          <w:color w:val="000000" w:themeColor="text1"/>
        </w:rPr>
        <w:t xml:space="preserve"> </w:t>
      </w:r>
      <w:r w:rsidR="00903DD4" w:rsidRPr="00903DD4">
        <w:rPr>
          <w:noProof/>
        </w:rPr>
        <w:drawing>
          <wp:inline distT="0" distB="0" distL="0" distR="0" wp14:anchorId="6938384E" wp14:editId="483E031E">
            <wp:extent cx="4895850" cy="4590415"/>
            <wp:effectExtent l="0" t="0" r="0" b="63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895850" cy="4590415"/>
                    </a:xfrm>
                    <a:prstGeom prst="rect">
                      <a:avLst/>
                    </a:prstGeom>
                    <a:noFill/>
                    <a:ln>
                      <a:noFill/>
                    </a:ln>
                  </pic:spPr>
                </pic:pic>
              </a:graphicData>
            </a:graphic>
          </wp:inline>
        </w:drawing>
      </w:r>
    </w:p>
    <w:p w14:paraId="5C21DE3C" w14:textId="77777777" w:rsidR="0026795D" w:rsidRPr="002E5D24" w:rsidRDefault="0026795D" w:rsidP="0026795D">
      <w:pPr>
        <w:pStyle w:val="ChartandTableFootnote"/>
      </w:pPr>
      <w:r w:rsidRPr="00132F9E">
        <w:t>Prepared on Australian Accounting Standards basis.</w:t>
      </w:r>
    </w:p>
    <w:p w14:paraId="2CE86072" w14:textId="537442B2" w:rsidR="0026795D" w:rsidRPr="00833408" w:rsidRDefault="0026795D" w:rsidP="00091F80">
      <w:pPr>
        <w:pStyle w:val="ChartandTableFootnoteAlpha"/>
        <w:numPr>
          <w:ilvl w:val="0"/>
          <w:numId w:val="54"/>
        </w:numPr>
        <w:rPr>
          <w:rFonts w:cs="Arial"/>
          <w:szCs w:val="16"/>
        </w:rPr>
      </w:pPr>
      <w:r w:rsidRPr="00833408">
        <w:rPr>
          <w:rFonts w:cs="Arial"/>
          <w:szCs w:val="16"/>
        </w:rPr>
        <w:t xml:space="preserve">‘Appropriation ordinary annual services’ refers to funding provided through Appropriation Bill (No. 1) </w:t>
      </w:r>
      <w:r w:rsidR="00470CE8">
        <w:rPr>
          <w:rFonts w:cs="Arial"/>
          <w:szCs w:val="16"/>
        </w:rPr>
        <w:br/>
      </w:r>
      <w:r w:rsidRPr="00833408">
        <w:rPr>
          <w:rFonts w:cs="Arial"/>
          <w:szCs w:val="16"/>
        </w:rPr>
        <w:t>2022-23 for depreciation/amortisation expenses, DCBs or other operational expenses.</w:t>
      </w:r>
    </w:p>
    <w:p w14:paraId="4EACBA78" w14:textId="77777777" w:rsidR="0026795D" w:rsidRPr="005C474C" w:rsidRDefault="0026795D" w:rsidP="0026795D">
      <w:pPr>
        <w:rPr>
          <w:lang w:val="x-none"/>
        </w:rPr>
      </w:pPr>
    </w:p>
    <w:p w14:paraId="537A5E97" w14:textId="77777777" w:rsidR="0026795D" w:rsidRPr="005B6A94" w:rsidRDefault="0026795D" w:rsidP="0026795D">
      <w:pPr>
        <w:pStyle w:val="ExampleText0"/>
        <w:rPr>
          <w:i w:val="0"/>
        </w:rPr>
        <w:sectPr w:rsidR="0026795D" w:rsidRPr="005B6A94" w:rsidSect="00503FD8">
          <w:headerReference w:type="even" r:id="rId199"/>
          <w:headerReference w:type="default" r:id="rId200"/>
          <w:footerReference w:type="even" r:id="rId201"/>
          <w:footerReference w:type="default" r:id="rId202"/>
          <w:headerReference w:type="first" r:id="rId203"/>
          <w:footerReference w:type="first" r:id="rId204"/>
          <w:pgSz w:w="11906" w:h="16838" w:code="9"/>
          <w:pgMar w:top="2835" w:right="2098" w:bottom="2466" w:left="2098" w:header="1814" w:footer="1814" w:gutter="0"/>
          <w:cols w:space="708"/>
          <w:titlePg/>
          <w:docGrid w:linePitch="360"/>
        </w:sectPr>
      </w:pPr>
    </w:p>
    <w:p w14:paraId="1A3CCAF2" w14:textId="77777777" w:rsidR="00C41D55" w:rsidRPr="00834F9A" w:rsidRDefault="000C3B86" w:rsidP="00834F9A">
      <w:pPr>
        <w:pStyle w:val="Heading1"/>
      </w:pPr>
      <w:bookmarkStart w:id="428" w:name="_Toc95217549"/>
      <w:r w:rsidRPr="00834F9A">
        <w:t>Portfolio glossary</w:t>
      </w:r>
      <w:bookmarkEnd w:id="139"/>
      <w:bookmarkEnd w:id="140"/>
      <w:bookmarkEnd w:id="428"/>
    </w:p>
    <w:tbl>
      <w:tblPr>
        <w:tblW w:w="0" w:type="auto"/>
        <w:tblLook w:val="01E0" w:firstRow="1" w:lastRow="1" w:firstColumn="1" w:lastColumn="1" w:noHBand="0" w:noVBand="0"/>
      </w:tblPr>
      <w:tblGrid>
        <w:gridCol w:w="2869"/>
        <w:gridCol w:w="4841"/>
      </w:tblGrid>
      <w:tr w:rsidR="000E6DDB" w14:paraId="085A9E59" w14:textId="77777777" w:rsidTr="007D44E9">
        <w:trPr>
          <w:tblHeader/>
        </w:trPr>
        <w:tc>
          <w:tcPr>
            <w:tcW w:w="2869" w:type="dxa"/>
          </w:tcPr>
          <w:p w14:paraId="70F09F90" w14:textId="77777777" w:rsidR="000E6DDB" w:rsidRDefault="000E6DDB" w:rsidP="00146B5E">
            <w:pPr>
              <w:pStyle w:val="TableColumnHeadingLeft"/>
            </w:pPr>
            <w:r>
              <w:t>Term</w:t>
            </w:r>
          </w:p>
        </w:tc>
        <w:tc>
          <w:tcPr>
            <w:tcW w:w="4841" w:type="dxa"/>
          </w:tcPr>
          <w:p w14:paraId="5A263F63" w14:textId="77777777" w:rsidR="000E6DDB" w:rsidRDefault="000E6DDB" w:rsidP="00146B5E">
            <w:pPr>
              <w:pStyle w:val="TableColumnHeadingLeft"/>
            </w:pPr>
            <w:r>
              <w:t>Meaning</w:t>
            </w:r>
          </w:p>
        </w:tc>
      </w:tr>
      <w:tr w:rsidR="007D44E9" w14:paraId="66A03F8A"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07BEDB09"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Accrual accounting</w:t>
            </w:r>
          </w:p>
        </w:tc>
        <w:tc>
          <w:tcPr>
            <w:tcW w:w="4841" w:type="dxa"/>
            <w:tcBorders>
              <w:top w:val="nil"/>
              <w:left w:val="nil"/>
              <w:bottom w:val="nil"/>
              <w:right w:val="nil"/>
            </w:tcBorders>
            <w:hideMark/>
          </w:tcPr>
          <w:p w14:paraId="3FE59C0C"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System of accounting where items are brought to account and included in the financial statements as they are earned or incurred, rather than as they are received or paid. </w:t>
            </w:r>
          </w:p>
        </w:tc>
      </w:tr>
      <w:tr w:rsidR="007D44E9" w14:paraId="0655AC1C"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2CB28067"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Accumulated depreciation</w:t>
            </w:r>
          </w:p>
        </w:tc>
        <w:tc>
          <w:tcPr>
            <w:tcW w:w="4841" w:type="dxa"/>
            <w:tcBorders>
              <w:top w:val="nil"/>
              <w:left w:val="nil"/>
              <w:bottom w:val="nil"/>
              <w:right w:val="nil"/>
            </w:tcBorders>
            <w:hideMark/>
          </w:tcPr>
          <w:p w14:paraId="56F4BF24"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The aggregate depreciation recorded for a particular depreciating asset.</w:t>
            </w:r>
          </w:p>
        </w:tc>
      </w:tr>
      <w:tr w:rsidR="007D44E9" w14:paraId="159498C5"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1FB87475"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Additional Estimates </w:t>
            </w:r>
          </w:p>
        </w:tc>
        <w:tc>
          <w:tcPr>
            <w:tcW w:w="4841" w:type="dxa"/>
            <w:tcBorders>
              <w:top w:val="nil"/>
              <w:left w:val="nil"/>
              <w:bottom w:val="nil"/>
              <w:right w:val="nil"/>
            </w:tcBorders>
            <w:hideMark/>
          </w:tcPr>
          <w:p w14:paraId="02586E85"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Where amounts appropriated at Budget time are insufficient, Parliament may appropriate more funds to portfolios through the Additional Estimates Acts. </w:t>
            </w:r>
          </w:p>
        </w:tc>
      </w:tr>
      <w:tr w:rsidR="007D44E9" w14:paraId="274E5580"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00B576BE"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Administered</w:t>
            </w:r>
          </w:p>
        </w:tc>
        <w:tc>
          <w:tcPr>
            <w:tcW w:w="4841" w:type="dxa"/>
            <w:tcBorders>
              <w:top w:val="nil"/>
              <w:left w:val="nil"/>
              <w:bottom w:val="nil"/>
              <w:right w:val="nil"/>
            </w:tcBorders>
            <w:hideMark/>
          </w:tcPr>
          <w:p w14:paraId="4C9911D7"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Revenues, expenses, assets or liabilities managed by agencies on behalf of the Commonwealth.  Agencies do not control administered items.  Administered expenses include grants, subsidies and benefits.  In many cases, administered expenses fund the delivery of third-party outputs.</w:t>
            </w:r>
          </w:p>
        </w:tc>
      </w:tr>
      <w:tr w:rsidR="007D44E9" w14:paraId="3E271CA2"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0332E020"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Annual appropriation</w:t>
            </w:r>
          </w:p>
        </w:tc>
        <w:tc>
          <w:tcPr>
            <w:tcW w:w="4841" w:type="dxa"/>
            <w:tcBorders>
              <w:top w:val="nil"/>
              <w:left w:val="nil"/>
              <w:bottom w:val="nil"/>
              <w:right w:val="nil"/>
            </w:tcBorders>
            <w:hideMark/>
          </w:tcPr>
          <w:p w14:paraId="51CCF02F"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7D44E9" w14:paraId="5C4AB590"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7D82505C"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Appropriation</w:t>
            </w:r>
          </w:p>
        </w:tc>
        <w:tc>
          <w:tcPr>
            <w:tcW w:w="4841" w:type="dxa"/>
            <w:tcBorders>
              <w:top w:val="nil"/>
              <w:left w:val="nil"/>
              <w:bottom w:val="nil"/>
              <w:right w:val="nil"/>
            </w:tcBorders>
            <w:hideMark/>
          </w:tcPr>
          <w:p w14:paraId="0B51CDA4"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An authorisation by Parliament to spend monies from the Consolidated Revenue Fund for a particular purpose.</w:t>
            </w:r>
          </w:p>
        </w:tc>
      </w:tr>
      <w:tr w:rsidR="007D44E9" w14:paraId="2F7C0F7D"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39243CDD"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Capital expenditure</w:t>
            </w:r>
          </w:p>
        </w:tc>
        <w:tc>
          <w:tcPr>
            <w:tcW w:w="4841" w:type="dxa"/>
            <w:tcBorders>
              <w:top w:val="nil"/>
              <w:left w:val="nil"/>
              <w:bottom w:val="nil"/>
              <w:right w:val="nil"/>
            </w:tcBorders>
            <w:hideMark/>
          </w:tcPr>
          <w:p w14:paraId="3E3FC52C"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Expenditure by an agency on capital projects, for example purchasing a building.</w:t>
            </w:r>
          </w:p>
        </w:tc>
      </w:tr>
      <w:tr w:rsidR="007D44E9" w14:paraId="0B1813FE"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456AF478"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Consolidated Revenue Fund</w:t>
            </w:r>
          </w:p>
        </w:tc>
        <w:tc>
          <w:tcPr>
            <w:tcW w:w="4841" w:type="dxa"/>
            <w:tcBorders>
              <w:top w:val="nil"/>
              <w:left w:val="nil"/>
              <w:bottom w:val="nil"/>
              <w:right w:val="nil"/>
            </w:tcBorders>
            <w:hideMark/>
          </w:tcPr>
          <w:p w14:paraId="33317311"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Section 81 of the Constitution stipulates that all revenue raised, or money received by the Commonwealth forms the one consolidated revenue fund (CRF).  </w:t>
            </w:r>
          </w:p>
        </w:tc>
      </w:tr>
      <w:tr w:rsidR="007D44E9" w14:paraId="6D8C98F4"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35C3AF52"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Departmental</w:t>
            </w:r>
          </w:p>
        </w:tc>
        <w:tc>
          <w:tcPr>
            <w:tcW w:w="4841" w:type="dxa"/>
            <w:tcBorders>
              <w:top w:val="nil"/>
              <w:left w:val="nil"/>
              <w:bottom w:val="nil"/>
              <w:right w:val="nil"/>
            </w:tcBorders>
            <w:hideMark/>
          </w:tcPr>
          <w:p w14:paraId="2F29B189"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Revenue, expenses, assets and liabilities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7D44E9" w14:paraId="63C6D9EB" w14:textId="77777777" w:rsidTr="007D4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45D4ADB8"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Depreciation</w:t>
            </w:r>
          </w:p>
        </w:tc>
        <w:tc>
          <w:tcPr>
            <w:tcW w:w="4841" w:type="dxa"/>
            <w:tcBorders>
              <w:top w:val="nil"/>
              <w:left w:val="nil"/>
              <w:bottom w:val="nil"/>
              <w:right w:val="nil"/>
            </w:tcBorders>
            <w:hideMark/>
          </w:tcPr>
          <w:p w14:paraId="0B194709" w14:textId="41A403B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Apportionment of an asset’s capital value as an expense over its estimated useful life to take account of normal usage, obsolescence, or the passage of time.</w:t>
            </w:r>
          </w:p>
        </w:tc>
      </w:tr>
    </w:tbl>
    <w:p w14:paraId="3AA8B11F" w14:textId="4E8128E9" w:rsidR="00C67CD1" w:rsidRDefault="00C67CD1"/>
    <w:p w14:paraId="4C0B6489" w14:textId="77777777" w:rsidR="00C67CD1" w:rsidRDefault="00C67CD1">
      <w:pPr>
        <w:spacing w:after="0" w:line="240" w:lineRule="auto"/>
        <w:jc w:val="left"/>
      </w:pPr>
      <w: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9"/>
        <w:gridCol w:w="4841"/>
      </w:tblGrid>
      <w:tr w:rsidR="00C67CD1" w14:paraId="3E4C81DD" w14:textId="77777777" w:rsidTr="00C67CD1">
        <w:tc>
          <w:tcPr>
            <w:tcW w:w="2869" w:type="dxa"/>
            <w:tcBorders>
              <w:top w:val="nil"/>
              <w:left w:val="nil"/>
              <w:bottom w:val="nil"/>
              <w:right w:val="nil"/>
            </w:tcBorders>
            <w:hideMark/>
          </w:tcPr>
          <w:p w14:paraId="14E8ED8F" w14:textId="77777777" w:rsidR="00C67CD1" w:rsidRPr="00C67CD1" w:rsidRDefault="00C67CD1" w:rsidP="00C67CD1">
            <w:pPr>
              <w:pStyle w:val="TableColumnHeadingLeft"/>
            </w:pPr>
            <w:r w:rsidRPr="00C67CD1">
              <w:t>Term</w:t>
            </w:r>
          </w:p>
        </w:tc>
        <w:tc>
          <w:tcPr>
            <w:tcW w:w="4841" w:type="dxa"/>
            <w:tcBorders>
              <w:top w:val="nil"/>
              <w:left w:val="nil"/>
              <w:bottom w:val="nil"/>
              <w:right w:val="nil"/>
            </w:tcBorders>
            <w:hideMark/>
          </w:tcPr>
          <w:p w14:paraId="46EE47FD" w14:textId="77777777" w:rsidR="00C67CD1" w:rsidRPr="00C67CD1" w:rsidRDefault="00C67CD1" w:rsidP="00C67CD1">
            <w:pPr>
              <w:pStyle w:val="TableColumnHeadingLeft"/>
            </w:pPr>
            <w:r w:rsidRPr="00C67CD1">
              <w:t>Meaning</w:t>
            </w:r>
          </w:p>
        </w:tc>
      </w:tr>
      <w:tr w:rsidR="007D44E9" w14:paraId="47AEC036" w14:textId="77777777" w:rsidTr="007D44E9">
        <w:tc>
          <w:tcPr>
            <w:tcW w:w="2869" w:type="dxa"/>
            <w:tcBorders>
              <w:top w:val="nil"/>
              <w:left w:val="nil"/>
              <w:bottom w:val="nil"/>
              <w:right w:val="nil"/>
            </w:tcBorders>
            <w:hideMark/>
          </w:tcPr>
          <w:p w14:paraId="5EA2E84E"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Effectiveness indicators</w:t>
            </w:r>
          </w:p>
        </w:tc>
        <w:tc>
          <w:tcPr>
            <w:tcW w:w="4841" w:type="dxa"/>
            <w:tcBorders>
              <w:top w:val="nil"/>
              <w:left w:val="nil"/>
              <w:bottom w:val="nil"/>
              <w:right w:val="nil"/>
            </w:tcBorders>
            <w:hideMark/>
          </w:tcPr>
          <w:p w14:paraId="2AB6F3AB"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Measure the joint or independent contribution of programs to the achievement of their specified outcome.</w:t>
            </w:r>
          </w:p>
        </w:tc>
      </w:tr>
      <w:tr w:rsidR="007D44E9" w14:paraId="351E0E61" w14:textId="77777777" w:rsidTr="007D44E9">
        <w:tc>
          <w:tcPr>
            <w:tcW w:w="2869" w:type="dxa"/>
            <w:tcBorders>
              <w:top w:val="nil"/>
              <w:left w:val="nil"/>
              <w:bottom w:val="nil"/>
              <w:right w:val="nil"/>
            </w:tcBorders>
            <w:hideMark/>
          </w:tcPr>
          <w:p w14:paraId="1610B056"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Efficiency indicators</w:t>
            </w:r>
          </w:p>
        </w:tc>
        <w:tc>
          <w:tcPr>
            <w:tcW w:w="4841" w:type="dxa"/>
            <w:tcBorders>
              <w:top w:val="nil"/>
              <w:left w:val="nil"/>
              <w:bottom w:val="nil"/>
              <w:right w:val="nil"/>
            </w:tcBorders>
            <w:hideMark/>
          </w:tcPr>
          <w:p w14:paraId="1949891E"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Measure the adequacy of an agency’s management of its programs. Includes price, quality and quantity indicators. The interrelationship between the three efficiency indicators of any one program should be considered when judging efficiency.</w:t>
            </w:r>
          </w:p>
        </w:tc>
      </w:tr>
      <w:tr w:rsidR="007D44E9" w14:paraId="21AA3EBA" w14:textId="77777777" w:rsidTr="007D44E9">
        <w:tc>
          <w:tcPr>
            <w:tcW w:w="2869" w:type="dxa"/>
            <w:tcBorders>
              <w:top w:val="nil"/>
              <w:left w:val="nil"/>
              <w:bottom w:val="nil"/>
              <w:right w:val="nil"/>
            </w:tcBorders>
            <w:hideMark/>
          </w:tcPr>
          <w:p w14:paraId="5D1A67D8"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Equity or net assets</w:t>
            </w:r>
          </w:p>
        </w:tc>
        <w:tc>
          <w:tcPr>
            <w:tcW w:w="4841" w:type="dxa"/>
            <w:tcBorders>
              <w:top w:val="nil"/>
              <w:left w:val="nil"/>
              <w:bottom w:val="nil"/>
              <w:right w:val="nil"/>
            </w:tcBorders>
            <w:hideMark/>
          </w:tcPr>
          <w:p w14:paraId="590EA3AE"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Residual interest in the assets of an entity after deduction of its liabilities.</w:t>
            </w:r>
          </w:p>
        </w:tc>
      </w:tr>
      <w:tr w:rsidR="007D44E9" w14:paraId="5380A00A" w14:textId="77777777" w:rsidTr="007D44E9">
        <w:tc>
          <w:tcPr>
            <w:tcW w:w="2869" w:type="dxa"/>
            <w:tcBorders>
              <w:top w:val="nil"/>
              <w:left w:val="nil"/>
              <w:bottom w:val="nil"/>
              <w:right w:val="nil"/>
            </w:tcBorders>
            <w:hideMark/>
          </w:tcPr>
          <w:p w14:paraId="1B352A5B"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Expense </w:t>
            </w:r>
          </w:p>
        </w:tc>
        <w:tc>
          <w:tcPr>
            <w:tcW w:w="4841" w:type="dxa"/>
            <w:tcBorders>
              <w:top w:val="nil"/>
              <w:left w:val="nil"/>
              <w:bottom w:val="nil"/>
              <w:right w:val="nil"/>
            </w:tcBorders>
            <w:hideMark/>
          </w:tcPr>
          <w:p w14:paraId="61A6B528"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Total value of all the resources consumed in producing goods and services or the loss of future economic benefits in the form of reductions in assets or increases in liabilities of an entity.</w:t>
            </w:r>
          </w:p>
        </w:tc>
      </w:tr>
      <w:tr w:rsidR="007D44E9" w14:paraId="72575480" w14:textId="77777777" w:rsidTr="007D44E9">
        <w:tc>
          <w:tcPr>
            <w:tcW w:w="2869" w:type="dxa"/>
            <w:tcBorders>
              <w:top w:val="nil"/>
              <w:left w:val="nil"/>
              <w:bottom w:val="nil"/>
              <w:right w:val="nil"/>
            </w:tcBorders>
            <w:hideMark/>
          </w:tcPr>
          <w:p w14:paraId="088877AD"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Fair value</w:t>
            </w:r>
          </w:p>
        </w:tc>
        <w:tc>
          <w:tcPr>
            <w:tcW w:w="4841" w:type="dxa"/>
            <w:tcBorders>
              <w:top w:val="nil"/>
              <w:left w:val="nil"/>
              <w:bottom w:val="nil"/>
              <w:right w:val="nil"/>
            </w:tcBorders>
            <w:hideMark/>
          </w:tcPr>
          <w:p w14:paraId="7663EBBB"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7D44E9" w14:paraId="6ADA4A07" w14:textId="77777777" w:rsidTr="007D44E9">
        <w:tc>
          <w:tcPr>
            <w:tcW w:w="2869" w:type="dxa"/>
            <w:tcBorders>
              <w:top w:val="nil"/>
              <w:left w:val="nil"/>
              <w:bottom w:val="nil"/>
              <w:right w:val="nil"/>
            </w:tcBorders>
            <w:hideMark/>
          </w:tcPr>
          <w:p w14:paraId="1B519E2D"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Operating result</w:t>
            </w:r>
          </w:p>
        </w:tc>
        <w:tc>
          <w:tcPr>
            <w:tcW w:w="4841" w:type="dxa"/>
            <w:tcBorders>
              <w:top w:val="nil"/>
              <w:left w:val="nil"/>
              <w:bottom w:val="nil"/>
              <w:right w:val="nil"/>
            </w:tcBorders>
            <w:hideMark/>
          </w:tcPr>
          <w:p w14:paraId="252DD893"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Equals revenue less expense.</w:t>
            </w:r>
          </w:p>
        </w:tc>
      </w:tr>
      <w:tr w:rsidR="007D44E9" w14:paraId="5AC2B085" w14:textId="77777777" w:rsidTr="007D44E9">
        <w:tc>
          <w:tcPr>
            <w:tcW w:w="2869" w:type="dxa"/>
            <w:tcBorders>
              <w:top w:val="nil"/>
              <w:left w:val="nil"/>
              <w:bottom w:val="nil"/>
              <w:right w:val="nil"/>
            </w:tcBorders>
            <w:hideMark/>
          </w:tcPr>
          <w:p w14:paraId="5356EB73"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Outcomes</w:t>
            </w:r>
          </w:p>
        </w:tc>
        <w:tc>
          <w:tcPr>
            <w:tcW w:w="4841" w:type="dxa"/>
            <w:tcBorders>
              <w:top w:val="nil"/>
              <w:left w:val="nil"/>
              <w:bottom w:val="nil"/>
              <w:right w:val="nil"/>
            </w:tcBorders>
            <w:hideMark/>
          </w:tcPr>
          <w:p w14:paraId="48936CD3"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The Government’s objectives in each portfolio area.  Outcomes are desired results, impacts or consequences for the Australian community as influenced by the actions of the Australian Government.  Actual outcomes are assessments of the end results or impacts </w:t>
            </w:r>
            <w:proofErr w:type="gramStart"/>
            <w:r w:rsidRPr="007D44E9">
              <w:rPr>
                <w:rFonts w:ascii="Arial" w:hAnsi="Arial" w:cs="Arial"/>
                <w:bCs/>
                <w:color w:val="000000"/>
                <w:sz w:val="18"/>
                <w:szCs w:val="18"/>
              </w:rPr>
              <w:t>actually achieved</w:t>
            </w:r>
            <w:proofErr w:type="gramEnd"/>
            <w:r w:rsidRPr="007D44E9">
              <w:rPr>
                <w:rFonts w:ascii="Arial" w:hAnsi="Arial" w:cs="Arial"/>
                <w:bCs/>
                <w:color w:val="000000"/>
                <w:sz w:val="18"/>
                <w:szCs w:val="18"/>
              </w:rPr>
              <w:t>.</w:t>
            </w:r>
          </w:p>
        </w:tc>
      </w:tr>
      <w:tr w:rsidR="007D44E9" w14:paraId="360A9751" w14:textId="77777777" w:rsidTr="007D44E9">
        <w:tc>
          <w:tcPr>
            <w:tcW w:w="2869" w:type="dxa"/>
            <w:tcBorders>
              <w:top w:val="nil"/>
              <w:left w:val="nil"/>
              <w:bottom w:val="nil"/>
              <w:right w:val="nil"/>
            </w:tcBorders>
            <w:hideMark/>
          </w:tcPr>
          <w:p w14:paraId="79FABE4C"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Price</w:t>
            </w:r>
          </w:p>
        </w:tc>
        <w:tc>
          <w:tcPr>
            <w:tcW w:w="4841" w:type="dxa"/>
            <w:tcBorders>
              <w:top w:val="nil"/>
              <w:left w:val="nil"/>
              <w:bottom w:val="nil"/>
              <w:right w:val="nil"/>
            </w:tcBorders>
            <w:hideMark/>
          </w:tcPr>
          <w:p w14:paraId="23635D9A"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One of the three key efficiency indicators.  The amount the Government or the community pays for the delivery of programs.</w:t>
            </w:r>
          </w:p>
        </w:tc>
      </w:tr>
      <w:tr w:rsidR="007D44E9" w14:paraId="6DA7405D" w14:textId="77777777" w:rsidTr="007D44E9">
        <w:tc>
          <w:tcPr>
            <w:tcW w:w="2869" w:type="dxa"/>
            <w:tcBorders>
              <w:top w:val="nil"/>
              <w:left w:val="nil"/>
              <w:bottom w:val="nil"/>
              <w:right w:val="nil"/>
            </w:tcBorders>
            <w:hideMark/>
          </w:tcPr>
          <w:p w14:paraId="4F5BC502"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Program</w:t>
            </w:r>
          </w:p>
        </w:tc>
        <w:tc>
          <w:tcPr>
            <w:tcW w:w="4841" w:type="dxa"/>
            <w:tcBorders>
              <w:top w:val="nil"/>
              <w:left w:val="nil"/>
              <w:bottom w:val="nil"/>
              <w:right w:val="nil"/>
            </w:tcBorders>
            <w:hideMark/>
          </w:tcPr>
          <w:p w14:paraId="0EA1BB9D" w14:textId="0325373A"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 xml:space="preserve">Activity that delivers benefits, services or transfer payments to individuals, industry and/or the </w:t>
            </w:r>
            <w:proofErr w:type="gramStart"/>
            <w:r w:rsidRPr="007D44E9">
              <w:rPr>
                <w:rFonts w:ascii="Arial" w:hAnsi="Arial" w:cs="Arial"/>
                <w:bCs/>
                <w:color w:val="000000"/>
                <w:sz w:val="18"/>
                <w:szCs w:val="18"/>
              </w:rPr>
              <w:t>community as a whole, with</w:t>
            </w:r>
            <w:proofErr w:type="gramEnd"/>
            <w:r w:rsidRPr="007D44E9">
              <w:rPr>
                <w:rFonts w:ascii="Arial" w:hAnsi="Arial" w:cs="Arial"/>
                <w:bCs/>
                <w:color w:val="000000"/>
                <w:sz w:val="18"/>
                <w:szCs w:val="18"/>
              </w:rPr>
              <w:t xml:space="preserve"> the aim of achieving the intended result specified in an outcome statement.</w:t>
            </w:r>
          </w:p>
        </w:tc>
      </w:tr>
      <w:tr w:rsidR="007D44E9" w14:paraId="5BC6D0DF" w14:textId="77777777" w:rsidTr="007D44E9">
        <w:tc>
          <w:tcPr>
            <w:tcW w:w="2869" w:type="dxa"/>
            <w:tcBorders>
              <w:top w:val="nil"/>
              <w:left w:val="nil"/>
              <w:bottom w:val="nil"/>
              <w:right w:val="nil"/>
            </w:tcBorders>
            <w:hideMark/>
          </w:tcPr>
          <w:p w14:paraId="445D10D1"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Quality</w:t>
            </w:r>
          </w:p>
        </w:tc>
        <w:tc>
          <w:tcPr>
            <w:tcW w:w="4841" w:type="dxa"/>
            <w:tcBorders>
              <w:top w:val="nil"/>
              <w:left w:val="nil"/>
              <w:bottom w:val="nil"/>
              <w:right w:val="nil"/>
            </w:tcBorders>
            <w:hideMark/>
          </w:tcPr>
          <w:p w14:paraId="415B0475"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One of the three key efficiency indicators.  Relates to the characteristics by which customers or stakeholders judge an organisation, product or service.  Assessment of quality involves use of information gathered from interested parties to identify differences between the user’s expectations and experiences.</w:t>
            </w:r>
          </w:p>
        </w:tc>
      </w:tr>
    </w:tbl>
    <w:p w14:paraId="21804264" w14:textId="77777777" w:rsidR="00C67CD1" w:rsidRDefault="00C67CD1">
      <w:pPr>
        <w:spacing w:after="0" w:line="240" w:lineRule="auto"/>
        <w:jc w:val="left"/>
      </w:pPr>
      <w: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9"/>
        <w:gridCol w:w="4841"/>
      </w:tblGrid>
      <w:tr w:rsidR="00C67CD1" w14:paraId="516AED22" w14:textId="77777777" w:rsidTr="00C67CD1">
        <w:tc>
          <w:tcPr>
            <w:tcW w:w="2869" w:type="dxa"/>
            <w:tcBorders>
              <w:top w:val="nil"/>
              <w:left w:val="nil"/>
              <w:bottom w:val="nil"/>
              <w:right w:val="nil"/>
            </w:tcBorders>
            <w:hideMark/>
          </w:tcPr>
          <w:p w14:paraId="59ADC4CA" w14:textId="77777777" w:rsidR="00C67CD1" w:rsidRPr="00C67CD1" w:rsidRDefault="00C67CD1" w:rsidP="00C67CD1">
            <w:pPr>
              <w:pStyle w:val="TableColumnHeadingLeft"/>
            </w:pPr>
            <w:r w:rsidRPr="00C67CD1">
              <w:t>Term</w:t>
            </w:r>
          </w:p>
        </w:tc>
        <w:tc>
          <w:tcPr>
            <w:tcW w:w="4841" w:type="dxa"/>
            <w:tcBorders>
              <w:top w:val="nil"/>
              <w:left w:val="nil"/>
              <w:bottom w:val="nil"/>
              <w:right w:val="nil"/>
            </w:tcBorders>
            <w:hideMark/>
          </w:tcPr>
          <w:p w14:paraId="7A63601B" w14:textId="77777777" w:rsidR="00C67CD1" w:rsidRPr="00C67CD1" w:rsidRDefault="00C67CD1" w:rsidP="00C67CD1">
            <w:pPr>
              <w:pStyle w:val="TableColumnHeadingLeft"/>
            </w:pPr>
            <w:r w:rsidRPr="00C67CD1">
              <w:t>Meaning</w:t>
            </w:r>
          </w:p>
        </w:tc>
      </w:tr>
      <w:tr w:rsidR="007D44E9" w14:paraId="52494C84" w14:textId="77777777" w:rsidTr="007D44E9">
        <w:tc>
          <w:tcPr>
            <w:tcW w:w="2869" w:type="dxa"/>
            <w:tcBorders>
              <w:top w:val="nil"/>
              <w:left w:val="nil"/>
              <w:bottom w:val="nil"/>
              <w:right w:val="nil"/>
            </w:tcBorders>
            <w:hideMark/>
          </w:tcPr>
          <w:p w14:paraId="7547E914"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Quantity</w:t>
            </w:r>
          </w:p>
        </w:tc>
        <w:tc>
          <w:tcPr>
            <w:tcW w:w="4841" w:type="dxa"/>
            <w:tcBorders>
              <w:top w:val="nil"/>
              <w:left w:val="nil"/>
              <w:bottom w:val="nil"/>
              <w:right w:val="nil"/>
            </w:tcBorders>
            <w:hideMark/>
          </w:tcPr>
          <w:p w14:paraId="62C59DF3"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One of the three key efficiency indicators.  Examples include: the size of a program; count or volume measures; how many or how much.</w:t>
            </w:r>
          </w:p>
        </w:tc>
      </w:tr>
      <w:tr w:rsidR="007D44E9" w14:paraId="1332AB91" w14:textId="77777777" w:rsidTr="007D44E9">
        <w:tc>
          <w:tcPr>
            <w:tcW w:w="2869" w:type="dxa"/>
            <w:tcBorders>
              <w:top w:val="nil"/>
              <w:left w:val="nil"/>
              <w:bottom w:val="nil"/>
              <w:right w:val="nil"/>
            </w:tcBorders>
            <w:hideMark/>
          </w:tcPr>
          <w:p w14:paraId="61094A9A"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Revenue</w:t>
            </w:r>
          </w:p>
        </w:tc>
        <w:tc>
          <w:tcPr>
            <w:tcW w:w="4841" w:type="dxa"/>
            <w:tcBorders>
              <w:top w:val="nil"/>
              <w:left w:val="nil"/>
              <w:bottom w:val="nil"/>
              <w:right w:val="nil"/>
            </w:tcBorders>
            <w:hideMark/>
          </w:tcPr>
          <w:p w14:paraId="3C7FF04E"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Total value of resources earned or received to cover the production of goods and services.</w:t>
            </w:r>
          </w:p>
        </w:tc>
      </w:tr>
      <w:tr w:rsidR="007D44E9" w14:paraId="6393EEF0" w14:textId="77777777" w:rsidTr="007D44E9">
        <w:tc>
          <w:tcPr>
            <w:tcW w:w="2869" w:type="dxa"/>
            <w:tcBorders>
              <w:top w:val="nil"/>
              <w:left w:val="nil"/>
              <w:bottom w:val="nil"/>
              <w:right w:val="nil"/>
            </w:tcBorders>
            <w:hideMark/>
          </w:tcPr>
          <w:p w14:paraId="19EC9B3E"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Special Account</w:t>
            </w:r>
          </w:p>
        </w:tc>
        <w:tc>
          <w:tcPr>
            <w:tcW w:w="4841" w:type="dxa"/>
            <w:tcBorders>
              <w:top w:val="nil"/>
              <w:left w:val="nil"/>
              <w:bottom w:val="nil"/>
              <w:right w:val="nil"/>
            </w:tcBorders>
            <w:hideMark/>
          </w:tcPr>
          <w:p w14:paraId="250C4A87" w14:textId="77777777"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Special Accounts allow money in the Consolidated Revenue Fund to be acknowledged as set</w:t>
            </w:r>
            <w:r w:rsidRPr="007D44E9">
              <w:rPr>
                <w:rFonts w:ascii="Arial" w:hAnsi="Arial" w:cs="Arial"/>
                <w:bCs/>
                <w:color w:val="000000"/>
                <w:sz w:val="18"/>
                <w:szCs w:val="18"/>
              </w:rPr>
              <w:noBreakHyphen/>
              <w:t xml:space="preserve">aside (hypothecated) for a particular purpose.  Amounts credited to a Special Account may only be spent for the purposes of the Special Account.  Special Accounts can only be established by a written determination of the Finance Minister (section 78 of the </w:t>
            </w:r>
            <w:r w:rsidRPr="003B2C35">
              <w:rPr>
                <w:rFonts w:ascii="Arial" w:hAnsi="Arial" w:cs="Arial"/>
                <w:bCs/>
                <w:i/>
                <w:iCs/>
                <w:color w:val="000000"/>
                <w:sz w:val="18"/>
                <w:szCs w:val="18"/>
              </w:rPr>
              <w:t xml:space="preserve">Public Governance, Performance and Accountability Act 2013 </w:t>
            </w:r>
            <w:r w:rsidRPr="007D44E9">
              <w:rPr>
                <w:rFonts w:ascii="Arial" w:hAnsi="Arial" w:cs="Arial"/>
                <w:bCs/>
                <w:color w:val="000000"/>
                <w:sz w:val="18"/>
                <w:szCs w:val="18"/>
              </w:rPr>
              <w:t>(PGPA Act 2013)) or through an Act of Parliament (section 80 of the PGPA Act 2013).</w:t>
            </w:r>
          </w:p>
        </w:tc>
      </w:tr>
      <w:tr w:rsidR="007D44E9" w14:paraId="179E6886" w14:textId="77777777" w:rsidTr="007D44E9">
        <w:tc>
          <w:tcPr>
            <w:tcW w:w="2869" w:type="dxa"/>
            <w:tcBorders>
              <w:top w:val="nil"/>
              <w:left w:val="nil"/>
              <w:bottom w:val="nil"/>
              <w:right w:val="nil"/>
            </w:tcBorders>
            <w:hideMark/>
          </w:tcPr>
          <w:p w14:paraId="3D425B7C" w14:textId="77777777" w:rsidR="007D44E9" w:rsidRPr="007D44E9" w:rsidRDefault="007D44E9">
            <w:pPr>
              <w:spacing w:before="120" w:after="120" w:line="240" w:lineRule="auto"/>
              <w:jc w:val="left"/>
              <w:rPr>
                <w:rFonts w:ascii="Arial" w:hAnsi="Arial" w:cs="Arial"/>
                <w:bCs/>
                <w:color w:val="000000"/>
                <w:sz w:val="18"/>
                <w:szCs w:val="18"/>
              </w:rPr>
            </w:pPr>
            <w:r w:rsidRPr="007D44E9">
              <w:rPr>
                <w:rFonts w:ascii="Arial" w:hAnsi="Arial" w:cs="Arial"/>
                <w:bCs/>
                <w:color w:val="000000"/>
                <w:sz w:val="18"/>
                <w:szCs w:val="18"/>
              </w:rPr>
              <w:t>Special Appropriations (including Standing Appropriations)</w:t>
            </w:r>
          </w:p>
        </w:tc>
        <w:tc>
          <w:tcPr>
            <w:tcW w:w="4841" w:type="dxa"/>
            <w:tcBorders>
              <w:top w:val="nil"/>
              <w:left w:val="nil"/>
              <w:bottom w:val="nil"/>
              <w:right w:val="nil"/>
            </w:tcBorders>
            <w:hideMark/>
          </w:tcPr>
          <w:p w14:paraId="35BC65E9" w14:textId="53D081D4" w:rsidR="007D44E9" w:rsidRPr="007D44E9" w:rsidRDefault="007D44E9">
            <w:pPr>
              <w:spacing w:before="120" w:after="120" w:line="240" w:lineRule="auto"/>
              <w:rPr>
                <w:rFonts w:ascii="Arial" w:hAnsi="Arial" w:cs="Arial"/>
                <w:bCs/>
                <w:color w:val="000000"/>
                <w:sz w:val="18"/>
                <w:szCs w:val="18"/>
              </w:rPr>
            </w:pPr>
            <w:r w:rsidRPr="007D44E9">
              <w:rPr>
                <w:rFonts w:ascii="Arial" w:hAnsi="Arial" w:cs="Arial"/>
                <w:bCs/>
                <w:color w:val="000000"/>
                <w:sz w:val="18"/>
                <w:szCs w:val="18"/>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7D44E9">
              <w:rPr>
                <w:rFonts w:ascii="Arial" w:hAnsi="Arial" w:cs="Arial"/>
                <w:bCs/>
                <w:color w:val="000000"/>
                <w:sz w:val="18"/>
                <w:szCs w:val="18"/>
              </w:rPr>
              <w:noBreakHyphen/>
              <w:t xml:space="preserve">category consisting of ongoing Special Appropriations </w:t>
            </w:r>
            <w:r w:rsidR="003B2C35">
              <w:rPr>
                <w:rFonts w:ascii="Arial" w:hAnsi="Arial" w:cs="Arial"/>
                <w:bCs/>
                <w:color w:val="000000"/>
                <w:sz w:val="18"/>
                <w:szCs w:val="18"/>
              </w:rPr>
              <w:t>–</w:t>
            </w:r>
            <w:r w:rsidRPr="007D44E9">
              <w:rPr>
                <w:rFonts w:ascii="Arial" w:hAnsi="Arial" w:cs="Arial"/>
                <w:bCs/>
                <w:color w:val="000000"/>
                <w:sz w:val="18"/>
                <w:szCs w:val="18"/>
              </w:rPr>
              <w:t xml:space="preserve"> the amount appropriated will depend on circumstances specified in the legislation.</w:t>
            </w:r>
          </w:p>
        </w:tc>
      </w:tr>
    </w:tbl>
    <w:p w14:paraId="38C55E15" w14:textId="77777777" w:rsidR="000C3B86" w:rsidRPr="000C3B86" w:rsidRDefault="000C3B86" w:rsidP="000C3B86"/>
    <w:sectPr w:rsidR="000C3B86" w:rsidRPr="000C3B86" w:rsidSect="00503FD8">
      <w:headerReference w:type="even" r:id="rId205"/>
      <w:headerReference w:type="default" r:id="rId206"/>
      <w:headerReference w:type="first" r:id="rId207"/>
      <w:footerReference w:type="first" r:id="rId208"/>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E630" w14:textId="77777777" w:rsidR="00FA788E" w:rsidRDefault="00FA788E" w:rsidP="00C07DEC">
      <w:r>
        <w:separator/>
      </w:r>
    </w:p>
  </w:endnote>
  <w:endnote w:type="continuationSeparator" w:id="0">
    <w:p w14:paraId="3AEC9588" w14:textId="77777777" w:rsidR="00FA788E" w:rsidRDefault="00FA788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 Philausophy SemiBold">
    <w:panose1 w:val="00000000000000000000"/>
    <w:charset w:val="00"/>
    <w:family w:val="modern"/>
    <w:notTrueType/>
    <w:pitch w:val="variable"/>
    <w:sig w:usb0="00000007" w:usb1="00000001"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8E5C" w14:textId="77777777" w:rsidR="00FA788E" w:rsidRDefault="00FA788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031C" w14:textId="77777777" w:rsidR="00FA788E" w:rsidRPr="0049200C" w:rsidRDefault="00FA788E" w:rsidP="0049200C">
    <w:pPr>
      <w:pStyle w:val="FooterBase"/>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4243" w14:textId="2009E0ED"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Department of Foreign Affairs and Trade</w:t>
    </w:r>
    <w:r>
      <w:rPr>
        <w:rStyle w:val="PageNumber"/>
        <w:rFonts w:cs="Times New Roman"/>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2FE1" w14:textId="37B61813" w:rsidR="00FA788E" w:rsidRPr="00B628E8" w:rsidRDefault="00FA788E" w:rsidP="00B628E8">
    <w:pPr>
      <w:pStyle w:val="FooterOdd"/>
      <w:rPr>
        <w:b/>
        <w:bCs/>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Foreign Affairs and Trade Portfolio overview</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w:instrText>
    </w:r>
    <w:r w:rsidRPr="00B628E8">
      <w:rPr>
        <w:rStyle w:val="PageNumber"/>
        <w:rFonts w:cs="Times New Roman"/>
        <w:b/>
        <w:bCs/>
        <w:sz w:val="18"/>
      </w:rPr>
      <w:fldChar w:fldCharType="separate"/>
    </w:r>
    <w:r>
      <w:rPr>
        <w:rStyle w:val="PageNumber"/>
        <w:rFonts w:cs="Times New Roman"/>
        <w:b/>
        <w:bCs/>
        <w:noProof/>
        <w:sz w:val="18"/>
      </w:rPr>
      <w:t>3</w:t>
    </w:r>
    <w:r w:rsidRPr="00B628E8">
      <w:rPr>
        <w:rStyle w:val="PageNumber"/>
        <w:rFonts w:cs="Times New Roman"/>
        <w:b/>
        <w:bCs/>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D999E" w14:textId="77777777" w:rsidR="00FA788E" w:rsidRPr="001808A4" w:rsidRDefault="00FA788E" w:rsidP="0049200C">
    <w:pPr>
      <w:pStyle w:val="FooterBas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6219" w14:textId="77777777" w:rsidR="00FA788E" w:rsidRPr="001808A4" w:rsidRDefault="00FA788E" w:rsidP="0049200C">
    <w:pPr>
      <w:pStyle w:val="FooterBas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6B507" w14:textId="77777777" w:rsidR="00FA788E" w:rsidRPr="001808A4" w:rsidRDefault="00FA788E" w:rsidP="0049200C">
    <w:pPr>
      <w:pStyle w:val="FooterBas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2A22" w14:textId="11F631F2" w:rsidR="00FA788E" w:rsidRDefault="00FA788E"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0F6D08">
      <w:rPr>
        <w:rStyle w:val="PageNumber"/>
        <w:rFonts w:cs="Times New Roman"/>
        <w:noProof/>
        <w:sz w:val="18"/>
        <w:lang w:val="en-AU"/>
      </w:rPr>
      <w:t>Department of Foreign Affairs and Trade</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11</w:t>
    </w:r>
    <w:r w:rsidRPr="00B628E8">
      <w:rPr>
        <w:b/>
        <w:bCs/>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9DB2" w14:textId="39B1C8E1"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Department of Foreign Affairs and Trade</w:t>
    </w:r>
    <w:r>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33</w:t>
    </w:r>
    <w:r w:rsidRPr="00B628E8">
      <w:rPr>
        <w:rStyle w:val="PageNumber"/>
        <w:rFonts w:cs="Times New Roman"/>
        <w:b/>
        <w:bCs/>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EBBC" w14:textId="74972AD8"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42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Trade and Investment Commission</w:t>
    </w:r>
    <w:r>
      <w:rPr>
        <w:rStyle w:val="PageNumber"/>
        <w:rFonts w:cs="Times New Roman"/>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6303" w14:textId="3B63CC4C"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Trade and Investment Commission</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41</w:t>
    </w:r>
    <w:r w:rsidRPr="00B628E8">
      <w:rPr>
        <w:rStyle w:val="PageNumber"/>
        <w:rFonts w:cs="Times New Roman"/>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0AB0" w14:textId="77777777" w:rsidR="00FA788E" w:rsidRPr="00213592" w:rsidRDefault="00FA788E" w:rsidP="00213592"/>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56BC" w14:textId="430F5BD4"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36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Department of Foreign Affairs and Trade</w:t>
    </w:r>
    <w:r>
      <w:rPr>
        <w:rStyle w:val="PageNumber"/>
        <w:rFonts w:cs="Times New Roman"/>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B16E" w14:textId="77777777" w:rsidR="00FA788E" w:rsidRPr="001808A4" w:rsidRDefault="00FA788E" w:rsidP="0049200C">
    <w:pPr>
      <w:pStyle w:val="FooterBas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6874" w14:textId="77777777" w:rsidR="00FA788E" w:rsidRPr="001808A4" w:rsidRDefault="00FA788E" w:rsidP="0049200C">
    <w:pPr>
      <w:pStyle w:val="FooterBas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1560" w14:textId="126C9080" w:rsidR="00FA788E" w:rsidRDefault="00FA788E"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0F6D08">
      <w:rPr>
        <w:rStyle w:val="PageNumber"/>
        <w:rFonts w:cs="Times New Roman"/>
        <w:noProof/>
        <w:sz w:val="18"/>
        <w:lang w:val="en-AU"/>
      </w:rPr>
      <w:t>Australian Trade and Investment Commission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11</w:t>
    </w:r>
    <w:r w:rsidRPr="00B628E8">
      <w:rPr>
        <w:b/>
        <w:bC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0F92" w14:textId="043F0087"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Trade and Investment Commission</w:t>
    </w:r>
    <w:r>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33</w:t>
    </w:r>
    <w:r w:rsidRPr="00B628E8">
      <w:rPr>
        <w:rStyle w:val="PageNumber"/>
        <w:rFonts w:cs="Times New Roman"/>
        <w:b/>
        <w:bCs/>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7E0E0" w14:textId="183C889D"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42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Centre for International Agricultural Research</w:t>
    </w:r>
    <w:r>
      <w:rPr>
        <w:rStyle w:val="PageNumber"/>
        <w:rFonts w:cs="Times New Roman"/>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A134" w14:textId="082D6942"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Centre for International Agricultural Research</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41</w:t>
    </w:r>
    <w:r w:rsidRPr="00B628E8">
      <w:rPr>
        <w:rStyle w:val="PageNumber"/>
        <w:rFonts w:cs="Times New Roman"/>
        <w:b/>
        <w:bCs/>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36F3" w14:textId="2DE95F08" w:rsidR="00FA788E" w:rsidRPr="003F0C8B" w:rsidRDefault="00FA788E" w:rsidP="00B87DE5">
    <w:pPr>
      <w:pStyle w:val="FooterEven"/>
      <w:jc w:val="right"/>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36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Trade and Investment Commission</w:t>
    </w:r>
    <w:r>
      <w:rPr>
        <w:rStyle w:val="PageNumber"/>
        <w:rFonts w:cs="Times New Roman"/>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A289" w14:textId="77777777" w:rsidR="00FA788E" w:rsidRPr="001808A4" w:rsidRDefault="00FA788E" w:rsidP="0049200C">
    <w:pPr>
      <w:pStyle w:val="FooterBas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56AF" w14:textId="77777777" w:rsidR="00FA788E" w:rsidRPr="001808A4" w:rsidRDefault="00FA788E" w:rsidP="0049200C">
    <w:pPr>
      <w:pStyle w:val="FooterBas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C36D" w14:textId="77777777" w:rsidR="00FA788E" w:rsidRDefault="00FA788E" w:rsidP="0066280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1AAE" w14:textId="5BED72D1" w:rsidR="00FA788E" w:rsidRDefault="00FA788E" w:rsidP="00F94014">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0F6D08">
      <w:rPr>
        <w:rStyle w:val="PageNumber"/>
        <w:rFonts w:cs="Times New Roman"/>
        <w:noProof/>
        <w:sz w:val="18"/>
        <w:lang w:val="en-AU"/>
      </w:rPr>
      <w:t>Australian Centre for International Agricultural Research</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11</w:t>
    </w:r>
    <w:r w:rsidRPr="00B628E8">
      <w:rPr>
        <w:b/>
        <w:bCs/>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CFF11" w14:textId="13F27673"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Centre for International Agricultural Research</w:t>
    </w:r>
    <w:r>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33</w:t>
    </w:r>
    <w:r w:rsidRPr="00B628E8">
      <w:rPr>
        <w:rStyle w:val="PageNumber"/>
        <w:rFonts w:cs="Times New Roman"/>
        <w:b/>
        <w:bCs/>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A737" w14:textId="2DB9E4A5"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42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Secret Intelligence Service</w:t>
    </w:r>
    <w:r>
      <w:rPr>
        <w:rStyle w:val="PageNumber"/>
        <w:rFonts w:cs="Times New Roman"/>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D483" w14:textId="5A6E9F2E"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Secret Intelligence Service</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41</w:t>
    </w:r>
    <w:r w:rsidRPr="00B628E8">
      <w:rPr>
        <w:rStyle w:val="PageNumber"/>
        <w:rFonts w:cs="Times New Roman"/>
        <w:b/>
        <w:bCs/>
        <w:sz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4037" w14:textId="19B3B662"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36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Centre for International Agricultural Research</w:t>
    </w:r>
    <w:r>
      <w:rPr>
        <w:rStyle w:val="PageNumber"/>
        <w:rFonts w:cs="Times New Roman"/>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6361" w14:textId="77777777" w:rsidR="00FA788E" w:rsidRPr="001808A4" w:rsidRDefault="00FA788E" w:rsidP="0049200C">
    <w:pPr>
      <w:pStyle w:val="FooterBas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3652" w14:textId="77777777" w:rsidR="00FA788E" w:rsidRPr="001808A4" w:rsidRDefault="00FA788E" w:rsidP="0049200C">
    <w:pPr>
      <w:pStyle w:val="FooterBase"/>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7E5B" w14:textId="03341599" w:rsidR="00FA788E" w:rsidRDefault="00FA788E"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0F6D08">
      <w:rPr>
        <w:rStyle w:val="PageNumber"/>
        <w:rFonts w:cs="Times New Roman"/>
        <w:noProof/>
        <w:sz w:val="18"/>
        <w:lang w:val="en-AU"/>
      </w:rPr>
      <w:t>Australian Secret Intelligence Service</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11</w:t>
    </w:r>
    <w:r w:rsidRPr="00B628E8">
      <w:rPr>
        <w:b/>
        <w:bCs/>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92B6" w14:textId="23C7625A"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42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Tourism Australia</w:t>
    </w:r>
    <w:r>
      <w:rPr>
        <w:rStyle w:val="PageNumber"/>
        <w:rFonts w:cs="Times New Roman"/>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F6D9F" w14:textId="2DAFEAC7"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Tourism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41</w:t>
    </w:r>
    <w:r w:rsidRPr="00B628E8">
      <w:rPr>
        <w:rStyle w:val="PageNumber"/>
        <w:rFonts w:cs="Times New Roman"/>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E3434" w14:textId="5D5FE99B"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iv</w:t>
    </w:r>
    <w:r w:rsidRPr="003F0C8B">
      <w:rPr>
        <w:rStyle w:val="PageNumber"/>
        <w:rFonts w:cs="Times New Roman"/>
        <w:b/>
        <w:bCs w:val="0"/>
        <w:sz w:val="1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6180" w14:textId="49DD2CFF" w:rsidR="00FA788E" w:rsidRPr="003F0C8B" w:rsidRDefault="00FA788E" w:rsidP="006C7303">
    <w:pPr>
      <w:pStyle w:val="FooterEven"/>
      <w:jc w:val="right"/>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36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Australian Secret Intelligence Service</w:t>
    </w:r>
    <w:r>
      <w:rPr>
        <w:rStyle w:val="PageNumber"/>
        <w:rFonts w:cs="Times New Roman"/>
        <w:sz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722C" w14:textId="77777777" w:rsidR="00FA788E" w:rsidRPr="001808A4" w:rsidRDefault="00FA788E" w:rsidP="0049200C">
    <w:pPr>
      <w:pStyle w:val="FooterBas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E04A" w14:textId="77777777" w:rsidR="00FA788E" w:rsidRPr="001808A4" w:rsidRDefault="00FA788E" w:rsidP="0049200C">
    <w:pPr>
      <w:pStyle w:val="FooterBase"/>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8C20" w14:textId="7AAAC05E" w:rsidR="00FA788E" w:rsidRDefault="00FA788E"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0F6D08">
      <w:rPr>
        <w:rStyle w:val="PageNumber"/>
        <w:rFonts w:cs="Times New Roman"/>
        <w:noProof/>
        <w:sz w:val="18"/>
        <w:lang w:val="en-AU"/>
      </w:rPr>
      <w:t>Tourism Australia</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11</w:t>
    </w:r>
    <w:r w:rsidRPr="00B628E8">
      <w:rPr>
        <w:b/>
        <w:bCs/>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1232" w14:textId="4A536F41"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42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Portfolio glossary</w:t>
    </w:r>
    <w:r>
      <w:rPr>
        <w:rStyle w:val="PageNumber"/>
        <w:rFonts w:cs="Times New Roman"/>
        <w:sz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BA09" w14:textId="150C54F7" w:rsidR="00FA788E" w:rsidRPr="00B628E8" w:rsidRDefault="00FA788E"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Portfolio glossary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41</w:t>
    </w:r>
    <w:r w:rsidRPr="00B628E8">
      <w:rPr>
        <w:rStyle w:val="PageNumber"/>
        <w:rFonts w:cs="Times New Roman"/>
        <w:b/>
        <w:bCs/>
        <w:sz w:val="18"/>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C51A" w14:textId="44E98E9D" w:rsidR="00FA788E" w:rsidRPr="003F0C8B" w:rsidRDefault="00FA788E" w:rsidP="008620A8">
    <w:pPr>
      <w:pStyle w:val="FooterEven"/>
      <w:jc w:val="right"/>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36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Tourism Australia</w:t>
    </w:r>
    <w:r>
      <w:rPr>
        <w:rStyle w:val="PageNumber"/>
        <w:rFonts w:cs="Times New Roman"/>
        <w:sz w:val="18"/>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DFD5" w14:textId="64916DBF" w:rsidR="00FA788E" w:rsidRPr="00B628E8" w:rsidRDefault="00FA788E" w:rsidP="007D44E9">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Portfolio glossary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199</w:t>
    </w:r>
    <w:r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F1D4" w14:textId="77777777" w:rsidR="00FA788E" w:rsidRPr="004F1212" w:rsidRDefault="00FA788E" w:rsidP="004342F8">
    <w:pPr>
      <w:pStyle w:val="Footer"/>
      <w:rPr>
        <w:rStyle w:val="PageNumber"/>
        <w:lang w:val="en-AU"/>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8AE5" w14:textId="0E35C778" w:rsidR="00FA788E" w:rsidRPr="003F0C8B" w:rsidRDefault="00FA788E"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viii</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User guide</w:t>
    </w:r>
    <w:r>
      <w:rPr>
        <w:rStyle w:val="PageNumber"/>
        <w:rFonts w:cs="Times New Roman"/>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241D" w14:textId="00DF5671" w:rsidR="00FA788E" w:rsidRPr="00782467" w:rsidRDefault="00FA788E" w:rsidP="00782467">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0F6D08">
      <w:rPr>
        <w:rStyle w:val="PageNumber"/>
        <w:rFonts w:cs="Times New Roman"/>
        <w:noProof/>
        <w:sz w:val="18"/>
      </w:rPr>
      <w:t>Department of Foreign Affairs and Trade</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17</w:t>
    </w:r>
    <w:r w:rsidRPr="00B628E8">
      <w:rPr>
        <w:rStyle w:val="PageNumber"/>
        <w:rFonts w:cs="Times New Roman"/>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2213" w14:textId="7A2394A1" w:rsidR="00FA788E" w:rsidRPr="00B628E8" w:rsidRDefault="00FA788E" w:rsidP="00B628E8">
    <w:pPr>
      <w:pStyle w:val="FooterOdd"/>
      <w:rPr>
        <w:b/>
        <w:bCs/>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0F6D08">
      <w:rPr>
        <w:rStyle w:val="PageNumber"/>
        <w:rFonts w:cs="Times New Roman"/>
        <w:noProof/>
        <w:sz w:val="18"/>
        <w:lang w:val="en-AU"/>
      </w:rPr>
      <w:t>User guide</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w:instrText>
    </w:r>
    <w:r w:rsidRPr="00B628E8">
      <w:rPr>
        <w:rStyle w:val="PageNumber"/>
        <w:rFonts w:cs="Times New Roman"/>
        <w:b/>
        <w:bCs/>
        <w:sz w:val="18"/>
      </w:rPr>
      <w:fldChar w:fldCharType="separate"/>
    </w:r>
    <w:r>
      <w:rPr>
        <w:rStyle w:val="PageNumber"/>
        <w:rFonts w:cs="Times New Roman"/>
        <w:b/>
        <w:bCs/>
        <w:noProof/>
        <w:sz w:val="18"/>
      </w:rPr>
      <w:t>vii</w:t>
    </w:r>
    <w:r w:rsidRPr="00B628E8">
      <w:rPr>
        <w:rStyle w:val="PageNumber"/>
        <w:rFonts w:cs="Times New Roman"/>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00CA" w14:textId="7197879D" w:rsidR="00FA788E" w:rsidRPr="00B628E8" w:rsidRDefault="00FA788E" w:rsidP="00782467">
    <w:pPr>
      <w:pStyle w:val="FooterOdd"/>
      <w:rPr>
        <w:rStyle w:val="PageNumber"/>
        <w:b/>
        <w:bCs/>
      </w:rPr>
    </w:pPr>
    <w:r w:rsidRPr="00B628E8">
      <w:rPr>
        <w:rStyle w:val="PageNumber"/>
        <w:rFonts w:cs="Times New Roman"/>
        <w:b/>
        <w:bCs/>
        <w:sz w:val="18"/>
      </w:rPr>
      <w:t xml:space="preserve">Page </w:t>
    </w:r>
    <w:r w:rsidRPr="00B628E8">
      <w:rPr>
        <w:rStyle w:val="PageNumber"/>
        <w:b/>
        <w:bCs/>
      </w:rPr>
      <w:fldChar w:fldCharType="begin"/>
    </w:r>
    <w:r w:rsidRPr="00B628E8">
      <w:rPr>
        <w:rStyle w:val="PageNumber"/>
        <w:b/>
        <w:bCs/>
      </w:rPr>
      <w:instrText xml:space="preserve"> PAGE   \* MERGEFORMAT </w:instrText>
    </w:r>
    <w:r w:rsidRPr="00B628E8">
      <w:rPr>
        <w:rStyle w:val="PageNumber"/>
        <w:b/>
        <w:bCs/>
      </w:rPr>
      <w:fldChar w:fldCharType="separate"/>
    </w:r>
    <w:r>
      <w:rPr>
        <w:rStyle w:val="PageNumber"/>
        <w:b/>
        <w:bCs/>
        <w:noProof/>
      </w:rPr>
      <w:t>ix</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DFC4F" w14:textId="77777777" w:rsidR="00FA788E" w:rsidRDefault="00FA788E" w:rsidP="00C07DEC">
      <w:r>
        <w:separator/>
      </w:r>
    </w:p>
  </w:footnote>
  <w:footnote w:type="continuationSeparator" w:id="0">
    <w:p w14:paraId="4AF52D41" w14:textId="77777777" w:rsidR="00FA788E" w:rsidRDefault="00FA788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71A6B" w14:textId="77777777" w:rsidR="00FA788E" w:rsidRDefault="00FA788E">
    <w:pPr>
      <w:pStyle w:val="Header"/>
      <w:jc w:val="center"/>
    </w:pPr>
    <w:r>
      <w:rPr>
        <w:noProof/>
        <w:lang w:val="en-AU"/>
      </w:rPr>
      <w:drawing>
        <wp:inline distT="0" distB="0" distL="0" distR="0" wp14:anchorId="581DB8D8" wp14:editId="0749091E">
          <wp:extent cx="880110" cy="690245"/>
          <wp:effectExtent l="0" t="0" r="0" b="0"/>
          <wp:docPr id="94" name="Picture 94"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66634" w14:textId="3AF49943" w:rsidR="00FA788E" w:rsidRDefault="00FA788E" w:rsidP="004461A4">
    <w:pPr>
      <w:pStyle w:val="SecurityClassificationHeader"/>
    </w:pPr>
    <w:r>
      <w:fldChar w:fldCharType="begin"/>
    </w:r>
    <w:r>
      <w:instrText xml:space="preserve"> DOCPROPERTY SecurityClassification \* MERGEFORMAT </w:instrText>
    </w:r>
    <w:r>
      <w:fldChar w:fldCharType="separate"/>
    </w:r>
    <w:r w:rsidR="00400ED5">
      <w:rPr>
        <w:b w:val="0"/>
        <w:bCs/>
        <w:lang w:val="en-US"/>
      </w:rPr>
      <w:t>Error! Unknown document property name.</w:t>
    </w:r>
    <w:r>
      <w:fldChar w:fldCharType="end"/>
    </w:r>
  </w:p>
  <w:p w14:paraId="38CBA70B" w14:textId="385BA6E0" w:rsidR="00FA788E" w:rsidRDefault="00FA788E" w:rsidP="004461A4">
    <w:pPr>
      <w:pStyle w:val="DLMSecurityHeader"/>
    </w:pPr>
    <w:r>
      <w:fldChar w:fldCharType="begin"/>
    </w:r>
    <w:r>
      <w:instrText xml:space="preserve"> DOCPROPERTY DLMSecurityClassification \* MERGEFORMAT </w:instrText>
    </w:r>
    <w:r>
      <w:fldChar w:fldCharType="separate"/>
    </w:r>
    <w:r w:rsidR="00400ED5">
      <w:rPr>
        <w:b w:val="0"/>
        <w:bCs/>
        <w:lang w:val="en-US"/>
      </w:rPr>
      <w:t>Error! Unknown document property name.</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69C2" w14:textId="7D4A0175" w:rsidR="00FA788E" w:rsidRDefault="00FA788E" w:rsidP="004461A4">
    <w:pPr>
      <w:pStyle w:val="SecurityClassificationHeader"/>
    </w:pPr>
    <w:r>
      <w:fldChar w:fldCharType="begin"/>
    </w:r>
    <w:r>
      <w:instrText xml:space="preserve"> DOCPROPERTY SecurityClassification \* MERGEFORMAT </w:instrText>
    </w:r>
    <w:r>
      <w:fldChar w:fldCharType="separate"/>
    </w:r>
    <w:r w:rsidR="00400ED5">
      <w:rPr>
        <w:b w:val="0"/>
        <w:bCs/>
        <w:lang w:val="en-US"/>
      </w:rPr>
      <w:t>Error! Unknown document property name.</w:t>
    </w:r>
    <w:r>
      <w:fldChar w:fldCharType="end"/>
    </w:r>
  </w:p>
  <w:p w14:paraId="2769F1B3" w14:textId="57F216B5" w:rsidR="00FA788E" w:rsidRDefault="00FA788E" w:rsidP="004461A4">
    <w:pPr>
      <w:pStyle w:val="DLMSecurityHeader"/>
    </w:pPr>
    <w:r>
      <w:fldChar w:fldCharType="begin"/>
    </w:r>
    <w:r>
      <w:instrText xml:space="preserve"> DOCPROPERTY DLMSecurityClassification \* MERGEFORMAT </w:instrText>
    </w:r>
    <w:r>
      <w:fldChar w:fldCharType="separate"/>
    </w:r>
    <w:r w:rsidR="00400ED5">
      <w:rPr>
        <w:b w:val="0"/>
        <w:bCs/>
        <w:lang w:val="en-US"/>
      </w:rPr>
      <w:t>Error! Unknown document property name.</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649C" w14:textId="77777777" w:rsidR="00FA788E" w:rsidRPr="0049200C" w:rsidRDefault="00FA788E" w:rsidP="00FD522D">
    <w:pPr>
      <w:pStyle w:val="HeaderOd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3734DA7" w14:textId="77777777" w:rsidTr="005C474C">
      <w:trPr>
        <w:trHeight w:hRule="exact" w:val="340"/>
      </w:trPr>
      <w:tc>
        <w:tcPr>
          <w:tcW w:w="7797" w:type="dxa"/>
        </w:tcPr>
        <w:p w14:paraId="4AA1FCFD" w14:textId="7C44472A" w:rsidR="00FA788E" w:rsidRDefault="00FA788E" w:rsidP="00050A97">
          <w:pPr>
            <w:pStyle w:val="HeaderEven"/>
            <w:ind w:left="-113"/>
          </w:pPr>
          <w:r w:rsidRPr="000635BE">
            <w:rPr>
              <w:rFonts w:ascii="Arial Bold" w:hAnsi="Arial Bold"/>
              <w:b/>
              <w:bCs/>
              <w:noProof/>
              <w:position w:val="-10"/>
            </w:rPr>
            <w:drawing>
              <wp:inline distT="0" distB="0" distL="0" distR="0" wp14:anchorId="3976CE0B" wp14:editId="1DCB55B0">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2BA6E225" w14:textId="7C93BC0B" w:rsidR="00FA788E" w:rsidRDefault="00FA788E" w:rsidP="00782467">
    <w:pPr>
      <w:pStyle w:val="HeaderEven"/>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69E29D6" w14:textId="77777777" w:rsidTr="00460810">
      <w:trPr>
        <w:trHeight w:hRule="exact" w:val="340"/>
      </w:trPr>
      <w:tc>
        <w:tcPr>
          <w:tcW w:w="7797" w:type="dxa"/>
        </w:tcPr>
        <w:p w14:paraId="58797584" w14:textId="77777777" w:rsidR="00FA788E" w:rsidRDefault="00FA788E" w:rsidP="009F3C73">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71FD9EFB" wp14:editId="29C8F4A0">
                <wp:extent cx="989308" cy="170121"/>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3CB7CB43" w14:textId="77777777" w:rsidR="00FA788E" w:rsidRDefault="00FA788E" w:rsidP="009F3C73">
    <w:pPr>
      <w:pStyle w:val="HeaderOd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13D8" w14:textId="77777777" w:rsidR="00FA788E" w:rsidRPr="0049200C" w:rsidRDefault="00FA788E" w:rsidP="00782467">
    <w:pPr>
      <w:pStyle w:val="HeaderEven"/>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1FA925B5" w14:textId="77777777" w:rsidTr="005C474C">
      <w:trPr>
        <w:trHeight w:hRule="exact" w:val="340"/>
      </w:trPr>
      <w:tc>
        <w:tcPr>
          <w:tcW w:w="7797" w:type="dxa"/>
        </w:tcPr>
        <w:p w14:paraId="0ADB71CB" w14:textId="5F6F4C31" w:rsidR="00FA788E" w:rsidRDefault="00FA788E" w:rsidP="003F458D">
          <w:pPr>
            <w:pStyle w:val="HeaderEven"/>
            <w:ind w:left="-113"/>
          </w:pPr>
          <w:bookmarkStart w:id="84" w:name="_Hlk94690506"/>
          <w:r w:rsidRPr="000635BE">
            <w:rPr>
              <w:rFonts w:ascii="Arial Bold" w:hAnsi="Arial Bold"/>
              <w:b/>
              <w:bCs/>
              <w:noProof/>
              <w:position w:val="-10"/>
            </w:rPr>
            <w:drawing>
              <wp:inline distT="0" distB="0" distL="0" distR="0" wp14:anchorId="371843A2" wp14:editId="6C62BE76">
                <wp:extent cx="989308" cy="170121"/>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bookmarkEnd w:id="84"/>
  </w:tbl>
  <w:p w14:paraId="3842A55E" w14:textId="107D49FF" w:rsidR="00FA788E" w:rsidRPr="00F00984" w:rsidRDefault="00FA788E" w:rsidP="00A02E16">
    <w:pPr>
      <w:pStyle w:val="HeaderEven"/>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3EA9CF4D" w14:textId="77777777" w:rsidTr="005C474C">
      <w:trPr>
        <w:trHeight w:hRule="exact" w:val="340"/>
      </w:trPr>
      <w:tc>
        <w:tcPr>
          <w:tcW w:w="7797" w:type="dxa"/>
        </w:tcPr>
        <w:p w14:paraId="548CF542" w14:textId="4D59A30C"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BD6FB65" w14:textId="6DAB684A" w:rsidR="00FA788E" w:rsidRDefault="00FA788E" w:rsidP="00A02E16">
    <w:pPr>
      <w:pStyle w:val="HeaderOd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36BC" w14:textId="77777777" w:rsidR="00FA788E" w:rsidRPr="00B4084B" w:rsidRDefault="00FA788E" w:rsidP="0049200C">
    <w:pPr>
      <w:pStyle w:val="HeaderOd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2E1B2A14" w14:textId="77777777" w:rsidTr="005C474C">
      <w:trPr>
        <w:trHeight w:hRule="exact" w:val="340"/>
      </w:trPr>
      <w:tc>
        <w:tcPr>
          <w:tcW w:w="7797" w:type="dxa"/>
        </w:tcPr>
        <w:p w14:paraId="488EECB1"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632A0AB2" wp14:editId="5EE928CD">
                <wp:extent cx="989308" cy="170121"/>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62919905" w14:textId="5FCE4730" w:rsidR="00FA788E" w:rsidRPr="00F00984" w:rsidRDefault="00FA788E" w:rsidP="00F00984">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0120" w14:textId="77777777" w:rsidR="00FA788E" w:rsidRPr="000C4F54" w:rsidRDefault="00FA788E" w:rsidP="000C4F54">
    <w:pPr>
      <w:pStyle w:val="HeaderOd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0A52CE3A" w14:textId="77777777" w:rsidTr="005C474C">
      <w:trPr>
        <w:trHeight w:hRule="exact" w:val="340"/>
      </w:trPr>
      <w:tc>
        <w:tcPr>
          <w:tcW w:w="7797" w:type="dxa"/>
        </w:tcPr>
        <w:p w14:paraId="5CB79819"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25BE4410" wp14:editId="0F45EE1C">
                <wp:extent cx="989308" cy="170121"/>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1FDBC10" w14:textId="056346C5" w:rsidR="00FA788E" w:rsidRDefault="00FA788E" w:rsidP="00F00984">
    <w:pPr>
      <w:pStyle w:val="HeaderOd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2F2D47C4" w14:textId="77777777" w:rsidTr="005C474C">
      <w:trPr>
        <w:trHeight w:hRule="exact" w:val="340"/>
      </w:trPr>
      <w:tc>
        <w:tcPr>
          <w:tcW w:w="7797" w:type="dxa"/>
        </w:tcPr>
        <w:p w14:paraId="1FD0FAAB"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7726F547" wp14:editId="2C9CA526">
                <wp:extent cx="989308" cy="170121"/>
                <wp:effectExtent l="0" t="0" r="1905" b="190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9EE57B9" w14:textId="2BB581E1" w:rsidR="00FA788E" w:rsidRPr="00F00984" w:rsidRDefault="00FA788E" w:rsidP="00695014">
    <w:pPr>
      <w:pStyle w:val="HeaderEven"/>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0F6AEA7B" w14:textId="77777777" w:rsidTr="005C474C">
      <w:trPr>
        <w:trHeight w:hRule="exact" w:val="340"/>
      </w:trPr>
      <w:tc>
        <w:tcPr>
          <w:tcW w:w="7797" w:type="dxa"/>
        </w:tcPr>
        <w:p w14:paraId="3E9FB18B"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13B22104" wp14:editId="33A95000">
                <wp:extent cx="989308" cy="170121"/>
                <wp:effectExtent l="0" t="0" r="1905" b="190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3F64EB54" w14:textId="51F1A6FA" w:rsidR="00FA788E" w:rsidRPr="000304FC" w:rsidRDefault="00FA788E" w:rsidP="00A02E16">
    <w:pPr>
      <w:pStyle w:val="HeaderEven"/>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241AF82" w14:textId="77777777" w:rsidTr="005C474C">
      <w:trPr>
        <w:trHeight w:hRule="exact" w:val="340"/>
      </w:trPr>
      <w:tc>
        <w:tcPr>
          <w:tcW w:w="7797" w:type="dxa"/>
        </w:tcPr>
        <w:p w14:paraId="6C3B83F1" w14:textId="77777777" w:rsidR="00FA788E" w:rsidRDefault="00FA788E" w:rsidP="00050A97">
          <w:pPr>
            <w:pStyle w:val="HeaderOdd"/>
          </w:pPr>
          <w:r>
            <w:t xml:space="preserve">Portfolio Budget </w:t>
          </w:r>
          <w:proofErr w:type="gramStart"/>
          <w:r>
            <w:t>Statements  |</w:t>
          </w:r>
          <w:proofErr w:type="gramEnd"/>
          <w:r>
            <w:t xml:space="preserve">  </w:t>
          </w:r>
          <w:r w:rsidRPr="000635BE">
            <w:rPr>
              <w:rFonts w:ascii="Arial Bold" w:hAnsi="Arial Bold"/>
              <w:b/>
              <w:bCs/>
              <w:noProof/>
              <w:position w:val="-10"/>
            </w:rPr>
            <w:drawing>
              <wp:inline distT="0" distB="0" distL="0" distR="0" wp14:anchorId="6CF6EAE9" wp14:editId="579EE0EF">
                <wp:extent cx="989308" cy="170121"/>
                <wp:effectExtent l="0" t="0" r="1905" b="190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5754A07D" w14:textId="7576DE4F" w:rsidR="00FA788E" w:rsidRPr="000304FC" w:rsidRDefault="00FA788E" w:rsidP="00A02E16">
    <w:pPr>
      <w:pStyle w:val="HeaderOd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1890" w14:textId="1E57FA11" w:rsidR="00FA788E" w:rsidRPr="000304FC" w:rsidRDefault="00FA788E" w:rsidP="00A02E16">
    <w:pPr>
      <w:pStyle w:val="HeaderEven"/>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5ADF2BAD" w14:textId="77777777" w:rsidTr="005C474C">
      <w:trPr>
        <w:trHeight w:hRule="exact" w:val="340"/>
      </w:trPr>
      <w:tc>
        <w:tcPr>
          <w:tcW w:w="7797" w:type="dxa"/>
        </w:tcPr>
        <w:p w14:paraId="2A56B15E" w14:textId="77777777" w:rsidR="00FA788E" w:rsidRDefault="00FA788E" w:rsidP="003F458D">
          <w:pPr>
            <w:pStyle w:val="HeaderEven"/>
            <w:ind w:left="-113"/>
          </w:pPr>
          <w:r w:rsidRPr="000635BE">
            <w:rPr>
              <w:rFonts w:ascii="Arial Bold" w:hAnsi="Arial Bold"/>
              <w:b/>
              <w:bCs/>
              <w:noProof/>
              <w:position w:val="-10"/>
            </w:rPr>
            <w:drawing>
              <wp:inline distT="0" distB="0" distL="0" distR="0" wp14:anchorId="3F71FDC4" wp14:editId="13212F9B">
                <wp:extent cx="989308" cy="170121"/>
                <wp:effectExtent l="0" t="0" r="1905" b="190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3E9B8575" w14:textId="77777777" w:rsidR="00FA788E" w:rsidRPr="00F00984" w:rsidRDefault="00FA788E" w:rsidP="00A02E16">
    <w:pPr>
      <w:pStyle w:val="HeaderEven"/>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7D1C8E15" w14:textId="77777777" w:rsidTr="005C474C">
      <w:trPr>
        <w:trHeight w:hRule="exact" w:val="340"/>
      </w:trPr>
      <w:tc>
        <w:tcPr>
          <w:tcW w:w="7797" w:type="dxa"/>
        </w:tcPr>
        <w:p w14:paraId="2AD9B5B4"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7B2C1A42" wp14:editId="65F844B8">
                <wp:extent cx="989308" cy="170121"/>
                <wp:effectExtent l="0" t="0" r="1905" b="190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B83B7B6" w14:textId="77777777" w:rsidR="00FA788E" w:rsidRDefault="00FA788E" w:rsidP="00A02E16">
    <w:pPr>
      <w:pStyle w:val="HeaderOd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881F" w14:textId="77777777" w:rsidR="00FA788E" w:rsidRPr="00B4084B" w:rsidRDefault="00FA788E" w:rsidP="0049200C">
    <w:pPr>
      <w:pStyle w:val="HeaderOdd"/>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1D237A50" w14:textId="77777777" w:rsidTr="005C474C">
      <w:trPr>
        <w:trHeight w:hRule="exact" w:val="340"/>
      </w:trPr>
      <w:tc>
        <w:tcPr>
          <w:tcW w:w="7797" w:type="dxa"/>
        </w:tcPr>
        <w:p w14:paraId="62C79171"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007132AB" wp14:editId="11B18C36">
                <wp:extent cx="989308" cy="170121"/>
                <wp:effectExtent l="0" t="0" r="1905"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751815DE" w14:textId="77777777" w:rsidR="00FA788E" w:rsidRPr="00F00984" w:rsidRDefault="00FA788E" w:rsidP="00F00984">
    <w:pPr>
      <w:pStyle w:val="HeaderEven"/>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447EC9C" w14:textId="77777777" w:rsidTr="005C474C">
      <w:trPr>
        <w:trHeight w:hRule="exact" w:val="340"/>
      </w:trPr>
      <w:tc>
        <w:tcPr>
          <w:tcW w:w="7797" w:type="dxa"/>
        </w:tcPr>
        <w:p w14:paraId="397B2504"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635CAF09" wp14:editId="75B3D32E">
                <wp:extent cx="989308" cy="170121"/>
                <wp:effectExtent l="0" t="0" r="1905" b="190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64CF491" w14:textId="77777777" w:rsidR="00FA788E" w:rsidRDefault="00FA788E" w:rsidP="00F00984">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76972" w14:textId="6169D86A" w:rsidR="00FA788E" w:rsidRDefault="00FA788E" w:rsidP="004461A4">
    <w:pPr>
      <w:pStyle w:val="SecurityClassificationHeader"/>
    </w:pPr>
    <w:r>
      <w:fldChar w:fldCharType="begin"/>
    </w:r>
    <w:r>
      <w:instrText xml:space="preserve"> DOCPROPERTY SecurityClassification \* MERGEFORMAT </w:instrText>
    </w:r>
    <w:r>
      <w:fldChar w:fldCharType="separate"/>
    </w:r>
    <w:r w:rsidR="00400ED5">
      <w:rPr>
        <w:b w:val="0"/>
        <w:bCs/>
        <w:lang w:val="en-US"/>
      </w:rPr>
      <w:t>Error! Unknown document property name.</w:t>
    </w:r>
    <w:r>
      <w:fldChar w:fldCharType="end"/>
    </w:r>
  </w:p>
  <w:p w14:paraId="550520C4" w14:textId="27745138" w:rsidR="00FA788E" w:rsidRDefault="00FA788E" w:rsidP="004461A4">
    <w:pPr>
      <w:pStyle w:val="DLMSecurityHeader"/>
    </w:pPr>
    <w:r>
      <w:fldChar w:fldCharType="begin"/>
    </w:r>
    <w:r>
      <w:instrText xml:space="preserve"> DOCPROPERTY DLMSecurityClassification \* MERGEFORMAT </w:instrText>
    </w:r>
    <w:r>
      <w:fldChar w:fldCharType="separate"/>
    </w:r>
    <w:r w:rsidR="00400ED5">
      <w:rPr>
        <w:b w:val="0"/>
        <w:bCs/>
        <w:lang w:val="en-US"/>
      </w:rPr>
      <w:t>Error! Unknown document property name.</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7D515474" w14:textId="77777777" w:rsidTr="005C474C">
      <w:trPr>
        <w:trHeight w:hRule="exact" w:val="340"/>
      </w:trPr>
      <w:tc>
        <w:tcPr>
          <w:tcW w:w="7797" w:type="dxa"/>
        </w:tcPr>
        <w:p w14:paraId="79E26533"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0EB98B3E" wp14:editId="7F1F82FD">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3421DAF4" w14:textId="77777777" w:rsidR="00FA788E" w:rsidRPr="00F00984" w:rsidRDefault="00FA788E" w:rsidP="00695014">
    <w:pPr>
      <w:pStyle w:val="HeaderEven"/>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A4A4664" w14:textId="77777777" w:rsidTr="005C474C">
      <w:trPr>
        <w:trHeight w:hRule="exact" w:val="340"/>
      </w:trPr>
      <w:tc>
        <w:tcPr>
          <w:tcW w:w="7797" w:type="dxa"/>
        </w:tcPr>
        <w:p w14:paraId="655D6075"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76F13053" wp14:editId="1DD7C947">
                <wp:extent cx="989308" cy="170121"/>
                <wp:effectExtent l="0" t="0" r="1905" b="190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1E7B34A9" w14:textId="77777777" w:rsidR="00FA788E" w:rsidRPr="000304FC" w:rsidRDefault="00FA788E" w:rsidP="00A02E16">
    <w:pPr>
      <w:pStyle w:val="HeaderEven"/>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4934E9E" w14:textId="77777777" w:rsidTr="005C474C">
      <w:trPr>
        <w:trHeight w:hRule="exact" w:val="340"/>
      </w:trPr>
      <w:tc>
        <w:tcPr>
          <w:tcW w:w="7797" w:type="dxa"/>
        </w:tcPr>
        <w:p w14:paraId="4E163245" w14:textId="77777777" w:rsidR="00FA788E" w:rsidRDefault="00FA788E" w:rsidP="00050A97">
          <w:pPr>
            <w:pStyle w:val="HeaderOdd"/>
          </w:pPr>
          <w:r>
            <w:t xml:space="preserve">Portfolio Budget </w:t>
          </w:r>
          <w:proofErr w:type="gramStart"/>
          <w:r>
            <w:t>Statements  |</w:t>
          </w:r>
          <w:proofErr w:type="gramEnd"/>
          <w:r>
            <w:t xml:space="preserve">  </w:t>
          </w:r>
          <w:r w:rsidRPr="000635BE">
            <w:rPr>
              <w:rFonts w:ascii="Arial Bold" w:hAnsi="Arial Bold"/>
              <w:b/>
              <w:bCs/>
              <w:noProof/>
              <w:position w:val="-10"/>
            </w:rPr>
            <w:drawing>
              <wp:inline distT="0" distB="0" distL="0" distR="0" wp14:anchorId="7A517CA2" wp14:editId="23275CDF">
                <wp:extent cx="989308" cy="170121"/>
                <wp:effectExtent l="0" t="0" r="1905" b="190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23BDD29" w14:textId="77777777" w:rsidR="00FA788E" w:rsidRPr="000304FC" w:rsidRDefault="00FA788E" w:rsidP="00A02E16">
    <w:pPr>
      <w:pStyle w:val="HeaderOdd"/>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515B" w14:textId="77777777" w:rsidR="00FA788E" w:rsidRPr="000304FC" w:rsidRDefault="00FA788E" w:rsidP="00A02E16">
    <w:pPr>
      <w:pStyle w:val="HeaderEven"/>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5AAFED3F" w14:textId="77777777" w:rsidTr="005C474C">
      <w:trPr>
        <w:trHeight w:hRule="exact" w:val="340"/>
      </w:trPr>
      <w:tc>
        <w:tcPr>
          <w:tcW w:w="7797" w:type="dxa"/>
        </w:tcPr>
        <w:p w14:paraId="1C469431" w14:textId="77777777" w:rsidR="00FA788E" w:rsidRDefault="00FA788E" w:rsidP="003F458D">
          <w:pPr>
            <w:pStyle w:val="HeaderEven"/>
            <w:ind w:left="-113"/>
          </w:pPr>
          <w:r w:rsidRPr="000635BE">
            <w:rPr>
              <w:rFonts w:ascii="Arial Bold" w:hAnsi="Arial Bold"/>
              <w:b/>
              <w:bCs/>
              <w:noProof/>
              <w:position w:val="-10"/>
            </w:rPr>
            <w:drawing>
              <wp:inline distT="0" distB="0" distL="0" distR="0" wp14:anchorId="386988C5" wp14:editId="43B0B6EC">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2A2D74BC" w14:textId="77777777" w:rsidR="00FA788E" w:rsidRPr="00F00984" w:rsidRDefault="00FA788E" w:rsidP="00A02E16">
    <w:pPr>
      <w:pStyle w:val="HeaderEven"/>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75F29C42" w14:textId="77777777" w:rsidTr="005C474C">
      <w:trPr>
        <w:trHeight w:hRule="exact" w:val="340"/>
      </w:trPr>
      <w:tc>
        <w:tcPr>
          <w:tcW w:w="7797" w:type="dxa"/>
        </w:tcPr>
        <w:p w14:paraId="484E1118"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6D664EE7" wp14:editId="08EDE596">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761884F" w14:textId="77777777" w:rsidR="00FA788E" w:rsidRDefault="00FA788E" w:rsidP="00A02E16">
    <w:pPr>
      <w:pStyle w:val="HeaderOdd"/>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70849" w14:textId="77777777" w:rsidR="00FA788E" w:rsidRPr="00B4084B" w:rsidRDefault="00FA788E" w:rsidP="0049200C">
    <w:pPr>
      <w:pStyle w:val="HeaderOdd"/>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3131EC57" w14:textId="77777777" w:rsidTr="005C474C">
      <w:trPr>
        <w:trHeight w:hRule="exact" w:val="340"/>
      </w:trPr>
      <w:tc>
        <w:tcPr>
          <w:tcW w:w="7797" w:type="dxa"/>
        </w:tcPr>
        <w:p w14:paraId="489C59E8"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298D7419" wp14:editId="32ABBD4C">
                <wp:extent cx="989308" cy="170121"/>
                <wp:effectExtent l="0" t="0" r="1905" b="190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634482AC" w14:textId="77777777" w:rsidR="00FA788E" w:rsidRPr="00F00984" w:rsidRDefault="00FA788E" w:rsidP="00F00984">
    <w:pPr>
      <w:pStyle w:val="HeaderEven"/>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33931AF7" w14:textId="77777777" w:rsidTr="005C474C">
      <w:trPr>
        <w:trHeight w:hRule="exact" w:val="340"/>
      </w:trPr>
      <w:tc>
        <w:tcPr>
          <w:tcW w:w="7797" w:type="dxa"/>
        </w:tcPr>
        <w:p w14:paraId="36DC115E"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0189DAC4" wp14:editId="209A2FA0">
                <wp:extent cx="989308" cy="170121"/>
                <wp:effectExtent l="0" t="0" r="1905" b="190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2D7E4B13" w14:textId="77777777" w:rsidR="00FA788E" w:rsidRDefault="00FA788E" w:rsidP="00F00984">
    <w:pPr>
      <w:pStyle w:val="HeaderOdd"/>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6CFF28C8" w14:textId="77777777" w:rsidTr="005C474C">
      <w:trPr>
        <w:trHeight w:hRule="exact" w:val="340"/>
      </w:trPr>
      <w:tc>
        <w:tcPr>
          <w:tcW w:w="7797" w:type="dxa"/>
        </w:tcPr>
        <w:p w14:paraId="740488C0"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5621DD39" wp14:editId="6C30BFB7">
                <wp:extent cx="989308" cy="170121"/>
                <wp:effectExtent l="0" t="0" r="1905" b="190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3CC6464" w14:textId="77777777" w:rsidR="00FA788E" w:rsidRPr="00F00984" w:rsidRDefault="00FA788E" w:rsidP="00695014">
    <w:pPr>
      <w:pStyle w:val="HeaderEven"/>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4465" w14:textId="39DDFDFB" w:rsidR="00FA788E" w:rsidRDefault="00FA788E" w:rsidP="004461A4">
    <w:pPr>
      <w:pStyle w:val="SecurityClassificationHeader"/>
    </w:pPr>
    <w:r>
      <w:fldChar w:fldCharType="begin"/>
    </w:r>
    <w:r>
      <w:instrText xml:space="preserve"> DOCPROPERTY SecurityClassification \* MERGEFORMAT </w:instrText>
    </w:r>
    <w:r>
      <w:fldChar w:fldCharType="separate"/>
    </w:r>
    <w:r w:rsidR="00400ED5">
      <w:rPr>
        <w:b w:val="0"/>
        <w:bCs/>
        <w:lang w:val="en-US"/>
      </w:rPr>
      <w:t>Error! Unknown document property name.</w:t>
    </w:r>
    <w:r>
      <w:fldChar w:fldCharType="end"/>
    </w:r>
  </w:p>
  <w:p w14:paraId="38018E84" w14:textId="039E11A2" w:rsidR="00FA788E" w:rsidRDefault="00FA788E" w:rsidP="004461A4">
    <w:pPr>
      <w:pStyle w:val="DLMSecurityHeader"/>
    </w:pPr>
    <w:r>
      <w:fldChar w:fldCharType="begin"/>
    </w:r>
    <w:r>
      <w:instrText xml:space="preserve"> DOCPROPERTY DLMSecurityClassification \* MERGEFORMAT </w:instrText>
    </w:r>
    <w:r>
      <w:fldChar w:fldCharType="separate"/>
    </w:r>
    <w:r w:rsidR="00400ED5">
      <w:rPr>
        <w:b w:val="0"/>
        <w:bCs/>
        <w:lang w:val="en-US"/>
      </w:rPr>
      <w:t>Error! Unknown document property name.</w:t>
    </w:r>
    <w: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0C2AFCBD" w14:textId="77777777" w:rsidTr="005C474C">
      <w:trPr>
        <w:trHeight w:hRule="exact" w:val="340"/>
      </w:trPr>
      <w:tc>
        <w:tcPr>
          <w:tcW w:w="7797" w:type="dxa"/>
        </w:tcPr>
        <w:p w14:paraId="1C29D708"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2537B622" wp14:editId="65530A7E">
                <wp:extent cx="989308" cy="170121"/>
                <wp:effectExtent l="0" t="0" r="1905" b="190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682EA64A" w14:textId="77777777" w:rsidR="00FA788E" w:rsidRPr="000304FC" w:rsidRDefault="00FA788E" w:rsidP="00A02E16">
    <w:pPr>
      <w:pStyle w:val="HeaderEven"/>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F4AB4D4" w14:textId="77777777" w:rsidTr="005C474C">
      <w:trPr>
        <w:trHeight w:hRule="exact" w:val="340"/>
      </w:trPr>
      <w:tc>
        <w:tcPr>
          <w:tcW w:w="7797" w:type="dxa"/>
        </w:tcPr>
        <w:p w14:paraId="1B6365F2" w14:textId="77777777" w:rsidR="00FA788E" w:rsidRDefault="00FA788E" w:rsidP="00050A97">
          <w:pPr>
            <w:pStyle w:val="HeaderOdd"/>
          </w:pPr>
          <w:r>
            <w:t xml:space="preserve">Portfolio Budget </w:t>
          </w:r>
          <w:proofErr w:type="gramStart"/>
          <w:r>
            <w:t>Statements  |</w:t>
          </w:r>
          <w:proofErr w:type="gramEnd"/>
          <w:r>
            <w:t xml:space="preserve">  </w:t>
          </w:r>
          <w:r w:rsidRPr="000635BE">
            <w:rPr>
              <w:rFonts w:ascii="Arial Bold" w:hAnsi="Arial Bold"/>
              <w:b/>
              <w:bCs/>
              <w:noProof/>
              <w:position w:val="-10"/>
            </w:rPr>
            <w:drawing>
              <wp:inline distT="0" distB="0" distL="0" distR="0" wp14:anchorId="3DC6834D" wp14:editId="03A800A9">
                <wp:extent cx="989308" cy="170121"/>
                <wp:effectExtent l="0" t="0" r="1905" b="190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0080089" w14:textId="77777777" w:rsidR="00FA788E" w:rsidRPr="000304FC" w:rsidRDefault="00FA788E" w:rsidP="00A02E16">
    <w:pPr>
      <w:pStyle w:val="HeaderOdd"/>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1565" w14:textId="77777777" w:rsidR="00FA788E" w:rsidRPr="000304FC" w:rsidRDefault="00FA788E" w:rsidP="00A02E16">
    <w:pPr>
      <w:pStyle w:val="HeaderEven"/>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1A702368" w14:textId="77777777" w:rsidTr="005C474C">
      <w:trPr>
        <w:trHeight w:hRule="exact" w:val="340"/>
      </w:trPr>
      <w:tc>
        <w:tcPr>
          <w:tcW w:w="7797" w:type="dxa"/>
        </w:tcPr>
        <w:p w14:paraId="575CB3F2" w14:textId="77777777" w:rsidR="00FA788E" w:rsidRDefault="00FA788E" w:rsidP="003F458D">
          <w:pPr>
            <w:pStyle w:val="HeaderEven"/>
            <w:ind w:left="-113"/>
          </w:pPr>
          <w:r w:rsidRPr="000635BE">
            <w:rPr>
              <w:rFonts w:ascii="Arial Bold" w:hAnsi="Arial Bold"/>
              <w:b/>
              <w:bCs/>
              <w:noProof/>
              <w:position w:val="-10"/>
            </w:rPr>
            <w:drawing>
              <wp:inline distT="0" distB="0" distL="0" distR="0" wp14:anchorId="292FFFE1" wp14:editId="31782EE2">
                <wp:extent cx="989308" cy="170121"/>
                <wp:effectExtent l="0" t="0" r="1905" b="190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5B0B141D" w14:textId="77777777" w:rsidR="00FA788E" w:rsidRPr="00F00984" w:rsidRDefault="00FA788E" w:rsidP="00A02E16">
    <w:pPr>
      <w:pStyle w:val="HeaderEven"/>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6DFCD29F" w14:textId="77777777" w:rsidTr="005C474C">
      <w:trPr>
        <w:trHeight w:hRule="exact" w:val="340"/>
      </w:trPr>
      <w:tc>
        <w:tcPr>
          <w:tcW w:w="7797" w:type="dxa"/>
        </w:tcPr>
        <w:p w14:paraId="12CA17B9"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6AAB6D44" wp14:editId="4D8BA963">
                <wp:extent cx="989308" cy="170121"/>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729035E" w14:textId="77777777" w:rsidR="00FA788E" w:rsidRDefault="00FA788E" w:rsidP="00A02E16">
    <w:pPr>
      <w:pStyle w:val="HeaderOdd"/>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97A0" w14:textId="77777777" w:rsidR="00FA788E" w:rsidRPr="00B4084B" w:rsidRDefault="00FA788E" w:rsidP="0049200C">
    <w:pPr>
      <w:pStyle w:val="HeaderOdd"/>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C9C4DB8" w14:textId="77777777" w:rsidTr="005C474C">
      <w:trPr>
        <w:trHeight w:hRule="exact" w:val="340"/>
      </w:trPr>
      <w:tc>
        <w:tcPr>
          <w:tcW w:w="7797" w:type="dxa"/>
        </w:tcPr>
        <w:p w14:paraId="1D8D30F8"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29A75B10" wp14:editId="145D315C">
                <wp:extent cx="989308" cy="170121"/>
                <wp:effectExtent l="0" t="0" r="190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235E6B74" w14:textId="77777777" w:rsidR="00FA788E" w:rsidRPr="000304FC" w:rsidRDefault="00FA788E" w:rsidP="00A02E16">
    <w:pPr>
      <w:pStyle w:val="HeaderEven"/>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7A70FC8" w14:textId="77777777" w:rsidTr="005C474C">
      <w:trPr>
        <w:trHeight w:hRule="exact" w:val="340"/>
      </w:trPr>
      <w:tc>
        <w:tcPr>
          <w:tcW w:w="7797" w:type="dxa"/>
        </w:tcPr>
        <w:p w14:paraId="3FC36FDC" w14:textId="77777777" w:rsidR="00FA788E" w:rsidRDefault="00FA788E" w:rsidP="00050A97">
          <w:pPr>
            <w:pStyle w:val="HeaderOdd"/>
          </w:pPr>
          <w:r>
            <w:t xml:space="preserve">Portfolio Budget </w:t>
          </w:r>
          <w:proofErr w:type="gramStart"/>
          <w:r>
            <w:t>Statements  |</w:t>
          </w:r>
          <w:proofErr w:type="gramEnd"/>
          <w:r>
            <w:t xml:space="preserve">  </w:t>
          </w:r>
          <w:r w:rsidRPr="000635BE">
            <w:rPr>
              <w:rFonts w:ascii="Arial Bold" w:hAnsi="Arial Bold"/>
              <w:b/>
              <w:bCs/>
              <w:noProof/>
              <w:position w:val="-10"/>
            </w:rPr>
            <w:drawing>
              <wp:inline distT="0" distB="0" distL="0" distR="0" wp14:anchorId="563B40E8" wp14:editId="3A35DDBF">
                <wp:extent cx="989308" cy="170121"/>
                <wp:effectExtent l="0" t="0" r="190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F1542B8" w14:textId="77777777" w:rsidR="00FA788E" w:rsidRPr="000304FC" w:rsidRDefault="00FA788E" w:rsidP="00A02E16">
    <w:pPr>
      <w:pStyle w:val="HeaderOdd"/>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2AEE" w14:textId="77777777" w:rsidR="00FA788E" w:rsidRPr="000304FC" w:rsidRDefault="00FA788E" w:rsidP="00A02E16">
    <w:pPr>
      <w:pStyle w:val="HeaderEven"/>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6B699384" w14:textId="77777777" w:rsidTr="005C474C">
      <w:trPr>
        <w:trHeight w:hRule="exact" w:val="340"/>
      </w:trPr>
      <w:tc>
        <w:tcPr>
          <w:tcW w:w="7797" w:type="dxa"/>
        </w:tcPr>
        <w:p w14:paraId="38608F63" w14:textId="77777777" w:rsidR="00FA788E" w:rsidRDefault="00FA788E" w:rsidP="003F458D">
          <w:pPr>
            <w:pStyle w:val="HeaderEven"/>
            <w:ind w:left="-113"/>
          </w:pPr>
          <w:r w:rsidRPr="000635BE">
            <w:rPr>
              <w:rFonts w:ascii="Arial Bold" w:hAnsi="Arial Bold"/>
              <w:b/>
              <w:bCs/>
              <w:noProof/>
              <w:position w:val="-10"/>
            </w:rPr>
            <w:drawing>
              <wp:inline distT="0" distB="0" distL="0" distR="0" wp14:anchorId="4B3CCDF1" wp14:editId="76B561B3">
                <wp:extent cx="989308" cy="170121"/>
                <wp:effectExtent l="0" t="0" r="190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4C4D24E4" w14:textId="77777777" w:rsidR="00FA788E" w:rsidRPr="00F00984" w:rsidRDefault="00FA788E" w:rsidP="00A02E16">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7D938E45" w14:textId="77777777" w:rsidTr="005C474C">
      <w:trPr>
        <w:trHeight w:hRule="exact" w:val="340"/>
      </w:trPr>
      <w:tc>
        <w:tcPr>
          <w:tcW w:w="7797" w:type="dxa"/>
        </w:tcPr>
        <w:p w14:paraId="476B61CB" w14:textId="77777777" w:rsidR="00FA788E" w:rsidRDefault="00FA788E" w:rsidP="00081CBC">
          <w:pPr>
            <w:pStyle w:val="HeaderEven"/>
            <w:ind w:left="-113"/>
          </w:pPr>
          <w:r w:rsidRPr="000635BE">
            <w:rPr>
              <w:rFonts w:ascii="Arial Bold" w:hAnsi="Arial Bold"/>
              <w:b/>
              <w:bCs/>
              <w:noProof/>
              <w:position w:val="-10"/>
            </w:rPr>
            <w:drawing>
              <wp:inline distT="0" distB="0" distL="0" distR="0" wp14:anchorId="20C5F1FE" wp14:editId="64E159BD">
                <wp:extent cx="989308" cy="170121"/>
                <wp:effectExtent l="0" t="0" r="1905"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5B14C54B" w14:textId="6E8A36F6" w:rsidR="00FA788E" w:rsidRPr="0049200C" w:rsidRDefault="00FA788E" w:rsidP="00081CBC">
    <w:pPr>
      <w:pStyle w:val="HeaderEven"/>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77344F61" w14:textId="77777777" w:rsidTr="005C474C">
      <w:trPr>
        <w:trHeight w:hRule="exact" w:val="340"/>
      </w:trPr>
      <w:tc>
        <w:tcPr>
          <w:tcW w:w="7797" w:type="dxa"/>
        </w:tcPr>
        <w:p w14:paraId="2D6E3001" w14:textId="77777777" w:rsidR="00FA788E" w:rsidRDefault="00FA788E"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2772175A" wp14:editId="5EF68CF8">
                <wp:extent cx="989308" cy="170121"/>
                <wp:effectExtent l="0" t="0" r="190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2CD64535" w14:textId="77777777" w:rsidR="00FA788E" w:rsidRDefault="00FA788E" w:rsidP="00A02E16">
    <w:pPr>
      <w:pStyle w:val="HeaderOdd"/>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6D3CD" w14:textId="77777777" w:rsidR="00FA788E" w:rsidRPr="00B4084B" w:rsidRDefault="00FA788E" w:rsidP="0049200C">
    <w:pPr>
      <w:pStyle w:val="HeaderOdd"/>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66A7DF40" w14:textId="77777777" w:rsidTr="005C474C">
      <w:trPr>
        <w:trHeight w:hRule="exact" w:val="340"/>
      </w:trPr>
      <w:tc>
        <w:tcPr>
          <w:tcW w:w="7797" w:type="dxa"/>
        </w:tcPr>
        <w:p w14:paraId="79C71CC6"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6494622B" wp14:editId="2B86F63F">
                <wp:extent cx="989308" cy="170121"/>
                <wp:effectExtent l="0" t="0" r="190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512C75E3" w14:textId="77777777" w:rsidR="00FA788E" w:rsidRPr="000304FC" w:rsidRDefault="00FA788E" w:rsidP="00A02E16">
    <w:pPr>
      <w:pStyle w:val="HeaderEven"/>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38D9FCEB" w14:textId="77777777" w:rsidTr="005C474C">
      <w:trPr>
        <w:trHeight w:hRule="exact" w:val="340"/>
      </w:trPr>
      <w:tc>
        <w:tcPr>
          <w:tcW w:w="7797" w:type="dxa"/>
        </w:tcPr>
        <w:p w14:paraId="4A339B4F" w14:textId="77777777" w:rsidR="00FA788E" w:rsidRDefault="00FA788E" w:rsidP="00050A97">
          <w:pPr>
            <w:pStyle w:val="HeaderOdd"/>
          </w:pPr>
          <w:r>
            <w:t xml:space="preserve">Portfolio Budget </w:t>
          </w:r>
          <w:proofErr w:type="gramStart"/>
          <w:r>
            <w:t>Statements  |</w:t>
          </w:r>
          <w:proofErr w:type="gramEnd"/>
          <w:r>
            <w:t xml:space="preserve">  </w:t>
          </w:r>
          <w:r w:rsidRPr="000635BE">
            <w:rPr>
              <w:rFonts w:ascii="Arial Bold" w:hAnsi="Arial Bold"/>
              <w:b/>
              <w:bCs/>
              <w:noProof/>
              <w:position w:val="-10"/>
            </w:rPr>
            <w:drawing>
              <wp:inline distT="0" distB="0" distL="0" distR="0" wp14:anchorId="73A19491" wp14:editId="18CD7C09">
                <wp:extent cx="989308" cy="170121"/>
                <wp:effectExtent l="0" t="0" r="1905"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DC88755" w14:textId="77777777" w:rsidR="00FA788E" w:rsidRPr="000304FC" w:rsidRDefault="00FA788E" w:rsidP="00A02E16">
    <w:pPr>
      <w:pStyle w:val="HeaderOdd"/>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454DE92E" w14:textId="77777777" w:rsidTr="005C474C">
      <w:trPr>
        <w:trHeight w:hRule="exact" w:val="340"/>
      </w:trPr>
      <w:tc>
        <w:tcPr>
          <w:tcW w:w="7797" w:type="dxa"/>
        </w:tcPr>
        <w:p w14:paraId="658BF549" w14:textId="77777777" w:rsidR="00FA788E" w:rsidRDefault="00FA788E" w:rsidP="00050A97">
          <w:pPr>
            <w:pStyle w:val="HeaderEven"/>
            <w:ind w:left="-113"/>
          </w:pPr>
          <w:r w:rsidRPr="000635BE">
            <w:rPr>
              <w:rFonts w:ascii="Arial Bold" w:hAnsi="Arial Bold"/>
              <w:b/>
              <w:bCs/>
              <w:noProof/>
              <w:position w:val="-10"/>
            </w:rPr>
            <w:drawing>
              <wp:inline distT="0" distB="0" distL="0" distR="0" wp14:anchorId="1E1C1467" wp14:editId="3647708F">
                <wp:extent cx="989308" cy="170121"/>
                <wp:effectExtent l="0" t="0" r="190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58F7669F" w14:textId="77777777" w:rsidR="00FA788E" w:rsidRPr="000304FC" w:rsidRDefault="00FA788E" w:rsidP="00A02E16">
    <w:pPr>
      <w:pStyle w:val="HeaderEven"/>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7E2CF401" w14:textId="77777777" w:rsidTr="00FD1BC7">
      <w:trPr>
        <w:trHeight w:hRule="exact" w:val="340"/>
      </w:trPr>
      <w:tc>
        <w:tcPr>
          <w:tcW w:w="7797" w:type="dxa"/>
        </w:tcPr>
        <w:p w14:paraId="7DDF64DA" w14:textId="77777777" w:rsidR="00FA788E" w:rsidRDefault="00FA788E" w:rsidP="007D44E9">
          <w:pPr>
            <w:pStyle w:val="HeaderEven"/>
            <w:ind w:left="-113"/>
          </w:pPr>
          <w:r w:rsidRPr="000635BE">
            <w:rPr>
              <w:rFonts w:ascii="Arial Bold" w:hAnsi="Arial Bold"/>
              <w:b/>
              <w:bCs/>
              <w:noProof/>
              <w:position w:val="-10"/>
            </w:rPr>
            <w:drawing>
              <wp:inline distT="0" distB="0" distL="0" distR="0" wp14:anchorId="31056287" wp14:editId="36A19389">
                <wp:extent cx="989308" cy="170121"/>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1D99D176" w14:textId="77777777" w:rsidR="00FA788E" w:rsidRPr="000304FC" w:rsidRDefault="00FA788E" w:rsidP="007D44E9">
    <w:pPr>
      <w:pStyle w:val="HeaderEven"/>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3652D6D9" w14:textId="77777777" w:rsidTr="00FD1BC7">
      <w:trPr>
        <w:trHeight w:hRule="exact" w:val="340"/>
      </w:trPr>
      <w:tc>
        <w:tcPr>
          <w:tcW w:w="7797" w:type="dxa"/>
        </w:tcPr>
        <w:p w14:paraId="6E22563A" w14:textId="77777777" w:rsidR="00FA788E" w:rsidRDefault="00FA788E" w:rsidP="007D44E9">
          <w:pPr>
            <w:pStyle w:val="HeaderOdd"/>
          </w:pPr>
          <w:r>
            <w:t xml:space="preserve">Portfolio Budget </w:t>
          </w:r>
          <w:proofErr w:type="gramStart"/>
          <w:r>
            <w:t>Statements  |</w:t>
          </w:r>
          <w:proofErr w:type="gramEnd"/>
          <w:r>
            <w:t xml:space="preserve">  </w:t>
          </w:r>
          <w:r w:rsidRPr="000635BE">
            <w:rPr>
              <w:rFonts w:ascii="Arial Bold" w:hAnsi="Arial Bold"/>
              <w:b/>
              <w:bCs/>
              <w:noProof/>
              <w:position w:val="-10"/>
            </w:rPr>
            <w:drawing>
              <wp:inline distT="0" distB="0" distL="0" distR="0" wp14:anchorId="2EE5CC6F" wp14:editId="40E092EB">
                <wp:extent cx="989308" cy="170121"/>
                <wp:effectExtent l="0" t="0" r="190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230917E1" w14:textId="77777777" w:rsidR="00FA788E" w:rsidRPr="000304FC" w:rsidRDefault="00FA788E" w:rsidP="007D44E9">
    <w:pPr>
      <w:pStyle w:val="HeaderOdd"/>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F759" w14:textId="77777777" w:rsidR="00FA788E" w:rsidRPr="00970E65" w:rsidRDefault="00FA788E" w:rsidP="004461A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01BE" w14:textId="77777777" w:rsidR="00FA788E" w:rsidRPr="0049200C" w:rsidRDefault="00FA788E" w:rsidP="000C4F54">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788E" w14:paraId="1AFFC754" w14:textId="77777777" w:rsidTr="005C474C">
      <w:trPr>
        <w:trHeight w:hRule="exact" w:val="340"/>
      </w:trPr>
      <w:tc>
        <w:tcPr>
          <w:tcW w:w="7797" w:type="dxa"/>
        </w:tcPr>
        <w:p w14:paraId="291EBB2F" w14:textId="77777777" w:rsidR="00FA788E" w:rsidRDefault="00FA788E" w:rsidP="00081CBC">
          <w:pPr>
            <w:pStyle w:val="HeaderEven"/>
            <w:ind w:left="-113"/>
          </w:pPr>
          <w:r w:rsidRPr="000635BE">
            <w:rPr>
              <w:rFonts w:ascii="Arial Bold" w:hAnsi="Arial Bold"/>
              <w:b/>
              <w:bCs/>
              <w:noProof/>
              <w:position w:val="-10"/>
            </w:rPr>
            <w:drawing>
              <wp:inline distT="0" distB="0" distL="0" distR="0" wp14:anchorId="618E9F68" wp14:editId="378633F8">
                <wp:extent cx="989308" cy="170121"/>
                <wp:effectExtent l="0" t="0" r="1905" b="190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tc>
    </w:tr>
  </w:tbl>
  <w:p w14:paraId="755F4AC8" w14:textId="050498A5" w:rsidR="00FA788E" w:rsidRPr="004F1212" w:rsidRDefault="00FA788E" w:rsidP="003F0C8B">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210D" w14:textId="77777777" w:rsidR="00FA788E" w:rsidRDefault="00FA788E" w:rsidP="004F1212">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640320" behindDoc="0" locked="1" layoutInCell="0" allowOverlap="1" wp14:anchorId="61275D77" wp14:editId="3E397D04">
              <wp:simplePos x="0" y="0"/>
              <wp:positionH relativeFrom="margin">
                <wp:align>center</wp:align>
              </wp:positionH>
              <wp:positionV relativeFrom="page">
                <wp:posOffset>512445</wp:posOffset>
              </wp:positionV>
              <wp:extent cx="4910455" cy="615315"/>
              <wp:effectExtent l="0" t="0" r="4445" b="0"/>
              <wp:wrapSquare wrapText="bothSides"/>
              <wp:docPr id="42" name="Text Box 1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FA1F" w14:textId="77777777" w:rsidR="00FA788E" w:rsidRDefault="00FA788E"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5D77" id="_x0000_t202" coordsize="21600,21600" o:spt="202" path="m,l,21600r21600,l21600,xe">
              <v:stroke joinstyle="miter"/>
              <v:path gradientshapeok="t" o:connecttype="rect"/>
            </v:shapetype>
            <v:shape id="Text Box 14" o:spid="_x0000_s1052" type="#_x0000_t202" alt="Portrait Classification Header" style="position:absolute;margin-left:0;margin-top:40.35pt;width:386.65pt;height:48.45pt;z-index:2516403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8aLw/QMCAADfAwAADgAAAAAA&#10;AAAAAAAAAAAuAgAAZHJzL2Uyb0RvYy54bWxQSwECLQAUAAYACAAAACEAj1v8W90AAAAHAQAADwAA&#10;AAAAAAAAAAAAAABdBAAAZHJzL2Rvd25yZXYueG1sUEsFBgAAAAAEAAQA8wAAAGcFAAAAAA==&#10;" o:allowincell="f" filled="f" stroked="f">
              <v:textbox inset="0,0,0,0">
                <w:txbxContent>
                  <w:p w14:paraId="5DBFFA1F" w14:textId="77777777" w:rsidR="00FA788E" w:rsidRDefault="00FA788E"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211D" w14:textId="77777777" w:rsidR="00FA788E" w:rsidRDefault="00FA788E" w:rsidP="000C4F54">
    <w:pPr>
      <w:pStyle w:val="HeaderEv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658"/>
    <w:multiLevelType w:val="multilevel"/>
    <w:tmpl w:val="3DDEE1B8"/>
    <w:lvl w:ilvl="0">
      <w:start w:val="1"/>
      <w:numFmt w:val="bullet"/>
      <w:lvlText w:val=""/>
      <w:lvlJc w:val="left"/>
      <w:pPr>
        <w:tabs>
          <w:tab w:val="num" w:pos="1058"/>
        </w:tabs>
        <w:ind w:left="1058" w:hanging="360"/>
      </w:pPr>
      <w:rPr>
        <w:rFonts w:ascii="Symbol" w:hAnsi="Symbol" w:hint="default"/>
        <w:color w:val="auto"/>
        <w:sz w:val="20"/>
      </w:rPr>
    </w:lvl>
    <w:lvl w:ilvl="1">
      <w:start w:val="1"/>
      <w:numFmt w:val="bullet"/>
      <w:lvlText w:val=""/>
      <w:lvlJc w:val="left"/>
      <w:pPr>
        <w:tabs>
          <w:tab w:val="num" w:pos="1778"/>
        </w:tabs>
        <w:ind w:left="1778" w:hanging="360"/>
      </w:pPr>
      <w:rPr>
        <w:rFonts w:ascii="Symbol" w:hAnsi="Symbol" w:hint="default"/>
        <w:sz w:val="20"/>
      </w:rPr>
    </w:lvl>
    <w:lvl w:ilvl="2">
      <w:start w:val="1"/>
      <w:numFmt w:val="bullet"/>
      <w:lvlText w:val=""/>
      <w:lvlJc w:val="left"/>
      <w:pPr>
        <w:tabs>
          <w:tab w:val="num" w:pos="2498"/>
        </w:tabs>
        <w:ind w:left="2498" w:hanging="360"/>
      </w:pPr>
      <w:rPr>
        <w:rFonts w:ascii="Symbol" w:hAnsi="Symbol" w:hint="default"/>
        <w:sz w:val="20"/>
      </w:rPr>
    </w:lvl>
    <w:lvl w:ilvl="3">
      <w:start w:val="1"/>
      <w:numFmt w:val="bullet"/>
      <w:lvlText w:val=""/>
      <w:lvlJc w:val="left"/>
      <w:pPr>
        <w:tabs>
          <w:tab w:val="num" w:pos="3218"/>
        </w:tabs>
        <w:ind w:left="3218" w:hanging="360"/>
      </w:pPr>
      <w:rPr>
        <w:rFonts w:ascii="Symbol" w:hAnsi="Symbol" w:hint="default"/>
        <w:sz w:val="20"/>
      </w:rPr>
    </w:lvl>
    <w:lvl w:ilvl="4">
      <w:start w:val="1"/>
      <w:numFmt w:val="bullet"/>
      <w:lvlText w:val=""/>
      <w:lvlJc w:val="left"/>
      <w:pPr>
        <w:tabs>
          <w:tab w:val="num" w:pos="3938"/>
        </w:tabs>
        <w:ind w:left="3938" w:hanging="360"/>
      </w:pPr>
      <w:rPr>
        <w:rFonts w:ascii="Symbol" w:hAnsi="Symbol" w:hint="default"/>
        <w:sz w:val="20"/>
      </w:rPr>
    </w:lvl>
    <w:lvl w:ilvl="5">
      <w:start w:val="1"/>
      <w:numFmt w:val="bullet"/>
      <w:lvlText w:val=""/>
      <w:lvlJc w:val="left"/>
      <w:pPr>
        <w:tabs>
          <w:tab w:val="num" w:pos="4658"/>
        </w:tabs>
        <w:ind w:left="4658" w:hanging="360"/>
      </w:pPr>
      <w:rPr>
        <w:rFonts w:ascii="Symbol" w:hAnsi="Symbol" w:hint="default"/>
        <w:sz w:val="20"/>
      </w:rPr>
    </w:lvl>
    <w:lvl w:ilvl="6">
      <w:start w:val="1"/>
      <w:numFmt w:val="bullet"/>
      <w:lvlText w:val=""/>
      <w:lvlJc w:val="left"/>
      <w:pPr>
        <w:tabs>
          <w:tab w:val="num" w:pos="5378"/>
        </w:tabs>
        <w:ind w:left="5378" w:hanging="360"/>
      </w:pPr>
      <w:rPr>
        <w:rFonts w:ascii="Symbol" w:hAnsi="Symbol" w:hint="default"/>
        <w:sz w:val="20"/>
      </w:rPr>
    </w:lvl>
    <w:lvl w:ilvl="7">
      <w:start w:val="1"/>
      <w:numFmt w:val="bullet"/>
      <w:lvlText w:val=""/>
      <w:lvlJc w:val="left"/>
      <w:pPr>
        <w:tabs>
          <w:tab w:val="num" w:pos="6098"/>
        </w:tabs>
        <w:ind w:left="6098" w:hanging="360"/>
      </w:pPr>
      <w:rPr>
        <w:rFonts w:ascii="Symbol" w:hAnsi="Symbol" w:hint="default"/>
        <w:sz w:val="20"/>
      </w:rPr>
    </w:lvl>
    <w:lvl w:ilvl="8">
      <w:start w:val="1"/>
      <w:numFmt w:val="bullet"/>
      <w:lvlText w:val=""/>
      <w:lvlJc w:val="left"/>
      <w:pPr>
        <w:tabs>
          <w:tab w:val="num" w:pos="6818"/>
        </w:tabs>
        <w:ind w:left="6818" w:hanging="360"/>
      </w:pPr>
      <w:rPr>
        <w:rFonts w:ascii="Symbol" w:hAnsi="Symbol" w:hint="default"/>
        <w:sz w:val="20"/>
      </w:rPr>
    </w:lvl>
  </w:abstractNum>
  <w:abstractNum w:abstractNumId="1" w15:restartNumberingAfterBreak="0">
    <w:nsid w:val="03C55085"/>
    <w:multiLevelType w:val="multilevel"/>
    <w:tmpl w:val="91AA9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15:restartNumberingAfterBreak="0">
    <w:nsid w:val="0F276CBD"/>
    <w:multiLevelType w:val="hybridMultilevel"/>
    <w:tmpl w:val="B658D056"/>
    <w:lvl w:ilvl="0" w:tplc="2E10795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6" w15:restartNumberingAfterBreak="0">
    <w:nsid w:val="1A347703"/>
    <w:multiLevelType w:val="hybridMultilevel"/>
    <w:tmpl w:val="EA6E212A"/>
    <w:lvl w:ilvl="0" w:tplc="139459A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F13D46"/>
    <w:multiLevelType w:val="hybridMultilevel"/>
    <w:tmpl w:val="5D56230E"/>
    <w:lvl w:ilvl="0" w:tplc="4BBAB4E4">
      <w:start w:val="1"/>
      <w:numFmt w:val="bullet"/>
      <w:lvlText w:val="•"/>
      <w:lvlJc w:val="left"/>
      <w:pPr>
        <w:ind w:left="360" w:hanging="360"/>
      </w:pPr>
      <w:rPr>
        <w:rFonts w:ascii="Arial" w:hAnsi="Arial" w:cs="Times New Roman"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42973E0"/>
    <w:multiLevelType w:val="hybridMultilevel"/>
    <w:tmpl w:val="086455FA"/>
    <w:lvl w:ilvl="0" w:tplc="AF84F1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91262D8"/>
    <w:multiLevelType w:val="multilevel"/>
    <w:tmpl w:val="2E946F62"/>
    <w:lvl w:ilvl="0">
      <w:start w:val="2"/>
      <w:numFmt w:val="bullet"/>
      <w:lvlText w:val="•"/>
      <w:lvlJc w:val="left"/>
      <w:pPr>
        <w:tabs>
          <w:tab w:val="num" w:pos="284"/>
        </w:tabs>
        <w:ind w:left="284" w:hanging="284"/>
      </w:pPr>
      <w:rPr>
        <w:rFonts w:ascii="Book Antiqua" w:hAnsi="Book Antiqua" w:cs="Book Antiqua" w:hint="default"/>
        <w:b w:val="0"/>
        <w:i w:val="0"/>
        <w:color w:val="auto"/>
        <w:sz w:val="20"/>
        <w:szCs w:val="20"/>
      </w:rPr>
    </w:lvl>
    <w:lvl w:ilvl="1">
      <w:numFmt w:val="bullet"/>
      <w:lvlText w:val="•"/>
      <w:lvlJc w:val="left"/>
      <w:pPr>
        <w:tabs>
          <w:tab w:val="num" w:pos="567"/>
        </w:tabs>
        <w:ind w:left="567" w:hanging="283"/>
      </w:pPr>
      <w:rPr>
        <w:rFonts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2A676AA8"/>
    <w:multiLevelType w:val="multilevel"/>
    <w:tmpl w:val="DE38C0E6"/>
    <w:lvl w:ilvl="0">
      <w:start w:val="1"/>
      <w:numFmt w:val="bullet"/>
      <w:lvlText w:val=""/>
      <w:lvlJc w:val="left"/>
      <w:pPr>
        <w:tabs>
          <w:tab w:val="num" w:pos="720"/>
        </w:tabs>
        <w:ind w:left="720" w:hanging="360"/>
      </w:pPr>
      <w:rPr>
        <w:rFonts w:ascii="Symbol" w:hAnsi="Symbol" w:hint="default"/>
        <w:sz w:val="20"/>
      </w:rPr>
    </w:lvl>
    <w:lvl w:ilvl="1">
      <w:start w:val="1"/>
      <w:numFmt w:val="bullet"/>
      <w:pStyle w:val="tablebodybullets"/>
      <w:lvlText w:val=""/>
      <w:lvlJc w:val="left"/>
      <w:pPr>
        <w:tabs>
          <w:tab w:val="num" w:pos="1440"/>
        </w:tabs>
        <w:ind w:left="1440" w:hanging="360"/>
      </w:pPr>
      <w:rPr>
        <w:rFonts w:ascii="Symbol" w:hAnsi="Symbol" w:hint="default"/>
        <w:sz w:val="16"/>
        <w:szCs w:val="16"/>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FAE58A6"/>
    <w:multiLevelType w:val="hybridMultilevel"/>
    <w:tmpl w:val="50FA1816"/>
    <w:lvl w:ilvl="0" w:tplc="3E246DF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1251C4E"/>
    <w:multiLevelType w:val="hybridMultilevel"/>
    <w:tmpl w:val="086455FA"/>
    <w:lvl w:ilvl="0" w:tplc="AF84F1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7" w15:restartNumberingAfterBreak="0">
    <w:nsid w:val="3E853426"/>
    <w:multiLevelType w:val="hybridMultilevel"/>
    <w:tmpl w:val="C46AC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4C2586"/>
    <w:multiLevelType w:val="multilevel"/>
    <w:tmpl w:val="5D6EA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DA15E5D"/>
    <w:multiLevelType w:val="hybridMultilevel"/>
    <w:tmpl w:val="FA4CC2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D54B32"/>
    <w:multiLevelType w:val="multilevel"/>
    <w:tmpl w:val="17EC3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E21A4"/>
    <w:multiLevelType w:val="hybridMultilevel"/>
    <w:tmpl w:val="F3409146"/>
    <w:lvl w:ilvl="0" w:tplc="BEB48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630A41BA"/>
    <w:multiLevelType w:val="hybridMultilevel"/>
    <w:tmpl w:val="9F3AFCCE"/>
    <w:lvl w:ilvl="0" w:tplc="3774E980">
      <w:numFmt w:val="bullet"/>
      <w:lvlText w:val=""/>
      <w:lvlJc w:val="left"/>
      <w:pPr>
        <w:ind w:left="422" w:hanging="217"/>
      </w:pPr>
      <w:rPr>
        <w:rFonts w:ascii="Symbol" w:eastAsia="Symbol" w:hAnsi="Symbol" w:cs="Symbol" w:hint="default"/>
        <w:w w:val="99"/>
        <w:sz w:val="16"/>
        <w:szCs w:val="16"/>
      </w:rPr>
    </w:lvl>
    <w:lvl w:ilvl="1" w:tplc="57FA78AA">
      <w:numFmt w:val="bullet"/>
      <w:lvlText w:val="•"/>
      <w:lvlJc w:val="left"/>
      <w:pPr>
        <w:ind w:left="981" w:hanging="217"/>
      </w:pPr>
      <w:rPr>
        <w:rFonts w:hint="default"/>
      </w:rPr>
    </w:lvl>
    <w:lvl w:ilvl="2" w:tplc="B79EDA50">
      <w:numFmt w:val="bullet"/>
      <w:lvlText w:val="•"/>
      <w:lvlJc w:val="left"/>
      <w:pPr>
        <w:ind w:left="1542" w:hanging="217"/>
      </w:pPr>
      <w:rPr>
        <w:rFonts w:hint="default"/>
      </w:rPr>
    </w:lvl>
    <w:lvl w:ilvl="3" w:tplc="B8C01990">
      <w:numFmt w:val="bullet"/>
      <w:lvlText w:val="•"/>
      <w:lvlJc w:val="left"/>
      <w:pPr>
        <w:ind w:left="2103" w:hanging="217"/>
      </w:pPr>
      <w:rPr>
        <w:rFonts w:hint="default"/>
      </w:rPr>
    </w:lvl>
    <w:lvl w:ilvl="4" w:tplc="2BCECDE0">
      <w:numFmt w:val="bullet"/>
      <w:lvlText w:val="•"/>
      <w:lvlJc w:val="left"/>
      <w:pPr>
        <w:ind w:left="2664" w:hanging="217"/>
      </w:pPr>
      <w:rPr>
        <w:rFonts w:hint="default"/>
      </w:rPr>
    </w:lvl>
    <w:lvl w:ilvl="5" w:tplc="A9BC22BA">
      <w:numFmt w:val="bullet"/>
      <w:lvlText w:val="•"/>
      <w:lvlJc w:val="left"/>
      <w:pPr>
        <w:ind w:left="3226" w:hanging="217"/>
      </w:pPr>
      <w:rPr>
        <w:rFonts w:hint="default"/>
      </w:rPr>
    </w:lvl>
    <w:lvl w:ilvl="6" w:tplc="C3F0441C">
      <w:numFmt w:val="bullet"/>
      <w:lvlText w:val="•"/>
      <w:lvlJc w:val="left"/>
      <w:pPr>
        <w:ind w:left="3787" w:hanging="217"/>
      </w:pPr>
      <w:rPr>
        <w:rFonts w:hint="default"/>
      </w:rPr>
    </w:lvl>
    <w:lvl w:ilvl="7" w:tplc="799CBA5E">
      <w:numFmt w:val="bullet"/>
      <w:lvlText w:val="•"/>
      <w:lvlJc w:val="left"/>
      <w:pPr>
        <w:ind w:left="4348" w:hanging="217"/>
      </w:pPr>
      <w:rPr>
        <w:rFonts w:hint="default"/>
      </w:rPr>
    </w:lvl>
    <w:lvl w:ilvl="8" w:tplc="4F4C84FE">
      <w:numFmt w:val="bullet"/>
      <w:lvlText w:val="•"/>
      <w:lvlJc w:val="left"/>
      <w:pPr>
        <w:ind w:left="4909" w:hanging="217"/>
      </w:pPr>
      <w:rPr>
        <w:rFonts w:hint="default"/>
      </w:rPr>
    </w:lvl>
  </w:abstractNum>
  <w:abstractNum w:abstractNumId="25" w15:restartNumberingAfterBreak="0">
    <w:nsid w:val="68A96E97"/>
    <w:multiLevelType w:val="hybridMultilevel"/>
    <w:tmpl w:val="EE3AA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78517DA9"/>
    <w:multiLevelType w:val="hybridMultilevel"/>
    <w:tmpl w:val="45A67EAA"/>
    <w:lvl w:ilvl="0" w:tplc="BC40576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B8D1DA2"/>
    <w:multiLevelType w:val="hybridMultilevel"/>
    <w:tmpl w:val="232A6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6"/>
  </w:num>
  <w:num w:numId="4">
    <w:abstractNumId w:val="27"/>
  </w:num>
  <w:num w:numId="5">
    <w:abstractNumId w:val="12"/>
  </w:num>
  <w:num w:numId="6">
    <w:abstractNumId w:val="23"/>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
  </w:num>
  <w:num w:numId="12">
    <w:abstractNumId w:val="16"/>
    <w:lvlOverride w:ilvl="0">
      <w:startOverride w:val="1"/>
    </w:lvlOverride>
  </w:num>
  <w:num w:numId="13">
    <w:abstractNumId w:val="16"/>
  </w:num>
  <w:num w:numId="14">
    <w:abstractNumId w:val="16"/>
    <w:lvlOverride w:ilvl="0">
      <w:startOverride w:val="1"/>
    </w:lvlOverride>
  </w:num>
  <w:num w:numId="15">
    <w:abstractNumId w:val="9"/>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0"/>
  </w:num>
  <w:num w:numId="35">
    <w:abstractNumId w:val="16"/>
    <w:lvlOverride w:ilvl="0">
      <w:startOverride w:val="1"/>
    </w:lvlOverride>
  </w:num>
  <w:num w:numId="36">
    <w:abstractNumId w:val="24"/>
  </w:num>
  <w:num w:numId="37">
    <w:abstractNumId w:val="29"/>
  </w:num>
  <w:num w:numId="38">
    <w:abstractNumId w:val="13"/>
  </w:num>
  <w:num w:numId="39">
    <w:abstractNumId w:val="4"/>
  </w:num>
  <w:num w:numId="40">
    <w:abstractNumId w:val="2"/>
  </w:num>
  <w:num w:numId="41">
    <w:abstractNumId w:val="21"/>
  </w:num>
  <w:num w:numId="42">
    <w:abstractNumId w:val="18"/>
  </w:num>
  <w:num w:numId="43">
    <w:abstractNumId w:val="1"/>
  </w:num>
  <w:num w:numId="44">
    <w:abstractNumId w:val="0"/>
  </w:num>
  <w:num w:numId="45">
    <w:abstractNumId w:val="25"/>
  </w:num>
  <w:num w:numId="46">
    <w:abstractNumId w:val="8"/>
  </w:num>
  <w:num w:numId="47">
    <w:abstractNumId w:val="20"/>
  </w:num>
  <w:num w:numId="48">
    <w:abstractNumId w:val="7"/>
  </w:num>
  <w:num w:numId="49">
    <w:abstractNumId w:val="28"/>
  </w:num>
  <w:num w:numId="50">
    <w:abstractNumId w:val="16"/>
    <w:lvlOverride w:ilvl="0">
      <w:startOverride w:val="1"/>
    </w:lvlOverride>
  </w:num>
  <w:num w:numId="51">
    <w:abstractNumId w:val="17"/>
  </w:num>
  <w:num w:numId="52">
    <w:abstractNumId w:val="11"/>
  </w:num>
  <w:num w:numId="53">
    <w:abstractNumId w:val="17"/>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4"/>
  </w:num>
  <w:num w:numId="60">
    <w:abstractNumId w:val="16"/>
    <w:lvlOverride w:ilvl="0">
      <w:startOverride w:val="1"/>
    </w:lvlOverride>
  </w:num>
  <w:num w:numId="61">
    <w:abstractNumId w:val="22"/>
  </w:num>
  <w:num w:numId="62">
    <w:abstractNumId w:val="6"/>
  </w:num>
  <w:num w:numId="63">
    <w:abstractNumId w:val="16"/>
  </w:num>
  <w:num w:numId="64">
    <w:abstractNumId w:val="16"/>
  </w:num>
  <w:num w:numId="65">
    <w:abstractNumId w:val="16"/>
  </w:num>
  <w:num w:numId="66">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09F"/>
    <w:rsid w:val="0000358C"/>
    <w:rsid w:val="00003AC4"/>
    <w:rsid w:val="00003CA0"/>
    <w:rsid w:val="00003FFA"/>
    <w:rsid w:val="00005138"/>
    <w:rsid w:val="00006AE4"/>
    <w:rsid w:val="00006B50"/>
    <w:rsid w:val="0000711B"/>
    <w:rsid w:val="0001294C"/>
    <w:rsid w:val="00012BB0"/>
    <w:rsid w:val="00013967"/>
    <w:rsid w:val="00013D25"/>
    <w:rsid w:val="0001438C"/>
    <w:rsid w:val="0001615A"/>
    <w:rsid w:val="00016D95"/>
    <w:rsid w:val="00017619"/>
    <w:rsid w:val="00017840"/>
    <w:rsid w:val="00020573"/>
    <w:rsid w:val="000216BF"/>
    <w:rsid w:val="00021DA6"/>
    <w:rsid w:val="000220B0"/>
    <w:rsid w:val="00023CED"/>
    <w:rsid w:val="0002580F"/>
    <w:rsid w:val="00025CB2"/>
    <w:rsid w:val="000300D7"/>
    <w:rsid w:val="000304FC"/>
    <w:rsid w:val="00030FDA"/>
    <w:rsid w:val="00031587"/>
    <w:rsid w:val="0003334F"/>
    <w:rsid w:val="0003384E"/>
    <w:rsid w:val="00033F08"/>
    <w:rsid w:val="00034C41"/>
    <w:rsid w:val="0003503B"/>
    <w:rsid w:val="00036095"/>
    <w:rsid w:val="000364F3"/>
    <w:rsid w:val="000366AE"/>
    <w:rsid w:val="000369AC"/>
    <w:rsid w:val="0003724F"/>
    <w:rsid w:val="00037BA1"/>
    <w:rsid w:val="00037D19"/>
    <w:rsid w:val="000413D4"/>
    <w:rsid w:val="00042FDD"/>
    <w:rsid w:val="00044CF1"/>
    <w:rsid w:val="0004509D"/>
    <w:rsid w:val="00045667"/>
    <w:rsid w:val="000476D8"/>
    <w:rsid w:val="0005030D"/>
    <w:rsid w:val="00050A97"/>
    <w:rsid w:val="00053EF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5D6B"/>
    <w:rsid w:val="000768A5"/>
    <w:rsid w:val="00077277"/>
    <w:rsid w:val="0007743A"/>
    <w:rsid w:val="00080069"/>
    <w:rsid w:val="00080125"/>
    <w:rsid w:val="00080F4F"/>
    <w:rsid w:val="000814C9"/>
    <w:rsid w:val="00081CBC"/>
    <w:rsid w:val="00082159"/>
    <w:rsid w:val="00083B10"/>
    <w:rsid w:val="0008449F"/>
    <w:rsid w:val="000846ED"/>
    <w:rsid w:val="00090681"/>
    <w:rsid w:val="00091F80"/>
    <w:rsid w:val="000924A7"/>
    <w:rsid w:val="00092D46"/>
    <w:rsid w:val="00093D79"/>
    <w:rsid w:val="00094B28"/>
    <w:rsid w:val="00094B9A"/>
    <w:rsid w:val="00096568"/>
    <w:rsid w:val="00096DEE"/>
    <w:rsid w:val="00097063"/>
    <w:rsid w:val="00097336"/>
    <w:rsid w:val="000975DA"/>
    <w:rsid w:val="000A1920"/>
    <w:rsid w:val="000A1A89"/>
    <w:rsid w:val="000A1C91"/>
    <w:rsid w:val="000A24C4"/>
    <w:rsid w:val="000A2520"/>
    <w:rsid w:val="000A345B"/>
    <w:rsid w:val="000A372A"/>
    <w:rsid w:val="000A395D"/>
    <w:rsid w:val="000A532C"/>
    <w:rsid w:val="000A56A5"/>
    <w:rsid w:val="000A5C86"/>
    <w:rsid w:val="000A6897"/>
    <w:rsid w:val="000A6DBE"/>
    <w:rsid w:val="000A7E1F"/>
    <w:rsid w:val="000B1FC4"/>
    <w:rsid w:val="000B2170"/>
    <w:rsid w:val="000B21D6"/>
    <w:rsid w:val="000B2404"/>
    <w:rsid w:val="000B36D8"/>
    <w:rsid w:val="000B3B7D"/>
    <w:rsid w:val="000B6E38"/>
    <w:rsid w:val="000C056F"/>
    <w:rsid w:val="000C1442"/>
    <w:rsid w:val="000C1928"/>
    <w:rsid w:val="000C19B3"/>
    <w:rsid w:val="000C19EF"/>
    <w:rsid w:val="000C2B50"/>
    <w:rsid w:val="000C2D7D"/>
    <w:rsid w:val="000C3B86"/>
    <w:rsid w:val="000C4A46"/>
    <w:rsid w:val="000C4F54"/>
    <w:rsid w:val="000C50D8"/>
    <w:rsid w:val="000C55A6"/>
    <w:rsid w:val="000C6A39"/>
    <w:rsid w:val="000C6FB8"/>
    <w:rsid w:val="000D0547"/>
    <w:rsid w:val="000D13E5"/>
    <w:rsid w:val="000D28EB"/>
    <w:rsid w:val="000D308C"/>
    <w:rsid w:val="000D3B2C"/>
    <w:rsid w:val="000D4262"/>
    <w:rsid w:val="000D43DE"/>
    <w:rsid w:val="000D4EB5"/>
    <w:rsid w:val="000D55B5"/>
    <w:rsid w:val="000D58A1"/>
    <w:rsid w:val="000D7E54"/>
    <w:rsid w:val="000E04C6"/>
    <w:rsid w:val="000E0A5A"/>
    <w:rsid w:val="000E0A85"/>
    <w:rsid w:val="000E2F5F"/>
    <w:rsid w:val="000E5BBB"/>
    <w:rsid w:val="000E6796"/>
    <w:rsid w:val="000E68E3"/>
    <w:rsid w:val="000E6DDB"/>
    <w:rsid w:val="000E74A6"/>
    <w:rsid w:val="000F03B1"/>
    <w:rsid w:val="000F08AE"/>
    <w:rsid w:val="000F0DA6"/>
    <w:rsid w:val="000F1AAB"/>
    <w:rsid w:val="000F2D33"/>
    <w:rsid w:val="000F43F4"/>
    <w:rsid w:val="000F440E"/>
    <w:rsid w:val="000F5BCF"/>
    <w:rsid w:val="000F6647"/>
    <w:rsid w:val="000F6D08"/>
    <w:rsid w:val="000F73B7"/>
    <w:rsid w:val="000F794F"/>
    <w:rsid w:val="000F7E7B"/>
    <w:rsid w:val="00100010"/>
    <w:rsid w:val="001002F8"/>
    <w:rsid w:val="00102654"/>
    <w:rsid w:val="001028CC"/>
    <w:rsid w:val="001045F9"/>
    <w:rsid w:val="0010472B"/>
    <w:rsid w:val="00104F95"/>
    <w:rsid w:val="0010657F"/>
    <w:rsid w:val="001078E6"/>
    <w:rsid w:val="00111159"/>
    <w:rsid w:val="0011221E"/>
    <w:rsid w:val="00112D0F"/>
    <w:rsid w:val="001133E0"/>
    <w:rsid w:val="00115DE5"/>
    <w:rsid w:val="001163D6"/>
    <w:rsid w:val="0011726A"/>
    <w:rsid w:val="0012022D"/>
    <w:rsid w:val="00120B5E"/>
    <w:rsid w:val="0012108F"/>
    <w:rsid w:val="00121EB0"/>
    <w:rsid w:val="0012228D"/>
    <w:rsid w:val="00122868"/>
    <w:rsid w:val="00123218"/>
    <w:rsid w:val="001237BA"/>
    <w:rsid w:val="00123925"/>
    <w:rsid w:val="001242D8"/>
    <w:rsid w:val="00124728"/>
    <w:rsid w:val="00126641"/>
    <w:rsid w:val="00126954"/>
    <w:rsid w:val="00127463"/>
    <w:rsid w:val="00132F9E"/>
    <w:rsid w:val="00133D3A"/>
    <w:rsid w:val="001352EE"/>
    <w:rsid w:val="00135505"/>
    <w:rsid w:val="00135D56"/>
    <w:rsid w:val="001364A7"/>
    <w:rsid w:val="00136827"/>
    <w:rsid w:val="0013748B"/>
    <w:rsid w:val="001375D4"/>
    <w:rsid w:val="0014108C"/>
    <w:rsid w:val="00141481"/>
    <w:rsid w:val="00143750"/>
    <w:rsid w:val="00143E88"/>
    <w:rsid w:val="001455D8"/>
    <w:rsid w:val="001465CF"/>
    <w:rsid w:val="00146B5E"/>
    <w:rsid w:val="0014790A"/>
    <w:rsid w:val="00150E70"/>
    <w:rsid w:val="00151609"/>
    <w:rsid w:val="00151975"/>
    <w:rsid w:val="00151ABB"/>
    <w:rsid w:val="00152B2B"/>
    <w:rsid w:val="00152D9B"/>
    <w:rsid w:val="00152E73"/>
    <w:rsid w:val="00154447"/>
    <w:rsid w:val="001549BE"/>
    <w:rsid w:val="00154CDE"/>
    <w:rsid w:val="00154F5B"/>
    <w:rsid w:val="00160C23"/>
    <w:rsid w:val="00161DAC"/>
    <w:rsid w:val="00162B55"/>
    <w:rsid w:val="00162D8B"/>
    <w:rsid w:val="00163101"/>
    <w:rsid w:val="001638E9"/>
    <w:rsid w:val="00165824"/>
    <w:rsid w:val="001666EA"/>
    <w:rsid w:val="00167406"/>
    <w:rsid w:val="0017111A"/>
    <w:rsid w:val="00171A85"/>
    <w:rsid w:val="001720C5"/>
    <w:rsid w:val="00173D7B"/>
    <w:rsid w:val="00173F5C"/>
    <w:rsid w:val="00174186"/>
    <w:rsid w:val="00174565"/>
    <w:rsid w:val="00174EC9"/>
    <w:rsid w:val="0017503B"/>
    <w:rsid w:val="00175BB3"/>
    <w:rsid w:val="00177A9A"/>
    <w:rsid w:val="001808A4"/>
    <w:rsid w:val="00180FF3"/>
    <w:rsid w:val="001815A5"/>
    <w:rsid w:val="00181F30"/>
    <w:rsid w:val="00182740"/>
    <w:rsid w:val="00184071"/>
    <w:rsid w:val="001852C5"/>
    <w:rsid w:val="00185A3B"/>
    <w:rsid w:val="00186850"/>
    <w:rsid w:val="001904A5"/>
    <w:rsid w:val="001923C8"/>
    <w:rsid w:val="00192ECE"/>
    <w:rsid w:val="001939FF"/>
    <w:rsid w:val="0019492F"/>
    <w:rsid w:val="00194DE8"/>
    <w:rsid w:val="00194F9F"/>
    <w:rsid w:val="00197990"/>
    <w:rsid w:val="001A0106"/>
    <w:rsid w:val="001A02CB"/>
    <w:rsid w:val="001A02FD"/>
    <w:rsid w:val="001A11DB"/>
    <w:rsid w:val="001A33F4"/>
    <w:rsid w:val="001A50DE"/>
    <w:rsid w:val="001A53AE"/>
    <w:rsid w:val="001A6256"/>
    <w:rsid w:val="001A6F29"/>
    <w:rsid w:val="001A789B"/>
    <w:rsid w:val="001B03CC"/>
    <w:rsid w:val="001B0C75"/>
    <w:rsid w:val="001B1610"/>
    <w:rsid w:val="001B2010"/>
    <w:rsid w:val="001B2A29"/>
    <w:rsid w:val="001B2DEE"/>
    <w:rsid w:val="001B346F"/>
    <w:rsid w:val="001B368E"/>
    <w:rsid w:val="001B44C2"/>
    <w:rsid w:val="001B4EC1"/>
    <w:rsid w:val="001B659F"/>
    <w:rsid w:val="001B7399"/>
    <w:rsid w:val="001B7655"/>
    <w:rsid w:val="001B7BAD"/>
    <w:rsid w:val="001B7F09"/>
    <w:rsid w:val="001C1166"/>
    <w:rsid w:val="001C261E"/>
    <w:rsid w:val="001C3AC7"/>
    <w:rsid w:val="001C42D0"/>
    <w:rsid w:val="001C745F"/>
    <w:rsid w:val="001C7B78"/>
    <w:rsid w:val="001C7FB4"/>
    <w:rsid w:val="001D0A25"/>
    <w:rsid w:val="001D0BA6"/>
    <w:rsid w:val="001D1354"/>
    <w:rsid w:val="001D1903"/>
    <w:rsid w:val="001D1942"/>
    <w:rsid w:val="001D1D2A"/>
    <w:rsid w:val="001D1DDB"/>
    <w:rsid w:val="001D53EA"/>
    <w:rsid w:val="001D6F7C"/>
    <w:rsid w:val="001E0156"/>
    <w:rsid w:val="001E12A5"/>
    <w:rsid w:val="001E1ACD"/>
    <w:rsid w:val="001E1BF9"/>
    <w:rsid w:val="001E1EDB"/>
    <w:rsid w:val="001E3A18"/>
    <w:rsid w:val="001E7093"/>
    <w:rsid w:val="001E717D"/>
    <w:rsid w:val="001E71F5"/>
    <w:rsid w:val="001E7D86"/>
    <w:rsid w:val="001F377B"/>
    <w:rsid w:val="001F3CF9"/>
    <w:rsid w:val="001F55E5"/>
    <w:rsid w:val="001F5B6F"/>
    <w:rsid w:val="001F5CB9"/>
    <w:rsid w:val="002003A1"/>
    <w:rsid w:val="00200DC3"/>
    <w:rsid w:val="002011E2"/>
    <w:rsid w:val="00201BB9"/>
    <w:rsid w:val="00202154"/>
    <w:rsid w:val="00202925"/>
    <w:rsid w:val="00202C70"/>
    <w:rsid w:val="00203347"/>
    <w:rsid w:val="002050B0"/>
    <w:rsid w:val="00205D80"/>
    <w:rsid w:val="00206401"/>
    <w:rsid w:val="00206989"/>
    <w:rsid w:val="00210874"/>
    <w:rsid w:val="0021093F"/>
    <w:rsid w:val="00211316"/>
    <w:rsid w:val="002133CA"/>
    <w:rsid w:val="00213592"/>
    <w:rsid w:val="002146B5"/>
    <w:rsid w:val="00214FA2"/>
    <w:rsid w:val="00215783"/>
    <w:rsid w:val="0021644B"/>
    <w:rsid w:val="00216489"/>
    <w:rsid w:val="00216DC9"/>
    <w:rsid w:val="00217CA0"/>
    <w:rsid w:val="002202EB"/>
    <w:rsid w:val="00220FCF"/>
    <w:rsid w:val="00221705"/>
    <w:rsid w:val="00221972"/>
    <w:rsid w:val="002231C8"/>
    <w:rsid w:val="00224154"/>
    <w:rsid w:val="00224375"/>
    <w:rsid w:val="0022742C"/>
    <w:rsid w:val="00230194"/>
    <w:rsid w:val="002314DB"/>
    <w:rsid w:val="00231923"/>
    <w:rsid w:val="002329C3"/>
    <w:rsid w:val="00232A32"/>
    <w:rsid w:val="002332AE"/>
    <w:rsid w:val="002333C2"/>
    <w:rsid w:val="002339F7"/>
    <w:rsid w:val="00233F2D"/>
    <w:rsid w:val="00234040"/>
    <w:rsid w:val="00235D67"/>
    <w:rsid w:val="0023626B"/>
    <w:rsid w:val="00237361"/>
    <w:rsid w:val="002376AD"/>
    <w:rsid w:val="00242F07"/>
    <w:rsid w:val="00243020"/>
    <w:rsid w:val="00244D22"/>
    <w:rsid w:val="00246C09"/>
    <w:rsid w:val="002470E4"/>
    <w:rsid w:val="00247262"/>
    <w:rsid w:val="0025102D"/>
    <w:rsid w:val="0025144C"/>
    <w:rsid w:val="002552CE"/>
    <w:rsid w:val="0025616B"/>
    <w:rsid w:val="00257285"/>
    <w:rsid w:val="00257FF4"/>
    <w:rsid w:val="002608CE"/>
    <w:rsid w:val="0026133E"/>
    <w:rsid w:val="00261660"/>
    <w:rsid w:val="0026279C"/>
    <w:rsid w:val="00262CD3"/>
    <w:rsid w:val="00264181"/>
    <w:rsid w:val="00264BB2"/>
    <w:rsid w:val="00265289"/>
    <w:rsid w:val="00266613"/>
    <w:rsid w:val="00266FE9"/>
    <w:rsid w:val="0026795D"/>
    <w:rsid w:val="00271BF5"/>
    <w:rsid w:val="00272396"/>
    <w:rsid w:val="00273D98"/>
    <w:rsid w:val="00275A4E"/>
    <w:rsid w:val="0027614D"/>
    <w:rsid w:val="0027651A"/>
    <w:rsid w:val="002770A1"/>
    <w:rsid w:val="0028001E"/>
    <w:rsid w:val="00280D53"/>
    <w:rsid w:val="00281CF6"/>
    <w:rsid w:val="00282C7F"/>
    <w:rsid w:val="0028359B"/>
    <w:rsid w:val="00284441"/>
    <w:rsid w:val="002857FE"/>
    <w:rsid w:val="00290933"/>
    <w:rsid w:val="00291E57"/>
    <w:rsid w:val="00292D6A"/>
    <w:rsid w:val="0029312A"/>
    <w:rsid w:val="0029325C"/>
    <w:rsid w:val="00293B2D"/>
    <w:rsid w:val="00293B46"/>
    <w:rsid w:val="00294E5F"/>
    <w:rsid w:val="0029564C"/>
    <w:rsid w:val="002960B7"/>
    <w:rsid w:val="0029620B"/>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88C"/>
    <w:rsid w:val="002C4D41"/>
    <w:rsid w:val="002C75B0"/>
    <w:rsid w:val="002C7703"/>
    <w:rsid w:val="002C7A63"/>
    <w:rsid w:val="002D0153"/>
    <w:rsid w:val="002D0985"/>
    <w:rsid w:val="002D208E"/>
    <w:rsid w:val="002D2716"/>
    <w:rsid w:val="002D403A"/>
    <w:rsid w:val="002D4079"/>
    <w:rsid w:val="002D4262"/>
    <w:rsid w:val="002D46B7"/>
    <w:rsid w:val="002D59D3"/>
    <w:rsid w:val="002D6163"/>
    <w:rsid w:val="002E1064"/>
    <w:rsid w:val="002E2551"/>
    <w:rsid w:val="002E323F"/>
    <w:rsid w:val="002E4D10"/>
    <w:rsid w:val="002E5554"/>
    <w:rsid w:val="002E59C4"/>
    <w:rsid w:val="002E5D24"/>
    <w:rsid w:val="002F0659"/>
    <w:rsid w:val="002F1B12"/>
    <w:rsid w:val="002F2256"/>
    <w:rsid w:val="002F26B7"/>
    <w:rsid w:val="002F530C"/>
    <w:rsid w:val="002F591B"/>
    <w:rsid w:val="002F5C70"/>
    <w:rsid w:val="002F76EC"/>
    <w:rsid w:val="002F7B47"/>
    <w:rsid w:val="00300013"/>
    <w:rsid w:val="0030032D"/>
    <w:rsid w:val="003006F8"/>
    <w:rsid w:val="00300BF2"/>
    <w:rsid w:val="003027C1"/>
    <w:rsid w:val="00302848"/>
    <w:rsid w:val="00302A25"/>
    <w:rsid w:val="003048AA"/>
    <w:rsid w:val="00304900"/>
    <w:rsid w:val="00304C13"/>
    <w:rsid w:val="0030516F"/>
    <w:rsid w:val="00305718"/>
    <w:rsid w:val="00305EC5"/>
    <w:rsid w:val="00306107"/>
    <w:rsid w:val="003077B8"/>
    <w:rsid w:val="00310FAE"/>
    <w:rsid w:val="003111F8"/>
    <w:rsid w:val="0031204A"/>
    <w:rsid w:val="0031272B"/>
    <w:rsid w:val="00315435"/>
    <w:rsid w:val="003158D2"/>
    <w:rsid w:val="003173C2"/>
    <w:rsid w:val="00317BF9"/>
    <w:rsid w:val="0032038C"/>
    <w:rsid w:val="00321889"/>
    <w:rsid w:val="00325C5E"/>
    <w:rsid w:val="00326544"/>
    <w:rsid w:val="0032738E"/>
    <w:rsid w:val="00331B40"/>
    <w:rsid w:val="00331C5F"/>
    <w:rsid w:val="003320FF"/>
    <w:rsid w:val="003325B9"/>
    <w:rsid w:val="00332E95"/>
    <w:rsid w:val="00333074"/>
    <w:rsid w:val="00333223"/>
    <w:rsid w:val="00333A43"/>
    <w:rsid w:val="00334F7E"/>
    <w:rsid w:val="003364C1"/>
    <w:rsid w:val="00337F82"/>
    <w:rsid w:val="00340640"/>
    <w:rsid w:val="00340810"/>
    <w:rsid w:val="003435D6"/>
    <w:rsid w:val="003458E0"/>
    <w:rsid w:val="00345CCD"/>
    <w:rsid w:val="003511CE"/>
    <w:rsid w:val="00351909"/>
    <w:rsid w:val="00352BE0"/>
    <w:rsid w:val="00353273"/>
    <w:rsid w:val="0035333E"/>
    <w:rsid w:val="003538F0"/>
    <w:rsid w:val="00357DAE"/>
    <w:rsid w:val="003602A5"/>
    <w:rsid w:val="00361259"/>
    <w:rsid w:val="00361429"/>
    <w:rsid w:val="00362AA7"/>
    <w:rsid w:val="003638EB"/>
    <w:rsid w:val="00363B11"/>
    <w:rsid w:val="0036558C"/>
    <w:rsid w:val="003672D6"/>
    <w:rsid w:val="003705BF"/>
    <w:rsid w:val="00370935"/>
    <w:rsid w:val="00371C1A"/>
    <w:rsid w:val="00375E52"/>
    <w:rsid w:val="00380888"/>
    <w:rsid w:val="00380D9F"/>
    <w:rsid w:val="003819E1"/>
    <w:rsid w:val="0038218A"/>
    <w:rsid w:val="00382234"/>
    <w:rsid w:val="003852C0"/>
    <w:rsid w:val="00385A6A"/>
    <w:rsid w:val="0038672F"/>
    <w:rsid w:val="00386BC9"/>
    <w:rsid w:val="00386DD0"/>
    <w:rsid w:val="00386F24"/>
    <w:rsid w:val="003876AB"/>
    <w:rsid w:val="00387957"/>
    <w:rsid w:val="0039053D"/>
    <w:rsid w:val="00390C8F"/>
    <w:rsid w:val="0039118D"/>
    <w:rsid w:val="00392B8A"/>
    <w:rsid w:val="00392DD1"/>
    <w:rsid w:val="0039314D"/>
    <w:rsid w:val="0039449C"/>
    <w:rsid w:val="00395E02"/>
    <w:rsid w:val="0039684C"/>
    <w:rsid w:val="003A0290"/>
    <w:rsid w:val="003A25BB"/>
    <w:rsid w:val="003A300D"/>
    <w:rsid w:val="003A3E7B"/>
    <w:rsid w:val="003A4566"/>
    <w:rsid w:val="003A7067"/>
    <w:rsid w:val="003B09F6"/>
    <w:rsid w:val="003B0D03"/>
    <w:rsid w:val="003B1F0A"/>
    <w:rsid w:val="003B2C1F"/>
    <w:rsid w:val="003B2C35"/>
    <w:rsid w:val="003B329D"/>
    <w:rsid w:val="003B3684"/>
    <w:rsid w:val="003B5533"/>
    <w:rsid w:val="003B5A85"/>
    <w:rsid w:val="003B66CC"/>
    <w:rsid w:val="003B71EE"/>
    <w:rsid w:val="003B7621"/>
    <w:rsid w:val="003B7C64"/>
    <w:rsid w:val="003C0593"/>
    <w:rsid w:val="003C05E3"/>
    <w:rsid w:val="003C13A6"/>
    <w:rsid w:val="003C1615"/>
    <w:rsid w:val="003C1EB4"/>
    <w:rsid w:val="003C2A44"/>
    <w:rsid w:val="003C3C94"/>
    <w:rsid w:val="003C4E3A"/>
    <w:rsid w:val="003C78FF"/>
    <w:rsid w:val="003C7BF9"/>
    <w:rsid w:val="003D0811"/>
    <w:rsid w:val="003D0E1C"/>
    <w:rsid w:val="003D1E47"/>
    <w:rsid w:val="003D3662"/>
    <w:rsid w:val="003D3C14"/>
    <w:rsid w:val="003D4188"/>
    <w:rsid w:val="003D4557"/>
    <w:rsid w:val="003D543D"/>
    <w:rsid w:val="003D59FD"/>
    <w:rsid w:val="003D7DC8"/>
    <w:rsid w:val="003E10B8"/>
    <w:rsid w:val="003E122D"/>
    <w:rsid w:val="003E13F5"/>
    <w:rsid w:val="003E1978"/>
    <w:rsid w:val="003E2B5E"/>
    <w:rsid w:val="003E3FF4"/>
    <w:rsid w:val="003E4E15"/>
    <w:rsid w:val="003E53E8"/>
    <w:rsid w:val="003E5912"/>
    <w:rsid w:val="003E5AE8"/>
    <w:rsid w:val="003E68C4"/>
    <w:rsid w:val="003F07EE"/>
    <w:rsid w:val="003F0C8B"/>
    <w:rsid w:val="003F1607"/>
    <w:rsid w:val="003F29F2"/>
    <w:rsid w:val="003F339D"/>
    <w:rsid w:val="003F3C77"/>
    <w:rsid w:val="003F458D"/>
    <w:rsid w:val="003F47DF"/>
    <w:rsid w:val="003F6209"/>
    <w:rsid w:val="00400A8B"/>
    <w:rsid w:val="00400ED5"/>
    <w:rsid w:val="00401831"/>
    <w:rsid w:val="0040314A"/>
    <w:rsid w:val="00403261"/>
    <w:rsid w:val="00403F35"/>
    <w:rsid w:val="00405DAB"/>
    <w:rsid w:val="00405E90"/>
    <w:rsid w:val="0040629D"/>
    <w:rsid w:val="004065CE"/>
    <w:rsid w:val="00406802"/>
    <w:rsid w:val="00407A61"/>
    <w:rsid w:val="004105DD"/>
    <w:rsid w:val="00410DCE"/>
    <w:rsid w:val="004128DC"/>
    <w:rsid w:val="00412C0B"/>
    <w:rsid w:val="00412C77"/>
    <w:rsid w:val="0041404E"/>
    <w:rsid w:val="0041429D"/>
    <w:rsid w:val="004147D0"/>
    <w:rsid w:val="00414E1F"/>
    <w:rsid w:val="0041581E"/>
    <w:rsid w:val="004161E5"/>
    <w:rsid w:val="0041765C"/>
    <w:rsid w:val="00417A37"/>
    <w:rsid w:val="00417E86"/>
    <w:rsid w:val="00420837"/>
    <w:rsid w:val="004210C8"/>
    <w:rsid w:val="00421EEC"/>
    <w:rsid w:val="00422933"/>
    <w:rsid w:val="00422F4B"/>
    <w:rsid w:val="00423003"/>
    <w:rsid w:val="004234D3"/>
    <w:rsid w:val="004248B4"/>
    <w:rsid w:val="00424C66"/>
    <w:rsid w:val="0042526D"/>
    <w:rsid w:val="004254A2"/>
    <w:rsid w:val="00426D71"/>
    <w:rsid w:val="00430256"/>
    <w:rsid w:val="00430E3D"/>
    <w:rsid w:val="0043194D"/>
    <w:rsid w:val="00431BF1"/>
    <w:rsid w:val="00433D22"/>
    <w:rsid w:val="004342F8"/>
    <w:rsid w:val="00434A2F"/>
    <w:rsid w:val="00434B63"/>
    <w:rsid w:val="00437DA8"/>
    <w:rsid w:val="0044083A"/>
    <w:rsid w:val="004408FA"/>
    <w:rsid w:val="004439CF"/>
    <w:rsid w:val="0044552A"/>
    <w:rsid w:val="00445663"/>
    <w:rsid w:val="00445FDB"/>
    <w:rsid w:val="004461A4"/>
    <w:rsid w:val="00446612"/>
    <w:rsid w:val="00450E44"/>
    <w:rsid w:val="00451501"/>
    <w:rsid w:val="004528D0"/>
    <w:rsid w:val="00453C86"/>
    <w:rsid w:val="00454564"/>
    <w:rsid w:val="00455F24"/>
    <w:rsid w:val="004562E5"/>
    <w:rsid w:val="00457BC3"/>
    <w:rsid w:val="0046034D"/>
    <w:rsid w:val="00460810"/>
    <w:rsid w:val="00461801"/>
    <w:rsid w:val="00462272"/>
    <w:rsid w:val="004628A2"/>
    <w:rsid w:val="0046390C"/>
    <w:rsid w:val="00464569"/>
    <w:rsid w:val="00464EAA"/>
    <w:rsid w:val="00465D4E"/>
    <w:rsid w:val="00466381"/>
    <w:rsid w:val="004666E9"/>
    <w:rsid w:val="00467393"/>
    <w:rsid w:val="00467BDD"/>
    <w:rsid w:val="00470CE8"/>
    <w:rsid w:val="004717F6"/>
    <w:rsid w:val="0047364D"/>
    <w:rsid w:val="0047481E"/>
    <w:rsid w:val="00474918"/>
    <w:rsid w:val="00475EAF"/>
    <w:rsid w:val="00476219"/>
    <w:rsid w:val="0047681C"/>
    <w:rsid w:val="004805B9"/>
    <w:rsid w:val="004815F8"/>
    <w:rsid w:val="00481E32"/>
    <w:rsid w:val="004831ED"/>
    <w:rsid w:val="004831FC"/>
    <w:rsid w:val="0048324E"/>
    <w:rsid w:val="004836A7"/>
    <w:rsid w:val="004847B4"/>
    <w:rsid w:val="00484921"/>
    <w:rsid w:val="00484CA0"/>
    <w:rsid w:val="00486614"/>
    <w:rsid w:val="00487E11"/>
    <w:rsid w:val="00487FB8"/>
    <w:rsid w:val="004900FE"/>
    <w:rsid w:val="00490DD2"/>
    <w:rsid w:val="004919D4"/>
    <w:rsid w:val="00491FB2"/>
    <w:rsid w:val="0049200C"/>
    <w:rsid w:val="0049212C"/>
    <w:rsid w:val="00492A40"/>
    <w:rsid w:val="00495C39"/>
    <w:rsid w:val="004975DB"/>
    <w:rsid w:val="004A0968"/>
    <w:rsid w:val="004A1224"/>
    <w:rsid w:val="004A247B"/>
    <w:rsid w:val="004A28C5"/>
    <w:rsid w:val="004A2F59"/>
    <w:rsid w:val="004A3865"/>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660D"/>
    <w:rsid w:val="004D7804"/>
    <w:rsid w:val="004E0308"/>
    <w:rsid w:val="004E2825"/>
    <w:rsid w:val="004E3079"/>
    <w:rsid w:val="004E3276"/>
    <w:rsid w:val="004E3836"/>
    <w:rsid w:val="004E3B3F"/>
    <w:rsid w:val="004E62E4"/>
    <w:rsid w:val="004E7C41"/>
    <w:rsid w:val="004F0C58"/>
    <w:rsid w:val="004F0E90"/>
    <w:rsid w:val="004F0F5B"/>
    <w:rsid w:val="004F1212"/>
    <w:rsid w:val="004F22B8"/>
    <w:rsid w:val="004F2437"/>
    <w:rsid w:val="004F24EA"/>
    <w:rsid w:val="004F38E1"/>
    <w:rsid w:val="004F3C27"/>
    <w:rsid w:val="004F4624"/>
    <w:rsid w:val="004F5573"/>
    <w:rsid w:val="004F5D8B"/>
    <w:rsid w:val="004F634F"/>
    <w:rsid w:val="004F73F3"/>
    <w:rsid w:val="004F7556"/>
    <w:rsid w:val="004F78BF"/>
    <w:rsid w:val="00500700"/>
    <w:rsid w:val="0050141B"/>
    <w:rsid w:val="00502638"/>
    <w:rsid w:val="005029BC"/>
    <w:rsid w:val="00502B87"/>
    <w:rsid w:val="0050346A"/>
    <w:rsid w:val="00503DA5"/>
    <w:rsid w:val="00503FD8"/>
    <w:rsid w:val="00504472"/>
    <w:rsid w:val="005048E3"/>
    <w:rsid w:val="00505A77"/>
    <w:rsid w:val="00505CB3"/>
    <w:rsid w:val="00505FF9"/>
    <w:rsid w:val="005067C7"/>
    <w:rsid w:val="00506EB0"/>
    <w:rsid w:val="0050798C"/>
    <w:rsid w:val="0051207B"/>
    <w:rsid w:val="005136CD"/>
    <w:rsid w:val="00514B1A"/>
    <w:rsid w:val="00514E2B"/>
    <w:rsid w:val="005150C5"/>
    <w:rsid w:val="005170E1"/>
    <w:rsid w:val="00517351"/>
    <w:rsid w:val="00521860"/>
    <w:rsid w:val="00521D74"/>
    <w:rsid w:val="005222CC"/>
    <w:rsid w:val="00522622"/>
    <w:rsid w:val="00523B5E"/>
    <w:rsid w:val="005250EE"/>
    <w:rsid w:val="00525AB1"/>
    <w:rsid w:val="00526B01"/>
    <w:rsid w:val="00526C61"/>
    <w:rsid w:val="00527492"/>
    <w:rsid w:val="005277F5"/>
    <w:rsid w:val="00527DD2"/>
    <w:rsid w:val="005310C1"/>
    <w:rsid w:val="00531934"/>
    <w:rsid w:val="00531CB5"/>
    <w:rsid w:val="005328A9"/>
    <w:rsid w:val="00532994"/>
    <w:rsid w:val="005329BE"/>
    <w:rsid w:val="0053347E"/>
    <w:rsid w:val="00533515"/>
    <w:rsid w:val="005342DE"/>
    <w:rsid w:val="00534AC0"/>
    <w:rsid w:val="00535557"/>
    <w:rsid w:val="0053606A"/>
    <w:rsid w:val="005369C0"/>
    <w:rsid w:val="00536B92"/>
    <w:rsid w:val="00540011"/>
    <w:rsid w:val="00540811"/>
    <w:rsid w:val="00540B25"/>
    <w:rsid w:val="00540D82"/>
    <w:rsid w:val="00541087"/>
    <w:rsid w:val="00541254"/>
    <w:rsid w:val="00541F9E"/>
    <w:rsid w:val="005421CC"/>
    <w:rsid w:val="00542A17"/>
    <w:rsid w:val="00542BA5"/>
    <w:rsid w:val="00544841"/>
    <w:rsid w:val="00547058"/>
    <w:rsid w:val="00547CD4"/>
    <w:rsid w:val="00547E34"/>
    <w:rsid w:val="00547EB8"/>
    <w:rsid w:val="00550B50"/>
    <w:rsid w:val="00551232"/>
    <w:rsid w:val="0055297F"/>
    <w:rsid w:val="00552FC2"/>
    <w:rsid w:val="00553DA2"/>
    <w:rsid w:val="005543FB"/>
    <w:rsid w:val="00555623"/>
    <w:rsid w:val="005562DC"/>
    <w:rsid w:val="00556725"/>
    <w:rsid w:val="00557A85"/>
    <w:rsid w:val="005606B5"/>
    <w:rsid w:val="00560E2D"/>
    <w:rsid w:val="00562BAD"/>
    <w:rsid w:val="0056365E"/>
    <w:rsid w:val="00563FD4"/>
    <w:rsid w:val="00565C77"/>
    <w:rsid w:val="00566181"/>
    <w:rsid w:val="005708BD"/>
    <w:rsid w:val="0057317E"/>
    <w:rsid w:val="005731D3"/>
    <w:rsid w:val="00573C7D"/>
    <w:rsid w:val="00574906"/>
    <w:rsid w:val="00574E9E"/>
    <w:rsid w:val="005752BC"/>
    <w:rsid w:val="0057622F"/>
    <w:rsid w:val="00577772"/>
    <w:rsid w:val="00577977"/>
    <w:rsid w:val="0058065A"/>
    <w:rsid w:val="00581719"/>
    <w:rsid w:val="0058194D"/>
    <w:rsid w:val="00581D30"/>
    <w:rsid w:val="0058259C"/>
    <w:rsid w:val="00582BEE"/>
    <w:rsid w:val="00583362"/>
    <w:rsid w:val="0058422D"/>
    <w:rsid w:val="00584245"/>
    <w:rsid w:val="00584C2D"/>
    <w:rsid w:val="00584D80"/>
    <w:rsid w:val="0058500D"/>
    <w:rsid w:val="00586535"/>
    <w:rsid w:val="00586BB5"/>
    <w:rsid w:val="00586DFB"/>
    <w:rsid w:val="00587C83"/>
    <w:rsid w:val="005905BC"/>
    <w:rsid w:val="005909CB"/>
    <w:rsid w:val="00590B75"/>
    <w:rsid w:val="00590DAA"/>
    <w:rsid w:val="00591684"/>
    <w:rsid w:val="0059205C"/>
    <w:rsid w:val="00592349"/>
    <w:rsid w:val="005924BE"/>
    <w:rsid w:val="00592D49"/>
    <w:rsid w:val="005955BA"/>
    <w:rsid w:val="00596F3F"/>
    <w:rsid w:val="00596F9B"/>
    <w:rsid w:val="00597EEF"/>
    <w:rsid w:val="005A1C4E"/>
    <w:rsid w:val="005A2E0C"/>
    <w:rsid w:val="005A3678"/>
    <w:rsid w:val="005A3DAF"/>
    <w:rsid w:val="005A4251"/>
    <w:rsid w:val="005A4A1A"/>
    <w:rsid w:val="005A61D3"/>
    <w:rsid w:val="005A731E"/>
    <w:rsid w:val="005A7C0B"/>
    <w:rsid w:val="005A7E70"/>
    <w:rsid w:val="005B1A53"/>
    <w:rsid w:val="005B2AF7"/>
    <w:rsid w:val="005B3A50"/>
    <w:rsid w:val="005B3E0C"/>
    <w:rsid w:val="005B40E8"/>
    <w:rsid w:val="005B5FEC"/>
    <w:rsid w:val="005B6A94"/>
    <w:rsid w:val="005B6DAA"/>
    <w:rsid w:val="005B7314"/>
    <w:rsid w:val="005B7C27"/>
    <w:rsid w:val="005B7D8B"/>
    <w:rsid w:val="005C03F6"/>
    <w:rsid w:val="005C0475"/>
    <w:rsid w:val="005C1569"/>
    <w:rsid w:val="005C224F"/>
    <w:rsid w:val="005C348A"/>
    <w:rsid w:val="005C3C1A"/>
    <w:rsid w:val="005C4604"/>
    <w:rsid w:val="005C46D8"/>
    <w:rsid w:val="005C474C"/>
    <w:rsid w:val="005C4BEE"/>
    <w:rsid w:val="005C6E74"/>
    <w:rsid w:val="005C732E"/>
    <w:rsid w:val="005C781C"/>
    <w:rsid w:val="005D13ED"/>
    <w:rsid w:val="005D181E"/>
    <w:rsid w:val="005D1E16"/>
    <w:rsid w:val="005D330E"/>
    <w:rsid w:val="005D392B"/>
    <w:rsid w:val="005D7A35"/>
    <w:rsid w:val="005E034F"/>
    <w:rsid w:val="005E09A7"/>
    <w:rsid w:val="005E198B"/>
    <w:rsid w:val="005E19D9"/>
    <w:rsid w:val="005E1D35"/>
    <w:rsid w:val="005E22EA"/>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368"/>
    <w:rsid w:val="005F642B"/>
    <w:rsid w:val="005F67FC"/>
    <w:rsid w:val="005F6E5C"/>
    <w:rsid w:val="00601630"/>
    <w:rsid w:val="00601A28"/>
    <w:rsid w:val="006026E1"/>
    <w:rsid w:val="00603A90"/>
    <w:rsid w:val="00603BDF"/>
    <w:rsid w:val="00604642"/>
    <w:rsid w:val="00605163"/>
    <w:rsid w:val="006065BF"/>
    <w:rsid w:val="00606F5E"/>
    <w:rsid w:val="006070EA"/>
    <w:rsid w:val="00607ABE"/>
    <w:rsid w:val="00607F53"/>
    <w:rsid w:val="006103D0"/>
    <w:rsid w:val="0061103A"/>
    <w:rsid w:val="006113B4"/>
    <w:rsid w:val="00611EAE"/>
    <w:rsid w:val="0061364A"/>
    <w:rsid w:val="00613BEA"/>
    <w:rsid w:val="0061402C"/>
    <w:rsid w:val="0061595F"/>
    <w:rsid w:val="00615A79"/>
    <w:rsid w:val="00616179"/>
    <w:rsid w:val="0061675B"/>
    <w:rsid w:val="00620301"/>
    <w:rsid w:val="0062052B"/>
    <w:rsid w:val="00620797"/>
    <w:rsid w:val="00620B55"/>
    <w:rsid w:val="00620F8F"/>
    <w:rsid w:val="00621A86"/>
    <w:rsid w:val="00623401"/>
    <w:rsid w:val="006258B8"/>
    <w:rsid w:val="00625C40"/>
    <w:rsid w:val="00625CBB"/>
    <w:rsid w:val="0062706E"/>
    <w:rsid w:val="00627E7C"/>
    <w:rsid w:val="00630CFF"/>
    <w:rsid w:val="00631369"/>
    <w:rsid w:val="00632481"/>
    <w:rsid w:val="0063262D"/>
    <w:rsid w:val="0063268B"/>
    <w:rsid w:val="0063390E"/>
    <w:rsid w:val="00634673"/>
    <w:rsid w:val="006365AB"/>
    <w:rsid w:val="00637BBD"/>
    <w:rsid w:val="00637CC0"/>
    <w:rsid w:val="00640D17"/>
    <w:rsid w:val="00641082"/>
    <w:rsid w:val="00641A99"/>
    <w:rsid w:val="00641CCA"/>
    <w:rsid w:val="00642768"/>
    <w:rsid w:val="00642A84"/>
    <w:rsid w:val="0064411F"/>
    <w:rsid w:val="00645E69"/>
    <w:rsid w:val="00646130"/>
    <w:rsid w:val="00646ACE"/>
    <w:rsid w:val="006474C0"/>
    <w:rsid w:val="00647927"/>
    <w:rsid w:val="00650B2D"/>
    <w:rsid w:val="00652833"/>
    <w:rsid w:val="00652B9B"/>
    <w:rsid w:val="00652F78"/>
    <w:rsid w:val="00653743"/>
    <w:rsid w:val="00653DD9"/>
    <w:rsid w:val="00654119"/>
    <w:rsid w:val="00654E6A"/>
    <w:rsid w:val="00654EC2"/>
    <w:rsid w:val="006551FC"/>
    <w:rsid w:val="0065746C"/>
    <w:rsid w:val="006575F3"/>
    <w:rsid w:val="00657719"/>
    <w:rsid w:val="00660871"/>
    <w:rsid w:val="00660C5D"/>
    <w:rsid w:val="0066176D"/>
    <w:rsid w:val="00662809"/>
    <w:rsid w:val="00663823"/>
    <w:rsid w:val="00664E08"/>
    <w:rsid w:val="006650D0"/>
    <w:rsid w:val="0066774D"/>
    <w:rsid w:val="00667F42"/>
    <w:rsid w:val="00671284"/>
    <w:rsid w:val="006727FC"/>
    <w:rsid w:val="00673906"/>
    <w:rsid w:val="0067503A"/>
    <w:rsid w:val="006756CD"/>
    <w:rsid w:val="00676E5B"/>
    <w:rsid w:val="00677D6B"/>
    <w:rsid w:val="00680795"/>
    <w:rsid w:val="00682713"/>
    <w:rsid w:val="00683451"/>
    <w:rsid w:val="00683474"/>
    <w:rsid w:val="00683579"/>
    <w:rsid w:val="006843F4"/>
    <w:rsid w:val="00684598"/>
    <w:rsid w:val="006854CE"/>
    <w:rsid w:val="00686B47"/>
    <w:rsid w:val="0068790B"/>
    <w:rsid w:val="006906E4"/>
    <w:rsid w:val="00691C54"/>
    <w:rsid w:val="00691E49"/>
    <w:rsid w:val="006922DC"/>
    <w:rsid w:val="006928E4"/>
    <w:rsid w:val="006941DD"/>
    <w:rsid w:val="006943D1"/>
    <w:rsid w:val="0069466B"/>
    <w:rsid w:val="00694795"/>
    <w:rsid w:val="00695014"/>
    <w:rsid w:val="00696AA8"/>
    <w:rsid w:val="006A257C"/>
    <w:rsid w:val="006A2615"/>
    <w:rsid w:val="006A4158"/>
    <w:rsid w:val="006A4671"/>
    <w:rsid w:val="006A4AA7"/>
    <w:rsid w:val="006A4E15"/>
    <w:rsid w:val="006A5866"/>
    <w:rsid w:val="006A5E4F"/>
    <w:rsid w:val="006A643C"/>
    <w:rsid w:val="006A76A9"/>
    <w:rsid w:val="006B0F54"/>
    <w:rsid w:val="006B12C6"/>
    <w:rsid w:val="006B12E3"/>
    <w:rsid w:val="006B415B"/>
    <w:rsid w:val="006B4C95"/>
    <w:rsid w:val="006B4CBA"/>
    <w:rsid w:val="006B59AD"/>
    <w:rsid w:val="006B6FEB"/>
    <w:rsid w:val="006B7542"/>
    <w:rsid w:val="006C0A59"/>
    <w:rsid w:val="006C19EE"/>
    <w:rsid w:val="006C2E46"/>
    <w:rsid w:val="006C32FE"/>
    <w:rsid w:val="006C355A"/>
    <w:rsid w:val="006C359A"/>
    <w:rsid w:val="006C3B05"/>
    <w:rsid w:val="006C4E45"/>
    <w:rsid w:val="006C5EE1"/>
    <w:rsid w:val="006C61B1"/>
    <w:rsid w:val="006C6DB8"/>
    <w:rsid w:val="006C7303"/>
    <w:rsid w:val="006D0669"/>
    <w:rsid w:val="006D1D4E"/>
    <w:rsid w:val="006D3771"/>
    <w:rsid w:val="006D440A"/>
    <w:rsid w:val="006D4976"/>
    <w:rsid w:val="006D5599"/>
    <w:rsid w:val="006D592F"/>
    <w:rsid w:val="006D62BE"/>
    <w:rsid w:val="006D7187"/>
    <w:rsid w:val="006D7B71"/>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5A"/>
    <w:rsid w:val="00711FC7"/>
    <w:rsid w:val="0071482B"/>
    <w:rsid w:val="00714C8F"/>
    <w:rsid w:val="00715A32"/>
    <w:rsid w:val="00716F57"/>
    <w:rsid w:val="00717A74"/>
    <w:rsid w:val="00720EA2"/>
    <w:rsid w:val="00721409"/>
    <w:rsid w:val="00721CE0"/>
    <w:rsid w:val="007221A2"/>
    <w:rsid w:val="00722935"/>
    <w:rsid w:val="00723BA8"/>
    <w:rsid w:val="00723F3F"/>
    <w:rsid w:val="00724257"/>
    <w:rsid w:val="00726FDE"/>
    <w:rsid w:val="00727815"/>
    <w:rsid w:val="007301A7"/>
    <w:rsid w:val="00730362"/>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4FA2"/>
    <w:rsid w:val="00755D03"/>
    <w:rsid w:val="007561F0"/>
    <w:rsid w:val="00756632"/>
    <w:rsid w:val="0075754A"/>
    <w:rsid w:val="00760554"/>
    <w:rsid w:val="0076083D"/>
    <w:rsid w:val="007618DE"/>
    <w:rsid w:val="00761DC2"/>
    <w:rsid w:val="00762B1E"/>
    <w:rsid w:val="00764B94"/>
    <w:rsid w:val="007652E2"/>
    <w:rsid w:val="00765A82"/>
    <w:rsid w:val="00766434"/>
    <w:rsid w:val="00770E10"/>
    <w:rsid w:val="007717FE"/>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2467"/>
    <w:rsid w:val="00783D75"/>
    <w:rsid w:val="00783F55"/>
    <w:rsid w:val="007857E3"/>
    <w:rsid w:val="00786231"/>
    <w:rsid w:val="00787395"/>
    <w:rsid w:val="007876DA"/>
    <w:rsid w:val="0079000B"/>
    <w:rsid w:val="007900CB"/>
    <w:rsid w:val="007905B2"/>
    <w:rsid w:val="00790E9B"/>
    <w:rsid w:val="007917E7"/>
    <w:rsid w:val="007927C6"/>
    <w:rsid w:val="0079348E"/>
    <w:rsid w:val="00793EEB"/>
    <w:rsid w:val="0079405B"/>
    <w:rsid w:val="00795679"/>
    <w:rsid w:val="00796A5B"/>
    <w:rsid w:val="0079797F"/>
    <w:rsid w:val="007A05F4"/>
    <w:rsid w:val="007A0BB9"/>
    <w:rsid w:val="007A14E8"/>
    <w:rsid w:val="007A1D73"/>
    <w:rsid w:val="007A3FD7"/>
    <w:rsid w:val="007A4023"/>
    <w:rsid w:val="007A5445"/>
    <w:rsid w:val="007A5A94"/>
    <w:rsid w:val="007A5E11"/>
    <w:rsid w:val="007A6C47"/>
    <w:rsid w:val="007A6D3A"/>
    <w:rsid w:val="007B0A3E"/>
    <w:rsid w:val="007B31F7"/>
    <w:rsid w:val="007B347F"/>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44E9"/>
    <w:rsid w:val="007D4D2A"/>
    <w:rsid w:val="007D5E52"/>
    <w:rsid w:val="007D763D"/>
    <w:rsid w:val="007D77A3"/>
    <w:rsid w:val="007E00B1"/>
    <w:rsid w:val="007E0749"/>
    <w:rsid w:val="007E2F87"/>
    <w:rsid w:val="007E334F"/>
    <w:rsid w:val="007E37DD"/>
    <w:rsid w:val="007E3AC7"/>
    <w:rsid w:val="007E4155"/>
    <w:rsid w:val="007E4D57"/>
    <w:rsid w:val="007E57B5"/>
    <w:rsid w:val="007E5D39"/>
    <w:rsid w:val="007E66C8"/>
    <w:rsid w:val="007E67BD"/>
    <w:rsid w:val="007E6BBD"/>
    <w:rsid w:val="007F06E1"/>
    <w:rsid w:val="007F0C09"/>
    <w:rsid w:val="007F3E75"/>
    <w:rsid w:val="007F517F"/>
    <w:rsid w:val="007F6391"/>
    <w:rsid w:val="007F6BB7"/>
    <w:rsid w:val="007F6CAD"/>
    <w:rsid w:val="007F6FB8"/>
    <w:rsid w:val="007F7481"/>
    <w:rsid w:val="007F76FF"/>
    <w:rsid w:val="007F7E83"/>
    <w:rsid w:val="00801491"/>
    <w:rsid w:val="008015A7"/>
    <w:rsid w:val="00801B8F"/>
    <w:rsid w:val="00801EF6"/>
    <w:rsid w:val="00802AEC"/>
    <w:rsid w:val="00803099"/>
    <w:rsid w:val="0080406C"/>
    <w:rsid w:val="008054E9"/>
    <w:rsid w:val="0080562C"/>
    <w:rsid w:val="008071D0"/>
    <w:rsid w:val="0081037F"/>
    <w:rsid w:val="0081066B"/>
    <w:rsid w:val="00810809"/>
    <w:rsid w:val="00810C6A"/>
    <w:rsid w:val="00810C86"/>
    <w:rsid w:val="00810DC1"/>
    <w:rsid w:val="00812350"/>
    <w:rsid w:val="00812369"/>
    <w:rsid w:val="00812741"/>
    <w:rsid w:val="008128E3"/>
    <w:rsid w:val="00812B04"/>
    <w:rsid w:val="00812B12"/>
    <w:rsid w:val="00814481"/>
    <w:rsid w:val="00815871"/>
    <w:rsid w:val="00821789"/>
    <w:rsid w:val="0082180B"/>
    <w:rsid w:val="00821BC9"/>
    <w:rsid w:val="00823319"/>
    <w:rsid w:val="00823D57"/>
    <w:rsid w:val="0082415E"/>
    <w:rsid w:val="00825147"/>
    <w:rsid w:val="00825B5E"/>
    <w:rsid w:val="00825D4F"/>
    <w:rsid w:val="00826C77"/>
    <w:rsid w:val="00830017"/>
    <w:rsid w:val="00830787"/>
    <w:rsid w:val="00830DC9"/>
    <w:rsid w:val="00831489"/>
    <w:rsid w:val="00833408"/>
    <w:rsid w:val="00833A6A"/>
    <w:rsid w:val="00833E2F"/>
    <w:rsid w:val="00834240"/>
    <w:rsid w:val="00834F9A"/>
    <w:rsid w:val="008368F3"/>
    <w:rsid w:val="008400A8"/>
    <w:rsid w:val="008401E9"/>
    <w:rsid w:val="0084156A"/>
    <w:rsid w:val="0084273E"/>
    <w:rsid w:val="008427B1"/>
    <w:rsid w:val="008449FF"/>
    <w:rsid w:val="00845E77"/>
    <w:rsid w:val="0084601D"/>
    <w:rsid w:val="008462FB"/>
    <w:rsid w:val="00846C73"/>
    <w:rsid w:val="008500CD"/>
    <w:rsid w:val="00850462"/>
    <w:rsid w:val="00850501"/>
    <w:rsid w:val="0085161D"/>
    <w:rsid w:val="00852EEF"/>
    <w:rsid w:val="00855597"/>
    <w:rsid w:val="00855780"/>
    <w:rsid w:val="008557AA"/>
    <w:rsid w:val="00856178"/>
    <w:rsid w:val="008567C0"/>
    <w:rsid w:val="00856C69"/>
    <w:rsid w:val="008570AB"/>
    <w:rsid w:val="008620A8"/>
    <w:rsid w:val="00862545"/>
    <w:rsid w:val="00862D62"/>
    <w:rsid w:val="0086331B"/>
    <w:rsid w:val="00863356"/>
    <w:rsid w:val="00864544"/>
    <w:rsid w:val="008653B5"/>
    <w:rsid w:val="00865A76"/>
    <w:rsid w:val="008663D7"/>
    <w:rsid w:val="0086730B"/>
    <w:rsid w:val="008674DC"/>
    <w:rsid w:val="008679E6"/>
    <w:rsid w:val="00867A0F"/>
    <w:rsid w:val="00871811"/>
    <w:rsid w:val="00872E1F"/>
    <w:rsid w:val="00873942"/>
    <w:rsid w:val="0087400E"/>
    <w:rsid w:val="008750E9"/>
    <w:rsid w:val="00876523"/>
    <w:rsid w:val="00880558"/>
    <w:rsid w:val="008809BE"/>
    <w:rsid w:val="00881DD6"/>
    <w:rsid w:val="00882ED0"/>
    <w:rsid w:val="00883894"/>
    <w:rsid w:val="00885DA2"/>
    <w:rsid w:val="00885E17"/>
    <w:rsid w:val="00886342"/>
    <w:rsid w:val="008875DE"/>
    <w:rsid w:val="0089074D"/>
    <w:rsid w:val="0089092F"/>
    <w:rsid w:val="00892F0E"/>
    <w:rsid w:val="00893594"/>
    <w:rsid w:val="008947EA"/>
    <w:rsid w:val="00894ABF"/>
    <w:rsid w:val="00895FFF"/>
    <w:rsid w:val="00896FF4"/>
    <w:rsid w:val="008A0E85"/>
    <w:rsid w:val="008A15CB"/>
    <w:rsid w:val="008A1DDE"/>
    <w:rsid w:val="008A2544"/>
    <w:rsid w:val="008A3231"/>
    <w:rsid w:val="008A34CE"/>
    <w:rsid w:val="008A371D"/>
    <w:rsid w:val="008A5443"/>
    <w:rsid w:val="008A55A8"/>
    <w:rsid w:val="008A5F01"/>
    <w:rsid w:val="008A6B66"/>
    <w:rsid w:val="008A7078"/>
    <w:rsid w:val="008A7CC8"/>
    <w:rsid w:val="008A7E02"/>
    <w:rsid w:val="008B0969"/>
    <w:rsid w:val="008B11D0"/>
    <w:rsid w:val="008B32B6"/>
    <w:rsid w:val="008B4464"/>
    <w:rsid w:val="008B4BF2"/>
    <w:rsid w:val="008B56E5"/>
    <w:rsid w:val="008B5AFD"/>
    <w:rsid w:val="008B6650"/>
    <w:rsid w:val="008B729C"/>
    <w:rsid w:val="008B7A33"/>
    <w:rsid w:val="008B7A4E"/>
    <w:rsid w:val="008C1506"/>
    <w:rsid w:val="008C2D30"/>
    <w:rsid w:val="008C33F2"/>
    <w:rsid w:val="008C444D"/>
    <w:rsid w:val="008C6A7F"/>
    <w:rsid w:val="008C6C92"/>
    <w:rsid w:val="008C77F7"/>
    <w:rsid w:val="008D0262"/>
    <w:rsid w:val="008D0AE4"/>
    <w:rsid w:val="008D1B0D"/>
    <w:rsid w:val="008D20E6"/>
    <w:rsid w:val="008D2F52"/>
    <w:rsid w:val="008D3E19"/>
    <w:rsid w:val="008D57A4"/>
    <w:rsid w:val="008D5F06"/>
    <w:rsid w:val="008D6724"/>
    <w:rsid w:val="008D6B57"/>
    <w:rsid w:val="008D74C3"/>
    <w:rsid w:val="008D7DFC"/>
    <w:rsid w:val="008E00FD"/>
    <w:rsid w:val="008E07C6"/>
    <w:rsid w:val="008E152D"/>
    <w:rsid w:val="008E3214"/>
    <w:rsid w:val="008E33EA"/>
    <w:rsid w:val="008E34EA"/>
    <w:rsid w:val="008E4180"/>
    <w:rsid w:val="008E4ECE"/>
    <w:rsid w:val="008E5BB7"/>
    <w:rsid w:val="008E5F84"/>
    <w:rsid w:val="008E6A1B"/>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3DD4"/>
    <w:rsid w:val="009054D3"/>
    <w:rsid w:val="00905587"/>
    <w:rsid w:val="009057D3"/>
    <w:rsid w:val="00907B9D"/>
    <w:rsid w:val="00910B66"/>
    <w:rsid w:val="00910CFA"/>
    <w:rsid w:val="009125D2"/>
    <w:rsid w:val="00914007"/>
    <w:rsid w:val="00915E3F"/>
    <w:rsid w:val="00915F49"/>
    <w:rsid w:val="00915F97"/>
    <w:rsid w:val="009179EB"/>
    <w:rsid w:val="00920EBA"/>
    <w:rsid w:val="0092191D"/>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364BC"/>
    <w:rsid w:val="00936D81"/>
    <w:rsid w:val="00941E44"/>
    <w:rsid w:val="00941E4F"/>
    <w:rsid w:val="00942454"/>
    <w:rsid w:val="00942482"/>
    <w:rsid w:val="0094311E"/>
    <w:rsid w:val="0094480E"/>
    <w:rsid w:val="00947B5B"/>
    <w:rsid w:val="00950281"/>
    <w:rsid w:val="00951BD3"/>
    <w:rsid w:val="009529FD"/>
    <w:rsid w:val="00952B8F"/>
    <w:rsid w:val="0095496C"/>
    <w:rsid w:val="0095569B"/>
    <w:rsid w:val="009559F2"/>
    <w:rsid w:val="009562CC"/>
    <w:rsid w:val="0095695E"/>
    <w:rsid w:val="00957310"/>
    <w:rsid w:val="0095750D"/>
    <w:rsid w:val="00960B83"/>
    <w:rsid w:val="00962B8F"/>
    <w:rsid w:val="009637E4"/>
    <w:rsid w:val="00964464"/>
    <w:rsid w:val="00965665"/>
    <w:rsid w:val="009657BE"/>
    <w:rsid w:val="0096632E"/>
    <w:rsid w:val="00966D4F"/>
    <w:rsid w:val="00970E65"/>
    <w:rsid w:val="0097102C"/>
    <w:rsid w:val="00971CBF"/>
    <w:rsid w:val="00971F52"/>
    <w:rsid w:val="0097202E"/>
    <w:rsid w:val="0097237F"/>
    <w:rsid w:val="00972E0B"/>
    <w:rsid w:val="00973F7B"/>
    <w:rsid w:val="009741A3"/>
    <w:rsid w:val="0097462D"/>
    <w:rsid w:val="0097486F"/>
    <w:rsid w:val="009748F0"/>
    <w:rsid w:val="00974A7C"/>
    <w:rsid w:val="00975252"/>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3EA1"/>
    <w:rsid w:val="0099496C"/>
    <w:rsid w:val="00995582"/>
    <w:rsid w:val="00996569"/>
    <w:rsid w:val="009A057B"/>
    <w:rsid w:val="009A06F0"/>
    <w:rsid w:val="009A14DE"/>
    <w:rsid w:val="009A2294"/>
    <w:rsid w:val="009A40DD"/>
    <w:rsid w:val="009A4F75"/>
    <w:rsid w:val="009A5F36"/>
    <w:rsid w:val="009A6821"/>
    <w:rsid w:val="009A6DED"/>
    <w:rsid w:val="009A72B5"/>
    <w:rsid w:val="009A7BC2"/>
    <w:rsid w:val="009B011E"/>
    <w:rsid w:val="009B180F"/>
    <w:rsid w:val="009B1897"/>
    <w:rsid w:val="009B1BB7"/>
    <w:rsid w:val="009B1C51"/>
    <w:rsid w:val="009B2F38"/>
    <w:rsid w:val="009B48D4"/>
    <w:rsid w:val="009B751B"/>
    <w:rsid w:val="009C0992"/>
    <w:rsid w:val="009C0C48"/>
    <w:rsid w:val="009C1830"/>
    <w:rsid w:val="009C23DA"/>
    <w:rsid w:val="009C24B3"/>
    <w:rsid w:val="009C2C09"/>
    <w:rsid w:val="009C2E5A"/>
    <w:rsid w:val="009C5C7A"/>
    <w:rsid w:val="009C6214"/>
    <w:rsid w:val="009C672A"/>
    <w:rsid w:val="009C703A"/>
    <w:rsid w:val="009C7B18"/>
    <w:rsid w:val="009C7D55"/>
    <w:rsid w:val="009C7F52"/>
    <w:rsid w:val="009D07F2"/>
    <w:rsid w:val="009D179D"/>
    <w:rsid w:val="009D1884"/>
    <w:rsid w:val="009D24A3"/>
    <w:rsid w:val="009D2FD6"/>
    <w:rsid w:val="009D3295"/>
    <w:rsid w:val="009D3665"/>
    <w:rsid w:val="009D3C84"/>
    <w:rsid w:val="009D40C6"/>
    <w:rsid w:val="009D54C1"/>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1E9C"/>
    <w:rsid w:val="009F3A51"/>
    <w:rsid w:val="009F3BA0"/>
    <w:rsid w:val="009F3C73"/>
    <w:rsid w:val="009F3F25"/>
    <w:rsid w:val="009F3F5D"/>
    <w:rsid w:val="009F43CB"/>
    <w:rsid w:val="009F4CB9"/>
    <w:rsid w:val="00A00283"/>
    <w:rsid w:val="00A01C02"/>
    <w:rsid w:val="00A02D24"/>
    <w:rsid w:val="00A02E16"/>
    <w:rsid w:val="00A044F1"/>
    <w:rsid w:val="00A05113"/>
    <w:rsid w:val="00A05482"/>
    <w:rsid w:val="00A054DC"/>
    <w:rsid w:val="00A069AE"/>
    <w:rsid w:val="00A06A3A"/>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2DF"/>
    <w:rsid w:val="00A222CA"/>
    <w:rsid w:val="00A225E3"/>
    <w:rsid w:val="00A239CC"/>
    <w:rsid w:val="00A23BC2"/>
    <w:rsid w:val="00A248C9"/>
    <w:rsid w:val="00A26F01"/>
    <w:rsid w:val="00A279AC"/>
    <w:rsid w:val="00A27A30"/>
    <w:rsid w:val="00A30C5D"/>
    <w:rsid w:val="00A310F1"/>
    <w:rsid w:val="00A311FC"/>
    <w:rsid w:val="00A31C68"/>
    <w:rsid w:val="00A31FFF"/>
    <w:rsid w:val="00A325AE"/>
    <w:rsid w:val="00A326A6"/>
    <w:rsid w:val="00A34090"/>
    <w:rsid w:val="00A342D9"/>
    <w:rsid w:val="00A35E30"/>
    <w:rsid w:val="00A35FAA"/>
    <w:rsid w:val="00A40163"/>
    <w:rsid w:val="00A409BC"/>
    <w:rsid w:val="00A40FC3"/>
    <w:rsid w:val="00A41D7C"/>
    <w:rsid w:val="00A42F6D"/>
    <w:rsid w:val="00A43C9A"/>
    <w:rsid w:val="00A44612"/>
    <w:rsid w:val="00A44720"/>
    <w:rsid w:val="00A44E14"/>
    <w:rsid w:val="00A46164"/>
    <w:rsid w:val="00A46A8E"/>
    <w:rsid w:val="00A51337"/>
    <w:rsid w:val="00A537E5"/>
    <w:rsid w:val="00A53DBB"/>
    <w:rsid w:val="00A540A5"/>
    <w:rsid w:val="00A54248"/>
    <w:rsid w:val="00A54F28"/>
    <w:rsid w:val="00A55B6F"/>
    <w:rsid w:val="00A569DF"/>
    <w:rsid w:val="00A61BD0"/>
    <w:rsid w:val="00A6388E"/>
    <w:rsid w:val="00A64BC6"/>
    <w:rsid w:val="00A64FD7"/>
    <w:rsid w:val="00A659CB"/>
    <w:rsid w:val="00A65F72"/>
    <w:rsid w:val="00A70398"/>
    <w:rsid w:val="00A709AD"/>
    <w:rsid w:val="00A70D03"/>
    <w:rsid w:val="00A71441"/>
    <w:rsid w:val="00A71D15"/>
    <w:rsid w:val="00A721F1"/>
    <w:rsid w:val="00A72DA9"/>
    <w:rsid w:val="00A733CB"/>
    <w:rsid w:val="00A739DF"/>
    <w:rsid w:val="00A74086"/>
    <w:rsid w:val="00A740A0"/>
    <w:rsid w:val="00A745EF"/>
    <w:rsid w:val="00A751AD"/>
    <w:rsid w:val="00A76045"/>
    <w:rsid w:val="00A773CD"/>
    <w:rsid w:val="00A775CF"/>
    <w:rsid w:val="00A77853"/>
    <w:rsid w:val="00A77FAF"/>
    <w:rsid w:val="00A805EB"/>
    <w:rsid w:val="00A80C87"/>
    <w:rsid w:val="00A81EED"/>
    <w:rsid w:val="00A84503"/>
    <w:rsid w:val="00A867DA"/>
    <w:rsid w:val="00A8782F"/>
    <w:rsid w:val="00A9159E"/>
    <w:rsid w:val="00A9167D"/>
    <w:rsid w:val="00A91895"/>
    <w:rsid w:val="00A9282E"/>
    <w:rsid w:val="00A92D25"/>
    <w:rsid w:val="00A9401F"/>
    <w:rsid w:val="00A94689"/>
    <w:rsid w:val="00A94DDB"/>
    <w:rsid w:val="00A94F82"/>
    <w:rsid w:val="00A950A1"/>
    <w:rsid w:val="00A95539"/>
    <w:rsid w:val="00A965CD"/>
    <w:rsid w:val="00A96970"/>
    <w:rsid w:val="00A97CB1"/>
    <w:rsid w:val="00AA110F"/>
    <w:rsid w:val="00AA1BEC"/>
    <w:rsid w:val="00AA27AA"/>
    <w:rsid w:val="00AA2DF3"/>
    <w:rsid w:val="00AA4761"/>
    <w:rsid w:val="00AA50BC"/>
    <w:rsid w:val="00AA6AE4"/>
    <w:rsid w:val="00AA6EEB"/>
    <w:rsid w:val="00AA75BF"/>
    <w:rsid w:val="00AB1869"/>
    <w:rsid w:val="00AB24E7"/>
    <w:rsid w:val="00AB3237"/>
    <w:rsid w:val="00AB3917"/>
    <w:rsid w:val="00AB3A2D"/>
    <w:rsid w:val="00AB4AC8"/>
    <w:rsid w:val="00AB4E6A"/>
    <w:rsid w:val="00AB5E21"/>
    <w:rsid w:val="00AB6AD4"/>
    <w:rsid w:val="00AB75AE"/>
    <w:rsid w:val="00AB76EC"/>
    <w:rsid w:val="00AB7933"/>
    <w:rsid w:val="00AB7947"/>
    <w:rsid w:val="00AC13C9"/>
    <w:rsid w:val="00AC3071"/>
    <w:rsid w:val="00AC3A08"/>
    <w:rsid w:val="00AC3D18"/>
    <w:rsid w:val="00AC6332"/>
    <w:rsid w:val="00AD0393"/>
    <w:rsid w:val="00AD10CF"/>
    <w:rsid w:val="00AD2FC0"/>
    <w:rsid w:val="00AD3581"/>
    <w:rsid w:val="00AD35EA"/>
    <w:rsid w:val="00AD3BC7"/>
    <w:rsid w:val="00AD42E2"/>
    <w:rsid w:val="00AD4967"/>
    <w:rsid w:val="00AD562E"/>
    <w:rsid w:val="00AD5B1B"/>
    <w:rsid w:val="00AD66BE"/>
    <w:rsid w:val="00AD687E"/>
    <w:rsid w:val="00AD6DB9"/>
    <w:rsid w:val="00AE12A9"/>
    <w:rsid w:val="00AE2459"/>
    <w:rsid w:val="00AE29C2"/>
    <w:rsid w:val="00AE3D23"/>
    <w:rsid w:val="00AE469C"/>
    <w:rsid w:val="00AE4CEC"/>
    <w:rsid w:val="00AE4EC8"/>
    <w:rsid w:val="00AE517C"/>
    <w:rsid w:val="00AE599E"/>
    <w:rsid w:val="00AE5D9F"/>
    <w:rsid w:val="00AE5F15"/>
    <w:rsid w:val="00AE61C0"/>
    <w:rsid w:val="00AE72C2"/>
    <w:rsid w:val="00AE76C9"/>
    <w:rsid w:val="00AF06B4"/>
    <w:rsid w:val="00AF08DE"/>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6FD"/>
    <w:rsid w:val="00B11B0A"/>
    <w:rsid w:val="00B12331"/>
    <w:rsid w:val="00B124AD"/>
    <w:rsid w:val="00B13407"/>
    <w:rsid w:val="00B154B3"/>
    <w:rsid w:val="00B15B71"/>
    <w:rsid w:val="00B16085"/>
    <w:rsid w:val="00B166C6"/>
    <w:rsid w:val="00B20BB7"/>
    <w:rsid w:val="00B21941"/>
    <w:rsid w:val="00B21EB4"/>
    <w:rsid w:val="00B22A5B"/>
    <w:rsid w:val="00B2691D"/>
    <w:rsid w:val="00B26C44"/>
    <w:rsid w:val="00B27820"/>
    <w:rsid w:val="00B27F24"/>
    <w:rsid w:val="00B30019"/>
    <w:rsid w:val="00B306EA"/>
    <w:rsid w:val="00B30944"/>
    <w:rsid w:val="00B3104B"/>
    <w:rsid w:val="00B3155F"/>
    <w:rsid w:val="00B31B2B"/>
    <w:rsid w:val="00B31EE8"/>
    <w:rsid w:val="00B32AAC"/>
    <w:rsid w:val="00B33F4D"/>
    <w:rsid w:val="00B34EC9"/>
    <w:rsid w:val="00B36CFC"/>
    <w:rsid w:val="00B37085"/>
    <w:rsid w:val="00B37148"/>
    <w:rsid w:val="00B37AFC"/>
    <w:rsid w:val="00B4084B"/>
    <w:rsid w:val="00B41232"/>
    <w:rsid w:val="00B42B56"/>
    <w:rsid w:val="00B45864"/>
    <w:rsid w:val="00B460B5"/>
    <w:rsid w:val="00B47F4C"/>
    <w:rsid w:val="00B50032"/>
    <w:rsid w:val="00B505E0"/>
    <w:rsid w:val="00B50958"/>
    <w:rsid w:val="00B512B1"/>
    <w:rsid w:val="00B51526"/>
    <w:rsid w:val="00B567D8"/>
    <w:rsid w:val="00B60F6F"/>
    <w:rsid w:val="00B61A52"/>
    <w:rsid w:val="00B6230B"/>
    <w:rsid w:val="00B628E8"/>
    <w:rsid w:val="00B63C3C"/>
    <w:rsid w:val="00B64DE4"/>
    <w:rsid w:val="00B6503B"/>
    <w:rsid w:val="00B65561"/>
    <w:rsid w:val="00B676B8"/>
    <w:rsid w:val="00B67A55"/>
    <w:rsid w:val="00B70250"/>
    <w:rsid w:val="00B70C9E"/>
    <w:rsid w:val="00B70F85"/>
    <w:rsid w:val="00B71222"/>
    <w:rsid w:val="00B714C1"/>
    <w:rsid w:val="00B7174A"/>
    <w:rsid w:val="00B7358B"/>
    <w:rsid w:val="00B7388C"/>
    <w:rsid w:val="00B73E0D"/>
    <w:rsid w:val="00B7521F"/>
    <w:rsid w:val="00B75D01"/>
    <w:rsid w:val="00B830A1"/>
    <w:rsid w:val="00B83160"/>
    <w:rsid w:val="00B8365B"/>
    <w:rsid w:val="00B83705"/>
    <w:rsid w:val="00B83CA0"/>
    <w:rsid w:val="00B84243"/>
    <w:rsid w:val="00B85C34"/>
    <w:rsid w:val="00B86A6C"/>
    <w:rsid w:val="00B86CCD"/>
    <w:rsid w:val="00B876C0"/>
    <w:rsid w:val="00B87806"/>
    <w:rsid w:val="00B87DE5"/>
    <w:rsid w:val="00B92B09"/>
    <w:rsid w:val="00B93884"/>
    <w:rsid w:val="00B93D53"/>
    <w:rsid w:val="00B94405"/>
    <w:rsid w:val="00B94A65"/>
    <w:rsid w:val="00B94ADF"/>
    <w:rsid w:val="00B94FB4"/>
    <w:rsid w:val="00B94FF4"/>
    <w:rsid w:val="00B95D2D"/>
    <w:rsid w:val="00B9607C"/>
    <w:rsid w:val="00B9631B"/>
    <w:rsid w:val="00B9676C"/>
    <w:rsid w:val="00B9794C"/>
    <w:rsid w:val="00BA0966"/>
    <w:rsid w:val="00BA0F2F"/>
    <w:rsid w:val="00BA252E"/>
    <w:rsid w:val="00BA28F3"/>
    <w:rsid w:val="00BA2BF3"/>
    <w:rsid w:val="00BA379F"/>
    <w:rsid w:val="00BA5CA9"/>
    <w:rsid w:val="00BA6777"/>
    <w:rsid w:val="00BA6FB6"/>
    <w:rsid w:val="00BB2A98"/>
    <w:rsid w:val="00BB3AB5"/>
    <w:rsid w:val="00BB3DA8"/>
    <w:rsid w:val="00BB498B"/>
    <w:rsid w:val="00BB5A84"/>
    <w:rsid w:val="00BB6D23"/>
    <w:rsid w:val="00BB721D"/>
    <w:rsid w:val="00BB7455"/>
    <w:rsid w:val="00BC2C65"/>
    <w:rsid w:val="00BC3472"/>
    <w:rsid w:val="00BC3608"/>
    <w:rsid w:val="00BC3CAB"/>
    <w:rsid w:val="00BC3F11"/>
    <w:rsid w:val="00BC42CE"/>
    <w:rsid w:val="00BC4914"/>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419"/>
    <w:rsid w:val="00BF0E14"/>
    <w:rsid w:val="00BF164E"/>
    <w:rsid w:val="00BF1A33"/>
    <w:rsid w:val="00BF23C3"/>
    <w:rsid w:val="00BF27A3"/>
    <w:rsid w:val="00BF3D35"/>
    <w:rsid w:val="00BF6D42"/>
    <w:rsid w:val="00BF7AE6"/>
    <w:rsid w:val="00BF7ED9"/>
    <w:rsid w:val="00C00AA5"/>
    <w:rsid w:val="00C00B3B"/>
    <w:rsid w:val="00C02450"/>
    <w:rsid w:val="00C038D0"/>
    <w:rsid w:val="00C066AF"/>
    <w:rsid w:val="00C06CE4"/>
    <w:rsid w:val="00C07DEC"/>
    <w:rsid w:val="00C07F1C"/>
    <w:rsid w:val="00C1005F"/>
    <w:rsid w:val="00C107D2"/>
    <w:rsid w:val="00C10A94"/>
    <w:rsid w:val="00C10DAF"/>
    <w:rsid w:val="00C116C7"/>
    <w:rsid w:val="00C11F05"/>
    <w:rsid w:val="00C11F2F"/>
    <w:rsid w:val="00C12D0A"/>
    <w:rsid w:val="00C13681"/>
    <w:rsid w:val="00C13DA0"/>
    <w:rsid w:val="00C15DEF"/>
    <w:rsid w:val="00C17B32"/>
    <w:rsid w:val="00C20E76"/>
    <w:rsid w:val="00C2135F"/>
    <w:rsid w:val="00C22B98"/>
    <w:rsid w:val="00C23155"/>
    <w:rsid w:val="00C23582"/>
    <w:rsid w:val="00C23647"/>
    <w:rsid w:val="00C2476F"/>
    <w:rsid w:val="00C24BB1"/>
    <w:rsid w:val="00C25058"/>
    <w:rsid w:val="00C2641F"/>
    <w:rsid w:val="00C276B1"/>
    <w:rsid w:val="00C3009E"/>
    <w:rsid w:val="00C31E81"/>
    <w:rsid w:val="00C3239B"/>
    <w:rsid w:val="00C3249E"/>
    <w:rsid w:val="00C3303C"/>
    <w:rsid w:val="00C3324A"/>
    <w:rsid w:val="00C342CD"/>
    <w:rsid w:val="00C34390"/>
    <w:rsid w:val="00C34C59"/>
    <w:rsid w:val="00C350D8"/>
    <w:rsid w:val="00C354BB"/>
    <w:rsid w:val="00C359BA"/>
    <w:rsid w:val="00C36775"/>
    <w:rsid w:val="00C375A8"/>
    <w:rsid w:val="00C376B2"/>
    <w:rsid w:val="00C37BFF"/>
    <w:rsid w:val="00C40689"/>
    <w:rsid w:val="00C41058"/>
    <w:rsid w:val="00C41D55"/>
    <w:rsid w:val="00C42089"/>
    <w:rsid w:val="00C428E6"/>
    <w:rsid w:val="00C42D37"/>
    <w:rsid w:val="00C431A3"/>
    <w:rsid w:val="00C43DF8"/>
    <w:rsid w:val="00C44B2A"/>
    <w:rsid w:val="00C44BE3"/>
    <w:rsid w:val="00C44C1D"/>
    <w:rsid w:val="00C450A9"/>
    <w:rsid w:val="00C45203"/>
    <w:rsid w:val="00C45903"/>
    <w:rsid w:val="00C46399"/>
    <w:rsid w:val="00C46D0E"/>
    <w:rsid w:val="00C476C5"/>
    <w:rsid w:val="00C53B7C"/>
    <w:rsid w:val="00C53EF2"/>
    <w:rsid w:val="00C55846"/>
    <w:rsid w:val="00C578EB"/>
    <w:rsid w:val="00C61EA2"/>
    <w:rsid w:val="00C62A23"/>
    <w:rsid w:val="00C6305B"/>
    <w:rsid w:val="00C63109"/>
    <w:rsid w:val="00C63C1F"/>
    <w:rsid w:val="00C63ED7"/>
    <w:rsid w:val="00C65397"/>
    <w:rsid w:val="00C66319"/>
    <w:rsid w:val="00C67701"/>
    <w:rsid w:val="00C67CD1"/>
    <w:rsid w:val="00C705DA"/>
    <w:rsid w:val="00C715F0"/>
    <w:rsid w:val="00C72A4E"/>
    <w:rsid w:val="00C7356F"/>
    <w:rsid w:val="00C74126"/>
    <w:rsid w:val="00C74C39"/>
    <w:rsid w:val="00C74DA9"/>
    <w:rsid w:val="00C74E8D"/>
    <w:rsid w:val="00C753BA"/>
    <w:rsid w:val="00C7638D"/>
    <w:rsid w:val="00C763EA"/>
    <w:rsid w:val="00C77417"/>
    <w:rsid w:val="00C778FD"/>
    <w:rsid w:val="00C8049D"/>
    <w:rsid w:val="00C81F4D"/>
    <w:rsid w:val="00C82E62"/>
    <w:rsid w:val="00C84F25"/>
    <w:rsid w:val="00C854F5"/>
    <w:rsid w:val="00C85E77"/>
    <w:rsid w:val="00C866C1"/>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2844"/>
    <w:rsid w:val="00CB4589"/>
    <w:rsid w:val="00CB54F0"/>
    <w:rsid w:val="00CB60C9"/>
    <w:rsid w:val="00CB62C0"/>
    <w:rsid w:val="00CB6D07"/>
    <w:rsid w:val="00CB6D24"/>
    <w:rsid w:val="00CB795F"/>
    <w:rsid w:val="00CC0486"/>
    <w:rsid w:val="00CC0B67"/>
    <w:rsid w:val="00CC12AE"/>
    <w:rsid w:val="00CC1F9A"/>
    <w:rsid w:val="00CC2A06"/>
    <w:rsid w:val="00CC2BF7"/>
    <w:rsid w:val="00CC36A5"/>
    <w:rsid w:val="00CC4867"/>
    <w:rsid w:val="00CC5AB0"/>
    <w:rsid w:val="00CC6371"/>
    <w:rsid w:val="00CC6AFF"/>
    <w:rsid w:val="00CC7ED8"/>
    <w:rsid w:val="00CC7F08"/>
    <w:rsid w:val="00CD12CE"/>
    <w:rsid w:val="00CD1BF3"/>
    <w:rsid w:val="00CD3382"/>
    <w:rsid w:val="00CD6D33"/>
    <w:rsid w:val="00CD73EB"/>
    <w:rsid w:val="00CD7F71"/>
    <w:rsid w:val="00CE0085"/>
    <w:rsid w:val="00CE0472"/>
    <w:rsid w:val="00CE179F"/>
    <w:rsid w:val="00CE2B6C"/>
    <w:rsid w:val="00CE2C1A"/>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3CF"/>
    <w:rsid w:val="00D07A8D"/>
    <w:rsid w:val="00D1024D"/>
    <w:rsid w:val="00D11F5B"/>
    <w:rsid w:val="00D120BF"/>
    <w:rsid w:val="00D142C4"/>
    <w:rsid w:val="00D143EC"/>
    <w:rsid w:val="00D1469B"/>
    <w:rsid w:val="00D15792"/>
    <w:rsid w:val="00D16599"/>
    <w:rsid w:val="00D1741D"/>
    <w:rsid w:val="00D174C3"/>
    <w:rsid w:val="00D17D15"/>
    <w:rsid w:val="00D17E55"/>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67F3"/>
    <w:rsid w:val="00D37A7B"/>
    <w:rsid w:val="00D37C36"/>
    <w:rsid w:val="00D4187B"/>
    <w:rsid w:val="00D428B3"/>
    <w:rsid w:val="00D42DEE"/>
    <w:rsid w:val="00D43E58"/>
    <w:rsid w:val="00D44150"/>
    <w:rsid w:val="00D44D21"/>
    <w:rsid w:val="00D456C4"/>
    <w:rsid w:val="00D459CF"/>
    <w:rsid w:val="00D46A7B"/>
    <w:rsid w:val="00D46D74"/>
    <w:rsid w:val="00D5073A"/>
    <w:rsid w:val="00D50C9B"/>
    <w:rsid w:val="00D52088"/>
    <w:rsid w:val="00D541D3"/>
    <w:rsid w:val="00D549BF"/>
    <w:rsid w:val="00D551E1"/>
    <w:rsid w:val="00D55763"/>
    <w:rsid w:val="00D5708A"/>
    <w:rsid w:val="00D576B5"/>
    <w:rsid w:val="00D57849"/>
    <w:rsid w:val="00D579C5"/>
    <w:rsid w:val="00D60439"/>
    <w:rsid w:val="00D606C2"/>
    <w:rsid w:val="00D60EF7"/>
    <w:rsid w:val="00D6199A"/>
    <w:rsid w:val="00D62AB4"/>
    <w:rsid w:val="00D634BA"/>
    <w:rsid w:val="00D63E28"/>
    <w:rsid w:val="00D6661E"/>
    <w:rsid w:val="00D6714F"/>
    <w:rsid w:val="00D70BF5"/>
    <w:rsid w:val="00D70EB2"/>
    <w:rsid w:val="00D715EF"/>
    <w:rsid w:val="00D720BB"/>
    <w:rsid w:val="00D729FE"/>
    <w:rsid w:val="00D72CD6"/>
    <w:rsid w:val="00D734C3"/>
    <w:rsid w:val="00D75924"/>
    <w:rsid w:val="00D75DD0"/>
    <w:rsid w:val="00D7602E"/>
    <w:rsid w:val="00D76996"/>
    <w:rsid w:val="00D77C45"/>
    <w:rsid w:val="00D81071"/>
    <w:rsid w:val="00D821E0"/>
    <w:rsid w:val="00D82879"/>
    <w:rsid w:val="00D82A6C"/>
    <w:rsid w:val="00D835A8"/>
    <w:rsid w:val="00D83B82"/>
    <w:rsid w:val="00D85D3F"/>
    <w:rsid w:val="00D863FD"/>
    <w:rsid w:val="00D8674E"/>
    <w:rsid w:val="00D86FFD"/>
    <w:rsid w:val="00D87479"/>
    <w:rsid w:val="00D900FB"/>
    <w:rsid w:val="00D910DC"/>
    <w:rsid w:val="00D9150D"/>
    <w:rsid w:val="00D92B42"/>
    <w:rsid w:val="00D93254"/>
    <w:rsid w:val="00D952A8"/>
    <w:rsid w:val="00D961F2"/>
    <w:rsid w:val="00D97687"/>
    <w:rsid w:val="00D9775E"/>
    <w:rsid w:val="00DA14B7"/>
    <w:rsid w:val="00DA1610"/>
    <w:rsid w:val="00DA1A11"/>
    <w:rsid w:val="00DA1BEF"/>
    <w:rsid w:val="00DA28A8"/>
    <w:rsid w:val="00DA3143"/>
    <w:rsid w:val="00DA4EAE"/>
    <w:rsid w:val="00DA55D4"/>
    <w:rsid w:val="00DA6854"/>
    <w:rsid w:val="00DA6D4F"/>
    <w:rsid w:val="00DA6FB4"/>
    <w:rsid w:val="00DA7AC3"/>
    <w:rsid w:val="00DA7B65"/>
    <w:rsid w:val="00DB10A8"/>
    <w:rsid w:val="00DB1992"/>
    <w:rsid w:val="00DB22B0"/>
    <w:rsid w:val="00DB4C98"/>
    <w:rsid w:val="00DB584E"/>
    <w:rsid w:val="00DB69D9"/>
    <w:rsid w:val="00DB6F06"/>
    <w:rsid w:val="00DB7E0B"/>
    <w:rsid w:val="00DC0A7A"/>
    <w:rsid w:val="00DC16AF"/>
    <w:rsid w:val="00DC2BDA"/>
    <w:rsid w:val="00DC32EC"/>
    <w:rsid w:val="00DC4099"/>
    <w:rsid w:val="00DC4790"/>
    <w:rsid w:val="00DC6737"/>
    <w:rsid w:val="00DD051E"/>
    <w:rsid w:val="00DD05B3"/>
    <w:rsid w:val="00DD0BA0"/>
    <w:rsid w:val="00DD1046"/>
    <w:rsid w:val="00DD4EAA"/>
    <w:rsid w:val="00DD53A9"/>
    <w:rsid w:val="00DD5856"/>
    <w:rsid w:val="00DD66AC"/>
    <w:rsid w:val="00DD7B40"/>
    <w:rsid w:val="00DE03FD"/>
    <w:rsid w:val="00DE0D89"/>
    <w:rsid w:val="00DE117E"/>
    <w:rsid w:val="00DE1987"/>
    <w:rsid w:val="00DE1EF9"/>
    <w:rsid w:val="00DE2A71"/>
    <w:rsid w:val="00DE2AC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5C46"/>
    <w:rsid w:val="00DF61C8"/>
    <w:rsid w:val="00DF6323"/>
    <w:rsid w:val="00DF6A20"/>
    <w:rsid w:val="00DF6B26"/>
    <w:rsid w:val="00DF71CE"/>
    <w:rsid w:val="00DF744E"/>
    <w:rsid w:val="00E00258"/>
    <w:rsid w:val="00E0068F"/>
    <w:rsid w:val="00E01B7C"/>
    <w:rsid w:val="00E03A2B"/>
    <w:rsid w:val="00E054BA"/>
    <w:rsid w:val="00E05967"/>
    <w:rsid w:val="00E05E54"/>
    <w:rsid w:val="00E06F9F"/>
    <w:rsid w:val="00E073A3"/>
    <w:rsid w:val="00E077C6"/>
    <w:rsid w:val="00E1099E"/>
    <w:rsid w:val="00E10D3F"/>
    <w:rsid w:val="00E1129E"/>
    <w:rsid w:val="00E120DB"/>
    <w:rsid w:val="00E121DD"/>
    <w:rsid w:val="00E12264"/>
    <w:rsid w:val="00E12ACE"/>
    <w:rsid w:val="00E133E2"/>
    <w:rsid w:val="00E15A7E"/>
    <w:rsid w:val="00E160CA"/>
    <w:rsid w:val="00E1675C"/>
    <w:rsid w:val="00E16977"/>
    <w:rsid w:val="00E16BE1"/>
    <w:rsid w:val="00E17DAB"/>
    <w:rsid w:val="00E20209"/>
    <w:rsid w:val="00E20628"/>
    <w:rsid w:val="00E2103B"/>
    <w:rsid w:val="00E223BE"/>
    <w:rsid w:val="00E22A07"/>
    <w:rsid w:val="00E235C3"/>
    <w:rsid w:val="00E2437F"/>
    <w:rsid w:val="00E25145"/>
    <w:rsid w:val="00E253F7"/>
    <w:rsid w:val="00E26003"/>
    <w:rsid w:val="00E26389"/>
    <w:rsid w:val="00E273FF"/>
    <w:rsid w:val="00E27B6D"/>
    <w:rsid w:val="00E27B91"/>
    <w:rsid w:val="00E306E7"/>
    <w:rsid w:val="00E3087C"/>
    <w:rsid w:val="00E30E1D"/>
    <w:rsid w:val="00E30FE2"/>
    <w:rsid w:val="00E326EC"/>
    <w:rsid w:val="00E335C8"/>
    <w:rsid w:val="00E34C1E"/>
    <w:rsid w:val="00E34D7D"/>
    <w:rsid w:val="00E36102"/>
    <w:rsid w:val="00E3664F"/>
    <w:rsid w:val="00E37BA9"/>
    <w:rsid w:val="00E37F9B"/>
    <w:rsid w:val="00E42411"/>
    <w:rsid w:val="00E42C8A"/>
    <w:rsid w:val="00E436F2"/>
    <w:rsid w:val="00E43965"/>
    <w:rsid w:val="00E43E3B"/>
    <w:rsid w:val="00E4452C"/>
    <w:rsid w:val="00E4582E"/>
    <w:rsid w:val="00E46611"/>
    <w:rsid w:val="00E46AB8"/>
    <w:rsid w:val="00E473B3"/>
    <w:rsid w:val="00E479CE"/>
    <w:rsid w:val="00E50E8D"/>
    <w:rsid w:val="00E51F1C"/>
    <w:rsid w:val="00E53ECC"/>
    <w:rsid w:val="00E53F1A"/>
    <w:rsid w:val="00E54185"/>
    <w:rsid w:val="00E5444F"/>
    <w:rsid w:val="00E55A87"/>
    <w:rsid w:val="00E55ABA"/>
    <w:rsid w:val="00E55AC8"/>
    <w:rsid w:val="00E563D2"/>
    <w:rsid w:val="00E57CA7"/>
    <w:rsid w:val="00E61C5E"/>
    <w:rsid w:val="00E61EC0"/>
    <w:rsid w:val="00E62415"/>
    <w:rsid w:val="00E62B36"/>
    <w:rsid w:val="00E62DF5"/>
    <w:rsid w:val="00E63BDC"/>
    <w:rsid w:val="00E647C8"/>
    <w:rsid w:val="00E64EFB"/>
    <w:rsid w:val="00E6759E"/>
    <w:rsid w:val="00E67C82"/>
    <w:rsid w:val="00E702CE"/>
    <w:rsid w:val="00E70F0A"/>
    <w:rsid w:val="00E71844"/>
    <w:rsid w:val="00E731D7"/>
    <w:rsid w:val="00E7371B"/>
    <w:rsid w:val="00E73765"/>
    <w:rsid w:val="00E74ACE"/>
    <w:rsid w:val="00E75A0F"/>
    <w:rsid w:val="00E77C06"/>
    <w:rsid w:val="00E831F7"/>
    <w:rsid w:val="00E835D7"/>
    <w:rsid w:val="00E851D5"/>
    <w:rsid w:val="00E855E0"/>
    <w:rsid w:val="00E85C65"/>
    <w:rsid w:val="00E860B7"/>
    <w:rsid w:val="00E8780D"/>
    <w:rsid w:val="00E9221F"/>
    <w:rsid w:val="00E92644"/>
    <w:rsid w:val="00E93162"/>
    <w:rsid w:val="00E93C24"/>
    <w:rsid w:val="00E94499"/>
    <w:rsid w:val="00E958F7"/>
    <w:rsid w:val="00E95DB8"/>
    <w:rsid w:val="00E95E3B"/>
    <w:rsid w:val="00E97527"/>
    <w:rsid w:val="00EA186C"/>
    <w:rsid w:val="00EA46A8"/>
    <w:rsid w:val="00EA4BA2"/>
    <w:rsid w:val="00EA5A9E"/>
    <w:rsid w:val="00EA6556"/>
    <w:rsid w:val="00EA6842"/>
    <w:rsid w:val="00EA6D25"/>
    <w:rsid w:val="00EB1B80"/>
    <w:rsid w:val="00EB20F0"/>
    <w:rsid w:val="00EB4C26"/>
    <w:rsid w:val="00EB5127"/>
    <w:rsid w:val="00EB53F2"/>
    <w:rsid w:val="00EB548C"/>
    <w:rsid w:val="00EB7803"/>
    <w:rsid w:val="00EC0295"/>
    <w:rsid w:val="00EC0454"/>
    <w:rsid w:val="00EC19FA"/>
    <w:rsid w:val="00EC1F39"/>
    <w:rsid w:val="00EC2948"/>
    <w:rsid w:val="00EC5F86"/>
    <w:rsid w:val="00EC712B"/>
    <w:rsid w:val="00ED0940"/>
    <w:rsid w:val="00ED25CE"/>
    <w:rsid w:val="00ED2EF9"/>
    <w:rsid w:val="00ED3A55"/>
    <w:rsid w:val="00ED3B06"/>
    <w:rsid w:val="00ED402C"/>
    <w:rsid w:val="00ED511B"/>
    <w:rsid w:val="00ED7DD7"/>
    <w:rsid w:val="00EE0ACF"/>
    <w:rsid w:val="00EE22E3"/>
    <w:rsid w:val="00EE2ED0"/>
    <w:rsid w:val="00EE37DE"/>
    <w:rsid w:val="00EE5736"/>
    <w:rsid w:val="00EE67C5"/>
    <w:rsid w:val="00EE7083"/>
    <w:rsid w:val="00EF18EF"/>
    <w:rsid w:val="00EF4031"/>
    <w:rsid w:val="00EF45CE"/>
    <w:rsid w:val="00EF4C71"/>
    <w:rsid w:val="00EF695C"/>
    <w:rsid w:val="00F00984"/>
    <w:rsid w:val="00F01FF7"/>
    <w:rsid w:val="00F03E61"/>
    <w:rsid w:val="00F03F10"/>
    <w:rsid w:val="00F05908"/>
    <w:rsid w:val="00F07BE6"/>
    <w:rsid w:val="00F10305"/>
    <w:rsid w:val="00F1076B"/>
    <w:rsid w:val="00F10D71"/>
    <w:rsid w:val="00F11B9B"/>
    <w:rsid w:val="00F11D20"/>
    <w:rsid w:val="00F120D0"/>
    <w:rsid w:val="00F1363A"/>
    <w:rsid w:val="00F13E0D"/>
    <w:rsid w:val="00F15DFF"/>
    <w:rsid w:val="00F175CA"/>
    <w:rsid w:val="00F20B6E"/>
    <w:rsid w:val="00F20FF5"/>
    <w:rsid w:val="00F248EC"/>
    <w:rsid w:val="00F24BCF"/>
    <w:rsid w:val="00F24C64"/>
    <w:rsid w:val="00F2639B"/>
    <w:rsid w:val="00F2645B"/>
    <w:rsid w:val="00F271F4"/>
    <w:rsid w:val="00F276EE"/>
    <w:rsid w:val="00F27BE8"/>
    <w:rsid w:val="00F3255F"/>
    <w:rsid w:val="00F33271"/>
    <w:rsid w:val="00F3510E"/>
    <w:rsid w:val="00F35B8D"/>
    <w:rsid w:val="00F3617A"/>
    <w:rsid w:val="00F373DC"/>
    <w:rsid w:val="00F37EF3"/>
    <w:rsid w:val="00F403D6"/>
    <w:rsid w:val="00F40782"/>
    <w:rsid w:val="00F422EF"/>
    <w:rsid w:val="00F42894"/>
    <w:rsid w:val="00F43E26"/>
    <w:rsid w:val="00F4532B"/>
    <w:rsid w:val="00F455DC"/>
    <w:rsid w:val="00F45CF2"/>
    <w:rsid w:val="00F46E78"/>
    <w:rsid w:val="00F470EA"/>
    <w:rsid w:val="00F47B25"/>
    <w:rsid w:val="00F5038E"/>
    <w:rsid w:val="00F506AE"/>
    <w:rsid w:val="00F51346"/>
    <w:rsid w:val="00F5235B"/>
    <w:rsid w:val="00F53130"/>
    <w:rsid w:val="00F54947"/>
    <w:rsid w:val="00F54F7B"/>
    <w:rsid w:val="00F55CD7"/>
    <w:rsid w:val="00F560DC"/>
    <w:rsid w:val="00F56916"/>
    <w:rsid w:val="00F56AD0"/>
    <w:rsid w:val="00F56CB1"/>
    <w:rsid w:val="00F62425"/>
    <w:rsid w:val="00F62436"/>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16"/>
    <w:rsid w:val="00F81CE4"/>
    <w:rsid w:val="00F822BA"/>
    <w:rsid w:val="00F84705"/>
    <w:rsid w:val="00F8673B"/>
    <w:rsid w:val="00F87522"/>
    <w:rsid w:val="00F908F8"/>
    <w:rsid w:val="00F92442"/>
    <w:rsid w:val="00F926C8"/>
    <w:rsid w:val="00F939DB"/>
    <w:rsid w:val="00F93CED"/>
    <w:rsid w:val="00F94014"/>
    <w:rsid w:val="00F94E8C"/>
    <w:rsid w:val="00F964B0"/>
    <w:rsid w:val="00F96569"/>
    <w:rsid w:val="00F973F0"/>
    <w:rsid w:val="00F97B52"/>
    <w:rsid w:val="00F97D2D"/>
    <w:rsid w:val="00FA05A4"/>
    <w:rsid w:val="00FA2F87"/>
    <w:rsid w:val="00FA30C2"/>
    <w:rsid w:val="00FA31D8"/>
    <w:rsid w:val="00FA3BF1"/>
    <w:rsid w:val="00FA63B6"/>
    <w:rsid w:val="00FA6958"/>
    <w:rsid w:val="00FA7135"/>
    <w:rsid w:val="00FA784C"/>
    <w:rsid w:val="00FA788E"/>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4FBC"/>
    <w:rsid w:val="00FC5852"/>
    <w:rsid w:val="00FC6CF3"/>
    <w:rsid w:val="00FC6F4F"/>
    <w:rsid w:val="00FD1B30"/>
    <w:rsid w:val="00FD1BC7"/>
    <w:rsid w:val="00FD2BC4"/>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F1E56"/>
    <w:rsid w:val="00FF2122"/>
    <w:rsid w:val="00FF2339"/>
    <w:rsid w:val="00FF2430"/>
    <w:rsid w:val="00FF26B9"/>
    <w:rsid w:val="00FF2B4D"/>
    <w:rsid w:val="00FF33AA"/>
    <w:rsid w:val="00FF371D"/>
    <w:rsid w:val="00FF3E15"/>
    <w:rsid w:val="00FF4B33"/>
    <w:rsid w:val="00FF4CB6"/>
    <w:rsid w:val="00FF51C2"/>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13"/>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uiPriority w:val="3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List Paragraph1,Bulleted Para,NFP GP Bulleted List,bullet point list,List Paragraph11,L,Bullet points,Content descriptions,Bullet Point,DDM Gen Text,CV text,Table text,F5 List Paragraph,Dot pt,List Paragraph111,FooterText,列"/>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15"/>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Heading4Char">
    <w:name w:val="Heading 4 Char"/>
    <w:basedOn w:val="DefaultParagraphFont"/>
    <w:link w:val="Heading4"/>
    <w:rsid w:val="008E34EA"/>
    <w:rPr>
      <w:rFonts w:ascii="Arial Bold" w:hAnsi="Arial Bold"/>
      <w:b/>
    </w:rPr>
  </w:style>
  <w:style w:type="character" w:customStyle="1" w:styleId="Heading5Char">
    <w:name w:val="Heading 5 Char"/>
    <w:basedOn w:val="DefaultParagraphFont"/>
    <w:link w:val="Heading5"/>
    <w:rsid w:val="008E34EA"/>
    <w:rPr>
      <w:rFonts w:ascii="Arial" w:hAnsi="Arial"/>
      <w:bCs/>
      <w:iCs/>
      <w:szCs w:val="26"/>
    </w:rPr>
  </w:style>
  <w:style w:type="character" w:customStyle="1" w:styleId="ListParagraphChar">
    <w:name w:val="List Paragraph Char"/>
    <w:aliases w:val="Recommendation Char,List Paragraph1 Char,Bulleted Para Char,NFP GP Bulleted List Char,bullet point list Char,List Paragraph11 Char,L Char,Bullet points Char,Content descriptions Char,Bullet Point Char,DDM Gen Text Char,CV text Char"/>
    <w:link w:val="ListParagraph"/>
    <w:uiPriority w:val="34"/>
    <w:qFormat/>
    <w:locked/>
    <w:rsid w:val="009F3C73"/>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460810"/>
    <w:rPr>
      <w:color w:val="605E5C"/>
      <w:shd w:val="clear" w:color="auto" w:fill="E1DFDD"/>
    </w:rPr>
  </w:style>
  <w:style w:type="paragraph" w:customStyle="1" w:styleId="Default">
    <w:name w:val="Default"/>
    <w:rsid w:val="00B30019"/>
    <w:pPr>
      <w:autoSpaceDE w:val="0"/>
      <w:autoSpaceDN w:val="0"/>
      <w:adjustRightInd w:val="0"/>
    </w:pPr>
    <w:rPr>
      <w:rFonts w:ascii="Arial" w:hAnsi="Arial" w:cs="Arial"/>
      <w:color w:val="000000"/>
      <w:sz w:val="24"/>
      <w:szCs w:val="24"/>
    </w:rPr>
  </w:style>
  <w:style w:type="paragraph" w:customStyle="1" w:styleId="paragraph">
    <w:name w:val="paragraph"/>
    <w:basedOn w:val="Normal"/>
    <w:rsid w:val="00DC2BDA"/>
    <w:pPr>
      <w:spacing w:after="0" w:line="240" w:lineRule="auto"/>
      <w:jc w:val="left"/>
    </w:pPr>
    <w:rPr>
      <w:rFonts w:ascii="Times New Roman" w:hAnsi="Times New Roman"/>
      <w:sz w:val="24"/>
      <w:szCs w:val="24"/>
      <w:lang w:eastAsia="en-US"/>
    </w:rPr>
  </w:style>
  <w:style w:type="character" w:customStyle="1" w:styleId="eop">
    <w:name w:val="eop"/>
    <w:basedOn w:val="DefaultParagraphFont"/>
    <w:rsid w:val="00DC2BDA"/>
  </w:style>
  <w:style w:type="character" w:customStyle="1" w:styleId="normaltextrun">
    <w:name w:val="normaltextrun"/>
    <w:basedOn w:val="DefaultParagraphFont"/>
    <w:rsid w:val="00DC2BDA"/>
  </w:style>
  <w:style w:type="paragraph" w:customStyle="1" w:styleId="TableParagraph">
    <w:name w:val="Table Paragraph"/>
    <w:basedOn w:val="Normal"/>
    <w:uiPriority w:val="1"/>
    <w:qFormat/>
    <w:rsid w:val="00C44B2A"/>
    <w:pPr>
      <w:widowControl w:val="0"/>
      <w:autoSpaceDE w:val="0"/>
      <w:autoSpaceDN w:val="0"/>
      <w:spacing w:after="0" w:line="240" w:lineRule="auto"/>
      <w:jc w:val="left"/>
    </w:pPr>
    <w:rPr>
      <w:rFonts w:ascii="Arial" w:eastAsia="Arial" w:hAnsi="Arial" w:cs="Arial"/>
      <w:sz w:val="22"/>
      <w:szCs w:val="22"/>
      <w:lang w:val="en-US" w:eastAsia="en-US"/>
    </w:rPr>
  </w:style>
  <w:style w:type="character" w:customStyle="1" w:styleId="normaltextrun1">
    <w:name w:val="normaltextrun1"/>
    <w:basedOn w:val="DefaultParagraphFont"/>
    <w:rsid w:val="000814C9"/>
  </w:style>
  <w:style w:type="paragraph" w:styleId="NormalWeb">
    <w:name w:val="Normal (Web)"/>
    <w:basedOn w:val="Normal"/>
    <w:uiPriority w:val="99"/>
    <w:semiHidden/>
    <w:unhideWhenUsed/>
    <w:rsid w:val="00D60EF7"/>
    <w:pPr>
      <w:spacing w:before="100" w:beforeAutospacing="1" w:after="100" w:afterAutospacing="1" w:line="240" w:lineRule="auto"/>
      <w:jc w:val="left"/>
    </w:pPr>
    <w:rPr>
      <w:rFonts w:ascii="Times New Roman" w:hAnsi="Times New Roman"/>
      <w:sz w:val="24"/>
      <w:szCs w:val="24"/>
      <w:lang w:val="en-US" w:eastAsia="en-US"/>
    </w:rPr>
  </w:style>
  <w:style w:type="paragraph" w:customStyle="1" w:styleId="Body">
    <w:name w:val="Body"/>
    <w:uiPriority w:val="99"/>
    <w:rsid w:val="00D60EF7"/>
    <w:pPr>
      <w:spacing w:after="120" w:line="264" w:lineRule="auto"/>
      <w:jc w:val="both"/>
    </w:pPr>
    <w:rPr>
      <w:rFonts w:ascii="Calibri" w:eastAsia="Calibri" w:hAnsi="Calibri" w:cs="Calibri"/>
      <w:color w:val="000000"/>
      <w:u w:color="000000"/>
    </w:rPr>
  </w:style>
  <w:style w:type="table" w:customStyle="1" w:styleId="TableGrid1">
    <w:name w:val="Table Grid1"/>
    <w:basedOn w:val="TableNormal"/>
    <w:uiPriority w:val="39"/>
    <w:rsid w:val="005B5FE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bullets">
    <w:name w:val="&gt;table body bullets"/>
    <w:basedOn w:val="Normal"/>
    <w:link w:val="tablebodybulletsChar"/>
    <w:autoRedefine/>
    <w:rsid w:val="00F62425"/>
    <w:pPr>
      <w:numPr>
        <w:ilvl w:val="1"/>
        <w:numId w:val="52"/>
      </w:numPr>
      <w:spacing w:after="40" w:line="240" w:lineRule="auto"/>
      <w:jc w:val="left"/>
    </w:pPr>
    <w:rPr>
      <w:rFonts w:ascii="Segoe UI" w:eastAsia="Calibri Light" w:hAnsi="Segoe UI"/>
      <w:noProof/>
      <w:color w:val="70AD47" w:themeColor="accent6"/>
      <w:sz w:val="16"/>
      <w:szCs w:val="22"/>
      <w:lang w:val="en-GB"/>
    </w:rPr>
  </w:style>
  <w:style w:type="character" w:customStyle="1" w:styleId="tablebodybulletsChar">
    <w:name w:val="&gt;table body bullets Char"/>
    <w:basedOn w:val="DefaultParagraphFont"/>
    <w:link w:val="tablebodybullets"/>
    <w:locked/>
    <w:rsid w:val="004F73F3"/>
    <w:rPr>
      <w:rFonts w:ascii="Segoe UI" w:eastAsia="Calibri Light" w:hAnsi="Segoe UI"/>
      <w:noProof/>
      <w:color w:val="70AD47" w:themeColor="accent6"/>
      <w:sz w:val="16"/>
      <w:szCs w:val="22"/>
      <w:lang w:val="en-GB"/>
    </w:rPr>
  </w:style>
  <w:style w:type="character" w:customStyle="1" w:styleId="tablebodyChar">
    <w:name w:val="&gt;table body Char"/>
    <w:basedOn w:val="DefaultParagraphFont"/>
    <w:link w:val="tablebody"/>
    <w:locked/>
    <w:rsid w:val="00B13407"/>
    <w:rPr>
      <w:rFonts w:ascii="Segoe UI" w:hAnsi="Segoe UI" w:cs="Segoe UI"/>
      <w:noProof/>
      <w:color w:val="70AD47" w:themeColor="accent6"/>
      <w:sz w:val="16"/>
      <w:lang w:val="en-GB"/>
    </w:rPr>
  </w:style>
  <w:style w:type="paragraph" w:customStyle="1" w:styleId="tablebody">
    <w:name w:val="&gt;table body"/>
    <w:basedOn w:val="Normal"/>
    <w:link w:val="tablebodyChar"/>
    <w:qFormat/>
    <w:rsid w:val="00B13407"/>
    <w:pPr>
      <w:spacing w:after="40" w:line="240" w:lineRule="exact"/>
      <w:jc w:val="left"/>
    </w:pPr>
    <w:rPr>
      <w:rFonts w:ascii="Segoe UI" w:hAnsi="Segoe UI" w:cs="Segoe UI"/>
      <w:noProof/>
      <w:color w:val="70AD47" w:themeColor="accent6"/>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90152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4063486">
      <w:bodyDiv w:val="1"/>
      <w:marLeft w:val="0"/>
      <w:marRight w:val="0"/>
      <w:marTop w:val="0"/>
      <w:marBottom w:val="0"/>
      <w:divBdr>
        <w:top w:val="none" w:sz="0" w:space="0" w:color="auto"/>
        <w:left w:val="none" w:sz="0" w:space="0" w:color="auto"/>
        <w:bottom w:val="none" w:sz="0" w:space="0" w:color="auto"/>
        <w:right w:val="none" w:sz="0" w:space="0" w:color="auto"/>
      </w:divBdr>
    </w:div>
    <w:div w:id="43163158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9951663">
      <w:bodyDiv w:val="1"/>
      <w:marLeft w:val="0"/>
      <w:marRight w:val="0"/>
      <w:marTop w:val="0"/>
      <w:marBottom w:val="0"/>
      <w:divBdr>
        <w:top w:val="none" w:sz="0" w:space="0" w:color="auto"/>
        <w:left w:val="none" w:sz="0" w:space="0" w:color="auto"/>
        <w:bottom w:val="none" w:sz="0" w:space="0" w:color="auto"/>
        <w:right w:val="none" w:sz="0" w:space="0" w:color="auto"/>
      </w:divBdr>
    </w:div>
    <w:div w:id="533495595">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973565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7760179">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6921496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491100">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0467100">
      <w:bodyDiv w:val="1"/>
      <w:marLeft w:val="0"/>
      <w:marRight w:val="0"/>
      <w:marTop w:val="0"/>
      <w:marBottom w:val="0"/>
      <w:divBdr>
        <w:top w:val="none" w:sz="0" w:space="0" w:color="auto"/>
        <w:left w:val="none" w:sz="0" w:space="0" w:color="auto"/>
        <w:bottom w:val="none" w:sz="0" w:space="0" w:color="auto"/>
        <w:right w:val="none" w:sz="0" w:space="0" w:color="auto"/>
      </w:divBdr>
    </w:div>
    <w:div w:id="752362636">
      <w:bodyDiv w:val="1"/>
      <w:marLeft w:val="0"/>
      <w:marRight w:val="0"/>
      <w:marTop w:val="0"/>
      <w:marBottom w:val="0"/>
      <w:divBdr>
        <w:top w:val="none" w:sz="0" w:space="0" w:color="auto"/>
        <w:left w:val="none" w:sz="0" w:space="0" w:color="auto"/>
        <w:bottom w:val="none" w:sz="0" w:space="0" w:color="auto"/>
        <w:right w:val="none" w:sz="0" w:space="0" w:color="auto"/>
      </w:divBdr>
    </w:div>
    <w:div w:id="774246943">
      <w:bodyDiv w:val="1"/>
      <w:marLeft w:val="0"/>
      <w:marRight w:val="0"/>
      <w:marTop w:val="0"/>
      <w:marBottom w:val="0"/>
      <w:divBdr>
        <w:top w:val="none" w:sz="0" w:space="0" w:color="auto"/>
        <w:left w:val="none" w:sz="0" w:space="0" w:color="auto"/>
        <w:bottom w:val="none" w:sz="0" w:space="0" w:color="auto"/>
        <w:right w:val="none" w:sz="0" w:space="0" w:color="auto"/>
      </w:divBdr>
    </w:div>
    <w:div w:id="775904951">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7716434">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3340924">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61171856">
      <w:bodyDiv w:val="1"/>
      <w:marLeft w:val="0"/>
      <w:marRight w:val="0"/>
      <w:marTop w:val="0"/>
      <w:marBottom w:val="0"/>
      <w:divBdr>
        <w:top w:val="none" w:sz="0" w:space="0" w:color="auto"/>
        <w:left w:val="none" w:sz="0" w:space="0" w:color="auto"/>
        <w:bottom w:val="none" w:sz="0" w:space="0" w:color="auto"/>
        <w:right w:val="none" w:sz="0" w:space="0" w:color="auto"/>
      </w:divBdr>
    </w:div>
    <w:div w:id="108268448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8954453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656433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27691782">
      <w:bodyDiv w:val="1"/>
      <w:marLeft w:val="0"/>
      <w:marRight w:val="0"/>
      <w:marTop w:val="0"/>
      <w:marBottom w:val="0"/>
      <w:divBdr>
        <w:top w:val="none" w:sz="0" w:space="0" w:color="auto"/>
        <w:left w:val="none" w:sz="0" w:space="0" w:color="auto"/>
        <w:bottom w:val="none" w:sz="0" w:space="0" w:color="auto"/>
        <w:right w:val="none" w:sz="0" w:space="0" w:color="auto"/>
      </w:divBdr>
    </w:div>
    <w:div w:id="1244678117">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1980789">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8265592">
      <w:bodyDiv w:val="1"/>
      <w:marLeft w:val="0"/>
      <w:marRight w:val="0"/>
      <w:marTop w:val="0"/>
      <w:marBottom w:val="0"/>
      <w:divBdr>
        <w:top w:val="none" w:sz="0" w:space="0" w:color="auto"/>
        <w:left w:val="none" w:sz="0" w:space="0" w:color="auto"/>
        <w:bottom w:val="none" w:sz="0" w:space="0" w:color="auto"/>
        <w:right w:val="none" w:sz="0" w:space="0" w:color="auto"/>
      </w:divBdr>
    </w:div>
    <w:div w:id="146381336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3447209">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3586070">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798224">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6904652">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008813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445136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6190166">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4802071">
      <w:bodyDiv w:val="1"/>
      <w:marLeft w:val="0"/>
      <w:marRight w:val="0"/>
      <w:marTop w:val="0"/>
      <w:marBottom w:val="0"/>
      <w:divBdr>
        <w:top w:val="none" w:sz="0" w:space="0" w:color="auto"/>
        <w:left w:val="none" w:sz="0" w:space="0" w:color="auto"/>
        <w:bottom w:val="none" w:sz="0" w:space="0" w:color="auto"/>
        <w:right w:val="none" w:sz="0" w:space="0" w:color="auto"/>
      </w:divBdr>
    </w:div>
    <w:div w:id="18990546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1514341">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58561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17" Type="http://schemas.openxmlformats.org/officeDocument/2006/relationships/header" Target="header29.xml"/><Relationship Id="rId21" Type="http://schemas.openxmlformats.org/officeDocument/2006/relationships/footer" Target="footer3.xml"/><Relationship Id="rId42" Type="http://schemas.openxmlformats.org/officeDocument/2006/relationships/footer" Target="footer11.xml"/><Relationship Id="rId63" Type="http://schemas.openxmlformats.org/officeDocument/2006/relationships/image" Target="media/image15.emf"/><Relationship Id="rId84" Type="http://schemas.openxmlformats.org/officeDocument/2006/relationships/image" Target="media/image31.emf"/><Relationship Id="rId138" Type="http://schemas.openxmlformats.org/officeDocument/2006/relationships/image" Target="media/image53.emf"/><Relationship Id="rId159" Type="http://schemas.openxmlformats.org/officeDocument/2006/relationships/footer" Target="footer34.xml"/><Relationship Id="rId170" Type="http://schemas.openxmlformats.org/officeDocument/2006/relationships/image" Target="media/image69.emf"/><Relationship Id="rId191" Type="http://schemas.openxmlformats.org/officeDocument/2006/relationships/image" Target="media/image76.emf"/><Relationship Id="rId205" Type="http://schemas.openxmlformats.org/officeDocument/2006/relationships/header" Target="header55.xml"/><Relationship Id="rId16" Type="http://schemas.openxmlformats.org/officeDocument/2006/relationships/footer" Target="footer2.xml"/><Relationship Id="rId107" Type="http://schemas.openxmlformats.org/officeDocument/2006/relationships/image" Target="media/image40.emf"/><Relationship Id="rId11" Type="http://schemas.openxmlformats.org/officeDocument/2006/relationships/hyperlink" Target="http://creativecommons.org/licenses/by/3.0/au/deed.en" TargetMode="External"/><Relationship Id="rId32" Type="http://schemas.openxmlformats.org/officeDocument/2006/relationships/footer" Target="footer7.xml"/><Relationship Id="rId37" Type="http://schemas.openxmlformats.org/officeDocument/2006/relationships/header" Target="header11.xml"/><Relationship Id="rId53" Type="http://schemas.openxmlformats.org/officeDocument/2006/relationships/hyperlink" Target="https://www.dfat.gov.au/about-us/publications/corporate/dfat-corporate-plan" TargetMode="External"/><Relationship Id="rId58" Type="http://schemas.openxmlformats.org/officeDocument/2006/relationships/header" Target="header18.xml"/><Relationship Id="rId74" Type="http://schemas.openxmlformats.org/officeDocument/2006/relationships/image" Target="media/image25.emf"/><Relationship Id="rId79" Type="http://schemas.openxmlformats.org/officeDocument/2006/relationships/header" Target="header19.xml"/><Relationship Id="rId102" Type="http://schemas.openxmlformats.org/officeDocument/2006/relationships/header" Target="header26.xml"/><Relationship Id="rId123" Type="http://schemas.openxmlformats.org/officeDocument/2006/relationships/header" Target="header31.xml"/><Relationship Id="rId128" Type="http://schemas.openxmlformats.org/officeDocument/2006/relationships/footer" Target="footer27.xml"/><Relationship Id="rId144" Type="http://schemas.openxmlformats.org/officeDocument/2006/relationships/image" Target="media/image59.emf"/><Relationship Id="rId149" Type="http://schemas.openxmlformats.org/officeDocument/2006/relationships/footer" Target="footer31.xml"/><Relationship Id="rId5" Type="http://schemas.openxmlformats.org/officeDocument/2006/relationships/settings" Target="settings.xml"/><Relationship Id="rId90" Type="http://schemas.openxmlformats.org/officeDocument/2006/relationships/header" Target="header23.xml"/><Relationship Id="rId95" Type="http://schemas.openxmlformats.org/officeDocument/2006/relationships/footer" Target="footer21.xml"/><Relationship Id="rId160" Type="http://schemas.openxmlformats.org/officeDocument/2006/relationships/footer" Target="footer35.xml"/><Relationship Id="rId165" Type="http://schemas.openxmlformats.org/officeDocument/2006/relationships/header" Target="header45.xml"/><Relationship Id="rId181" Type="http://schemas.openxmlformats.org/officeDocument/2006/relationships/footer" Target="footer42.xml"/><Relationship Id="rId186" Type="http://schemas.openxmlformats.org/officeDocument/2006/relationships/header" Target="header49.xml"/><Relationship Id="rId22" Type="http://schemas.openxmlformats.org/officeDocument/2006/relationships/hyperlink" Target="http://www.budget.gov.au" TargetMode="External"/><Relationship Id="rId27" Type="http://schemas.openxmlformats.org/officeDocument/2006/relationships/header" Target="header6.xml"/><Relationship Id="rId43" Type="http://schemas.openxmlformats.org/officeDocument/2006/relationships/header" Target="header15.xml"/><Relationship Id="rId48" Type="http://schemas.openxmlformats.org/officeDocument/2006/relationships/image" Target="media/image7.emf"/><Relationship Id="rId64" Type="http://schemas.openxmlformats.org/officeDocument/2006/relationships/image" Target="media/image16.emf"/><Relationship Id="rId69" Type="http://schemas.openxmlformats.org/officeDocument/2006/relationships/image" Target="media/image21.emf"/><Relationship Id="rId113" Type="http://schemas.openxmlformats.org/officeDocument/2006/relationships/image" Target="media/image46.emf"/><Relationship Id="rId118" Type="http://schemas.openxmlformats.org/officeDocument/2006/relationships/footer" Target="footer24.xml"/><Relationship Id="rId134" Type="http://schemas.openxmlformats.org/officeDocument/2006/relationships/header" Target="header34.xml"/><Relationship Id="rId139" Type="http://schemas.openxmlformats.org/officeDocument/2006/relationships/image" Target="media/image54.emf"/><Relationship Id="rId80" Type="http://schemas.openxmlformats.org/officeDocument/2006/relationships/header" Target="header20.xml"/><Relationship Id="rId85" Type="http://schemas.openxmlformats.org/officeDocument/2006/relationships/image" Target="media/image32.emf"/><Relationship Id="rId150" Type="http://schemas.openxmlformats.org/officeDocument/2006/relationships/header" Target="header39.xml"/><Relationship Id="rId155" Type="http://schemas.openxmlformats.org/officeDocument/2006/relationships/header" Target="header41.xml"/><Relationship Id="rId171" Type="http://schemas.openxmlformats.org/officeDocument/2006/relationships/image" Target="media/image70.emf"/><Relationship Id="rId176" Type="http://schemas.openxmlformats.org/officeDocument/2006/relationships/footer" Target="footer38.xml"/><Relationship Id="rId192" Type="http://schemas.openxmlformats.org/officeDocument/2006/relationships/image" Target="media/image77.emf"/><Relationship Id="rId197" Type="http://schemas.openxmlformats.org/officeDocument/2006/relationships/image" Target="media/image82.emf"/><Relationship Id="rId206" Type="http://schemas.openxmlformats.org/officeDocument/2006/relationships/header" Target="header56.xml"/><Relationship Id="rId201" Type="http://schemas.openxmlformats.org/officeDocument/2006/relationships/footer" Target="footer44.xml"/><Relationship Id="rId12" Type="http://schemas.openxmlformats.org/officeDocument/2006/relationships/hyperlink" Target="http://creativecommons.org/licenses/by/3.0/au/legalcode" TargetMode="External"/><Relationship Id="rId17" Type="http://schemas.openxmlformats.org/officeDocument/2006/relationships/header" Target="header2.xml"/><Relationship Id="rId33" Type="http://schemas.openxmlformats.org/officeDocument/2006/relationships/header" Target="header9.xml"/><Relationship Id="rId38" Type="http://schemas.openxmlformats.org/officeDocument/2006/relationships/header" Target="header12.xml"/><Relationship Id="rId59" Type="http://schemas.openxmlformats.org/officeDocument/2006/relationships/footer" Target="footer16.xml"/><Relationship Id="rId103" Type="http://schemas.openxmlformats.org/officeDocument/2006/relationships/header" Target="header27.xml"/><Relationship Id="rId108" Type="http://schemas.openxmlformats.org/officeDocument/2006/relationships/image" Target="media/image41.emf"/><Relationship Id="rId124" Type="http://schemas.openxmlformats.org/officeDocument/2006/relationships/header" Target="header32.xml"/><Relationship Id="rId129" Type="http://schemas.openxmlformats.org/officeDocument/2006/relationships/footer" Target="footer28.xml"/><Relationship Id="rId54" Type="http://schemas.openxmlformats.org/officeDocument/2006/relationships/hyperlink" Target="https://www.dfat.gov.au/sites/default/files/dfat-annual-report-2020-21.pdf" TargetMode="External"/><Relationship Id="rId70" Type="http://schemas.openxmlformats.org/officeDocument/2006/relationships/hyperlink" Target="https://aus01.safelinks.protection.outlook.com/?url=https%3A%2F%2Fwww.smartraveller.gov.au%2Fconsular-services%2Fconsular-services-charter&amp;data=04%7C01%7CClaire.McGeechan%40dfat.gov.au%7C1abe96019b1b45761f2808d9f1bea76e%7C9b7f23b30e8347a58a40ffa8a6fea536%7C0%7C0%7C637806623420262737%7CUnknown%7CTWFpbGZsb3d8eyJWIjoiMC4wLjAwMDAiLCJQIjoiV2luMzIiLCJBTiI6Ik1haWwiLCJXVCI6Mn0%3D%7C3000&amp;sdata=V%2BCQQ4TdDQSPqIIzNQ%2BVOyP84WErYAbN6W9vH7%2BC8HQ%3D&amp;reserved=0" TargetMode="External"/><Relationship Id="rId75" Type="http://schemas.openxmlformats.org/officeDocument/2006/relationships/image" Target="media/image26.emf"/><Relationship Id="rId91" Type="http://schemas.openxmlformats.org/officeDocument/2006/relationships/footer" Target="footer18.xml"/><Relationship Id="rId96" Type="http://schemas.openxmlformats.org/officeDocument/2006/relationships/footer" Target="footer22.xml"/><Relationship Id="rId140" Type="http://schemas.openxmlformats.org/officeDocument/2006/relationships/image" Target="media/image55.emf"/><Relationship Id="rId145" Type="http://schemas.openxmlformats.org/officeDocument/2006/relationships/image" Target="media/image60.emf"/><Relationship Id="rId161" Type="http://schemas.openxmlformats.org/officeDocument/2006/relationships/footer" Target="footer36.xml"/><Relationship Id="rId166" Type="http://schemas.openxmlformats.org/officeDocument/2006/relationships/footer" Target="footer37.xml"/><Relationship Id="rId182" Type="http://schemas.openxmlformats.org/officeDocument/2006/relationships/image" Target="media/image73.emf"/><Relationship Id="rId187"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footer" Target="footer5.xml"/><Relationship Id="rId49" Type="http://schemas.openxmlformats.org/officeDocument/2006/relationships/image" Target="media/image8.emf"/><Relationship Id="rId114" Type="http://schemas.openxmlformats.org/officeDocument/2006/relationships/image" Target="media/image47.emf"/><Relationship Id="rId119" Type="http://schemas.openxmlformats.org/officeDocument/2006/relationships/header" Target="header30.xml"/><Relationship Id="rId44" Type="http://schemas.openxmlformats.org/officeDocument/2006/relationships/footer" Target="footer12.xml"/><Relationship Id="rId60" Type="http://schemas.openxmlformats.org/officeDocument/2006/relationships/image" Target="media/image12.emf"/><Relationship Id="rId65" Type="http://schemas.openxmlformats.org/officeDocument/2006/relationships/image" Target="media/image17.emf"/><Relationship Id="rId81" Type="http://schemas.openxmlformats.org/officeDocument/2006/relationships/footer" Target="footer17.xml"/><Relationship Id="rId86" Type="http://schemas.openxmlformats.org/officeDocument/2006/relationships/image" Target="media/image33.emf"/><Relationship Id="rId130" Type="http://schemas.openxmlformats.org/officeDocument/2006/relationships/footer" Target="footer29.xml"/><Relationship Id="rId135" Type="http://schemas.openxmlformats.org/officeDocument/2006/relationships/header" Target="header35.xml"/><Relationship Id="rId151" Type="http://schemas.openxmlformats.org/officeDocument/2006/relationships/image" Target="media/image62.emf"/><Relationship Id="rId156" Type="http://schemas.openxmlformats.org/officeDocument/2006/relationships/footer" Target="footer32.xml"/><Relationship Id="rId177" Type="http://schemas.openxmlformats.org/officeDocument/2006/relationships/footer" Target="footer39.xml"/><Relationship Id="rId198" Type="http://schemas.openxmlformats.org/officeDocument/2006/relationships/image" Target="media/image83.emf"/><Relationship Id="rId172" Type="http://schemas.openxmlformats.org/officeDocument/2006/relationships/image" Target="media/image71.emf"/><Relationship Id="rId193" Type="http://schemas.openxmlformats.org/officeDocument/2006/relationships/image" Target="media/image78.emf"/><Relationship Id="rId202" Type="http://schemas.openxmlformats.org/officeDocument/2006/relationships/footer" Target="footer45.xml"/><Relationship Id="rId207" Type="http://schemas.openxmlformats.org/officeDocument/2006/relationships/header" Target="header57.xml"/><Relationship Id="rId13" Type="http://schemas.openxmlformats.org/officeDocument/2006/relationships/image" Target="media/image2.png"/><Relationship Id="rId18" Type="http://schemas.openxmlformats.org/officeDocument/2006/relationships/image" Target="media/image3.jpeg"/><Relationship Id="rId39" Type="http://schemas.openxmlformats.org/officeDocument/2006/relationships/footer" Target="footer10.xml"/><Relationship Id="rId109" Type="http://schemas.openxmlformats.org/officeDocument/2006/relationships/image" Target="media/image42.emf"/><Relationship Id="rId34" Type="http://schemas.openxmlformats.org/officeDocument/2006/relationships/footer" Target="footer8.xml"/><Relationship Id="rId50" Type="http://schemas.openxmlformats.org/officeDocument/2006/relationships/image" Target="media/image9.emf"/><Relationship Id="rId55" Type="http://schemas.openxmlformats.org/officeDocument/2006/relationships/hyperlink" Target="https://www.transparency.gov.au/annual-reports/department-foreign-affairs-and-trade/reporting-year/2020-21" TargetMode="External"/><Relationship Id="rId76" Type="http://schemas.openxmlformats.org/officeDocument/2006/relationships/image" Target="media/image27.emf"/><Relationship Id="rId97" Type="http://schemas.openxmlformats.org/officeDocument/2006/relationships/image" Target="media/image36.emf"/><Relationship Id="rId104" Type="http://schemas.openxmlformats.org/officeDocument/2006/relationships/footer" Target="footer23.xml"/><Relationship Id="rId120" Type="http://schemas.openxmlformats.org/officeDocument/2006/relationships/image" Target="media/image49.emf"/><Relationship Id="rId125" Type="http://schemas.openxmlformats.org/officeDocument/2006/relationships/footer" Target="footer25.xml"/><Relationship Id="rId141" Type="http://schemas.openxmlformats.org/officeDocument/2006/relationships/image" Target="media/image56.emf"/><Relationship Id="rId146" Type="http://schemas.openxmlformats.org/officeDocument/2006/relationships/image" Target="media/image61.emf"/><Relationship Id="rId167" Type="http://schemas.openxmlformats.org/officeDocument/2006/relationships/image" Target="media/image66.emf"/><Relationship Id="rId188" Type="http://schemas.openxmlformats.org/officeDocument/2006/relationships/header" Target="header51.xml"/><Relationship Id="rId7" Type="http://schemas.openxmlformats.org/officeDocument/2006/relationships/footnotes" Target="footnotes.xml"/><Relationship Id="rId71" Type="http://schemas.openxmlformats.org/officeDocument/2006/relationships/image" Target="media/image22.emf"/><Relationship Id="rId92" Type="http://schemas.openxmlformats.org/officeDocument/2006/relationships/footer" Target="footer19.xml"/><Relationship Id="rId162" Type="http://schemas.openxmlformats.org/officeDocument/2006/relationships/image" Target="media/image65.emf"/><Relationship Id="rId183" Type="http://schemas.openxmlformats.org/officeDocument/2006/relationships/image" Target="media/image74.emf"/><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header" Target="header4.xml"/><Relationship Id="rId40" Type="http://schemas.openxmlformats.org/officeDocument/2006/relationships/header" Target="header13.xml"/><Relationship Id="rId45" Type="http://schemas.openxmlformats.org/officeDocument/2006/relationships/footer" Target="footer13.xml"/><Relationship Id="rId66" Type="http://schemas.openxmlformats.org/officeDocument/2006/relationships/image" Target="media/image18.emf"/><Relationship Id="rId87" Type="http://schemas.openxmlformats.org/officeDocument/2006/relationships/image" Target="media/image34.emf"/><Relationship Id="rId110" Type="http://schemas.openxmlformats.org/officeDocument/2006/relationships/image" Target="media/image43.emf"/><Relationship Id="rId115" Type="http://schemas.openxmlformats.org/officeDocument/2006/relationships/image" Target="media/image48.emf"/><Relationship Id="rId131" Type="http://schemas.openxmlformats.org/officeDocument/2006/relationships/image" Target="media/image52.emf"/><Relationship Id="rId136" Type="http://schemas.openxmlformats.org/officeDocument/2006/relationships/header" Target="header36.xml"/><Relationship Id="rId157" Type="http://schemas.openxmlformats.org/officeDocument/2006/relationships/footer" Target="footer33.xml"/><Relationship Id="rId178" Type="http://schemas.openxmlformats.org/officeDocument/2006/relationships/header" Target="header48.xml"/><Relationship Id="rId61" Type="http://schemas.openxmlformats.org/officeDocument/2006/relationships/image" Target="media/image13.emf"/><Relationship Id="rId82" Type="http://schemas.openxmlformats.org/officeDocument/2006/relationships/header" Target="header21.xml"/><Relationship Id="rId152" Type="http://schemas.openxmlformats.org/officeDocument/2006/relationships/image" Target="media/image63.emf"/><Relationship Id="rId173" Type="http://schemas.openxmlformats.org/officeDocument/2006/relationships/image" Target="media/image72.emf"/><Relationship Id="rId194" Type="http://schemas.openxmlformats.org/officeDocument/2006/relationships/image" Target="media/image79.emf"/><Relationship Id="rId199" Type="http://schemas.openxmlformats.org/officeDocument/2006/relationships/header" Target="header52.xml"/><Relationship Id="rId203" Type="http://schemas.openxmlformats.org/officeDocument/2006/relationships/header" Target="header54.xml"/><Relationship Id="rId208" Type="http://schemas.openxmlformats.org/officeDocument/2006/relationships/footer" Target="footer47.xml"/><Relationship Id="rId19" Type="http://schemas.openxmlformats.org/officeDocument/2006/relationships/image" Target="media/image4.png"/><Relationship Id="rId14" Type="http://schemas.openxmlformats.org/officeDocument/2006/relationships/hyperlink" Target="http://creativecommons.org/licenses/by/3.0/au/deed.en" TargetMode="External"/><Relationship Id="rId30" Type="http://schemas.openxmlformats.org/officeDocument/2006/relationships/header" Target="header8.xml"/><Relationship Id="rId35" Type="http://schemas.openxmlformats.org/officeDocument/2006/relationships/footer" Target="footer9.xml"/><Relationship Id="rId56" Type="http://schemas.openxmlformats.org/officeDocument/2006/relationships/header" Target="header16.xml"/><Relationship Id="rId77" Type="http://schemas.openxmlformats.org/officeDocument/2006/relationships/image" Target="media/image28.emf"/><Relationship Id="rId100" Type="http://schemas.openxmlformats.org/officeDocument/2006/relationships/hyperlink" Target="https://www.transparency.gov.au/annual-reports/australian-trade-and-investment-commission/reporting-year/2020-21" TargetMode="External"/><Relationship Id="rId105" Type="http://schemas.openxmlformats.org/officeDocument/2006/relationships/image" Target="media/image38.emf"/><Relationship Id="rId126" Type="http://schemas.openxmlformats.org/officeDocument/2006/relationships/footer" Target="footer26.xml"/><Relationship Id="rId147" Type="http://schemas.openxmlformats.org/officeDocument/2006/relationships/header" Target="header37.xml"/><Relationship Id="rId168" Type="http://schemas.openxmlformats.org/officeDocument/2006/relationships/image" Target="media/image67.emf"/><Relationship Id="rId8" Type="http://schemas.openxmlformats.org/officeDocument/2006/relationships/endnotes" Target="endnotes.xml"/><Relationship Id="rId51" Type="http://schemas.openxmlformats.org/officeDocument/2006/relationships/image" Target="media/image10.emf"/><Relationship Id="rId72" Type="http://schemas.openxmlformats.org/officeDocument/2006/relationships/image" Target="media/image23.emf"/><Relationship Id="rId93" Type="http://schemas.openxmlformats.org/officeDocument/2006/relationships/header" Target="header24.xml"/><Relationship Id="rId98" Type="http://schemas.openxmlformats.org/officeDocument/2006/relationships/image" Target="media/image37.emf"/><Relationship Id="rId121" Type="http://schemas.openxmlformats.org/officeDocument/2006/relationships/image" Target="media/image50.emf"/><Relationship Id="rId142" Type="http://schemas.openxmlformats.org/officeDocument/2006/relationships/image" Target="media/image57.emf"/><Relationship Id="rId163" Type="http://schemas.openxmlformats.org/officeDocument/2006/relationships/header" Target="header43.xml"/><Relationship Id="rId184" Type="http://schemas.openxmlformats.org/officeDocument/2006/relationships/hyperlink" Target="https://www.tourism.australia.com/en/about/our-organisation/our-performance-and-reporting.html" TargetMode="External"/><Relationship Id="rId189" Type="http://schemas.openxmlformats.org/officeDocument/2006/relationships/footer" Target="footer43.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footer" Target="footer14.xml"/><Relationship Id="rId67" Type="http://schemas.openxmlformats.org/officeDocument/2006/relationships/image" Target="media/image19.emf"/><Relationship Id="rId116" Type="http://schemas.openxmlformats.org/officeDocument/2006/relationships/header" Target="header28.xml"/><Relationship Id="rId137" Type="http://schemas.openxmlformats.org/officeDocument/2006/relationships/footer" Target="footer30.xml"/><Relationship Id="rId158" Type="http://schemas.openxmlformats.org/officeDocument/2006/relationships/header" Target="header42.xml"/><Relationship Id="rId20" Type="http://schemas.openxmlformats.org/officeDocument/2006/relationships/image" Target="media/image5.png"/><Relationship Id="rId41" Type="http://schemas.openxmlformats.org/officeDocument/2006/relationships/header" Target="header14.xml"/><Relationship Id="rId62" Type="http://schemas.openxmlformats.org/officeDocument/2006/relationships/image" Target="media/image14.emf"/><Relationship Id="rId83" Type="http://schemas.openxmlformats.org/officeDocument/2006/relationships/image" Target="media/image30.emf"/><Relationship Id="rId88" Type="http://schemas.openxmlformats.org/officeDocument/2006/relationships/image" Target="media/image35.emf"/><Relationship Id="rId111" Type="http://schemas.openxmlformats.org/officeDocument/2006/relationships/image" Target="media/image44.emf"/><Relationship Id="rId132" Type="http://schemas.openxmlformats.org/officeDocument/2006/relationships/hyperlink" Target="https://www.aciar.gov.au/publication/corporate-publications/corporate-plan-2021-22" TargetMode="External"/><Relationship Id="rId153" Type="http://schemas.openxmlformats.org/officeDocument/2006/relationships/image" Target="media/image64.emf"/><Relationship Id="rId174" Type="http://schemas.openxmlformats.org/officeDocument/2006/relationships/header" Target="header46.xml"/><Relationship Id="rId179" Type="http://schemas.openxmlformats.org/officeDocument/2006/relationships/footer" Target="footer40.xml"/><Relationship Id="rId195" Type="http://schemas.openxmlformats.org/officeDocument/2006/relationships/image" Target="media/image80.emf"/><Relationship Id="rId209" Type="http://schemas.openxmlformats.org/officeDocument/2006/relationships/fontTable" Target="fontTable.xml"/><Relationship Id="rId190" Type="http://schemas.openxmlformats.org/officeDocument/2006/relationships/image" Target="media/image75.emf"/><Relationship Id="rId204" Type="http://schemas.openxmlformats.org/officeDocument/2006/relationships/footer" Target="footer46.xml"/><Relationship Id="rId15" Type="http://schemas.openxmlformats.org/officeDocument/2006/relationships/hyperlink" Target="http://www.pmc.gov.au/government/commonwealth-coat-arms" TargetMode="External"/><Relationship Id="rId36" Type="http://schemas.openxmlformats.org/officeDocument/2006/relationships/header" Target="header10.xml"/><Relationship Id="rId57" Type="http://schemas.openxmlformats.org/officeDocument/2006/relationships/header" Target="header17.xml"/><Relationship Id="rId106" Type="http://schemas.openxmlformats.org/officeDocument/2006/relationships/image" Target="media/image39.emf"/><Relationship Id="rId127" Type="http://schemas.openxmlformats.org/officeDocument/2006/relationships/header" Target="header33.xml"/><Relationship Id="rId10" Type="http://schemas.openxmlformats.org/officeDocument/2006/relationships/footer" Target="footer1.xml"/><Relationship Id="rId31" Type="http://schemas.openxmlformats.org/officeDocument/2006/relationships/footer" Target="footer6.xml"/><Relationship Id="rId52" Type="http://schemas.openxmlformats.org/officeDocument/2006/relationships/image" Target="media/image11.emf"/><Relationship Id="rId73" Type="http://schemas.openxmlformats.org/officeDocument/2006/relationships/image" Target="media/image24.emf"/><Relationship Id="rId78" Type="http://schemas.openxmlformats.org/officeDocument/2006/relationships/image" Target="media/image29.emf"/><Relationship Id="rId94" Type="http://schemas.openxmlformats.org/officeDocument/2006/relationships/footer" Target="footer20.xml"/><Relationship Id="rId99" Type="http://schemas.openxmlformats.org/officeDocument/2006/relationships/hyperlink" Target="https://www.austrade.gov.au/about/corporate-information/corporate-plan" TargetMode="External"/><Relationship Id="rId101" Type="http://schemas.openxmlformats.org/officeDocument/2006/relationships/header" Target="header25.xml"/><Relationship Id="rId122" Type="http://schemas.openxmlformats.org/officeDocument/2006/relationships/image" Target="media/image51.emf"/><Relationship Id="rId143" Type="http://schemas.openxmlformats.org/officeDocument/2006/relationships/image" Target="media/image58.emf"/><Relationship Id="rId148" Type="http://schemas.openxmlformats.org/officeDocument/2006/relationships/header" Target="header38.xml"/><Relationship Id="rId164" Type="http://schemas.openxmlformats.org/officeDocument/2006/relationships/header" Target="header44.xml"/><Relationship Id="rId169" Type="http://schemas.openxmlformats.org/officeDocument/2006/relationships/image" Target="media/image68.emf"/><Relationship Id="rId185" Type="http://schemas.openxmlformats.org/officeDocument/2006/relationships/hyperlink" Target="https://www.tourism.australia.com/en/about/our-organisation/our-performance-and-reporting.html" TargetMode="Externa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footer" Target="footer41.xml"/><Relationship Id="rId210" Type="http://schemas.openxmlformats.org/officeDocument/2006/relationships/theme" Target="theme/theme1.xml"/><Relationship Id="rId26" Type="http://schemas.openxmlformats.org/officeDocument/2006/relationships/footer" Target="footer4.xml"/><Relationship Id="rId47" Type="http://schemas.openxmlformats.org/officeDocument/2006/relationships/footer" Target="footer15.xml"/><Relationship Id="rId68" Type="http://schemas.openxmlformats.org/officeDocument/2006/relationships/image" Target="media/image20.emf"/><Relationship Id="rId89" Type="http://schemas.openxmlformats.org/officeDocument/2006/relationships/header" Target="header22.xml"/><Relationship Id="rId112" Type="http://schemas.openxmlformats.org/officeDocument/2006/relationships/image" Target="media/image45.emf"/><Relationship Id="rId133" Type="http://schemas.openxmlformats.org/officeDocument/2006/relationships/hyperlink" Target="https://www.aciar.gov.au/publication/corporate-publications/annual-report-2020-21" TargetMode="External"/><Relationship Id="rId154" Type="http://schemas.openxmlformats.org/officeDocument/2006/relationships/header" Target="header40.xml"/><Relationship Id="rId175" Type="http://schemas.openxmlformats.org/officeDocument/2006/relationships/header" Target="header47.xml"/><Relationship Id="rId196" Type="http://schemas.openxmlformats.org/officeDocument/2006/relationships/image" Target="media/image81.emf"/><Relationship Id="rId200" Type="http://schemas.openxmlformats.org/officeDocument/2006/relationships/header" Target="header5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6.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_rels/header16.xml.rels><?xml version="1.0" encoding="UTF-8" standalone="yes"?>
<Relationships xmlns="http://schemas.openxmlformats.org/package/2006/relationships"><Relationship Id="rId1" Type="http://schemas.openxmlformats.org/officeDocument/2006/relationships/image" Target="media/image6.png"/></Relationships>
</file>

<file path=word/_rels/header17.xml.rels><?xml version="1.0" encoding="UTF-8" standalone="yes"?>
<Relationships xmlns="http://schemas.openxmlformats.org/package/2006/relationships"><Relationship Id="rId1" Type="http://schemas.openxmlformats.org/officeDocument/2006/relationships/image" Target="media/image6.png"/></Relationships>
</file>

<file path=word/_rels/header19.xml.rels><?xml version="1.0" encoding="UTF-8" standalone="yes"?>
<Relationships xmlns="http://schemas.openxmlformats.org/package/2006/relationships"><Relationship Id="rId1" Type="http://schemas.openxmlformats.org/officeDocument/2006/relationships/image" Target="media/image6.png"/></Relationships>
</file>

<file path=word/_rels/header20.xml.rels><?xml version="1.0" encoding="UTF-8" standalone="yes"?>
<Relationships xmlns="http://schemas.openxmlformats.org/package/2006/relationships"><Relationship Id="rId1" Type="http://schemas.openxmlformats.org/officeDocument/2006/relationships/image" Target="media/image6.png"/></Relationships>
</file>

<file path=word/_rels/header21.xml.rels><?xml version="1.0" encoding="UTF-8" standalone="yes"?>
<Relationships xmlns="http://schemas.openxmlformats.org/package/2006/relationships"><Relationship Id="rId1" Type="http://schemas.openxmlformats.org/officeDocument/2006/relationships/image" Target="media/image6.png"/></Relationships>
</file>

<file path=word/_rels/header22.xml.rels><?xml version="1.0" encoding="UTF-8" standalone="yes"?>
<Relationships xmlns="http://schemas.openxmlformats.org/package/2006/relationships"><Relationship Id="rId1" Type="http://schemas.openxmlformats.org/officeDocument/2006/relationships/image" Target="media/image6.png"/></Relationships>
</file>

<file path=word/_rels/header23.xml.rels><?xml version="1.0" encoding="UTF-8" standalone="yes"?>
<Relationships xmlns="http://schemas.openxmlformats.org/package/2006/relationships"><Relationship Id="rId1" Type="http://schemas.openxmlformats.org/officeDocument/2006/relationships/image" Target="media/image6.png"/></Relationships>
</file>

<file path=word/_rels/header25.xml.rels><?xml version="1.0" encoding="UTF-8" standalone="yes"?>
<Relationships xmlns="http://schemas.openxmlformats.org/package/2006/relationships"><Relationship Id="rId1" Type="http://schemas.openxmlformats.org/officeDocument/2006/relationships/image" Target="media/image6.png"/></Relationships>
</file>

<file path=word/_rels/header26.xml.rels><?xml version="1.0" encoding="UTF-8" standalone="yes"?>
<Relationships xmlns="http://schemas.openxmlformats.org/package/2006/relationships"><Relationship Id="rId1" Type="http://schemas.openxmlformats.org/officeDocument/2006/relationships/image" Target="media/image6.png"/></Relationships>
</file>

<file path=word/_rels/header28.xml.rels><?xml version="1.0" encoding="UTF-8" standalone="yes"?>
<Relationships xmlns="http://schemas.openxmlformats.org/package/2006/relationships"><Relationship Id="rId1" Type="http://schemas.openxmlformats.org/officeDocument/2006/relationships/image" Target="media/image6.png"/></Relationships>
</file>

<file path=word/_rels/header29.xml.rels><?xml version="1.0" encoding="UTF-8" standalone="yes"?>
<Relationships xmlns="http://schemas.openxmlformats.org/package/2006/relationships"><Relationship Id="rId1" Type="http://schemas.openxmlformats.org/officeDocument/2006/relationships/image" Target="media/image6.png"/></Relationships>
</file>

<file path=word/_rels/header30.xml.rels><?xml version="1.0" encoding="UTF-8" standalone="yes"?>
<Relationships xmlns="http://schemas.openxmlformats.org/package/2006/relationships"><Relationship Id="rId1" Type="http://schemas.openxmlformats.org/officeDocument/2006/relationships/image" Target="media/image6.png"/></Relationships>
</file>

<file path=word/_rels/header31.xml.rels><?xml version="1.0" encoding="UTF-8" standalone="yes"?>
<Relationships xmlns="http://schemas.openxmlformats.org/package/2006/relationships"><Relationship Id="rId1" Type="http://schemas.openxmlformats.org/officeDocument/2006/relationships/image" Target="media/image6.png"/></Relationships>
</file>

<file path=word/_rels/header32.xml.rels><?xml version="1.0" encoding="UTF-8" standalone="yes"?>
<Relationships xmlns="http://schemas.openxmlformats.org/package/2006/relationships"><Relationship Id="rId1" Type="http://schemas.openxmlformats.org/officeDocument/2006/relationships/image" Target="media/image6.png"/></Relationships>
</file>

<file path=word/_rels/header34.xml.rels><?xml version="1.0" encoding="UTF-8" standalone="yes"?>
<Relationships xmlns="http://schemas.openxmlformats.org/package/2006/relationships"><Relationship Id="rId1" Type="http://schemas.openxmlformats.org/officeDocument/2006/relationships/image" Target="media/image6.png"/></Relationships>
</file>

<file path=word/_rels/header35.xml.rels><?xml version="1.0" encoding="UTF-8" standalone="yes"?>
<Relationships xmlns="http://schemas.openxmlformats.org/package/2006/relationships"><Relationship Id="rId1" Type="http://schemas.openxmlformats.org/officeDocument/2006/relationships/image" Target="media/image6.png"/></Relationships>
</file>

<file path=word/_rels/header37.xml.rels><?xml version="1.0" encoding="UTF-8" standalone="yes"?>
<Relationships xmlns="http://schemas.openxmlformats.org/package/2006/relationships"><Relationship Id="rId1" Type="http://schemas.openxmlformats.org/officeDocument/2006/relationships/image" Target="media/image6.png"/></Relationships>
</file>

<file path=word/_rels/header38.xml.rels><?xml version="1.0" encoding="UTF-8" standalone="yes"?>
<Relationships xmlns="http://schemas.openxmlformats.org/package/2006/relationships"><Relationship Id="rId1" Type="http://schemas.openxmlformats.org/officeDocument/2006/relationships/image" Target="media/image6.png"/></Relationships>
</file>

<file path=word/_rels/header39.xml.rels><?xml version="1.0" encoding="UTF-8" standalone="yes"?>
<Relationships xmlns="http://schemas.openxmlformats.org/package/2006/relationships"><Relationship Id="rId1" Type="http://schemas.openxmlformats.org/officeDocument/2006/relationships/image" Target="media/image6.png"/></Relationships>
</file>

<file path=word/_rels/header40.xml.rels><?xml version="1.0" encoding="UTF-8" standalone="yes"?>
<Relationships xmlns="http://schemas.openxmlformats.org/package/2006/relationships"><Relationship Id="rId1" Type="http://schemas.openxmlformats.org/officeDocument/2006/relationships/image" Target="media/image6.png"/></Relationships>
</file>

<file path=word/_rels/header41.xml.rels><?xml version="1.0" encoding="UTF-8" standalone="yes"?>
<Relationships xmlns="http://schemas.openxmlformats.org/package/2006/relationships"><Relationship Id="rId1" Type="http://schemas.openxmlformats.org/officeDocument/2006/relationships/image" Target="media/image6.png"/></Relationships>
</file>

<file path=word/_rels/header43.xml.rels><?xml version="1.0" encoding="UTF-8" standalone="yes"?>
<Relationships xmlns="http://schemas.openxmlformats.org/package/2006/relationships"><Relationship Id="rId1" Type="http://schemas.openxmlformats.org/officeDocument/2006/relationships/image" Target="media/image6.png"/></Relationships>
</file>

<file path=word/_rels/header44.xml.rels><?xml version="1.0" encoding="UTF-8" standalone="yes"?>
<Relationships xmlns="http://schemas.openxmlformats.org/package/2006/relationships"><Relationship Id="rId1" Type="http://schemas.openxmlformats.org/officeDocument/2006/relationships/image" Target="media/image6.png"/></Relationships>
</file>

<file path=word/_rels/header46.xml.rels><?xml version="1.0" encoding="UTF-8" standalone="yes"?>
<Relationships xmlns="http://schemas.openxmlformats.org/package/2006/relationships"><Relationship Id="rId1" Type="http://schemas.openxmlformats.org/officeDocument/2006/relationships/image" Target="media/image6.png"/></Relationships>
</file>

<file path=word/_rels/header47.xml.rels><?xml version="1.0" encoding="UTF-8" standalone="yes"?>
<Relationships xmlns="http://schemas.openxmlformats.org/package/2006/relationships"><Relationship Id="rId1" Type="http://schemas.openxmlformats.org/officeDocument/2006/relationships/image" Target="media/image6.png"/></Relationships>
</file>

<file path=word/_rels/header49.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50.xml.rels><?xml version="1.0" encoding="UTF-8" standalone="yes"?>
<Relationships xmlns="http://schemas.openxmlformats.org/package/2006/relationships"><Relationship Id="rId1" Type="http://schemas.openxmlformats.org/officeDocument/2006/relationships/image" Target="media/image6.png"/></Relationships>
</file>

<file path=word/_rels/header52.xml.rels><?xml version="1.0" encoding="UTF-8" standalone="yes"?>
<Relationships xmlns="http://schemas.openxmlformats.org/package/2006/relationships"><Relationship Id="rId1" Type="http://schemas.openxmlformats.org/officeDocument/2006/relationships/image" Target="media/image6.png"/></Relationships>
</file>

<file path=word/_rels/header53.xml.rels><?xml version="1.0" encoding="UTF-8" standalone="yes"?>
<Relationships xmlns="http://schemas.openxmlformats.org/package/2006/relationships"><Relationship Id="rId1" Type="http://schemas.openxmlformats.org/officeDocument/2006/relationships/image" Target="media/image6.png"/></Relationships>
</file>

<file path=word/_rels/header54.xml.rels><?xml version="1.0" encoding="UTF-8" standalone="yes"?>
<Relationships xmlns="http://schemas.openxmlformats.org/package/2006/relationships"><Relationship Id="rId1" Type="http://schemas.openxmlformats.org/officeDocument/2006/relationships/image" Target="media/image6.png"/></Relationships>
</file>

<file path=word/_rels/header55.xml.rels><?xml version="1.0" encoding="UTF-8" standalone="yes"?>
<Relationships xmlns="http://schemas.openxmlformats.org/package/2006/relationships"><Relationship Id="rId1" Type="http://schemas.openxmlformats.org/officeDocument/2006/relationships/image" Target="media/image6.png"/></Relationships>
</file>

<file path=word/_rels/header5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A56DAF0-47AA-4CC7-ABAF-1C3DCB919590}">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185</Pages>
  <Words>21913</Words>
  <Characters>136123</Characters>
  <Application>Microsoft Office Word</Application>
  <DocSecurity>0</DocSecurity>
  <Lines>3466</Lines>
  <Paragraphs>1594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Affairs and Trade Portfolio Budget Statements 2022-23</dc:title>
  <dc:subject/>
  <dc:creator/>
  <cp:keywords/>
  <dc:description/>
  <cp:lastModifiedBy/>
  <cp:revision>1</cp:revision>
  <dcterms:created xsi:type="dcterms:W3CDTF">2022-03-29T00:22:00Z</dcterms:created>
  <dcterms:modified xsi:type="dcterms:W3CDTF">2022-03-29T00:22:00Z</dcterms:modified>
  <cp:category/>
  <cp:contentStatus/>
</cp:coreProperties>
</file>