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E9EC1" w14:textId="77777777" w:rsidR="00FE6F2A" w:rsidRDefault="00FE6F2A" w:rsidP="00F25A93">
      <w:pPr>
        <w:pStyle w:val="SpacebeforeTitle"/>
      </w:pPr>
    </w:p>
    <w:p w14:paraId="151F9E20" w14:textId="19E7F465" w:rsidR="005C4F20" w:rsidRPr="009A7BE0" w:rsidRDefault="002318E6" w:rsidP="009A7BE0">
      <w:pPr>
        <w:pStyle w:val="Heading1"/>
      </w:pPr>
      <w:r w:rsidRPr="009A7BE0">
        <w:t xml:space="preserve">DFAT management response to the </w:t>
      </w:r>
      <w:r w:rsidR="00434932" w:rsidRPr="009A7BE0">
        <w:t xml:space="preserve">PNGAUs Partnership Secondary Schools INitiative </w:t>
      </w:r>
      <w:r w:rsidRPr="009A7BE0">
        <w:t>review</w:t>
      </w:r>
    </w:p>
    <w:p w14:paraId="73DF06C9" w14:textId="77777777" w:rsidR="00763C34" w:rsidRDefault="00763C34" w:rsidP="00763C34">
      <w:pPr>
        <w:pStyle w:val="StyleguidetextHDMES"/>
        <w:spacing w:line="276" w:lineRule="auto"/>
      </w:pPr>
      <w:r>
        <w:t xml:space="preserve">In April 2021, DFAT commissioned a review of the progress made to date by the PNGAus Partnership Secondary Schools (PASS) initiative, implemented by Australia Awards Papua New Guinea (AAPNG) from 2019 to 2021. The review also looked at adjustments for a second two-year phase and possible future Australian investments to support improvements in secondary education in PNG. </w:t>
      </w:r>
    </w:p>
    <w:p w14:paraId="3AC468C0" w14:textId="392C7C6C" w:rsidR="00A60A93" w:rsidRPr="00763C34" w:rsidRDefault="00763C34" w:rsidP="00763C34">
      <w:pPr>
        <w:pStyle w:val="Numberedlist1HDMES"/>
        <w:numPr>
          <w:ilvl w:val="0"/>
          <w:numId w:val="0"/>
        </w:numPr>
        <w:spacing w:line="276" w:lineRule="auto"/>
      </w:pPr>
      <w:r>
        <w:t xml:space="preserve">Despite the challenges </w:t>
      </w:r>
      <w:r w:rsidR="009871D3">
        <w:t>brought by</w:t>
      </w:r>
      <w:r>
        <w:t xml:space="preserve"> the COVID-19 pandemic, the PASS initiative was able to make progress towards all three of its objectives: (1) improved capabilities – individual and organisational – of secondary schools; (2) strengthened leadership qualities of students and educators; and (3) strengthened people-to-people links between PNG and Australia. </w:t>
      </w:r>
      <w:r w:rsidR="00A60A93" w:rsidRPr="006A1990">
        <w:rPr>
          <w:rFonts w:cstheme="minorHAnsi"/>
        </w:rPr>
        <w:t>The review found</w:t>
      </w:r>
      <w:r w:rsidR="000118A8">
        <w:rPr>
          <w:rFonts w:cstheme="minorHAnsi"/>
        </w:rPr>
        <w:t xml:space="preserve"> the initiative became </w:t>
      </w:r>
      <w:r w:rsidR="009871D3">
        <w:rPr>
          <w:rFonts w:cstheme="minorHAnsi"/>
        </w:rPr>
        <w:t xml:space="preserve">increasingly </w:t>
      </w:r>
      <w:r w:rsidR="000118A8">
        <w:rPr>
          <w:rFonts w:cstheme="minorHAnsi"/>
        </w:rPr>
        <w:t xml:space="preserve">focused on strengthening individual capabilities of </w:t>
      </w:r>
      <w:r w:rsidR="00CA3F43">
        <w:rPr>
          <w:rFonts w:cstheme="minorHAnsi"/>
        </w:rPr>
        <w:t xml:space="preserve">students and </w:t>
      </w:r>
      <w:r w:rsidR="000118A8">
        <w:rPr>
          <w:rFonts w:cstheme="minorHAnsi"/>
        </w:rPr>
        <w:t xml:space="preserve">educators in PNG </w:t>
      </w:r>
      <w:r w:rsidR="006E0E7D">
        <w:rPr>
          <w:rFonts w:cstheme="minorHAnsi"/>
        </w:rPr>
        <w:t>in addition</w:t>
      </w:r>
      <w:r w:rsidR="000118A8">
        <w:rPr>
          <w:rFonts w:cstheme="minorHAnsi"/>
        </w:rPr>
        <w:t xml:space="preserve"> to </w:t>
      </w:r>
      <w:r w:rsidR="006E0E7D">
        <w:rPr>
          <w:rFonts w:cstheme="minorHAnsi"/>
        </w:rPr>
        <w:t xml:space="preserve">the </w:t>
      </w:r>
      <w:r w:rsidR="000118A8">
        <w:rPr>
          <w:rFonts w:cstheme="minorHAnsi"/>
        </w:rPr>
        <w:t xml:space="preserve">initial </w:t>
      </w:r>
      <w:r w:rsidR="006E0E7D">
        <w:rPr>
          <w:rFonts w:cstheme="minorHAnsi"/>
        </w:rPr>
        <w:t>focus on</w:t>
      </w:r>
      <w:r w:rsidR="000118A8">
        <w:rPr>
          <w:rFonts w:cstheme="minorHAnsi"/>
        </w:rPr>
        <w:t xml:space="preserve"> strengthen</w:t>
      </w:r>
      <w:r w:rsidR="006E0E7D">
        <w:rPr>
          <w:rFonts w:cstheme="minorHAnsi"/>
        </w:rPr>
        <w:t>ing</w:t>
      </w:r>
      <w:r w:rsidR="000118A8">
        <w:rPr>
          <w:rFonts w:cstheme="minorHAnsi"/>
        </w:rPr>
        <w:t xml:space="preserve"> the people-to-people links between Australia and PNG. </w:t>
      </w:r>
    </w:p>
    <w:p w14:paraId="139CEF24" w14:textId="359AAF06" w:rsidR="005C4F20" w:rsidRDefault="00A60A93" w:rsidP="00A3217B">
      <w:pPr>
        <w:spacing w:after="0"/>
        <w:rPr>
          <w:color w:val="auto"/>
          <w:lang w:val="en-AU"/>
        </w:rPr>
      </w:pPr>
      <w:r w:rsidRPr="006D092C">
        <w:rPr>
          <w:color w:val="auto"/>
          <w:lang w:val="en-AU"/>
        </w:rPr>
        <w:t>T</w:t>
      </w:r>
      <w:r w:rsidR="000118A8" w:rsidRPr="006D092C">
        <w:rPr>
          <w:color w:val="auto"/>
          <w:lang w:val="en-AU"/>
        </w:rPr>
        <w:t xml:space="preserve">he </w:t>
      </w:r>
      <w:r w:rsidR="00763C34" w:rsidRPr="006D092C">
        <w:rPr>
          <w:color w:val="auto"/>
          <w:lang w:val="en-AU"/>
        </w:rPr>
        <w:t xml:space="preserve">PNG National </w:t>
      </w:r>
      <w:r w:rsidR="007320B6" w:rsidRPr="006D092C">
        <w:rPr>
          <w:color w:val="auto"/>
          <w:lang w:val="en-AU"/>
        </w:rPr>
        <w:t>D</w:t>
      </w:r>
      <w:r w:rsidR="00763C34" w:rsidRPr="006D092C">
        <w:rPr>
          <w:color w:val="auto"/>
          <w:lang w:val="en-AU"/>
        </w:rPr>
        <w:t xml:space="preserve">epartment </w:t>
      </w:r>
      <w:r w:rsidR="007320B6" w:rsidRPr="006D092C">
        <w:rPr>
          <w:color w:val="auto"/>
          <w:lang w:val="en-AU"/>
        </w:rPr>
        <w:t>o</w:t>
      </w:r>
      <w:r w:rsidR="00763C34" w:rsidRPr="006D092C">
        <w:rPr>
          <w:color w:val="auto"/>
          <w:lang w:val="en-AU"/>
        </w:rPr>
        <w:t xml:space="preserve">f </w:t>
      </w:r>
      <w:r w:rsidR="007320B6" w:rsidRPr="006D092C">
        <w:rPr>
          <w:color w:val="auto"/>
          <w:lang w:val="en-AU"/>
        </w:rPr>
        <w:t>E</w:t>
      </w:r>
      <w:r w:rsidR="00763C34" w:rsidRPr="006D092C">
        <w:rPr>
          <w:color w:val="auto"/>
          <w:lang w:val="en-AU"/>
        </w:rPr>
        <w:t>ducation</w:t>
      </w:r>
      <w:r w:rsidR="000118A8" w:rsidRPr="006D092C">
        <w:rPr>
          <w:color w:val="auto"/>
          <w:lang w:val="en-AU"/>
        </w:rPr>
        <w:t xml:space="preserve"> and </w:t>
      </w:r>
      <w:r w:rsidR="007320B6" w:rsidRPr="006D092C">
        <w:rPr>
          <w:color w:val="auto"/>
          <w:lang w:val="en-AU"/>
        </w:rPr>
        <w:t>DFAT</w:t>
      </w:r>
      <w:r w:rsidR="000118A8" w:rsidRPr="006D092C">
        <w:rPr>
          <w:color w:val="auto"/>
          <w:lang w:val="en-AU"/>
        </w:rPr>
        <w:t xml:space="preserve"> </w:t>
      </w:r>
      <w:r w:rsidRPr="006D092C">
        <w:rPr>
          <w:color w:val="auto"/>
          <w:lang w:val="en-AU"/>
        </w:rPr>
        <w:t xml:space="preserve">welcome the review findings and </w:t>
      </w:r>
      <w:r w:rsidR="00763C34" w:rsidRPr="006D092C">
        <w:rPr>
          <w:color w:val="auto"/>
          <w:lang w:val="en-AU"/>
        </w:rPr>
        <w:t>provide a response to the</w:t>
      </w:r>
      <w:r w:rsidR="0059716B" w:rsidRPr="006D092C">
        <w:rPr>
          <w:color w:val="auto"/>
          <w:lang w:val="en-AU"/>
        </w:rPr>
        <w:t xml:space="preserve"> recommendations</w:t>
      </w:r>
      <w:r w:rsidR="000118A8" w:rsidRPr="006D092C">
        <w:rPr>
          <w:color w:val="auto"/>
          <w:lang w:val="en-AU"/>
        </w:rPr>
        <w:t xml:space="preserve"> for the next </w:t>
      </w:r>
      <w:r w:rsidR="005E6DEC">
        <w:rPr>
          <w:color w:val="auto"/>
          <w:lang w:val="en-AU"/>
        </w:rPr>
        <w:t>phase</w:t>
      </w:r>
      <w:r w:rsidR="000118A8" w:rsidRPr="006D092C">
        <w:rPr>
          <w:color w:val="auto"/>
          <w:lang w:val="en-AU"/>
        </w:rPr>
        <w:t xml:space="preserve"> and the future of secondary education support by Australia</w:t>
      </w:r>
      <w:r w:rsidR="00763C34" w:rsidRPr="006D092C">
        <w:rPr>
          <w:color w:val="auto"/>
          <w:lang w:val="en-AU"/>
        </w:rPr>
        <w:t xml:space="preserve"> below</w:t>
      </w:r>
      <w:r w:rsidR="0059716B" w:rsidRPr="006D092C">
        <w:rPr>
          <w:color w:val="auto"/>
          <w:lang w:val="en-AU"/>
        </w:rPr>
        <w:t xml:space="preserve">. </w:t>
      </w:r>
    </w:p>
    <w:p w14:paraId="7D5F0724" w14:textId="77777777" w:rsidR="00A3217B" w:rsidRPr="006D092C" w:rsidRDefault="00A3217B" w:rsidP="00AD037C">
      <w:pPr>
        <w:spacing w:before="0" w:after="0"/>
        <w:rPr>
          <w:color w:val="auto"/>
          <w:lang w:val="en-AU"/>
        </w:rPr>
      </w:pPr>
    </w:p>
    <w:p w14:paraId="35D1A3A0" w14:textId="02EB1393" w:rsidR="00C37FFA" w:rsidRPr="009A7BE0" w:rsidRDefault="00C37FFA" w:rsidP="009A7BE0">
      <w:pPr>
        <w:pStyle w:val="Heading2"/>
      </w:pPr>
      <w:r w:rsidRPr="009A7BE0">
        <w:t>Recommendations for the next two-years of implementation</w:t>
      </w:r>
    </w:p>
    <w:tbl>
      <w:tblPr>
        <w:tblStyle w:val="GridTable4-Accent1"/>
        <w:tblW w:w="14459" w:type="dxa"/>
        <w:tblLook w:val="04A0" w:firstRow="1" w:lastRow="0" w:firstColumn="1" w:lastColumn="0" w:noHBand="0" w:noVBand="1"/>
      </w:tblPr>
      <w:tblGrid>
        <w:gridCol w:w="915"/>
        <w:gridCol w:w="3465"/>
        <w:gridCol w:w="3698"/>
        <w:gridCol w:w="3539"/>
        <w:gridCol w:w="2842"/>
      </w:tblGrid>
      <w:tr w:rsidR="001B4C69" w:rsidRPr="00B01D45" w14:paraId="7F88BF89" w14:textId="7BB3C7B9" w:rsidTr="009A7BE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2DCD1" w:themeFill="accent1" w:themeFillTint="99"/>
          </w:tcPr>
          <w:p w14:paraId="16FDA7A9" w14:textId="4286DC52" w:rsidR="00C37FFA" w:rsidRPr="00C2467E" w:rsidRDefault="00F04C36" w:rsidP="008D2FB9">
            <w:pPr>
              <w:spacing w:after="0" w:line="264" w:lineRule="auto"/>
            </w:pPr>
            <w:bookmarkStart w:id="0" w:name="_Hlk82094674"/>
            <w:r>
              <w:t>No.</w:t>
            </w:r>
          </w:p>
        </w:tc>
        <w:tc>
          <w:tcPr>
            <w:tcW w:w="0" w:type="dxa"/>
            <w:shd w:val="clear" w:color="auto" w:fill="A2DCD1" w:themeFill="accent1" w:themeFillTint="99"/>
          </w:tcPr>
          <w:p w14:paraId="1C15AE0D" w14:textId="5BE59B22" w:rsidR="00C37FFA" w:rsidRPr="00C2467E" w:rsidRDefault="00F04C36" w:rsidP="008D2FB9">
            <w:pPr>
              <w:spacing w:after="0" w:line="264" w:lineRule="auto"/>
              <w:cnfStyle w:val="100000000000" w:firstRow="1" w:lastRow="0" w:firstColumn="0" w:lastColumn="0" w:oddVBand="0" w:evenVBand="0" w:oddHBand="0" w:evenHBand="0" w:firstRowFirstColumn="0" w:firstRowLastColumn="0" w:lastRowFirstColumn="0" w:lastRowLastColumn="0"/>
            </w:pPr>
            <w:r>
              <w:t>SUMMARY OF KEY FINDINGS</w:t>
            </w:r>
          </w:p>
        </w:tc>
        <w:tc>
          <w:tcPr>
            <w:tcW w:w="0" w:type="dxa"/>
            <w:shd w:val="clear" w:color="auto" w:fill="A2DCD1" w:themeFill="accent1" w:themeFillTint="99"/>
          </w:tcPr>
          <w:p w14:paraId="06C2F048" w14:textId="127D5E31" w:rsidR="00C37FFA" w:rsidRPr="00C2467E" w:rsidRDefault="00F04C36" w:rsidP="008D2FB9">
            <w:pPr>
              <w:spacing w:after="0" w:line="264" w:lineRule="auto"/>
              <w:cnfStyle w:val="100000000000" w:firstRow="1" w:lastRow="0" w:firstColumn="0" w:lastColumn="0" w:oddVBand="0" w:evenVBand="0" w:oddHBand="0" w:evenHBand="0" w:firstRowFirstColumn="0" w:firstRowLastColumn="0" w:lastRowFirstColumn="0" w:lastRowLastColumn="0"/>
            </w:pPr>
            <w:r>
              <w:t>RECOMMENDATIONS</w:t>
            </w:r>
          </w:p>
        </w:tc>
        <w:tc>
          <w:tcPr>
            <w:tcW w:w="0" w:type="dxa"/>
            <w:shd w:val="clear" w:color="auto" w:fill="A2DCD1" w:themeFill="accent1" w:themeFillTint="99"/>
          </w:tcPr>
          <w:p w14:paraId="716B3481" w14:textId="443C4631" w:rsidR="00C37FFA" w:rsidRDefault="00C37FFA">
            <w:pPr>
              <w:spacing w:after="0" w:line="264" w:lineRule="auto"/>
              <w:cnfStyle w:val="100000000000" w:firstRow="1" w:lastRow="0" w:firstColumn="0" w:lastColumn="0" w:oddVBand="0" w:evenVBand="0" w:oddHBand="0" w:evenHBand="0" w:firstRowFirstColumn="0" w:firstRowLastColumn="0" w:lastRowFirstColumn="0" w:lastRowLastColumn="0"/>
            </w:pPr>
            <w:r w:rsidRPr="00B6712F">
              <w:rPr>
                <w:sz w:val="24"/>
                <w:szCs w:val="24"/>
              </w:rPr>
              <w:t>RESPONSE (AGREE/PARTIALLY AGREE/DISAGREE)</w:t>
            </w:r>
          </w:p>
        </w:tc>
        <w:tc>
          <w:tcPr>
            <w:tcW w:w="0" w:type="dxa"/>
            <w:shd w:val="clear" w:color="auto" w:fill="A2DCD1" w:themeFill="accent1" w:themeFillTint="99"/>
          </w:tcPr>
          <w:p w14:paraId="7CFC707B" w14:textId="77777777" w:rsidR="00C37FFA" w:rsidRPr="00B6712F" w:rsidRDefault="00C37FFA" w:rsidP="00C37FFA">
            <w:pPr>
              <w:cnfStyle w:val="100000000000" w:firstRow="1" w:lastRow="0" w:firstColumn="0" w:lastColumn="0" w:oddVBand="0" w:evenVBand="0" w:oddHBand="0" w:evenHBand="0" w:firstRowFirstColumn="0" w:firstRowLastColumn="0" w:lastRowFirstColumn="0" w:lastRowLastColumn="0"/>
              <w:rPr>
                <w:sz w:val="24"/>
                <w:szCs w:val="24"/>
              </w:rPr>
            </w:pPr>
            <w:r w:rsidRPr="00B6712F">
              <w:rPr>
                <w:sz w:val="24"/>
                <w:szCs w:val="24"/>
              </w:rPr>
              <w:t>ACTION PLAN AND TIMEFRAME</w:t>
            </w:r>
          </w:p>
          <w:p w14:paraId="3B01FEB7" w14:textId="0F8083DD" w:rsidR="00C37FFA" w:rsidRPr="00B6712F" w:rsidRDefault="00C37FFA" w:rsidP="00C37FFA">
            <w:pPr>
              <w:spacing w:after="0" w:line="264" w:lineRule="auto"/>
              <w:cnfStyle w:val="100000000000" w:firstRow="1" w:lastRow="0" w:firstColumn="0" w:lastColumn="0" w:oddVBand="0" w:evenVBand="0" w:oddHBand="0" w:evenHBand="0" w:firstRowFirstColumn="0" w:firstRowLastColumn="0" w:lastRowFirstColumn="0" w:lastRowLastColumn="0"/>
              <w:rPr>
                <w:sz w:val="24"/>
                <w:szCs w:val="24"/>
              </w:rPr>
            </w:pPr>
          </w:p>
        </w:tc>
      </w:tr>
      <w:bookmarkEnd w:id="0"/>
      <w:tr w:rsidR="001B4C69" w:rsidRPr="00B01D45" w14:paraId="62FDB4C3" w14:textId="56958BB8" w:rsidTr="00AD22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467EF1A3" w14:textId="77777777" w:rsidR="00C37FFA" w:rsidRPr="00C2467E" w:rsidRDefault="00C37FFA" w:rsidP="008D2FB9">
            <w:pPr>
              <w:spacing w:after="0" w:line="264" w:lineRule="auto"/>
            </w:pPr>
            <w:r w:rsidRPr="00C2467E">
              <w:t>1.</w:t>
            </w:r>
          </w:p>
        </w:tc>
        <w:tc>
          <w:tcPr>
            <w:tcW w:w="0" w:type="dxa"/>
          </w:tcPr>
          <w:p w14:paraId="59D00DCC" w14:textId="6F89EE89" w:rsidR="001D7435" w:rsidRDefault="00137E6D" w:rsidP="008D2FB9">
            <w:pPr>
              <w:spacing w:after="0" w:line="264" w:lineRule="auto"/>
              <w:cnfStyle w:val="000000100000" w:firstRow="0" w:lastRow="0" w:firstColumn="0" w:lastColumn="0" w:oddVBand="0" w:evenVBand="0" w:oddHBand="1" w:evenHBand="0" w:firstRowFirstColumn="0" w:firstRowLastColumn="0" w:lastRowFirstColumn="0" w:lastRowLastColumn="0"/>
            </w:pPr>
            <w:r>
              <w:t>The absence of a comprehensive monitoring and evaluation framework with specific performance indicator</w:t>
            </w:r>
            <w:r w:rsidR="005E24A4">
              <w:t>s</w:t>
            </w:r>
            <w:r w:rsidR="001D7435">
              <w:t xml:space="preserve"> </w:t>
            </w:r>
            <w:r w:rsidR="009871D3">
              <w:t>is</w:t>
            </w:r>
            <w:r w:rsidR="001D7435">
              <w:t xml:space="preserve"> a critical limitation on determining the extent of progress for the PASS initiative. </w:t>
            </w:r>
          </w:p>
          <w:p w14:paraId="671ED4F3" w14:textId="16EABCF8" w:rsidR="001D7435" w:rsidRPr="00AD037C" w:rsidRDefault="001D7435" w:rsidP="008D2FB9">
            <w:pPr>
              <w:spacing w:after="0" w:line="264" w:lineRule="auto"/>
              <w:cnfStyle w:val="000000100000" w:firstRow="0" w:lastRow="0" w:firstColumn="0" w:lastColumn="0" w:oddVBand="0" w:evenVBand="0" w:oddHBand="1" w:evenHBand="0" w:firstRowFirstColumn="0" w:firstRowLastColumn="0" w:lastRowFirstColumn="0" w:lastRowLastColumn="0"/>
              <w:rPr>
                <w:i/>
                <w:iCs/>
              </w:rPr>
            </w:pPr>
          </w:p>
        </w:tc>
        <w:tc>
          <w:tcPr>
            <w:tcW w:w="0" w:type="dxa"/>
          </w:tcPr>
          <w:p w14:paraId="0F08E31E" w14:textId="71B595FD" w:rsidR="00C37FFA" w:rsidRPr="009871D3" w:rsidRDefault="00C37FFA" w:rsidP="008D2FB9">
            <w:pPr>
              <w:spacing w:after="0" w:line="264" w:lineRule="auto"/>
              <w:cnfStyle w:val="000000100000" w:firstRow="0" w:lastRow="0" w:firstColumn="0" w:lastColumn="0" w:oddVBand="0" w:evenVBand="0" w:oddHBand="1" w:evenHBand="0" w:firstRowFirstColumn="0" w:firstRowLastColumn="0" w:lastRowFirstColumn="0" w:lastRowLastColumn="0"/>
            </w:pPr>
            <w:r w:rsidRPr="009871D3">
              <w:t xml:space="preserve">Revise the PASS initiative </w:t>
            </w:r>
            <w:r w:rsidR="005E6DEC">
              <w:t>t</w:t>
            </w:r>
            <w:r w:rsidRPr="009871D3">
              <w:t xml:space="preserve">heory of </w:t>
            </w:r>
            <w:r w:rsidR="005E6DEC">
              <w:t>c</w:t>
            </w:r>
            <w:r w:rsidRPr="009871D3">
              <w:t xml:space="preserve">hange </w:t>
            </w:r>
            <w:r w:rsidR="005158D5" w:rsidRPr="009871D3">
              <w:t>(</w:t>
            </w:r>
            <w:proofErr w:type="spellStart"/>
            <w:r w:rsidR="005158D5" w:rsidRPr="009871D3">
              <w:t>ToC</w:t>
            </w:r>
            <w:proofErr w:type="spellEnd"/>
            <w:r w:rsidR="005158D5" w:rsidRPr="009871D3">
              <w:t xml:space="preserve">) </w:t>
            </w:r>
            <w:r w:rsidRPr="009871D3">
              <w:t xml:space="preserve">and the </w:t>
            </w:r>
            <w:r w:rsidR="005E6DEC">
              <w:t>m</w:t>
            </w:r>
            <w:r w:rsidRPr="009871D3">
              <w:t xml:space="preserve">onitoring and </w:t>
            </w:r>
            <w:r w:rsidR="005E6DEC">
              <w:t>e</w:t>
            </w:r>
            <w:r w:rsidRPr="009871D3">
              <w:t xml:space="preserve">valuation </w:t>
            </w:r>
            <w:r w:rsidR="005E6DEC">
              <w:t>f</w:t>
            </w:r>
            <w:r w:rsidRPr="009871D3">
              <w:t xml:space="preserve">ramework </w:t>
            </w:r>
            <w:r w:rsidR="005158D5" w:rsidRPr="009871D3">
              <w:t xml:space="preserve">(MEF) </w:t>
            </w:r>
            <w:r w:rsidRPr="009871D3">
              <w:t>and Plan</w:t>
            </w:r>
            <w:r w:rsidR="006E3E97">
              <w:t xml:space="preserve"> to provide guidance to activity design and measurement of progress. </w:t>
            </w:r>
          </w:p>
        </w:tc>
        <w:tc>
          <w:tcPr>
            <w:tcW w:w="0" w:type="dxa"/>
          </w:tcPr>
          <w:p w14:paraId="3D0280B4" w14:textId="0DA8603C" w:rsidR="006E0E7D" w:rsidRPr="00C2467E" w:rsidRDefault="00FC09B0" w:rsidP="008D2FB9">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0" w:type="dxa"/>
          </w:tcPr>
          <w:p w14:paraId="65714288" w14:textId="27BF9091" w:rsidR="00C46146" w:rsidRDefault="00C46146" w:rsidP="006F4865">
            <w:pPr>
              <w:spacing w:after="0" w:line="264" w:lineRule="auto"/>
              <w:cnfStyle w:val="000000100000" w:firstRow="0" w:lastRow="0" w:firstColumn="0" w:lastColumn="0" w:oddVBand="0" w:evenVBand="0" w:oddHBand="1" w:evenHBand="0" w:firstRowFirstColumn="0" w:firstRowLastColumn="0" w:lastRowFirstColumn="0" w:lastRowLastColumn="0"/>
            </w:pPr>
            <w:r>
              <w:t>September</w:t>
            </w:r>
            <w:r w:rsidR="005609A5">
              <w:t xml:space="preserve"> – October 2021</w:t>
            </w:r>
          </w:p>
          <w:p w14:paraId="421DF87F" w14:textId="0AE45C0C" w:rsidR="00C37FFA" w:rsidRPr="00C2467E" w:rsidRDefault="005158D5" w:rsidP="00E630D5">
            <w:pPr>
              <w:spacing w:after="0" w:line="264" w:lineRule="auto"/>
              <w:cnfStyle w:val="000000100000" w:firstRow="0" w:lastRow="0" w:firstColumn="0" w:lastColumn="0" w:oddVBand="0" w:evenVBand="0" w:oddHBand="1" w:evenHBand="0" w:firstRowFirstColumn="0" w:firstRowLastColumn="0" w:lastRowFirstColumn="0" w:lastRowLastColumn="0"/>
            </w:pPr>
            <w:r>
              <w:t xml:space="preserve">AAPNG </w:t>
            </w:r>
            <w:r w:rsidR="00376425">
              <w:t>will</w:t>
            </w:r>
            <w:r>
              <w:t xml:space="preserve"> </w:t>
            </w:r>
            <w:r w:rsidR="001C6CEB">
              <w:t>provide</w:t>
            </w:r>
            <w:r>
              <w:t xml:space="preserve"> DFAT </w:t>
            </w:r>
            <w:r w:rsidR="001C6CEB">
              <w:t>with a</w:t>
            </w:r>
            <w:r>
              <w:t xml:space="preserve"> comprehensive monitoring and evaluation framework with Theory of Change for </w:t>
            </w:r>
            <w:r w:rsidR="00406B43">
              <w:t>-</w:t>
            </w:r>
            <w:r>
              <w:t xml:space="preserve">PASS </w:t>
            </w:r>
            <w:r>
              <w:lastRenderedPageBreak/>
              <w:t xml:space="preserve">deliverables </w:t>
            </w:r>
            <w:r w:rsidR="00763C34">
              <w:t>for</w:t>
            </w:r>
            <w:r>
              <w:t xml:space="preserve"> the next two years (2021-2023).</w:t>
            </w:r>
            <w:r w:rsidR="00376425">
              <w:t xml:space="preserve"> </w:t>
            </w:r>
          </w:p>
        </w:tc>
      </w:tr>
      <w:tr w:rsidR="001B4C69" w:rsidRPr="00B01D45" w14:paraId="00E4294D" w14:textId="12D2F422" w:rsidTr="00AD2249">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3A0C85E4" w14:textId="77777777" w:rsidR="00051EE6" w:rsidRPr="00C2467E" w:rsidRDefault="00051EE6" w:rsidP="00051EE6">
            <w:pPr>
              <w:spacing w:after="0" w:line="264" w:lineRule="auto"/>
            </w:pPr>
            <w:r w:rsidRPr="00C2467E">
              <w:lastRenderedPageBreak/>
              <w:t>2.</w:t>
            </w:r>
          </w:p>
        </w:tc>
        <w:tc>
          <w:tcPr>
            <w:tcW w:w="0" w:type="dxa"/>
          </w:tcPr>
          <w:p w14:paraId="22BDF7E5" w14:textId="3E5DD735" w:rsidR="00051EE6" w:rsidRDefault="00FC67CB" w:rsidP="00051EE6">
            <w:pPr>
              <w:spacing w:after="0" w:line="264" w:lineRule="auto"/>
              <w:cnfStyle w:val="000000000000" w:firstRow="0" w:lastRow="0" w:firstColumn="0" w:lastColumn="0" w:oddVBand="0" w:evenVBand="0" w:oddHBand="0" w:evenHBand="0" w:firstRowFirstColumn="0" w:firstRowLastColumn="0" w:lastRowFirstColumn="0" w:lastRowLastColumn="0"/>
              <w:rPr>
                <w:sz w:val="14"/>
                <w:szCs w:val="14"/>
              </w:rPr>
            </w:pPr>
            <w:r>
              <w:t>S</w:t>
            </w:r>
            <w:r w:rsidR="000E3937">
              <w:t xml:space="preserve">ome PNG schools </w:t>
            </w:r>
            <w:r w:rsidR="001B4C69">
              <w:t>prefer partnering</w:t>
            </w:r>
            <w:r w:rsidR="000E3937">
              <w:t xml:space="preserve"> with an Australian school that share a similar demography and school context;</w:t>
            </w:r>
            <w:r w:rsidR="000E3937">
              <w:rPr>
                <w:sz w:val="14"/>
                <w:szCs w:val="14"/>
              </w:rPr>
              <w:t xml:space="preserve"> </w:t>
            </w:r>
            <w:r w:rsidR="000E3937">
              <w:t xml:space="preserve">and some Australian schools </w:t>
            </w:r>
            <w:r>
              <w:t>would like to exit the program</w:t>
            </w:r>
            <w:r w:rsidR="00B81554">
              <w:t xml:space="preserve"> due to limited </w:t>
            </w:r>
            <w:r w:rsidR="009A5E45">
              <w:t xml:space="preserve">engagement with their </w:t>
            </w:r>
            <w:r w:rsidR="00B81554">
              <w:t>partner school</w:t>
            </w:r>
            <w:r w:rsidR="009A5E45">
              <w:t xml:space="preserve"> since 2020</w:t>
            </w:r>
            <w:r w:rsidR="000E3937">
              <w:t>.</w:t>
            </w:r>
            <w:r w:rsidR="000E3937">
              <w:rPr>
                <w:sz w:val="14"/>
                <w:szCs w:val="14"/>
              </w:rPr>
              <w:t xml:space="preserve"> </w:t>
            </w:r>
          </w:p>
          <w:p w14:paraId="37A3F510" w14:textId="4D332DFA" w:rsidR="009A5E45" w:rsidRPr="00C2467E" w:rsidRDefault="009A5E45" w:rsidP="00051EE6">
            <w:pPr>
              <w:spacing w:after="0" w:line="264" w:lineRule="auto"/>
              <w:cnfStyle w:val="000000000000" w:firstRow="0" w:lastRow="0" w:firstColumn="0" w:lastColumn="0" w:oddVBand="0" w:evenVBand="0" w:oddHBand="0" w:evenHBand="0" w:firstRowFirstColumn="0" w:firstRowLastColumn="0" w:lastRowFirstColumn="0" w:lastRowLastColumn="0"/>
            </w:pPr>
          </w:p>
        </w:tc>
        <w:tc>
          <w:tcPr>
            <w:tcW w:w="0" w:type="dxa"/>
          </w:tcPr>
          <w:p w14:paraId="6CEE86AE" w14:textId="77777777" w:rsidR="002770F7" w:rsidRPr="00AD037C" w:rsidRDefault="002770F7" w:rsidP="002770F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95965" w:themeColor="text2"/>
              </w:rPr>
            </w:pPr>
            <w:r w:rsidRPr="00AD037C">
              <w:rPr>
                <w:rFonts w:asciiTheme="minorHAnsi" w:hAnsiTheme="minorHAnsi" w:cstheme="minorHAnsi"/>
                <w:color w:val="495965" w:themeColor="text2"/>
                <w:sz w:val="22"/>
                <w:szCs w:val="22"/>
              </w:rPr>
              <w:t xml:space="preserve">Conduct a review of current school partnerships to assess interest in continuing and to seek closer matching to the needs of PNG schools prior to additional school partnerships being established. </w:t>
            </w:r>
          </w:p>
          <w:p w14:paraId="0D7948A2" w14:textId="0B4AC11B" w:rsidR="00051EE6" w:rsidRPr="009965E8" w:rsidRDefault="00051EE6" w:rsidP="00051EE6">
            <w:pPr>
              <w:spacing w:after="0" w:line="264" w:lineRule="auto"/>
              <w:cnfStyle w:val="000000000000" w:firstRow="0" w:lastRow="0" w:firstColumn="0" w:lastColumn="0" w:oddVBand="0" w:evenVBand="0" w:oddHBand="0" w:evenHBand="0" w:firstRowFirstColumn="0" w:firstRowLastColumn="0" w:lastRowFirstColumn="0" w:lastRowLastColumn="0"/>
            </w:pPr>
          </w:p>
        </w:tc>
        <w:tc>
          <w:tcPr>
            <w:tcW w:w="0" w:type="dxa"/>
          </w:tcPr>
          <w:p w14:paraId="4DEA6FFE" w14:textId="28683978" w:rsidR="00051EE6" w:rsidRDefault="00FC09B0" w:rsidP="00051EE6">
            <w:pPr>
              <w:spacing w:after="0" w:line="264" w:lineRule="auto"/>
              <w:cnfStyle w:val="000000000000" w:firstRow="0" w:lastRow="0" w:firstColumn="0" w:lastColumn="0" w:oddVBand="0" w:evenVBand="0" w:oddHBand="0" w:evenHBand="0" w:firstRowFirstColumn="0" w:firstRowLastColumn="0" w:lastRowFirstColumn="0" w:lastRowLastColumn="0"/>
            </w:pPr>
            <w:r>
              <w:t>AGREE</w:t>
            </w:r>
          </w:p>
          <w:p w14:paraId="2278230C" w14:textId="7F34CD94" w:rsidR="006E0E7D" w:rsidRPr="00C2467E" w:rsidRDefault="006E0E7D" w:rsidP="00051EE6">
            <w:pPr>
              <w:spacing w:after="0" w:line="264" w:lineRule="auto"/>
              <w:cnfStyle w:val="000000000000" w:firstRow="0" w:lastRow="0" w:firstColumn="0" w:lastColumn="0" w:oddVBand="0" w:evenVBand="0" w:oddHBand="0" w:evenHBand="0" w:firstRowFirstColumn="0" w:firstRowLastColumn="0" w:lastRowFirstColumn="0" w:lastRowLastColumn="0"/>
            </w:pPr>
          </w:p>
        </w:tc>
        <w:tc>
          <w:tcPr>
            <w:tcW w:w="0" w:type="dxa"/>
          </w:tcPr>
          <w:p w14:paraId="2E1509DF" w14:textId="285E1049" w:rsidR="00C46146" w:rsidRDefault="00C46146" w:rsidP="00C46146">
            <w:pPr>
              <w:spacing w:after="0" w:line="264" w:lineRule="auto"/>
              <w:cnfStyle w:val="000000000000" w:firstRow="0" w:lastRow="0" w:firstColumn="0" w:lastColumn="0" w:oddVBand="0" w:evenVBand="0" w:oddHBand="0" w:evenHBand="0" w:firstRowFirstColumn="0" w:firstRowLastColumn="0" w:lastRowFirstColumn="0" w:lastRowLastColumn="0"/>
            </w:pPr>
            <w:r>
              <w:t xml:space="preserve">September </w:t>
            </w:r>
            <w:r w:rsidR="005609A5">
              <w:t>– December 2021.</w:t>
            </w:r>
          </w:p>
          <w:p w14:paraId="41EC8794" w14:textId="2A14575B" w:rsidR="00051EE6" w:rsidRPr="00C2467E" w:rsidRDefault="002C51CD">
            <w:pPr>
              <w:spacing w:after="0" w:line="264" w:lineRule="auto"/>
              <w:cnfStyle w:val="000000000000" w:firstRow="0" w:lastRow="0" w:firstColumn="0" w:lastColumn="0" w:oddVBand="0" w:evenVBand="0" w:oddHBand="0" w:evenHBand="0" w:firstRowFirstColumn="0" w:firstRowLastColumn="0" w:lastRowFirstColumn="0" w:lastRowLastColumn="0"/>
            </w:pPr>
            <w:r>
              <w:t>AAPNG</w:t>
            </w:r>
            <w:r w:rsidR="00812673">
              <w:t xml:space="preserve"> to </w:t>
            </w:r>
            <w:r w:rsidR="001C6CEB">
              <w:t xml:space="preserve">audit </w:t>
            </w:r>
            <w:r w:rsidR="00812673">
              <w:t xml:space="preserve">the </w:t>
            </w:r>
            <w:r w:rsidR="00763C34">
              <w:t>partnership schools</w:t>
            </w:r>
            <w:r w:rsidR="009965E8">
              <w:t xml:space="preserve"> and put forward options for </w:t>
            </w:r>
            <w:proofErr w:type="spellStart"/>
            <w:r w:rsidR="009965E8">
              <w:t>NDoE</w:t>
            </w:r>
            <w:proofErr w:type="spellEnd"/>
            <w:r w:rsidR="009965E8">
              <w:t xml:space="preserve"> and </w:t>
            </w:r>
            <w:r w:rsidR="008C74D3">
              <w:t>DFAT</w:t>
            </w:r>
            <w:r w:rsidR="009965E8">
              <w:t xml:space="preserve"> to endorse. </w:t>
            </w:r>
            <w:r w:rsidR="00812673">
              <w:t xml:space="preserve"> </w:t>
            </w:r>
          </w:p>
        </w:tc>
      </w:tr>
      <w:tr w:rsidR="001B4C69" w:rsidRPr="00B01D45" w14:paraId="0368B591" w14:textId="2A1A20B1" w:rsidTr="00AD22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4C111629" w14:textId="77777777" w:rsidR="00051EE6" w:rsidRPr="007A7DBA" w:rsidRDefault="00051EE6" w:rsidP="00051EE6">
            <w:pPr>
              <w:spacing w:after="0" w:line="264" w:lineRule="auto"/>
              <w:rPr>
                <w:color w:val="FF0000"/>
              </w:rPr>
            </w:pPr>
            <w:r w:rsidRPr="00AD037C">
              <w:t>3.</w:t>
            </w:r>
          </w:p>
        </w:tc>
        <w:tc>
          <w:tcPr>
            <w:tcW w:w="0" w:type="dxa"/>
          </w:tcPr>
          <w:p w14:paraId="39279E08" w14:textId="38FFB364" w:rsidR="009A5E45" w:rsidRPr="007A7DBA" w:rsidRDefault="00FC67CB" w:rsidP="00051EE6">
            <w:pPr>
              <w:spacing w:after="0" w:line="264" w:lineRule="auto"/>
              <w:cnfStyle w:val="000000100000" w:firstRow="0" w:lastRow="0" w:firstColumn="0" w:lastColumn="0" w:oddVBand="0" w:evenVBand="0" w:oddHBand="1" w:evenHBand="0" w:firstRowFirstColumn="0" w:firstRowLastColumn="0" w:lastRowFirstColumn="0" w:lastRowLastColumn="0"/>
              <w:rPr>
                <w:color w:val="FF0000"/>
              </w:rPr>
            </w:pPr>
            <w:r>
              <w:t xml:space="preserve">There is a high level of interest in </w:t>
            </w:r>
            <w:r w:rsidR="001B4C69">
              <w:t>shari</w:t>
            </w:r>
            <w:r>
              <w:t xml:space="preserve">ng the knowledge and learning </w:t>
            </w:r>
            <w:r w:rsidR="001B4C69">
              <w:t>from PASS schools</w:t>
            </w:r>
            <w:r>
              <w:t xml:space="preserve"> to other</w:t>
            </w:r>
            <w:r w:rsidR="001B4C69">
              <w:t xml:space="preserve"> PNG</w:t>
            </w:r>
            <w:r>
              <w:t xml:space="preserve"> secondary schools</w:t>
            </w:r>
            <w:r w:rsidR="001B4C69">
              <w:t>. I</w:t>
            </w:r>
            <w:r>
              <w:t xml:space="preserve">mplementation of the proposed </w:t>
            </w:r>
            <w:r w:rsidR="001B4C69">
              <w:t xml:space="preserve">provincial learning network </w:t>
            </w:r>
            <w:r>
              <w:t>will require: (i) a high level of knowledge and skills of the PNG coaches from the ‘hub’ school that will support other schools in the ‘cluster’; (ii) additional resources and mechanisms to support the participation of cluster schools, including costs for possible travel, connectivity, teaching and learning resources, and release/substitution time of the hub.</w:t>
            </w:r>
            <w:r w:rsidDel="00FC67CB">
              <w:t xml:space="preserve"> </w:t>
            </w:r>
          </w:p>
        </w:tc>
        <w:tc>
          <w:tcPr>
            <w:tcW w:w="0" w:type="dxa"/>
          </w:tcPr>
          <w:p w14:paraId="468BFCA9" w14:textId="549E3400" w:rsidR="00051EE6" w:rsidRPr="009871D3" w:rsidRDefault="002770F7" w:rsidP="00051EE6">
            <w:pPr>
              <w:spacing w:after="0" w:line="264" w:lineRule="auto"/>
              <w:cnfStyle w:val="000000100000" w:firstRow="0" w:lastRow="0" w:firstColumn="0" w:lastColumn="0" w:oddVBand="0" w:evenVBand="0" w:oddHBand="1" w:evenHBand="0" w:firstRowFirstColumn="0" w:firstRowLastColumn="0" w:lastRowFirstColumn="0" w:lastRowLastColumn="0"/>
              <w:rPr>
                <w:color w:val="FF0000"/>
              </w:rPr>
            </w:pPr>
            <w:r w:rsidRPr="002770F7">
              <w:t>Determine operational requirements for supporting the ‘hub and cluster’ model – the approach being proposed to extend the knowledge and skills gained by the 12 PASS initiative schools (hubs) to other secondary schools within their area (cluster).</w:t>
            </w:r>
          </w:p>
        </w:tc>
        <w:tc>
          <w:tcPr>
            <w:tcW w:w="0" w:type="dxa"/>
          </w:tcPr>
          <w:p w14:paraId="7641983B" w14:textId="4207012E" w:rsidR="00051EE6" w:rsidRPr="007A7DBA" w:rsidRDefault="00FC09B0" w:rsidP="00051EE6">
            <w:pPr>
              <w:spacing w:after="0" w:line="264" w:lineRule="auto"/>
              <w:cnfStyle w:val="000000100000" w:firstRow="0" w:lastRow="0" w:firstColumn="0" w:lastColumn="0" w:oddVBand="0" w:evenVBand="0" w:oddHBand="1" w:evenHBand="0" w:firstRowFirstColumn="0" w:firstRowLastColumn="0" w:lastRowFirstColumn="0" w:lastRowLastColumn="0"/>
              <w:rPr>
                <w:color w:val="FF0000"/>
              </w:rPr>
            </w:pPr>
            <w:r w:rsidRPr="00AD037C">
              <w:t>AGREE</w:t>
            </w:r>
          </w:p>
        </w:tc>
        <w:tc>
          <w:tcPr>
            <w:tcW w:w="0" w:type="dxa"/>
          </w:tcPr>
          <w:p w14:paraId="07E5F4E7" w14:textId="57221E7B" w:rsidR="00C46146" w:rsidRDefault="001306E5" w:rsidP="00051EE6">
            <w:pPr>
              <w:spacing w:after="0" w:line="264" w:lineRule="auto"/>
              <w:cnfStyle w:val="000000100000" w:firstRow="0" w:lastRow="0" w:firstColumn="0" w:lastColumn="0" w:oddVBand="0" w:evenVBand="0" w:oddHBand="1" w:evenHBand="0" w:firstRowFirstColumn="0" w:firstRowLastColumn="0" w:lastRowFirstColumn="0" w:lastRowLastColumn="0"/>
            </w:pPr>
            <w:r>
              <w:t xml:space="preserve">October – December </w:t>
            </w:r>
            <w:r w:rsidR="005609A5">
              <w:t>2021.</w:t>
            </w:r>
          </w:p>
          <w:p w14:paraId="4BE7C0AB" w14:textId="54AEEBF2" w:rsidR="00812673" w:rsidRDefault="00FC09B0" w:rsidP="00051EE6">
            <w:pPr>
              <w:spacing w:after="0" w:line="264" w:lineRule="auto"/>
              <w:cnfStyle w:val="000000100000" w:firstRow="0" w:lastRow="0" w:firstColumn="0" w:lastColumn="0" w:oddVBand="0" w:evenVBand="0" w:oddHBand="1" w:evenHBand="0" w:firstRowFirstColumn="0" w:firstRowLastColumn="0" w:lastRowFirstColumn="0" w:lastRowLastColumn="0"/>
            </w:pPr>
            <w:r>
              <w:t>AAPNG</w:t>
            </w:r>
            <w:r w:rsidR="001306E5">
              <w:t xml:space="preserve"> </w:t>
            </w:r>
            <w:r w:rsidR="0065468D">
              <w:t>will</w:t>
            </w:r>
            <w:r w:rsidR="001306E5">
              <w:t xml:space="preserve"> i</w:t>
            </w:r>
            <w:r w:rsidR="00E80043">
              <w:t xml:space="preserve">dentify cluster schools and develop a cluster model plan. </w:t>
            </w:r>
          </w:p>
          <w:p w14:paraId="244948D8" w14:textId="52F826A8" w:rsidR="009965E8" w:rsidRDefault="008C74D3" w:rsidP="00051EE6">
            <w:pPr>
              <w:spacing w:after="0" w:line="264" w:lineRule="auto"/>
              <w:cnfStyle w:val="000000100000" w:firstRow="0" w:lastRow="0" w:firstColumn="0" w:lastColumn="0" w:oddVBand="0" w:evenVBand="0" w:oddHBand="1" w:evenHBand="0" w:firstRowFirstColumn="0" w:firstRowLastColumn="0" w:lastRowFirstColumn="0" w:lastRowLastColumn="0"/>
            </w:pPr>
            <w:r>
              <w:t>DFAT</w:t>
            </w:r>
            <w:r w:rsidR="001306E5">
              <w:t xml:space="preserve"> and </w:t>
            </w:r>
            <w:proofErr w:type="spellStart"/>
            <w:r w:rsidR="001306E5">
              <w:t>NDoE</w:t>
            </w:r>
            <w:proofErr w:type="spellEnd"/>
            <w:r w:rsidR="001306E5">
              <w:t xml:space="preserve"> to endorse the </w:t>
            </w:r>
            <w:r w:rsidR="001B4C69">
              <w:t xml:space="preserve">proposed </w:t>
            </w:r>
            <w:r w:rsidR="001306E5">
              <w:t>cluster school</w:t>
            </w:r>
            <w:r w:rsidR="009965E8">
              <w:t xml:space="preserve"> plan</w:t>
            </w:r>
            <w:r w:rsidR="00155095">
              <w:t xml:space="preserve"> and schedule</w:t>
            </w:r>
            <w:r w:rsidR="009965E8">
              <w:t>.</w:t>
            </w:r>
          </w:p>
          <w:p w14:paraId="4764FDAB" w14:textId="1320A9C0" w:rsidR="00051EE6" w:rsidRPr="007A7DBA" w:rsidRDefault="00051EE6">
            <w:pPr>
              <w:spacing w:after="0" w:line="264" w:lineRule="auto"/>
              <w:cnfStyle w:val="000000100000" w:firstRow="0" w:lastRow="0" w:firstColumn="0" w:lastColumn="0" w:oddVBand="0" w:evenVBand="0" w:oddHBand="1" w:evenHBand="0" w:firstRowFirstColumn="0" w:firstRowLastColumn="0" w:lastRowFirstColumn="0" w:lastRowLastColumn="0"/>
              <w:rPr>
                <w:color w:val="FF0000"/>
              </w:rPr>
            </w:pPr>
          </w:p>
        </w:tc>
      </w:tr>
      <w:tr w:rsidR="001B4C69" w:rsidRPr="00B01D45" w14:paraId="12C85FD7" w14:textId="08645B05" w:rsidTr="00AD2249">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630A2ACE" w14:textId="77777777" w:rsidR="00051EE6" w:rsidRPr="00C2467E" w:rsidRDefault="00051EE6" w:rsidP="00051EE6">
            <w:pPr>
              <w:spacing w:after="0" w:line="264" w:lineRule="auto"/>
            </w:pPr>
            <w:r w:rsidRPr="00C2467E">
              <w:lastRenderedPageBreak/>
              <w:t>4.</w:t>
            </w:r>
          </w:p>
        </w:tc>
        <w:tc>
          <w:tcPr>
            <w:tcW w:w="0" w:type="dxa"/>
          </w:tcPr>
          <w:p w14:paraId="12C15575" w14:textId="19E8C710" w:rsidR="009A5E45" w:rsidRDefault="00032AE8" w:rsidP="00051EE6">
            <w:pPr>
              <w:spacing w:after="0" w:line="264" w:lineRule="auto"/>
              <w:cnfStyle w:val="000000000000" w:firstRow="0" w:lastRow="0" w:firstColumn="0" w:lastColumn="0" w:oddVBand="0" w:evenVBand="0" w:oddHBand="0" w:evenHBand="0" w:firstRowFirstColumn="0" w:firstRowLastColumn="0" w:lastRowFirstColumn="0" w:lastRowLastColumn="0"/>
              <w:rPr>
                <w:i/>
                <w:iCs/>
              </w:rPr>
            </w:pPr>
            <w:r>
              <w:t>Formation of additional partnerships with PNG-based organisations that have specialised knowledge and skills will increase value for money and cost efficiency</w:t>
            </w:r>
            <w:r w:rsidR="00FC67CB">
              <w:t>. Collaboration with PNG organisations would serve to strengthen capacity to support secondary education within PNG.</w:t>
            </w:r>
            <w:r w:rsidR="00FC67CB" w:rsidDel="006E0E7D">
              <w:rPr>
                <w:i/>
                <w:iCs/>
                <w:highlight w:val="yellow"/>
              </w:rPr>
              <w:t xml:space="preserve"> </w:t>
            </w:r>
          </w:p>
          <w:p w14:paraId="05292DF2" w14:textId="53EBA90E" w:rsidR="00032AE8" w:rsidRPr="00C2467E" w:rsidRDefault="00032AE8" w:rsidP="00051EE6">
            <w:pPr>
              <w:spacing w:after="0" w:line="264" w:lineRule="auto"/>
              <w:cnfStyle w:val="000000000000" w:firstRow="0" w:lastRow="0" w:firstColumn="0" w:lastColumn="0" w:oddVBand="0" w:evenVBand="0" w:oddHBand="0" w:evenHBand="0" w:firstRowFirstColumn="0" w:firstRowLastColumn="0" w:lastRowFirstColumn="0" w:lastRowLastColumn="0"/>
            </w:pPr>
          </w:p>
        </w:tc>
        <w:tc>
          <w:tcPr>
            <w:tcW w:w="0" w:type="dxa"/>
          </w:tcPr>
          <w:p w14:paraId="18190458" w14:textId="19C619A2" w:rsidR="00051EE6" w:rsidRPr="001306E5" w:rsidRDefault="002770F7" w:rsidP="00051EE6">
            <w:pPr>
              <w:spacing w:after="0" w:line="264" w:lineRule="auto"/>
              <w:cnfStyle w:val="000000000000" w:firstRow="0" w:lastRow="0" w:firstColumn="0" w:lastColumn="0" w:oddVBand="0" w:evenVBand="0" w:oddHBand="0" w:evenHBand="0" w:firstRowFirstColumn="0" w:firstRowLastColumn="0" w:lastRowFirstColumn="0" w:lastRowLastColumn="0"/>
            </w:pPr>
            <w:r w:rsidRPr="002770F7">
              <w:t>Identify and establish links between the PASS initiative and PNG-based organisations to enrich the delivery of activities in specialised knowledge and skills.</w:t>
            </w:r>
          </w:p>
        </w:tc>
        <w:tc>
          <w:tcPr>
            <w:tcW w:w="0" w:type="dxa"/>
          </w:tcPr>
          <w:p w14:paraId="5B0D9C1F" w14:textId="44A8D808" w:rsidR="00051EE6" w:rsidRPr="00913147" w:rsidRDefault="00FC09B0" w:rsidP="00051EE6">
            <w:p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AGREE</w:t>
            </w:r>
          </w:p>
        </w:tc>
        <w:tc>
          <w:tcPr>
            <w:tcW w:w="0" w:type="dxa"/>
          </w:tcPr>
          <w:p w14:paraId="208F4949" w14:textId="626BFDE2" w:rsidR="001306E5" w:rsidRDefault="00C46146" w:rsidP="005609A5">
            <w:pPr>
              <w:spacing w:line="264" w:lineRule="auto"/>
              <w:cnfStyle w:val="000000000000" w:firstRow="0" w:lastRow="0" w:firstColumn="0" w:lastColumn="0" w:oddVBand="0" w:evenVBand="0" w:oddHBand="0" w:evenHBand="0" w:firstRowFirstColumn="0" w:firstRowLastColumn="0" w:lastRowFirstColumn="0" w:lastRowLastColumn="0"/>
            </w:pPr>
            <w:r>
              <w:t>October</w:t>
            </w:r>
            <w:r w:rsidR="005609A5">
              <w:t xml:space="preserve"> 2021</w:t>
            </w:r>
            <w:r>
              <w:t xml:space="preserve"> </w:t>
            </w:r>
            <w:r w:rsidR="001306E5">
              <w:t xml:space="preserve">–January </w:t>
            </w:r>
            <w:r w:rsidR="005609A5">
              <w:t>2022</w:t>
            </w:r>
          </w:p>
          <w:p w14:paraId="0D0496C0" w14:textId="0EE37C93" w:rsidR="00883507" w:rsidRPr="008E5802" w:rsidRDefault="00FC09B0" w:rsidP="008E5802">
            <w:pPr>
              <w:spacing w:line="264" w:lineRule="auto"/>
              <w:cnfStyle w:val="000000000000" w:firstRow="0" w:lastRow="0" w:firstColumn="0" w:lastColumn="0" w:oddVBand="0" w:evenVBand="0" w:oddHBand="0" w:evenHBand="0" w:firstRowFirstColumn="0" w:firstRowLastColumn="0" w:lastRowFirstColumn="0" w:lastRowLastColumn="0"/>
            </w:pPr>
            <w:r>
              <w:t xml:space="preserve">AAPNG to </w:t>
            </w:r>
            <w:r w:rsidR="008E5802">
              <w:t>approac</w:t>
            </w:r>
            <w:r w:rsidR="00155095">
              <w:t>h</w:t>
            </w:r>
            <w:r w:rsidR="008E5802">
              <w:t xml:space="preserve"> PNG based organisations to participate in delivery of </w:t>
            </w:r>
            <w:r w:rsidR="00155095">
              <w:t xml:space="preserve">selected </w:t>
            </w:r>
            <w:r w:rsidR="008E5802">
              <w:t>activities</w:t>
            </w:r>
            <w:r w:rsidR="00883507">
              <w:t xml:space="preserve">. </w:t>
            </w:r>
          </w:p>
        </w:tc>
      </w:tr>
      <w:tr w:rsidR="001B4C69" w:rsidRPr="00B01D45" w14:paraId="14C1178A" w14:textId="0418059E" w:rsidTr="00AD2249">
        <w:trPr>
          <w:cnfStyle w:val="000000100000" w:firstRow="0" w:lastRow="0" w:firstColumn="0" w:lastColumn="0" w:oddVBand="0" w:evenVBand="0" w:oddHBand="1" w:evenHBand="0" w:firstRowFirstColumn="0" w:firstRowLastColumn="0" w:lastRowFirstColumn="0" w:lastRowLastColumn="0"/>
          <w:trHeight w:val="2553"/>
        </w:trPr>
        <w:tc>
          <w:tcPr>
            <w:cnfStyle w:val="001000000000" w:firstRow="0" w:lastRow="0" w:firstColumn="1" w:lastColumn="0" w:oddVBand="0" w:evenVBand="0" w:oddHBand="0" w:evenHBand="0" w:firstRowFirstColumn="0" w:firstRowLastColumn="0" w:lastRowFirstColumn="0" w:lastRowLastColumn="0"/>
            <w:tcW w:w="0" w:type="dxa"/>
          </w:tcPr>
          <w:p w14:paraId="2C11739A" w14:textId="77777777" w:rsidR="00051EE6" w:rsidRPr="00C2467E" w:rsidRDefault="00051EE6" w:rsidP="00051EE6">
            <w:pPr>
              <w:spacing w:after="0" w:line="264" w:lineRule="auto"/>
            </w:pPr>
            <w:r w:rsidRPr="00C2467E">
              <w:t>5.</w:t>
            </w:r>
          </w:p>
        </w:tc>
        <w:tc>
          <w:tcPr>
            <w:tcW w:w="0" w:type="dxa"/>
          </w:tcPr>
          <w:p w14:paraId="4539F3BA" w14:textId="105CE98F" w:rsidR="009A5E45" w:rsidRPr="00C2467E" w:rsidRDefault="00DE5210" w:rsidP="00051EE6">
            <w:pPr>
              <w:spacing w:after="0" w:line="264" w:lineRule="auto"/>
              <w:cnfStyle w:val="000000100000" w:firstRow="0" w:lastRow="0" w:firstColumn="0" w:lastColumn="0" w:oddVBand="0" w:evenVBand="0" w:oddHBand="1" w:evenHBand="0" w:firstRowFirstColumn="0" w:firstRowLastColumn="0" w:lastRowFirstColumn="0" w:lastRowLastColumn="0"/>
            </w:pPr>
            <w:r>
              <w:t>The PASS initiative successfully promoted gender equality through a twin-track approach of: (i) integrating gender equality as part of all activities; and (ii) providing dedicated activities to improve the participation of women – e.g. the Women in Leadership activity.</w:t>
            </w:r>
          </w:p>
        </w:tc>
        <w:tc>
          <w:tcPr>
            <w:tcW w:w="0" w:type="dxa"/>
          </w:tcPr>
          <w:p w14:paraId="348CB323" w14:textId="1E268E24" w:rsidR="00051EE6" w:rsidRPr="00552CED" w:rsidRDefault="002770F7">
            <w:pPr>
              <w:spacing w:after="0" w:line="264" w:lineRule="auto"/>
              <w:cnfStyle w:val="000000100000" w:firstRow="0" w:lastRow="0" w:firstColumn="0" w:lastColumn="0" w:oddVBand="0" w:evenVBand="0" w:oddHBand="1" w:evenHBand="0" w:firstRowFirstColumn="0" w:firstRowLastColumn="0" w:lastRowFirstColumn="0" w:lastRowLastColumn="0"/>
            </w:pPr>
            <w:r w:rsidRPr="002770F7">
              <w:t>Continue to promote gender equality through the twin-track approach of mainstreaming and provision of dedicated activities.</w:t>
            </w:r>
          </w:p>
        </w:tc>
        <w:tc>
          <w:tcPr>
            <w:tcW w:w="0" w:type="dxa"/>
          </w:tcPr>
          <w:p w14:paraId="78382992" w14:textId="147BE898" w:rsidR="00051EE6" w:rsidRPr="00C2467E" w:rsidRDefault="00FC09B0" w:rsidP="00051EE6">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0" w:type="dxa"/>
          </w:tcPr>
          <w:p w14:paraId="7194647B" w14:textId="77777777" w:rsidR="00C46146" w:rsidRDefault="00C46146" w:rsidP="00051EE6">
            <w:pPr>
              <w:spacing w:after="0" w:line="264" w:lineRule="auto"/>
              <w:cnfStyle w:val="000000100000" w:firstRow="0" w:lastRow="0" w:firstColumn="0" w:lastColumn="0" w:oddVBand="0" w:evenVBand="0" w:oddHBand="1" w:evenHBand="0" w:firstRowFirstColumn="0" w:firstRowLastColumn="0" w:lastRowFirstColumn="0" w:lastRowLastColumn="0"/>
            </w:pPr>
            <w:r>
              <w:t>Ongoing (2021-2023)</w:t>
            </w:r>
          </w:p>
          <w:p w14:paraId="47B5532C" w14:textId="2E396B79" w:rsidR="00812673" w:rsidRDefault="00812673" w:rsidP="00051EE6">
            <w:pPr>
              <w:spacing w:after="0" w:line="264" w:lineRule="auto"/>
              <w:cnfStyle w:val="000000100000" w:firstRow="0" w:lastRow="0" w:firstColumn="0" w:lastColumn="0" w:oddVBand="0" w:evenVBand="0" w:oddHBand="1" w:evenHBand="0" w:firstRowFirstColumn="0" w:firstRowLastColumn="0" w:lastRowFirstColumn="0" w:lastRowLastColumn="0"/>
            </w:pPr>
            <w:r>
              <w:t xml:space="preserve">AAPNG to develop a </w:t>
            </w:r>
            <w:r w:rsidR="007412BC">
              <w:t xml:space="preserve">gender </w:t>
            </w:r>
            <w:r>
              <w:t xml:space="preserve">workplan </w:t>
            </w:r>
            <w:r w:rsidR="00155095">
              <w:t xml:space="preserve">to be endorsed by </w:t>
            </w:r>
            <w:r w:rsidR="008C74D3">
              <w:t xml:space="preserve">DFAT </w:t>
            </w:r>
            <w:r w:rsidR="0065468D">
              <w:t xml:space="preserve">and </w:t>
            </w:r>
            <w:proofErr w:type="spellStart"/>
            <w:r w:rsidR="0065468D">
              <w:t>NDoE</w:t>
            </w:r>
            <w:proofErr w:type="spellEnd"/>
            <w:r>
              <w:t xml:space="preserve">. </w:t>
            </w:r>
          </w:p>
          <w:p w14:paraId="541EA798" w14:textId="20C1BEFC" w:rsidR="009871D3" w:rsidRDefault="00812673" w:rsidP="00051EE6">
            <w:pPr>
              <w:spacing w:after="0" w:line="264" w:lineRule="auto"/>
              <w:cnfStyle w:val="000000100000" w:firstRow="0" w:lastRow="0" w:firstColumn="0" w:lastColumn="0" w:oddVBand="0" w:evenVBand="0" w:oddHBand="1" w:evenHBand="0" w:firstRowFirstColumn="0" w:firstRowLastColumn="0" w:lastRowFirstColumn="0" w:lastRowLastColumn="0"/>
            </w:pPr>
            <w:r>
              <w:t xml:space="preserve">Gender activities should be clearly identified and have a specific target. </w:t>
            </w:r>
          </w:p>
          <w:p w14:paraId="289C24EA" w14:textId="7DFB1AA4" w:rsidR="00051EE6" w:rsidRPr="00C2467E" w:rsidRDefault="009871D3" w:rsidP="00051EE6">
            <w:pPr>
              <w:spacing w:after="0" w:line="264" w:lineRule="auto"/>
              <w:cnfStyle w:val="000000100000" w:firstRow="0" w:lastRow="0" w:firstColumn="0" w:lastColumn="0" w:oddVBand="0" w:evenVBand="0" w:oddHBand="1" w:evenHBand="0" w:firstRowFirstColumn="0" w:firstRowLastColumn="0" w:lastRowFirstColumn="0" w:lastRowLastColumn="0"/>
            </w:pPr>
            <w:r>
              <w:t xml:space="preserve">Conduct a rapid gender review and engage a gender advisor to guide the design of future activities. </w:t>
            </w:r>
          </w:p>
        </w:tc>
      </w:tr>
      <w:tr w:rsidR="001B4C69" w:rsidRPr="00B01D45" w14:paraId="67BE43AD" w14:textId="0940E66D" w:rsidTr="00AD2249">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EB0CA18" w14:textId="77777777" w:rsidR="00051EE6" w:rsidRPr="00C2467E" w:rsidRDefault="00051EE6" w:rsidP="00051EE6">
            <w:pPr>
              <w:spacing w:after="0" w:line="264" w:lineRule="auto"/>
            </w:pPr>
            <w:r w:rsidRPr="00C2467E">
              <w:t>6.</w:t>
            </w:r>
          </w:p>
        </w:tc>
        <w:tc>
          <w:tcPr>
            <w:tcW w:w="0" w:type="dxa"/>
          </w:tcPr>
          <w:p w14:paraId="74784B7C" w14:textId="7F4C1E94" w:rsidR="00051EE6" w:rsidRPr="00C2467E" w:rsidRDefault="00DE5210" w:rsidP="00051EE6">
            <w:pPr>
              <w:spacing w:after="0" w:line="264" w:lineRule="auto"/>
              <w:cnfStyle w:val="000000000000" w:firstRow="0" w:lastRow="0" w:firstColumn="0" w:lastColumn="0" w:oddVBand="0" w:evenVBand="0" w:oddHBand="0" w:evenHBand="0" w:firstRowFirstColumn="0" w:firstRowLastColumn="0" w:lastRowFirstColumn="0" w:lastRowLastColumn="0"/>
            </w:pPr>
            <w:r>
              <w:t>Limited progress is observed for disability inclusion in the investment</w:t>
            </w:r>
            <w:r w:rsidR="001B4C69">
              <w:t xml:space="preserve">. This is </w:t>
            </w:r>
            <w:r>
              <w:t xml:space="preserve">in part explained by </w:t>
            </w:r>
            <w:r w:rsidR="001B4C69">
              <w:t xml:space="preserve">the perception that there </w:t>
            </w:r>
            <w:r>
              <w:t xml:space="preserve">are no students or teachers living with a </w:t>
            </w:r>
            <w:r>
              <w:lastRenderedPageBreak/>
              <w:t>disability in the selected PNG schools</w:t>
            </w:r>
            <w:r w:rsidR="001B4C69">
              <w:t xml:space="preserve">. </w:t>
            </w:r>
            <w:r>
              <w:t xml:space="preserve"> </w:t>
            </w:r>
          </w:p>
        </w:tc>
        <w:tc>
          <w:tcPr>
            <w:tcW w:w="0" w:type="dxa"/>
          </w:tcPr>
          <w:p w14:paraId="6591BF4C" w14:textId="263E19D0" w:rsidR="00051EE6" w:rsidRPr="00AD037C" w:rsidRDefault="00051EE6" w:rsidP="00051EE6">
            <w:pPr>
              <w:spacing w:after="0" w:line="264" w:lineRule="auto"/>
              <w:cnfStyle w:val="000000000000" w:firstRow="0" w:lastRow="0" w:firstColumn="0" w:lastColumn="0" w:oddVBand="0" w:evenVBand="0" w:oddHBand="0" w:evenHBand="0" w:firstRowFirstColumn="0" w:firstRowLastColumn="0" w:lastRowFirstColumn="0" w:lastRowLastColumn="0"/>
            </w:pPr>
            <w:r w:rsidRPr="00552CED">
              <w:lastRenderedPageBreak/>
              <w:t xml:space="preserve">Implement Disability Inclusion awareness </w:t>
            </w:r>
            <w:r w:rsidR="00552CED">
              <w:t>activities</w:t>
            </w:r>
            <w:r w:rsidRPr="00552CED">
              <w:t>.</w:t>
            </w:r>
          </w:p>
          <w:p w14:paraId="6F45E710" w14:textId="19EC3927" w:rsidR="00D97713" w:rsidRPr="00552CED" w:rsidRDefault="00D97713" w:rsidP="00051EE6">
            <w:pPr>
              <w:spacing w:after="0" w:line="264" w:lineRule="auto"/>
              <w:cnfStyle w:val="000000000000" w:firstRow="0" w:lastRow="0" w:firstColumn="0" w:lastColumn="0" w:oddVBand="0" w:evenVBand="0" w:oddHBand="0" w:evenHBand="0" w:firstRowFirstColumn="0" w:firstRowLastColumn="0" w:lastRowFirstColumn="0" w:lastRowLastColumn="0"/>
            </w:pPr>
          </w:p>
        </w:tc>
        <w:tc>
          <w:tcPr>
            <w:tcW w:w="0" w:type="dxa"/>
          </w:tcPr>
          <w:p w14:paraId="5A752999" w14:textId="16595327" w:rsidR="0033584F" w:rsidRDefault="00FC09B0" w:rsidP="00051EE6">
            <w:pPr>
              <w:spacing w:after="0" w:line="264" w:lineRule="auto"/>
              <w:cnfStyle w:val="000000000000" w:firstRow="0" w:lastRow="0" w:firstColumn="0" w:lastColumn="0" w:oddVBand="0" w:evenVBand="0" w:oddHBand="0" w:evenHBand="0" w:firstRowFirstColumn="0" w:firstRowLastColumn="0" w:lastRowFirstColumn="0" w:lastRowLastColumn="0"/>
            </w:pPr>
            <w:r>
              <w:t>AGRE</w:t>
            </w:r>
            <w:r w:rsidR="0033584F">
              <w:t>E</w:t>
            </w:r>
          </w:p>
          <w:p w14:paraId="1309C6EE" w14:textId="7BD7CBAB" w:rsidR="0033584F" w:rsidRPr="0033584F" w:rsidRDefault="0033584F" w:rsidP="00051EE6">
            <w:pPr>
              <w:spacing w:after="0" w:line="264" w:lineRule="auto"/>
              <w:cnfStyle w:val="000000000000" w:firstRow="0" w:lastRow="0" w:firstColumn="0" w:lastColumn="0" w:oddVBand="0" w:evenVBand="0" w:oddHBand="0" w:evenHBand="0" w:firstRowFirstColumn="0" w:firstRowLastColumn="0" w:lastRowFirstColumn="0" w:lastRowLastColumn="0"/>
              <w:rPr>
                <w:i/>
                <w:iCs/>
              </w:rPr>
            </w:pPr>
          </w:p>
        </w:tc>
        <w:tc>
          <w:tcPr>
            <w:tcW w:w="0" w:type="dxa"/>
          </w:tcPr>
          <w:p w14:paraId="417541E8" w14:textId="77777777" w:rsidR="00C46146" w:rsidRDefault="00C46146" w:rsidP="00051EE6">
            <w:pPr>
              <w:spacing w:after="0" w:line="264" w:lineRule="auto"/>
              <w:cnfStyle w:val="000000000000" w:firstRow="0" w:lastRow="0" w:firstColumn="0" w:lastColumn="0" w:oddVBand="0" w:evenVBand="0" w:oddHBand="0" w:evenHBand="0" w:firstRowFirstColumn="0" w:firstRowLastColumn="0" w:lastRowFirstColumn="0" w:lastRowLastColumn="0"/>
            </w:pPr>
            <w:r>
              <w:t>Ongoing (2021-2023)</w:t>
            </w:r>
          </w:p>
          <w:p w14:paraId="62C50730" w14:textId="40B65C42" w:rsidR="002F21A8" w:rsidRDefault="00973103" w:rsidP="00051EE6">
            <w:pPr>
              <w:spacing w:after="0" w:line="264" w:lineRule="auto"/>
              <w:cnfStyle w:val="000000000000" w:firstRow="0" w:lastRow="0" w:firstColumn="0" w:lastColumn="0" w:oddVBand="0" w:evenVBand="0" w:oddHBand="0" w:evenHBand="0" w:firstRowFirstColumn="0" w:firstRowLastColumn="0" w:lastRowFirstColumn="0" w:lastRowLastColumn="0"/>
            </w:pPr>
            <w:r>
              <w:t>AAPNG to develop a disability awareness activity</w:t>
            </w:r>
            <w:r w:rsidR="001B4C69">
              <w:t xml:space="preserve"> for students and educators</w:t>
            </w:r>
            <w:r w:rsidR="00883507">
              <w:t xml:space="preserve">. </w:t>
            </w:r>
          </w:p>
          <w:p w14:paraId="19D486AB" w14:textId="73295DE5" w:rsidR="00812673" w:rsidRPr="00C2467E" w:rsidRDefault="00812673" w:rsidP="00051EE6">
            <w:pPr>
              <w:spacing w:after="0" w:line="264" w:lineRule="auto"/>
              <w:cnfStyle w:val="000000000000" w:firstRow="0" w:lastRow="0" w:firstColumn="0" w:lastColumn="0" w:oddVBand="0" w:evenVBand="0" w:oddHBand="0" w:evenHBand="0" w:firstRowFirstColumn="0" w:firstRowLastColumn="0" w:lastRowFirstColumn="0" w:lastRowLastColumn="0"/>
            </w:pPr>
          </w:p>
        </w:tc>
      </w:tr>
      <w:tr w:rsidR="001B4C69" w:rsidRPr="00B01D45" w14:paraId="25B2967A" w14:textId="093F01E6" w:rsidTr="00AD22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09372F39" w14:textId="77777777" w:rsidR="00051EE6" w:rsidRPr="00C2467E" w:rsidRDefault="00051EE6" w:rsidP="00051EE6">
            <w:pPr>
              <w:spacing w:after="0" w:line="264" w:lineRule="auto"/>
            </w:pPr>
            <w:r w:rsidRPr="00C2467E">
              <w:t>7.</w:t>
            </w:r>
          </w:p>
        </w:tc>
        <w:tc>
          <w:tcPr>
            <w:tcW w:w="0" w:type="dxa"/>
          </w:tcPr>
          <w:p w14:paraId="1712CE96" w14:textId="2EFE26AC" w:rsidR="00051EE6" w:rsidRDefault="00051EE6" w:rsidP="00051EE6">
            <w:pPr>
              <w:spacing w:after="0" w:line="264" w:lineRule="auto"/>
              <w:cnfStyle w:val="000000100000" w:firstRow="0" w:lastRow="0" w:firstColumn="0" w:lastColumn="0" w:oddVBand="0" w:evenVBand="0" w:oddHBand="1" w:evenHBand="0" w:firstRowFirstColumn="0" w:firstRowLastColumn="0" w:lastRowFirstColumn="0" w:lastRowLastColumn="0"/>
            </w:pPr>
            <w:r>
              <w:t xml:space="preserve">PNG and Australian teachers and principals expressed </w:t>
            </w:r>
            <w:r w:rsidR="008E5802">
              <w:t>interest in</w:t>
            </w:r>
            <w:r>
              <w:t xml:space="preserve"> co-teach</w:t>
            </w:r>
            <w:r w:rsidR="008E5802">
              <w:t>ing</w:t>
            </w:r>
            <w:r>
              <w:t>/teach</w:t>
            </w:r>
            <w:r w:rsidR="008E5802">
              <w:t>ing</w:t>
            </w:r>
            <w:r>
              <w:t xml:space="preserve"> and collaborate to facilitate learning of students and themselves. </w:t>
            </w:r>
          </w:p>
          <w:p w14:paraId="5CCFE960" w14:textId="21A15250" w:rsidR="00654324" w:rsidRPr="00C2467E" w:rsidRDefault="00654324" w:rsidP="00051EE6">
            <w:pPr>
              <w:spacing w:after="0" w:line="264" w:lineRule="auto"/>
              <w:cnfStyle w:val="000000100000" w:firstRow="0" w:lastRow="0" w:firstColumn="0" w:lastColumn="0" w:oddVBand="0" w:evenVBand="0" w:oddHBand="1" w:evenHBand="0" w:firstRowFirstColumn="0" w:firstRowLastColumn="0" w:lastRowFirstColumn="0" w:lastRowLastColumn="0"/>
            </w:pPr>
          </w:p>
        </w:tc>
        <w:tc>
          <w:tcPr>
            <w:tcW w:w="0" w:type="dxa"/>
          </w:tcPr>
          <w:p w14:paraId="251B5C59" w14:textId="2D8F0580" w:rsidR="00654324" w:rsidRPr="00552CED" w:rsidRDefault="002770F7">
            <w:pPr>
              <w:spacing w:after="0" w:line="264" w:lineRule="auto"/>
              <w:cnfStyle w:val="000000100000" w:firstRow="0" w:lastRow="0" w:firstColumn="0" w:lastColumn="0" w:oddVBand="0" w:evenVBand="0" w:oddHBand="1" w:evenHBand="0" w:firstRowFirstColumn="0" w:firstRowLastColumn="0" w:lastRowFirstColumn="0" w:lastRowLastColumn="0"/>
            </w:pPr>
            <w:r w:rsidRPr="002770F7">
              <w:t>Pursue opportunities for co-design and co-delivery of activities between AAPNG and NDoE, including co-teaching/team-teaching and learning facilitation at the school level.</w:t>
            </w:r>
          </w:p>
        </w:tc>
        <w:tc>
          <w:tcPr>
            <w:tcW w:w="0" w:type="dxa"/>
          </w:tcPr>
          <w:p w14:paraId="0DF221C9" w14:textId="6109B363" w:rsidR="00051EE6" w:rsidRPr="00C2467E" w:rsidRDefault="00FC09B0" w:rsidP="00051EE6">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0" w:type="dxa"/>
          </w:tcPr>
          <w:p w14:paraId="1270B7B3" w14:textId="77777777" w:rsidR="00C46146" w:rsidRDefault="00C46146" w:rsidP="00051EE6">
            <w:pPr>
              <w:spacing w:after="0" w:line="264" w:lineRule="auto"/>
              <w:cnfStyle w:val="000000100000" w:firstRow="0" w:lastRow="0" w:firstColumn="0" w:lastColumn="0" w:oddVBand="0" w:evenVBand="0" w:oddHBand="1" w:evenHBand="0" w:firstRowFirstColumn="0" w:firstRowLastColumn="0" w:lastRowFirstColumn="0" w:lastRowLastColumn="0"/>
            </w:pPr>
            <w:r>
              <w:t>Ongoing (2021-2023)</w:t>
            </w:r>
          </w:p>
          <w:p w14:paraId="0A1820A8" w14:textId="47DD2E6E" w:rsidR="00051EE6" w:rsidRDefault="00812673" w:rsidP="00051EE6">
            <w:pPr>
              <w:spacing w:after="0" w:line="264" w:lineRule="auto"/>
              <w:cnfStyle w:val="000000100000" w:firstRow="0" w:lastRow="0" w:firstColumn="0" w:lastColumn="0" w:oddVBand="0" w:evenVBand="0" w:oddHBand="1" w:evenHBand="0" w:firstRowFirstColumn="0" w:firstRowLastColumn="0" w:lastRowFirstColumn="0" w:lastRowLastColumn="0"/>
            </w:pPr>
            <w:r>
              <w:t xml:space="preserve">Assess </w:t>
            </w:r>
            <w:r w:rsidR="00B05EC8">
              <w:t xml:space="preserve">level of interest and level of support required to </w:t>
            </w:r>
            <w:r w:rsidR="00155095">
              <w:t>implement</w:t>
            </w:r>
            <w:r w:rsidR="0065468D">
              <w:t>.</w:t>
            </w:r>
          </w:p>
          <w:p w14:paraId="51389BBC" w14:textId="4C46028A" w:rsidR="00883507" w:rsidRPr="00C2467E" w:rsidRDefault="00883507" w:rsidP="00051EE6">
            <w:pPr>
              <w:spacing w:after="0" w:line="264" w:lineRule="auto"/>
              <w:cnfStyle w:val="000000100000" w:firstRow="0" w:lastRow="0" w:firstColumn="0" w:lastColumn="0" w:oddVBand="0" w:evenVBand="0" w:oddHBand="1" w:evenHBand="0" w:firstRowFirstColumn="0" w:firstRowLastColumn="0" w:lastRowFirstColumn="0" w:lastRowLastColumn="0"/>
            </w:pPr>
            <w:r>
              <w:t xml:space="preserve">AAPNG to work with schools, PEAs and NDoE to identify aspects of the curriculum that can be delivered in a co-teaching or learning facilitation method.  </w:t>
            </w:r>
          </w:p>
        </w:tc>
      </w:tr>
      <w:tr w:rsidR="001B4C69" w:rsidRPr="00B01D45" w14:paraId="6A48D90C" w14:textId="03BB6A92" w:rsidTr="00AD2249">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F439F7C" w14:textId="77777777" w:rsidR="00051EE6" w:rsidRPr="00C2467E" w:rsidRDefault="00051EE6" w:rsidP="00051EE6">
            <w:pPr>
              <w:spacing w:after="0" w:line="264" w:lineRule="auto"/>
            </w:pPr>
            <w:r w:rsidRPr="00C2467E">
              <w:t>8.</w:t>
            </w:r>
          </w:p>
        </w:tc>
        <w:tc>
          <w:tcPr>
            <w:tcW w:w="0" w:type="dxa"/>
          </w:tcPr>
          <w:p w14:paraId="6CCA1732" w14:textId="3A59BC39" w:rsidR="001B4C69" w:rsidRPr="00AD037C" w:rsidRDefault="001B4C69" w:rsidP="00051EE6">
            <w:pPr>
              <w:spacing w:after="0" w:line="264" w:lineRule="auto"/>
              <w:cnfStyle w:val="000000000000" w:firstRow="0" w:lastRow="0" w:firstColumn="0" w:lastColumn="0" w:oddVBand="0" w:evenVBand="0" w:oddHBand="0" w:evenHBand="0" w:firstRowFirstColumn="0" w:firstRowLastColumn="0" w:lastRowFirstColumn="0" w:lastRowLastColumn="0"/>
              <w:rPr>
                <w:b/>
                <w:bCs/>
              </w:rPr>
            </w:pPr>
            <w:r>
              <w:t>There was improved understanding of leadership concepts. Two activities specifically targeted leadership skills – ‘Women in Leadership’ and ‘Leading Learning’.</w:t>
            </w:r>
          </w:p>
          <w:p w14:paraId="4F5EEF70" w14:textId="6F97AAA2" w:rsidR="005E0794" w:rsidRDefault="00B05EC8" w:rsidP="00051EE6">
            <w:pPr>
              <w:spacing w:after="0" w:line="264" w:lineRule="auto"/>
              <w:cnfStyle w:val="000000000000" w:firstRow="0" w:lastRow="0" w:firstColumn="0" w:lastColumn="0" w:oddVBand="0" w:evenVBand="0" w:oddHBand="0" w:evenHBand="0" w:firstRowFirstColumn="0" w:firstRowLastColumn="0" w:lastRowFirstColumn="0" w:lastRowLastColumn="0"/>
            </w:pPr>
            <w:r>
              <w:t xml:space="preserve">The </w:t>
            </w:r>
            <w:r w:rsidR="00D221BC">
              <w:t xml:space="preserve">Leading Learning activity </w:t>
            </w:r>
            <w:r>
              <w:t>has</w:t>
            </w:r>
            <w:r w:rsidR="00D221BC">
              <w:t xml:space="preserve"> contribute</w:t>
            </w:r>
            <w:r>
              <w:t>d</w:t>
            </w:r>
            <w:r w:rsidR="00D221BC">
              <w:t xml:space="preserve"> to building and strengthening the capabilities of education officials, school leaders and teachers.</w:t>
            </w:r>
          </w:p>
          <w:p w14:paraId="3526906B" w14:textId="33E703F2" w:rsidR="00B34B76" w:rsidRPr="00C2467E" w:rsidRDefault="00B34B76" w:rsidP="00051EE6">
            <w:pPr>
              <w:spacing w:after="0" w:line="264" w:lineRule="auto"/>
              <w:cnfStyle w:val="000000000000" w:firstRow="0" w:lastRow="0" w:firstColumn="0" w:lastColumn="0" w:oddVBand="0" w:evenVBand="0" w:oddHBand="0" w:evenHBand="0" w:firstRowFirstColumn="0" w:firstRowLastColumn="0" w:lastRowFirstColumn="0" w:lastRowLastColumn="0"/>
            </w:pPr>
          </w:p>
        </w:tc>
        <w:tc>
          <w:tcPr>
            <w:tcW w:w="0" w:type="dxa"/>
          </w:tcPr>
          <w:p w14:paraId="704A37BA" w14:textId="4DC5A5DE" w:rsidR="00051EE6" w:rsidRPr="00552CED" w:rsidRDefault="00051EE6" w:rsidP="00051EE6">
            <w:pPr>
              <w:spacing w:after="0" w:line="264" w:lineRule="auto"/>
              <w:cnfStyle w:val="000000000000" w:firstRow="0" w:lastRow="0" w:firstColumn="0" w:lastColumn="0" w:oddVBand="0" w:evenVBand="0" w:oddHBand="0" w:evenHBand="0" w:firstRowFirstColumn="0" w:firstRowLastColumn="0" w:lastRowFirstColumn="0" w:lastRowLastColumn="0"/>
            </w:pPr>
            <w:r w:rsidRPr="00552CED">
              <w:t xml:space="preserve">Continue the Leading Learning programming and open participation to </w:t>
            </w:r>
            <w:r w:rsidR="002770F7">
              <w:t>additional</w:t>
            </w:r>
            <w:r w:rsidR="00B34B76" w:rsidRPr="00552CED">
              <w:t xml:space="preserve"> </w:t>
            </w:r>
            <w:r w:rsidRPr="00552CED">
              <w:t>PNG educators.</w:t>
            </w:r>
          </w:p>
        </w:tc>
        <w:tc>
          <w:tcPr>
            <w:tcW w:w="0" w:type="dxa"/>
          </w:tcPr>
          <w:p w14:paraId="28FCD0B1" w14:textId="379F7C5B" w:rsidR="00051EE6" w:rsidRPr="00C2467E" w:rsidRDefault="00FC09B0" w:rsidP="00051EE6">
            <w:pPr>
              <w:spacing w:after="0" w:line="264" w:lineRule="auto"/>
              <w:cnfStyle w:val="000000000000" w:firstRow="0" w:lastRow="0" w:firstColumn="0" w:lastColumn="0" w:oddVBand="0" w:evenVBand="0" w:oddHBand="0" w:evenHBand="0" w:firstRowFirstColumn="0" w:firstRowLastColumn="0" w:lastRowFirstColumn="0" w:lastRowLastColumn="0"/>
            </w:pPr>
            <w:r>
              <w:t>AGREE</w:t>
            </w:r>
          </w:p>
        </w:tc>
        <w:tc>
          <w:tcPr>
            <w:tcW w:w="0" w:type="dxa"/>
          </w:tcPr>
          <w:p w14:paraId="215835F5" w14:textId="77777777" w:rsidR="00C46146" w:rsidRDefault="00C46146" w:rsidP="00FC09B0">
            <w:pPr>
              <w:spacing w:after="0" w:line="264" w:lineRule="auto"/>
              <w:cnfStyle w:val="000000000000" w:firstRow="0" w:lastRow="0" w:firstColumn="0" w:lastColumn="0" w:oddVBand="0" w:evenVBand="0" w:oddHBand="0" w:evenHBand="0" w:firstRowFirstColumn="0" w:firstRowLastColumn="0" w:lastRowFirstColumn="0" w:lastRowLastColumn="0"/>
            </w:pPr>
            <w:r>
              <w:t>Ongoing (2021-2023)</w:t>
            </w:r>
          </w:p>
          <w:p w14:paraId="5908CFB9" w14:textId="52619AB1" w:rsidR="00FC09B0" w:rsidRDefault="00FC09B0" w:rsidP="00FC09B0">
            <w:pPr>
              <w:spacing w:after="0" w:line="264" w:lineRule="auto"/>
              <w:cnfStyle w:val="000000000000" w:firstRow="0" w:lastRow="0" w:firstColumn="0" w:lastColumn="0" w:oddVBand="0" w:evenVBand="0" w:oddHBand="0" w:evenHBand="0" w:firstRowFirstColumn="0" w:firstRowLastColumn="0" w:lastRowFirstColumn="0" w:lastRowLastColumn="0"/>
            </w:pPr>
            <w:r>
              <w:t xml:space="preserve">Incorporate </w:t>
            </w:r>
            <w:r w:rsidR="00B05EC8">
              <w:t>L</w:t>
            </w:r>
            <w:r w:rsidR="00E80043">
              <w:t xml:space="preserve">eading </w:t>
            </w:r>
            <w:r w:rsidR="00B05EC8">
              <w:t>L</w:t>
            </w:r>
            <w:r w:rsidR="00E80043">
              <w:t xml:space="preserve">earning activity </w:t>
            </w:r>
            <w:r w:rsidR="00AB446D">
              <w:t xml:space="preserve">in the </w:t>
            </w:r>
            <w:r w:rsidR="00B05EC8">
              <w:t>implementation plan</w:t>
            </w:r>
            <w:r w:rsidR="00BA7401">
              <w:t>.</w:t>
            </w:r>
          </w:p>
          <w:p w14:paraId="47F40C66" w14:textId="20BD4C26" w:rsidR="00051EE6" w:rsidRPr="00C2467E" w:rsidRDefault="00051EE6">
            <w:pPr>
              <w:spacing w:after="0" w:line="264" w:lineRule="auto"/>
              <w:cnfStyle w:val="000000000000" w:firstRow="0" w:lastRow="0" w:firstColumn="0" w:lastColumn="0" w:oddVBand="0" w:evenVBand="0" w:oddHBand="0" w:evenHBand="0" w:firstRowFirstColumn="0" w:firstRowLastColumn="0" w:lastRowFirstColumn="0" w:lastRowLastColumn="0"/>
            </w:pPr>
          </w:p>
        </w:tc>
      </w:tr>
      <w:tr w:rsidR="001B4C69" w:rsidRPr="00B01D45" w14:paraId="21DAFCCE" w14:textId="788C8915" w:rsidTr="00AD22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07BB9294" w14:textId="77777777" w:rsidR="00051EE6" w:rsidRPr="00C2467E" w:rsidRDefault="00051EE6" w:rsidP="00051EE6">
            <w:pPr>
              <w:spacing w:after="0" w:line="264" w:lineRule="auto"/>
            </w:pPr>
            <w:r w:rsidRPr="00C2467E">
              <w:lastRenderedPageBreak/>
              <w:t>9.</w:t>
            </w:r>
          </w:p>
        </w:tc>
        <w:tc>
          <w:tcPr>
            <w:tcW w:w="0" w:type="dxa"/>
          </w:tcPr>
          <w:p w14:paraId="3725FB5C" w14:textId="483E0602" w:rsidR="004E6776" w:rsidRDefault="009328B8" w:rsidP="00051EE6">
            <w:pPr>
              <w:spacing w:after="0" w:line="264" w:lineRule="auto"/>
              <w:cnfStyle w:val="000000100000" w:firstRow="0" w:lastRow="0" w:firstColumn="0" w:lastColumn="0" w:oddVBand="0" w:evenVBand="0" w:oddHBand="1" w:evenHBand="0" w:firstRowFirstColumn="0" w:firstRowLastColumn="0" w:lastRowFirstColumn="0" w:lastRowLastColumn="0"/>
            </w:pPr>
            <w:r>
              <w:t>T</w:t>
            </w:r>
            <w:r w:rsidR="003B708E">
              <w:t>he</w:t>
            </w:r>
            <w:r>
              <w:t xml:space="preserve"> </w:t>
            </w:r>
            <w:r w:rsidR="003B708E">
              <w:t>PASS</w:t>
            </w:r>
            <w:r>
              <w:t xml:space="preserve"> focus on</w:t>
            </w:r>
            <w:r w:rsidR="003B708E">
              <w:t xml:space="preserve"> STEM </w:t>
            </w:r>
            <w:r w:rsidR="00086354">
              <w:t>influence</w:t>
            </w:r>
            <w:r>
              <w:t>d</w:t>
            </w:r>
            <w:r w:rsidR="00086354">
              <w:t xml:space="preserve"> NDoE</w:t>
            </w:r>
            <w:r w:rsidR="003B708E">
              <w:t xml:space="preserve"> progress to</w:t>
            </w:r>
            <w:r w:rsidR="00086354">
              <w:t xml:space="preserve"> approv</w:t>
            </w:r>
            <w:r w:rsidR="003B708E">
              <w:t xml:space="preserve">e </w:t>
            </w:r>
            <w:r w:rsidR="00086354">
              <w:t>the Schools of Excellenc</w:t>
            </w:r>
            <w:r w:rsidR="001F47F9">
              <w:t>e</w:t>
            </w:r>
            <w:r w:rsidR="00086354">
              <w:t xml:space="preserve"> Policy and </w:t>
            </w:r>
            <w:r w:rsidR="003B708E">
              <w:t xml:space="preserve">roll-out </w:t>
            </w:r>
            <w:r w:rsidR="00086354">
              <w:t xml:space="preserve">the STEM curriculum. </w:t>
            </w:r>
          </w:p>
          <w:p w14:paraId="62339D01" w14:textId="3CDBB178" w:rsidR="00AB446D" w:rsidRPr="00AD037C" w:rsidRDefault="00AB446D" w:rsidP="00051EE6">
            <w:pPr>
              <w:spacing w:after="0" w:line="264" w:lineRule="auto"/>
              <w:cnfStyle w:val="000000100000" w:firstRow="0" w:lastRow="0" w:firstColumn="0" w:lastColumn="0" w:oddVBand="0" w:evenVBand="0" w:oddHBand="1" w:evenHBand="0" w:firstRowFirstColumn="0" w:firstRowLastColumn="0" w:lastRowFirstColumn="0" w:lastRowLastColumn="0"/>
              <w:rPr>
                <w:i/>
                <w:iCs/>
              </w:rPr>
            </w:pPr>
          </w:p>
        </w:tc>
        <w:tc>
          <w:tcPr>
            <w:tcW w:w="0" w:type="dxa"/>
          </w:tcPr>
          <w:p w14:paraId="1ADABE21" w14:textId="53340F8D" w:rsidR="00051EE6" w:rsidRPr="00AD037C" w:rsidRDefault="00051EE6" w:rsidP="00051EE6">
            <w:pPr>
              <w:spacing w:after="0" w:line="264" w:lineRule="auto"/>
              <w:cnfStyle w:val="000000100000" w:firstRow="0" w:lastRow="0" w:firstColumn="0" w:lastColumn="0" w:oddVBand="0" w:evenVBand="0" w:oddHBand="1" w:evenHBand="0" w:firstRowFirstColumn="0" w:firstRowLastColumn="0" w:lastRowFirstColumn="0" w:lastRowLastColumn="0"/>
            </w:pPr>
            <w:r w:rsidRPr="00552CED">
              <w:t>Align PASS initiative STEM-related efforts with the</w:t>
            </w:r>
            <w:r w:rsidR="002770F7">
              <w:t xml:space="preserve"> new</w:t>
            </w:r>
            <w:r w:rsidRPr="00552CED">
              <w:t xml:space="preserve"> PNG STEM curriculum.</w:t>
            </w:r>
          </w:p>
          <w:p w14:paraId="41F2FCDA" w14:textId="21FA4FF9" w:rsidR="00D97713" w:rsidRPr="00552CED" w:rsidRDefault="00D97713" w:rsidP="00051EE6">
            <w:pPr>
              <w:spacing w:after="0" w:line="264" w:lineRule="auto"/>
              <w:cnfStyle w:val="000000100000" w:firstRow="0" w:lastRow="0" w:firstColumn="0" w:lastColumn="0" w:oddVBand="0" w:evenVBand="0" w:oddHBand="1" w:evenHBand="0" w:firstRowFirstColumn="0" w:firstRowLastColumn="0" w:lastRowFirstColumn="0" w:lastRowLastColumn="0"/>
            </w:pPr>
          </w:p>
        </w:tc>
        <w:tc>
          <w:tcPr>
            <w:tcW w:w="0" w:type="dxa"/>
          </w:tcPr>
          <w:p w14:paraId="50261AFF" w14:textId="050C1F0E" w:rsidR="00051EE6" w:rsidRPr="00C2467E" w:rsidRDefault="00FC09B0" w:rsidP="00051EE6">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0" w:type="dxa"/>
          </w:tcPr>
          <w:p w14:paraId="775A5365" w14:textId="0C336447" w:rsidR="00C46146" w:rsidRDefault="00C46146" w:rsidP="00C46146">
            <w:pPr>
              <w:spacing w:after="0" w:line="264" w:lineRule="auto"/>
              <w:cnfStyle w:val="000000100000" w:firstRow="0" w:lastRow="0" w:firstColumn="0" w:lastColumn="0" w:oddVBand="0" w:evenVBand="0" w:oddHBand="1" w:evenHBand="0" w:firstRowFirstColumn="0" w:firstRowLastColumn="0" w:lastRowFirstColumn="0" w:lastRowLastColumn="0"/>
            </w:pPr>
            <w:r>
              <w:t xml:space="preserve">September </w:t>
            </w:r>
            <w:r w:rsidR="005609A5">
              <w:t xml:space="preserve">- </w:t>
            </w:r>
            <w:r w:rsidR="00E617E9">
              <w:t xml:space="preserve">December </w:t>
            </w:r>
            <w:r w:rsidR="005609A5">
              <w:t>2021</w:t>
            </w:r>
          </w:p>
          <w:p w14:paraId="0C07E7B5" w14:textId="202587EB" w:rsidR="00973103" w:rsidRDefault="00973103" w:rsidP="00C46146">
            <w:pPr>
              <w:spacing w:after="0" w:line="264" w:lineRule="auto"/>
              <w:cnfStyle w:val="000000100000" w:firstRow="0" w:lastRow="0" w:firstColumn="0" w:lastColumn="0" w:oddVBand="0" w:evenVBand="0" w:oddHBand="1" w:evenHBand="0" w:firstRowFirstColumn="0" w:firstRowLastColumn="0" w:lastRowFirstColumn="0" w:lastRowLastColumn="0"/>
            </w:pPr>
            <w:r>
              <w:t>AAPNG to identify STEM related activities for PASS</w:t>
            </w:r>
            <w:r w:rsidR="00FC09B0">
              <w:t xml:space="preserve"> aligned with</w:t>
            </w:r>
            <w:r w:rsidR="009328B8">
              <w:t xml:space="preserve"> STEM</w:t>
            </w:r>
            <w:r w:rsidR="00FC09B0">
              <w:t xml:space="preserve"> curriculum</w:t>
            </w:r>
            <w:r w:rsidR="00BA7401">
              <w:t>.</w:t>
            </w:r>
            <w:r>
              <w:t xml:space="preserve"> </w:t>
            </w:r>
          </w:p>
          <w:p w14:paraId="4273D746" w14:textId="099692D6" w:rsidR="00E80043" w:rsidRPr="00C2467E" w:rsidRDefault="00FA0883" w:rsidP="00BA7401">
            <w:pPr>
              <w:spacing w:after="0" w:line="264" w:lineRule="auto"/>
              <w:cnfStyle w:val="000000100000" w:firstRow="0" w:lastRow="0" w:firstColumn="0" w:lastColumn="0" w:oddVBand="0" w:evenVBand="0" w:oddHBand="1" w:evenHBand="0" w:firstRowFirstColumn="0" w:firstRowLastColumn="0" w:lastRowFirstColumn="0" w:lastRowLastColumn="0"/>
            </w:pPr>
            <w:r>
              <w:t xml:space="preserve">AAPNG </w:t>
            </w:r>
            <w:r w:rsidR="00FC09B0">
              <w:t xml:space="preserve">to </w:t>
            </w:r>
            <w:r w:rsidR="001B4C69">
              <w:t xml:space="preserve">support NDoE </w:t>
            </w:r>
            <w:r w:rsidR="001F47F9">
              <w:t>application of National Schools of Excellence (STEM) policy</w:t>
            </w:r>
            <w:r w:rsidR="007412BC">
              <w:t>.</w:t>
            </w:r>
          </w:p>
        </w:tc>
      </w:tr>
      <w:tr w:rsidR="001B4C69" w:rsidRPr="00B01D45" w14:paraId="20B20208" w14:textId="711680F4" w:rsidTr="00AD2249">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69213ADB" w14:textId="77777777" w:rsidR="00051EE6" w:rsidRPr="00C2467E" w:rsidRDefault="00051EE6" w:rsidP="00051EE6">
            <w:pPr>
              <w:spacing w:after="0" w:line="264" w:lineRule="auto"/>
            </w:pPr>
            <w:r w:rsidRPr="00C2467E">
              <w:t>10.</w:t>
            </w:r>
          </w:p>
        </w:tc>
        <w:tc>
          <w:tcPr>
            <w:tcW w:w="0" w:type="dxa"/>
          </w:tcPr>
          <w:p w14:paraId="355100A8" w14:textId="774F5AC3" w:rsidR="00AB446D" w:rsidRPr="00C2467E" w:rsidRDefault="00D22531">
            <w:pPr>
              <w:spacing w:after="0" w:line="264" w:lineRule="auto"/>
              <w:cnfStyle w:val="000000000000" w:firstRow="0" w:lastRow="0" w:firstColumn="0" w:lastColumn="0" w:oddVBand="0" w:evenVBand="0" w:oddHBand="0" w:evenHBand="0" w:firstRowFirstColumn="0" w:firstRowLastColumn="0" w:lastRowFirstColumn="0" w:lastRowLastColumn="0"/>
            </w:pPr>
            <w:r>
              <w:t xml:space="preserve">The </w:t>
            </w:r>
            <w:r w:rsidR="00EA5FAE">
              <w:t xml:space="preserve">PASS </w:t>
            </w:r>
            <w:r w:rsidR="008D6419">
              <w:t>Learning Bank</w:t>
            </w:r>
            <w:r>
              <w:t xml:space="preserve"> (online resource repository of digital program activities and </w:t>
            </w:r>
            <w:r w:rsidR="007412BC">
              <w:t>other</w:t>
            </w:r>
            <w:r>
              <w:t xml:space="preserve"> websites)</w:t>
            </w:r>
            <w:r w:rsidR="008D6419">
              <w:t xml:space="preserve"> </w:t>
            </w:r>
            <w:r>
              <w:t>that</w:t>
            </w:r>
            <w:r w:rsidR="002F5BA6">
              <w:t xml:space="preserve"> </w:t>
            </w:r>
            <w:r w:rsidR="008D6419">
              <w:t>provides teaching and learning resources for P</w:t>
            </w:r>
            <w:r>
              <w:t>ASS</w:t>
            </w:r>
            <w:r w:rsidR="008D6419">
              <w:t xml:space="preserve"> schools</w:t>
            </w:r>
            <w:r>
              <w:t xml:space="preserve"> should be </w:t>
            </w:r>
            <w:r w:rsidR="007412BC">
              <w:t>expanded</w:t>
            </w:r>
            <w:r>
              <w:t xml:space="preserve"> to wider PNG schools through handover of site management to NDoE following completion of PASS.</w:t>
            </w:r>
          </w:p>
        </w:tc>
        <w:tc>
          <w:tcPr>
            <w:tcW w:w="0" w:type="dxa"/>
          </w:tcPr>
          <w:p w14:paraId="3ADBE376" w14:textId="313CE95B" w:rsidR="003D283B" w:rsidRPr="00552CED" w:rsidRDefault="002770F7" w:rsidP="00051EE6">
            <w:pPr>
              <w:spacing w:after="0" w:line="264" w:lineRule="auto"/>
              <w:cnfStyle w:val="000000000000" w:firstRow="0" w:lastRow="0" w:firstColumn="0" w:lastColumn="0" w:oddVBand="0" w:evenVBand="0" w:oddHBand="0" w:evenHBand="0" w:firstRowFirstColumn="0" w:firstRowLastColumn="0" w:lastRowFirstColumn="0" w:lastRowLastColumn="0"/>
            </w:pPr>
            <w:r w:rsidRPr="002770F7">
              <w:t>Engage in early discussions with the NDoE to sustain the Learning Bank to provide future access to PASS initiative teaching and learning resources.</w:t>
            </w:r>
          </w:p>
        </w:tc>
        <w:tc>
          <w:tcPr>
            <w:tcW w:w="0" w:type="dxa"/>
          </w:tcPr>
          <w:p w14:paraId="08617A64" w14:textId="6765BADC" w:rsidR="00051EE6" w:rsidRPr="00C2467E" w:rsidRDefault="00FC09B0" w:rsidP="00051EE6">
            <w:pPr>
              <w:spacing w:after="0" w:line="264" w:lineRule="auto"/>
              <w:cnfStyle w:val="000000000000" w:firstRow="0" w:lastRow="0" w:firstColumn="0" w:lastColumn="0" w:oddVBand="0" w:evenVBand="0" w:oddHBand="0" w:evenHBand="0" w:firstRowFirstColumn="0" w:firstRowLastColumn="0" w:lastRowFirstColumn="0" w:lastRowLastColumn="0"/>
            </w:pPr>
            <w:r>
              <w:t>AGREE</w:t>
            </w:r>
          </w:p>
        </w:tc>
        <w:tc>
          <w:tcPr>
            <w:tcW w:w="0" w:type="dxa"/>
          </w:tcPr>
          <w:p w14:paraId="075DF965" w14:textId="4FBFF15E" w:rsidR="00883507" w:rsidRPr="00C2467E" w:rsidRDefault="00973103" w:rsidP="00FC09B0">
            <w:pPr>
              <w:spacing w:after="0" w:line="264" w:lineRule="auto"/>
              <w:cnfStyle w:val="000000000000" w:firstRow="0" w:lastRow="0" w:firstColumn="0" w:lastColumn="0" w:oddVBand="0" w:evenVBand="0" w:oddHBand="0" w:evenHBand="0" w:firstRowFirstColumn="0" w:firstRowLastColumn="0" w:lastRowFirstColumn="0" w:lastRowLastColumn="0"/>
            </w:pPr>
            <w:r>
              <w:t>Develop a sustainable plan for the transition</w:t>
            </w:r>
            <w:r w:rsidR="00D22531">
              <w:t xml:space="preserve"> of Learning Bank</w:t>
            </w:r>
            <w:r>
              <w:t xml:space="preserve"> from PASS to NDoE</w:t>
            </w:r>
            <w:r w:rsidR="00D22531">
              <w:t xml:space="preserve"> with sufficient time for</w:t>
            </w:r>
            <w:r w:rsidR="00883507">
              <w:t xml:space="preserve"> handover. </w:t>
            </w:r>
          </w:p>
        </w:tc>
      </w:tr>
      <w:tr w:rsidR="001B4C69" w:rsidRPr="00B01D45" w14:paraId="2DD9586C" w14:textId="3B3548C5" w:rsidTr="00AD22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6804B06A" w14:textId="77777777" w:rsidR="00051EE6" w:rsidRPr="00C2467E" w:rsidRDefault="00051EE6" w:rsidP="00051EE6">
            <w:pPr>
              <w:spacing w:after="0" w:line="264" w:lineRule="auto"/>
            </w:pPr>
            <w:r w:rsidRPr="00C2467E">
              <w:t>11.</w:t>
            </w:r>
          </w:p>
        </w:tc>
        <w:tc>
          <w:tcPr>
            <w:tcW w:w="0" w:type="dxa"/>
          </w:tcPr>
          <w:p w14:paraId="47DA1AE8" w14:textId="783CC0A9" w:rsidR="00051EE6" w:rsidRPr="00C2467E" w:rsidRDefault="002F5BA6">
            <w:pPr>
              <w:spacing w:after="0" w:line="264" w:lineRule="auto"/>
              <w:cnfStyle w:val="000000100000" w:firstRow="0" w:lastRow="0" w:firstColumn="0" w:lastColumn="0" w:oddVBand="0" w:evenVBand="0" w:oddHBand="1" w:evenHBand="0" w:firstRowFirstColumn="0" w:firstRowLastColumn="0" w:lastRowFirstColumn="0" w:lastRowLastColumn="0"/>
            </w:pPr>
            <w:r>
              <w:t>Observations made during the review by those interviewed and by the review team found that students who participate when in Grade 9 continued to be involved with PASS activities in 20</w:t>
            </w:r>
            <w:r w:rsidR="00A97805">
              <w:t>2</w:t>
            </w:r>
            <w:r>
              <w:t>0 and into 2021, while students who were in Grade 11 in 2019 ha</w:t>
            </w:r>
            <w:r w:rsidR="00A97805">
              <w:t>d</w:t>
            </w:r>
            <w:r>
              <w:t xml:space="preserve"> graduated by the </w:t>
            </w:r>
            <w:r>
              <w:lastRenderedPageBreak/>
              <w:t>time of the review. The observation made was that by G</w:t>
            </w:r>
            <w:r w:rsidR="00AA771F">
              <w:t xml:space="preserve">rade 11 </w:t>
            </w:r>
            <w:r>
              <w:t xml:space="preserve">most </w:t>
            </w:r>
            <w:r w:rsidR="008D6419">
              <w:t>students become increasingly focussed on academic and graduation requirements,</w:t>
            </w:r>
            <w:r w:rsidR="00AA771F">
              <w:t xml:space="preserve"> as opposed to </w:t>
            </w:r>
            <w:r w:rsidR="008D6419">
              <w:t xml:space="preserve">Grade 9 </w:t>
            </w:r>
            <w:r w:rsidR="00AA771F">
              <w:t>students</w:t>
            </w:r>
            <w:r w:rsidR="008D6419">
              <w:t xml:space="preserve">. </w:t>
            </w:r>
          </w:p>
        </w:tc>
        <w:tc>
          <w:tcPr>
            <w:tcW w:w="0" w:type="dxa"/>
          </w:tcPr>
          <w:p w14:paraId="16F0C59A" w14:textId="6F31CC36" w:rsidR="00051EE6" w:rsidRPr="00552CED" w:rsidRDefault="00051EE6" w:rsidP="00051EE6">
            <w:pPr>
              <w:spacing w:after="0" w:line="264" w:lineRule="auto"/>
              <w:cnfStyle w:val="000000100000" w:firstRow="0" w:lastRow="0" w:firstColumn="0" w:lastColumn="0" w:oddVBand="0" w:evenVBand="0" w:oddHBand="1" w:evenHBand="0" w:firstRowFirstColumn="0" w:firstRowLastColumn="0" w:lastRowFirstColumn="0" w:lastRowLastColumn="0"/>
            </w:pPr>
            <w:r w:rsidRPr="00552CED">
              <w:lastRenderedPageBreak/>
              <w:t>Engage younger students</w:t>
            </w:r>
            <w:r w:rsidR="00913147" w:rsidRPr="00552CED">
              <w:t xml:space="preserve"> in school partnership activities where possible. </w:t>
            </w:r>
          </w:p>
        </w:tc>
        <w:tc>
          <w:tcPr>
            <w:tcW w:w="0" w:type="dxa"/>
          </w:tcPr>
          <w:p w14:paraId="31E40253" w14:textId="77777777" w:rsidR="00051EE6" w:rsidRDefault="00FC09B0" w:rsidP="00051EE6">
            <w:pPr>
              <w:spacing w:after="0" w:line="264" w:lineRule="auto"/>
              <w:cnfStyle w:val="000000100000" w:firstRow="0" w:lastRow="0" w:firstColumn="0" w:lastColumn="0" w:oddVBand="0" w:evenVBand="0" w:oddHBand="1" w:evenHBand="0" w:firstRowFirstColumn="0" w:firstRowLastColumn="0" w:lastRowFirstColumn="0" w:lastRowLastColumn="0"/>
            </w:pPr>
            <w:r>
              <w:t>DISAGREE</w:t>
            </w:r>
          </w:p>
          <w:p w14:paraId="20312022" w14:textId="068ACF07" w:rsidR="0033584F" w:rsidRPr="0033584F" w:rsidRDefault="00BA7401" w:rsidP="00051EE6">
            <w:pPr>
              <w:spacing w:after="0" w:line="264" w:lineRule="auto"/>
              <w:cnfStyle w:val="000000100000" w:firstRow="0" w:lastRow="0" w:firstColumn="0" w:lastColumn="0" w:oddVBand="0" w:evenVBand="0" w:oddHBand="1" w:evenHBand="0" w:firstRowFirstColumn="0" w:firstRowLastColumn="0" w:lastRowFirstColumn="0" w:lastRowLastColumn="0"/>
              <w:rPr>
                <w:i/>
                <w:iCs/>
              </w:rPr>
            </w:pPr>
            <w:r>
              <w:rPr>
                <w:i/>
                <w:iCs/>
              </w:rPr>
              <w:t xml:space="preserve">PASS already </w:t>
            </w:r>
            <w:r w:rsidR="00D22531">
              <w:rPr>
                <w:i/>
                <w:iCs/>
              </w:rPr>
              <w:t>works</w:t>
            </w:r>
            <w:r>
              <w:rPr>
                <w:i/>
                <w:iCs/>
              </w:rPr>
              <w:t xml:space="preserve"> with the young</w:t>
            </w:r>
            <w:r w:rsidR="00D22531">
              <w:rPr>
                <w:i/>
                <w:iCs/>
              </w:rPr>
              <w:t>er</w:t>
            </w:r>
            <w:r>
              <w:rPr>
                <w:i/>
                <w:iCs/>
              </w:rPr>
              <w:t xml:space="preserve"> students in the partner schools</w:t>
            </w:r>
            <w:r w:rsidR="00D22531">
              <w:rPr>
                <w:i/>
                <w:iCs/>
              </w:rPr>
              <w:t xml:space="preserve"> at the commencement of each cohort</w:t>
            </w:r>
            <w:r>
              <w:rPr>
                <w:i/>
                <w:iCs/>
              </w:rPr>
              <w:t xml:space="preserve">. The </w:t>
            </w:r>
            <w:r w:rsidR="0033584F" w:rsidRPr="0033584F">
              <w:rPr>
                <w:i/>
                <w:iCs/>
              </w:rPr>
              <w:t xml:space="preserve">six </w:t>
            </w:r>
            <w:r w:rsidR="00951D80">
              <w:rPr>
                <w:i/>
                <w:iCs/>
              </w:rPr>
              <w:t>n</w:t>
            </w:r>
            <w:r w:rsidR="0033584F" w:rsidRPr="0033584F">
              <w:rPr>
                <w:i/>
                <w:iCs/>
              </w:rPr>
              <w:t xml:space="preserve">ational high schools (NHS) </w:t>
            </w:r>
            <w:r>
              <w:rPr>
                <w:i/>
                <w:iCs/>
              </w:rPr>
              <w:t xml:space="preserve">are </w:t>
            </w:r>
            <w:r w:rsidR="00951D80">
              <w:rPr>
                <w:i/>
                <w:iCs/>
              </w:rPr>
              <w:t xml:space="preserve">Grade </w:t>
            </w:r>
            <w:r w:rsidR="0033584F" w:rsidRPr="0033584F">
              <w:rPr>
                <w:i/>
                <w:iCs/>
              </w:rPr>
              <w:t>11-12</w:t>
            </w:r>
            <w:r w:rsidR="00951D80">
              <w:rPr>
                <w:i/>
                <w:iCs/>
              </w:rPr>
              <w:t xml:space="preserve"> only</w:t>
            </w:r>
            <w:r w:rsidR="0033584F" w:rsidRPr="0033584F">
              <w:rPr>
                <w:i/>
                <w:iCs/>
              </w:rPr>
              <w:t xml:space="preserve">, </w:t>
            </w:r>
            <w:r>
              <w:rPr>
                <w:i/>
                <w:iCs/>
              </w:rPr>
              <w:t xml:space="preserve">the </w:t>
            </w:r>
            <w:r w:rsidR="0033584F" w:rsidRPr="0033584F">
              <w:rPr>
                <w:i/>
                <w:iCs/>
              </w:rPr>
              <w:t xml:space="preserve">six provincial secondary schools </w:t>
            </w:r>
            <w:r>
              <w:rPr>
                <w:i/>
                <w:iCs/>
              </w:rPr>
              <w:t>are</w:t>
            </w:r>
            <w:r w:rsidR="0033584F" w:rsidRPr="0033584F">
              <w:rPr>
                <w:i/>
                <w:iCs/>
              </w:rPr>
              <w:t xml:space="preserve"> </w:t>
            </w:r>
            <w:r w:rsidR="00951D80">
              <w:rPr>
                <w:i/>
                <w:iCs/>
              </w:rPr>
              <w:t xml:space="preserve">Grade </w:t>
            </w:r>
            <w:r w:rsidR="0033584F" w:rsidRPr="0033584F">
              <w:rPr>
                <w:i/>
                <w:iCs/>
              </w:rPr>
              <w:t xml:space="preserve">9-12. </w:t>
            </w:r>
            <w:r w:rsidR="00D22531">
              <w:rPr>
                <w:i/>
                <w:iCs/>
              </w:rPr>
              <w:t xml:space="preserve">The cohort was not refreshed in 2021 </w:t>
            </w:r>
            <w:r w:rsidR="00D22531">
              <w:rPr>
                <w:i/>
                <w:iCs/>
              </w:rPr>
              <w:lastRenderedPageBreak/>
              <w:t>due to the program disruptions in 2020.</w:t>
            </w:r>
          </w:p>
        </w:tc>
        <w:tc>
          <w:tcPr>
            <w:tcW w:w="0" w:type="dxa"/>
          </w:tcPr>
          <w:p w14:paraId="0635866F" w14:textId="6A53BEF1" w:rsidR="00FC09B0" w:rsidRPr="00C2467E" w:rsidRDefault="00FC09B0" w:rsidP="007A7DBA">
            <w:pPr>
              <w:spacing w:after="0" w:line="264" w:lineRule="auto"/>
              <w:cnfStyle w:val="000000100000" w:firstRow="0" w:lastRow="0" w:firstColumn="0" w:lastColumn="0" w:oddVBand="0" w:evenVBand="0" w:oddHBand="1" w:evenHBand="0" w:firstRowFirstColumn="0" w:firstRowLastColumn="0" w:lastRowFirstColumn="0" w:lastRowLastColumn="0"/>
            </w:pPr>
          </w:p>
        </w:tc>
      </w:tr>
      <w:tr w:rsidR="001B4C69" w:rsidRPr="00B01D45" w14:paraId="798455B5" w14:textId="4E731422" w:rsidTr="00AD2249">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0621F8E9" w14:textId="77777777" w:rsidR="00051EE6" w:rsidRPr="00C2467E" w:rsidRDefault="00051EE6" w:rsidP="00051EE6">
            <w:pPr>
              <w:spacing w:after="0" w:line="264" w:lineRule="auto"/>
            </w:pPr>
            <w:r w:rsidRPr="00C2467E">
              <w:t>12.</w:t>
            </w:r>
          </w:p>
        </w:tc>
        <w:tc>
          <w:tcPr>
            <w:tcW w:w="0" w:type="dxa"/>
          </w:tcPr>
          <w:p w14:paraId="6195CEB1" w14:textId="0E0022E8" w:rsidR="00994181" w:rsidRPr="00C2467E" w:rsidRDefault="008D6419" w:rsidP="007A7DBA">
            <w:pPr>
              <w:spacing w:after="0" w:line="276" w:lineRule="auto"/>
              <w:cnfStyle w:val="000000000000" w:firstRow="0" w:lastRow="0" w:firstColumn="0" w:lastColumn="0" w:oddVBand="0" w:evenVBand="0" w:oddHBand="0" w:evenHBand="0" w:firstRowFirstColumn="0" w:firstRowLastColumn="0" w:lastRowFirstColumn="0" w:lastRowLastColumn="0"/>
            </w:pPr>
            <w:r>
              <w:t xml:space="preserve">The PASS initiative should avoid competing with school requirements </w:t>
            </w:r>
            <w:r w:rsidR="0065468D">
              <w:t>and avoid</w:t>
            </w:r>
            <w:r w:rsidR="00D22531">
              <w:t xml:space="preserve"> teachers and administrators feeling </w:t>
            </w:r>
            <w:r>
              <w:t xml:space="preserve">‘overloaded’. </w:t>
            </w:r>
          </w:p>
        </w:tc>
        <w:tc>
          <w:tcPr>
            <w:tcW w:w="0" w:type="dxa"/>
          </w:tcPr>
          <w:p w14:paraId="6056B5AB" w14:textId="789E268D" w:rsidR="00051EE6" w:rsidRPr="00552CED" w:rsidRDefault="00051EE6" w:rsidP="00051EE6">
            <w:pPr>
              <w:spacing w:after="0" w:line="264" w:lineRule="auto"/>
              <w:cnfStyle w:val="000000000000" w:firstRow="0" w:lastRow="0" w:firstColumn="0" w:lastColumn="0" w:oddVBand="0" w:evenVBand="0" w:oddHBand="0" w:evenHBand="0" w:firstRowFirstColumn="0" w:firstRowLastColumn="0" w:lastRowFirstColumn="0" w:lastRowLastColumn="0"/>
            </w:pPr>
            <w:r w:rsidRPr="00552CED">
              <w:t>Schedule PASS initiative activities as much as possible during school breaks/holidays</w:t>
            </w:r>
            <w:r w:rsidR="008548E5" w:rsidRPr="00552CED">
              <w:t xml:space="preserve">. </w:t>
            </w:r>
          </w:p>
        </w:tc>
        <w:tc>
          <w:tcPr>
            <w:tcW w:w="0" w:type="dxa"/>
          </w:tcPr>
          <w:p w14:paraId="0298176E" w14:textId="1181D171" w:rsidR="00051EE6" w:rsidRPr="00C2467E" w:rsidRDefault="00FC09B0" w:rsidP="00051EE6">
            <w:pPr>
              <w:spacing w:after="0" w:line="264" w:lineRule="auto"/>
              <w:cnfStyle w:val="000000000000" w:firstRow="0" w:lastRow="0" w:firstColumn="0" w:lastColumn="0" w:oddVBand="0" w:evenVBand="0" w:oddHBand="0" w:evenHBand="0" w:firstRowFirstColumn="0" w:firstRowLastColumn="0" w:lastRowFirstColumn="0" w:lastRowLastColumn="0"/>
            </w:pPr>
            <w:r>
              <w:t>AGREE</w:t>
            </w:r>
          </w:p>
        </w:tc>
        <w:tc>
          <w:tcPr>
            <w:tcW w:w="0" w:type="dxa"/>
          </w:tcPr>
          <w:p w14:paraId="366EB330" w14:textId="16E30C4F" w:rsidR="00C46146" w:rsidRDefault="00F36264" w:rsidP="00051EE6">
            <w:pPr>
              <w:spacing w:after="0" w:line="264" w:lineRule="auto"/>
              <w:cnfStyle w:val="000000000000" w:firstRow="0" w:lastRow="0" w:firstColumn="0" w:lastColumn="0" w:oddVBand="0" w:evenVBand="0" w:oddHBand="0" w:evenHBand="0" w:firstRowFirstColumn="0" w:firstRowLastColumn="0" w:lastRowFirstColumn="0" w:lastRowLastColumn="0"/>
            </w:pPr>
            <w:r>
              <w:t>April, July</w:t>
            </w:r>
            <w:r w:rsidR="00C46146">
              <w:t xml:space="preserve"> a</w:t>
            </w:r>
            <w:r>
              <w:t>nd September</w:t>
            </w:r>
            <w:r w:rsidR="00C46146">
              <w:t xml:space="preserve"> </w:t>
            </w:r>
            <w:r w:rsidR="005609A5">
              <w:t xml:space="preserve">2022 </w:t>
            </w:r>
            <w:r>
              <w:t xml:space="preserve">(School breaks) </w:t>
            </w:r>
          </w:p>
          <w:p w14:paraId="6337355F" w14:textId="3647D940" w:rsidR="00973103" w:rsidRDefault="00883507" w:rsidP="00051EE6">
            <w:pPr>
              <w:spacing w:after="0" w:line="264" w:lineRule="auto"/>
              <w:cnfStyle w:val="000000000000" w:firstRow="0" w:lastRow="0" w:firstColumn="0" w:lastColumn="0" w:oddVBand="0" w:evenVBand="0" w:oddHBand="0" w:evenHBand="0" w:firstRowFirstColumn="0" w:firstRowLastColumn="0" w:lastRowFirstColumn="0" w:lastRowLastColumn="0"/>
            </w:pPr>
            <w:r>
              <w:t>AAPNG to s</w:t>
            </w:r>
            <w:r w:rsidR="00973103">
              <w:t>chedule PASS activities over school breaks</w:t>
            </w:r>
            <w:r w:rsidR="00FA0883">
              <w:t xml:space="preserve"> and during teachers’ in-service week</w:t>
            </w:r>
            <w:r w:rsidR="00973103">
              <w:t xml:space="preserve"> where </w:t>
            </w:r>
            <w:r w:rsidR="00FC09B0">
              <w:t>possible</w:t>
            </w:r>
            <w:r w:rsidR="00973103">
              <w:t xml:space="preserve">. </w:t>
            </w:r>
          </w:p>
          <w:p w14:paraId="2FD844F4" w14:textId="4B84ADAC" w:rsidR="00B95FCA" w:rsidRPr="00C2467E" w:rsidRDefault="00B95FCA" w:rsidP="00051EE6">
            <w:pPr>
              <w:spacing w:after="0" w:line="264" w:lineRule="auto"/>
              <w:cnfStyle w:val="000000000000" w:firstRow="0" w:lastRow="0" w:firstColumn="0" w:lastColumn="0" w:oddVBand="0" w:evenVBand="0" w:oddHBand="0" w:evenHBand="0" w:firstRowFirstColumn="0" w:firstRowLastColumn="0" w:lastRowFirstColumn="0" w:lastRowLastColumn="0"/>
            </w:pPr>
          </w:p>
        </w:tc>
      </w:tr>
    </w:tbl>
    <w:p w14:paraId="368308AE" w14:textId="46B54DF2" w:rsidR="009A7BE0" w:rsidRDefault="009A7BE0" w:rsidP="00C37FFA">
      <w:pPr>
        <w:spacing w:after="0" w:line="120" w:lineRule="auto"/>
      </w:pPr>
    </w:p>
    <w:p w14:paraId="347C2285" w14:textId="77777777" w:rsidR="009A7BE0" w:rsidRDefault="009A7BE0">
      <w:pPr>
        <w:suppressAutoHyphens w:val="0"/>
        <w:spacing w:before="0" w:after="120" w:line="440" w:lineRule="atLeast"/>
      </w:pPr>
      <w:r>
        <w:br w:type="page"/>
      </w:r>
    </w:p>
    <w:p w14:paraId="0AC1C528" w14:textId="77777777" w:rsidR="005E6DEC" w:rsidRPr="00BC2458" w:rsidRDefault="005E6DEC" w:rsidP="00C37FFA">
      <w:pPr>
        <w:spacing w:after="0" w:line="120" w:lineRule="auto"/>
      </w:pPr>
    </w:p>
    <w:p w14:paraId="71EA2110" w14:textId="340EE78B" w:rsidR="00C37FFA" w:rsidRDefault="00C37FFA" w:rsidP="009A7BE0">
      <w:pPr>
        <w:pStyle w:val="Heading2"/>
      </w:pPr>
      <w:r>
        <w:t>Recommendations f</w:t>
      </w:r>
      <w:r w:rsidRPr="00A0095D">
        <w:t>or future investments by Australia in secondary education in PNG</w:t>
      </w:r>
    </w:p>
    <w:tbl>
      <w:tblPr>
        <w:tblStyle w:val="GridTable4-Accent1"/>
        <w:tblW w:w="14459" w:type="dxa"/>
        <w:tblLook w:val="04A0" w:firstRow="1" w:lastRow="0" w:firstColumn="1" w:lastColumn="0" w:noHBand="0" w:noVBand="1"/>
      </w:tblPr>
      <w:tblGrid>
        <w:gridCol w:w="526"/>
        <w:gridCol w:w="4446"/>
        <w:gridCol w:w="3399"/>
        <w:gridCol w:w="2550"/>
        <w:gridCol w:w="3538"/>
      </w:tblGrid>
      <w:tr w:rsidR="00AD2249" w:rsidRPr="00B6712F" w14:paraId="4982F25D" w14:textId="77777777" w:rsidTr="009A7BE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8" w:type="dxa"/>
            <w:shd w:val="clear" w:color="auto" w:fill="A2DCD1" w:themeFill="accent1" w:themeFillTint="99"/>
          </w:tcPr>
          <w:p w14:paraId="532154BD" w14:textId="77777777" w:rsidR="00A3217B" w:rsidRPr="00C2467E" w:rsidRDefault="00A3217B" w:rsidP="00A01C90">
            <w:pPr>
              <w:spacing w:after="0" w:line="264" w:lineRule="auto"/>
            </w:pPr>
            <w:r>
              <w:t>No.</w:t>
            </w:r>
          </w:p>
        </w:tc>
        <w:tc>
          <w:tcPr>
            <w:tcW w:w="4454" w:type="dxa"/>
            <w:shd w:val="clear" w:color="auto" w:fill="A2DCD1" w:themeFill="accent1" w:themeFillTint="99"/>
          </w:tcPr>
          <w:p w14:paraId="40BCA795" w14:textId="77777777" w:rsidR="00A3217B" w:rsidRPr="00C2467E"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t>SUMMARY OF KEY FINDINGS</w:t>
            </w:r>
          </w:p>
        </w:tc>
        <w:tc>
          <w:tcPr>
            <w:tcW w:w="3402" w:type="dxa"/>
            <w:shd w:val="clear" w:color="auto" w:fill="A2DCD1" w:themeFill="accent1" w:themeFillTint="99"/>
          </w:tcPr>
          <w:p w14:paraId="2075DF90" w14:textId="77777777" w:rsidR="00A3217B" w:rsidRPr="00C2467E"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t>RECOMMENDATIONS</w:t>
            </w:r>
          </w:p>
        </w:tc>
        <w:tc>
          <w:tcPr>
            <w:tcW w:w="2551" w:type="dxa"/>
            <w:shd w:val="clear" w:color="auto" w:fill="A2DCD1" w:themeFill="accent1" w:themeFillTint="99"/>
          </w:tcPr>
          <w:p w14:paraId="650E6862" w14:textId="77777777" w:rsidR="00A3217B"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rsidRPr="00B6712F">
              <w:rPr>
                <w:sz w:val="24"/>
                <w:szCs w:val="24"/>
              </w:rPr>
              <w:t>RESPONSE (AGREE/PARTIALLY AGREE/DISAGREE)</w:t>
            </w:r>
          </w:p>
        </w:tc>
        <w:tc>
          <w:tcPr>
            <w:tcW w:w="3544" w:type="dxa"/>
            <w:shd w:val="clear" w:color="auto" w:fill="A2DCD1" w:themeFill="accent1" w:themeFillTint="99"/>
          </w:tcPr>
          <w:p w14:paraId="74C765F8" w14:textId="77777777" w:rsidR="00A3217B" w:rsidRPr="00B6712F" w:rsidRDefault="00A3217B" w:rsidP="00A01C90">
            <w:pPr>
              <w:cnfStyle w:val="100000000000" w:firstRow="1" w:lastRow="0" w:firstColumn="0" w:lastColumn="0" w:oddVBand="0" w:evenVBand="0" w:oddHBand="0" w:evenHBand="0" w:firstRowFirstColumn="0" w:firstRowLastColumn="0" w:lastRowFirstColumn="0" w:lastRowLastColumn="0"/>
              <w:rPr>
                <w:sz w:val="24"/>
                <w:szCs w:val="24"/>
              </w:rPr>
            </w:pPr>
            <w:r w:rsidRPr="00B6712F">
              <w:rPr>
                <w:sz w:val="24"/>
                <w:szCs w:val="24"/>
              </w:rPr>
              <w:t>ACTION PLAN AND TIMEFRAME</w:t>
            </w:r>
          </w:p>
          <w:p w14:paraId="2D2041A4" w14:textId="5BF0B8F3" w:rsidR="00A3217B" w:rsidRPr="00B6712F"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C37FFA" w:rsidRPr="00B01D45" w14:paraId="7B349049" w14:textId="64DA4580" w:rsidTr="00AD03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3E034AAA" w14:textId="77777777" w:rsidR="00C37FFA" w:rsidRPr="00C2467E" w:rsidRDefault="00C37FFA" w:rsidP="008D2FB9">
            <w:pPr>
              <w:spacing w:after="0" w:line="264" w:lineRule="auto"/>
            </w:pPr>
            <w:r w:rsidRPr="00C2467E">
              <w:t>13.</w:t>
            </w:r>
          </w:p>
        </w:tc>
        <w:tc>
          <w:tcPr>
            <w:tcW w:w="0" w:type="dxa"/>
          </w:tcPr>
          <w:p w14:paraId="2A172B01" w14:textId="55D99430" w:rsidR="009D357E" w:rsidRDefault="009D357E" w:rsidP="009D357E">
            <w:pPr>
              <w:spacing w:after="0" w:line="276" w:lineRule="auto"/>
              <w:cnfStyle w:val="000000100000" w:firstRow="0" w:lastRow="0" w:firstColumn="0" w:lastColumn="0" w:oddVBand="0" w:evenVBand="0" w:oddHBand="1" w:evenHBand="0" w:firstRowFirstColumn="0" w:firstRowLastColumn="0" w:lastRowFirstColumn="0" w:lastRowLastColumn="0"/>
            </w:pPr>
            <w:r>
              <w:t>Australian support should adopt a long-term perspective to achieve sustainable improvements in secondary education.</w:t>
            </w:r>
          </w:p>
          <w:p w14:paraId="1EFBD815" w14:textId="294110D1" w:rsidR="009D357E" w:rsidRDefault="009D357E" w:rsidP="007A7DBA">
            <w:pPr>
              <w:spacing w:after="0" w:line="276" w:lineRule="auto"/>
              <w:cnfStyle w:val="000000100000" w:firstRow="0" w:lastRow="0" w:firstColumn="0" w:lastColumn="0" w:oddVBand="0" w:evenVBand="0" w:oddHBand="1" w:evenHBand="0" w:firstRowFirstColumn="0" w:firstRowLastColumn="0" w:lastRowFirstColumn="0" w:lastRowLastColumn="0"/>
            </w:pPr>
            <w:r>
              <w:t>Australia will need to consider four companion principles: (i) achieving sustainable change within the secondary education system will take time</w:t>
            </w:r>
            <w:r w:rsidR="005E6DEC">
              <w:t>;</w:t>
            </w:r>
            <w:r>
              <w:t xml:space="preserve"> (ii) designing, testing, and learning from activities to inform change requires a consistent effort, guided by an unfragmented long-term plan; (iii) sustainable change requires a whole-of-system capacity development approach</w:t>
            </w:r>
            <w:r w:rsidR="005E6DEC">
              <w:t>;</w:t>
            </w:r>
            <w:r>
              <w:t xml:space="preserve"> and (iv) support provided must be aligned with and guided by the priorities and existing capacity of the Government of PNG.</w:t>
            </w:r>
          </w:p>
          <w:p w14:paraId="6648CE72" w14:textId="14095224" w:rsidR="009A5E45" w:rsidRPr="00C86EDC" w:rsidRDefault="009D357E" w:rsidP="007A7DBA">
            <w:pPr>
              <w:spacing w:after="0" w:line="276" w:lineRule="auto"/>
              <w:cnfStyle w:val="000000100000" w:firstRow="0" w:lastRow="0" w:firstColumn="0" w:lastColumn="0" w:oddVBand="0" w:evenVBand="0" w:oddHBand="1" w:evenHBand="0" w:firstRowFirstColumn="0" w:firstRowLastColumn="0" w:lastRowFirstColumn="0" w:lastRowLastColumn="0"/>
            </w:pPr>
            <w:r>
              <w:t xml:space="preserve">Australia should initiate dialogue with the Government of PNG to determine the type and scope of future Australian support to secondary education in PNG. </w:t>
            </w:r>
          </w:p>
        </w:tc>
        <w:tc>
          <w:tcPr>
            <w:tcW w:w="0" w:type="dxa"/>
          </w:tcPr>
          <w:p w14:paraId="1F542C4F" w14:textId="6DACB5E6" w:rsidR="00C37FFA" w:rsidRPr="00552CED" w:rsidRDefault="00C37FFA" w:rsidP="008D2FB9">
            <w:pPr>
              <w:spacing w:after="0" w:line="264" w:lineRule="auto"/>
              <w:cnfStyle w:val="000000100000" w:firstRow="0" w:lastRow="0" w:firstColumn="0" w:lastColumn="0" w:oddVBand="0" w:evenVBand="0" w:oddHBand="1" w:evenHBand="0" w:firstRowFirstColumn="0" w:firstRowLastColumn="0" w:lastRowFirstColumn="0" w:lastRowLastColumn="0"/>
            </w:pPr>
            <w:r w:rsidRPr="00552CED">
              <w:t xml:space="preserve">Determine at an early stage the type and scope of future support </w:t>
            </w:r>
            <w:r w:rsidR="002770F7">
              <w:t>by</w:t>
            </w:r>
            <w:r w:rsidRPr="00552CED">
              <w:t xml:space="preserve"> Australia to secondary education in PNG</w:t>
            </w:r>
            <w:r w:rsidR="002770F7">
              <w:t xml:space="preserve"> </w:t>
            </w:r>
            <w:r w:rsidR="002770F7" w:rsidRPr="002770F7">
              <w:t>– guided by the following three recommendations (#14, #15, and #16).</w:t>
            </w:r>
            <w:r w:rsidR="00913147" w:rsidRPr="002770F7">
              <w:t xml:space="preserve"> </w:t>
            </w:r>
            <w:r w:rsidRPr="00552CED">
              <w:t xml:space="preserve"> </w:t>
            </w:r>
          </w:p>
        </w:tc>
        <w:tc>
          <w:tcPr>
            <w:tcW w:w="0" w:type="dxa"/>
          </w:tcPr>
          <w:p w14:paraId="5D8FADCD" w14:textId="71363BD3" w:rsidR="00C37FFA" w:rsidRPr="00C86EDC" w:rsidRDefault="00FC09B0" w:rsidP="008D2FB9">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0" w:type="dxa"/>
          </w:tcPr>
          <w:p w14:paraId="55944E06" w14:textId="1F5BF8E9" w:rsidR="00C37FFA" w:rsidRDefault="00B95FCA" w:rsidP="008D2FB9">
            <w:pPr>
              <w:spacing w:after="0" w:line="264" w:lineRule="auto"/>
              <w:cnfStyle w:val="000000100000" w:firstRow="0" w:lastRow="0" w:firstColumn="0" w:lastColumn="0" w:oddVBand="0" w:evenVBand="0" w:oddHBand="1" w:evenHBand="0" w:firstRowFirstColumn="0" w:firstRowLastColumn="0" w:lastRowFirstColumn="0" w:lastRowLastColumn="0"/>
            </w:pPr>
            <w:r>
              <w:t>April/May</w:t>
            </w:r>
            <w:r w:rsidR="005609A5">
              <w:t xml:space="preserve"> 2022</w:t>
            </w:r>
          </w:p>
          <w:p w14:paraId="40036074" w14:textId="5CE83033" w:rsidR="00913147" w:rsidRDefault="00E62074" w:rsidP="008D2FB9">
            <w:pPr>
              <w:spacing w:after="0" w:line="264" w:lineRule="auto"/>
              <w:cnfStyle w:val="000000100000" w:firstRow="0" w:lastRow="0" w:firstColumn="0" w:lastColumn="0" w:oddVBand="0" w:evenVBand="0" w:oddHBand="1" w:evenHBand="0" w:firstRowFirstColumn="0" w:firstRowLastColumn="0" w:lastRowFirstColumn="0" w:lastRowLastColumn="0"/>
            </w:pPr>
            <w:r>
              <w:t>P</w:t>
            </w:r>
            <w:r w:rsidR="00AE14D8">
              <w:t xml:space="preserve">artnerships for </w:t>
            </w:r>
            <w:r>
              <w:t>I</w:t>
            </w:r>
            <w:r w:rsidR="00AE14D8">
              <w:t xml:space="preserve">mproving </w:t>
            </w:r>
            <w:r>
              <w:t>E</w:t>
            </w:r>
            <w:r w:rsidR="00AE14D8">
              <w:t>ducation</w:t>
            </w:r>
            <w:r>
              <w:t xml:space="preserve"> includes scope for future</w:t>
            </w:r>
            <w:r w:rsidR="005E6DEC">
              <w:t xml:space="preserve"> secondary</w:t>
            </w:r>
            <w:r>
              <w:t xml:space="preserve"> design. </w:t>
            </w:r>
          </w:p>
          <w:p w14:paraId="489C2FB0" w14:textId="00EE36F2" w:rsidR="00940414" w:rsidRDefault="00940414" w:rsidP="008D2FB9">
            <w:pPr>
              <w:spacing w:after="0" w:line="264" w:lineRule="auto"/>
              <w:cnfStyle w:val="000000100000" w:firstRow="0" w:lastRow="0" w:firstColumn="0" w:lastColumn="0" w:oddVBand="0" w:evenVBand="0" w:oddHBand="1" w:evenHBand="0" w:firstRowFirstColumn="0" w:firstRowLastColumn="0" w:lastRowFirstColumn="0" w:lastRowLastColumn="0"/>
            </w:pPr>
          </w:p>
          <w:p w14:paraId="24A92E3F" w14:textId="22EF1242" w:rsidR="00940414" w:rsidRPr="00C86EDC" w:rsidRDefault="00940414" w:rsidP="008D2FB9">
            <w:pPr>
              <w:spacing w:after="0" w:line="264" w:lineRule="auto"/>
              <w:cnfStyle w:val="000000100000" w:firstRow="0" w:lastRow="0" w:firstColumn="0" w:lastColumn="0" w:oddVBand="0" w:evenVBand="0" w:oddHBand="1" w:evenHBand="0" w:firstRowFirstColumn="0" w:firstRowLastColumn="0" w:lastRowFirstColumn="0" w:lastRowLastColumn="0"/>
            </w:pPr>
          </w:p>
        </w:tc>
      </w:tr>
      <w:tr w:rsidR="00C37FFA" w:rsidRPr="00B01D45" w14:paraId="375F2DB9" w14:textId="095FEC33" w:rsidTr="00AD037C">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2A904C90" w14:textId="77777777" w:rsidR="00C37FFA" w:rsidRPr="00C86EDC" w:rsidRDefault="00C37FFA" w:rsidP="008D2FB9">
            <w:pPr>
              <w:spacing w:after="0" w:line="264" w:lineRule="auto"/>
            </w:pPr>
            <w:r w:rsidRPr="00C86EDC">
              <w:t>14.</w:t>
            </w:r>
          </w:p>
        </w:tc>
        <w:tc>
          <w:tcPr>
            <w:tcW w:w="0" w:type="dxa"/>
          </w:tcPr>
          <w:p w14:paraId="777BC276" w14:textId="1B41E7E0" w:rsidR="009D357E" w:rsidRDefault="009D357E" w:rsidP="008D2FB9">
            <w:pPr>
              <w:spacing w:after="0" w:line="264" w:lineRule="auto"/>
              <w:cnfStyle w:val="000000000000" w:firstRow="0" w:lastRow="0" w:firstColumn="0" w:lastColumn="0" w:oddVBand="0" w:evenVBand="0" w:oddHBand="0" w:evenHBand="0" w:firstRowFirstColumn="0" w:firstRowLastColumn="0" w:lastRowFirstColumn="0" w:lastRowLastColumn="0"/>
            </w:pPr>
            <w:r>
              <w:t xml:space="preserve">From a sustainable development perspective, Australia’s investment in secondary education in PNG will need to adopt an approach that supports and builds sustainable capacity at all levels of the education system. This approach is consistent with the system strengthening priority of </w:t>
            </w:r>
            <w:r w:rsidR="008C74D3">
              <w:t>DFAT’s PNG</w:t>
            </w:r>
            <w:r>
              <w:t xml:space="preserve"> Education and </w:t>
            </w:r>
            <w:r>
              <w:lastRenderedPageBreak/>
              <w:t xml:space="preserve">Leadership Portfolio Plan 2018–2022. Australia’s support can and should be provided to build and strengthen PNG’s education system from a whole-of-system perspective – and this support will need a long-term commitment. </w:t>
            </w:r>
          </w:p>
          <w:p w14:paraId="294E0DAA" w14:textId="6018FC43" w:rsidR="009D357E" w:rsidRPr="00C2467E" w:rsidRDefault="009D357E" w:rsidP="008D2FB9">
            <w:pPr>
              <w:spacing w:after="0" w:line="264" w:lineRule="auto"/>
              <w:cnfStyle w:val="000000000000" w:firstRow="0" w:lastRow="0" w:firstColumn="0" w:lastColumn="0" w:oddVBand="0" w:evenVBand="0" w:oddHBand="0" w:evenHBand="0" w:firstRowFirstColumn="0" w:firstRowLastColumn="0" w:lastRowFirstColumn="0" w:lastRowLastColumn="0"/>
            </w:pPr>
          </w:p>
        </w:tc>
        <w:tc>
          <w:tcPr>
            <w:tcW w:w="0" w:type="dxa"/>
          </w:tcPr>
          <w:p w14:paraId="7CD5F684" w14:textId="3FAA501B" w:rsidR="00C37FFA" w:rsidRPr="00C86EDC" w:rsidRDefault="002770F7" w:rsidP="008D2FB9">
            <w:pPr>
              <w:spacing w:after="0" w:line="264" w:lineRule="auto"/>
              <w:cnfStyle w:val="000000000000" w:firstRow="0" w:lastRow="0" w:firstColumn="0" w:lastColumn="0" w:oddVBand="0" w:evenVBand="0" w:oddHBand="0" w:evenHBand="0" w:firstRowFirstColumn="0" w:firstRowLastColumn="0" w:lastRowFirstColumn="0" w:lastRowLastColumn="0"/>
            </w:pPr>
            <w:r w:rsidRPr="002770F7">
              <w:lastRenderedPageBreak/>
              <w:t>Shift from the current PASS initiative model to a longer-term, whole-of-system, capacity development model, in which lessons from implementation inform policy and systems reform.</w:t>
            </w:r>
          </w:p>
        </w:tc>
        <w:tc>
          <w:tcPr>
            <w:tcW w:w="0" w:type="dxa"/>
          </w:tcPr>
          <w:p w14:paraId="7381AF5B" w14:textId="77777777" w:rsidR="00C37FFA" w:rsidRDefault="00FC09B0" w:rsidP="008D2FB9">
            <w:pPr>
              <w:spacing w:after="0" w:line="264" w:lineRule="auto"/>
              <w:cnfStyle w:val="000000000000" w:firstRow="0" w:lastRow="0" w:firstColumn="0" w:lastColumn="0" w:oddVBand="0" w:evenVBand="0" w:oddHBand="0" w:evenHBand="0" w:firstRowFirstColumn="0" w:firstRowLastColumn="0" w:lastRowFirstColumn="0" w:lastRowLastColumn="0"/>
            </w:pPr>
            <w:r>
              <w:t>PARTIALLY AGREE</w:t>
            </w:r>
          </w:p>
          <w:p w14:paraId="0D3A8C93" w14:textId="4198B17C" w:rsidR="007320B6" w:rsidRPr="0086569C" w:rsidRDefault="00C46146" w:rsidP="008D2FB9">
            <w:pPr>
              <w:spacing w:after="0" w:line="264" w:lineRule="auto"/>
              <w:cnfStyle w:val="000000000000" w:firstRow="0" w:lastRow="0" w:firstColumn="0" w:lastColumn="0" w:oddVBand="0" w:evenVBand="0" w:oddHBand="0" w:evenHBand="0" w:firstRowFirstColumn="0" w:firstRowLastColumn="0" w:lastRowFirstColumn="0" w:lastRowLastColumn="0"/>
              <w:rPr>
                <w:i/>
                <w:iCs/>
              </w:rPr>
            </w:pPr>
            <w:r w:rsidRPr="0086569C">
              <w:rPr>
                <w:i/>
                <w:iCs/>
              </w:rPr>
              <w:t xml:space="preserve">Future secondary education investment is also dependent on the GoPNG priority identified in the PNG National </w:t>
            </w:r>
            <w:r w:rsidRPr="0086569C">
              <w:rPr>
                <w:i/>
                <w:iCs/>
              </w:rPr>
              <w:lastRenderedPageBreak/>
              <w:t>Education Plan</w:t>
            </w:r>
            <w:r w:rsidR="00B373F2">
              <w:rPr>
                <w:i/>
                <w:iCs/>
              </w:rPr>
              <w:t xml:space="preserve"> and in line with other investments in the ELPP including new Partnerships for Improving Education design.</w:t>
            </w:r>
          </w:p>
        </w:tc>
        <w:tc>
          <w:tcPr>
            <w:tcW w:w="0" w:type="dxa"/>
          </w:tcPr>
          <w:p w14:paraId="45A262C2" w14:textId="4A69352C" w:rsidR="00C37FFA" w:rsidRDefault="00B95FCA" w:rsidP="008D2FB9">
            <w:pPr>
              <w:spacing w:after="0" w:line="264" w:lineRule="auto"/>
              <w:cnfStyle w:val="000000000000" w:firstRow="0" w:lastRow="0" w:firstColumn="0" w:lastColumn="0" w:oddVBand="0" w:evenVBand="0" w:oddHBand="0" w:evenHBand="0" w:firstRowFirstColumn="0" w:firstRowLastColumn="0" w:lastRowFirstColumn="0" w:lastRowLastColumn="0"/>
            </w:pPr>
            <w:r>
              <w:lastRenderedPageBreak/>
              <w:t xml:space="preserve">June/ July </w:t>
            </w:r>
            <w:r w:rsidR="005609A5">
              <w:t>2022</w:t>
            </w:r>
          </w:p>
          <w:p w14:paraId="60DA5B2C" w14:textId="03CFDF2C" w:rsidR="008F623C" w:rsidRDefault="008F623C" w:rsidP="008D2FB9">
            <w:pPr>
              <w:spacing w:after="0" w:line="264" w:lineRule="auto"/>
              <w:cnfStyle w:val="000000000000" w:firstRow="0" w:lastRow="0" w:firstColumn="0" w:lastColumn="0" w:oddVBand="0" w:evenVBand="0" w:oddHBand="0" w:evenHBand="0" w:firstRowFirstColumn="0" w:firstRowLastColumn="0" w:lastRowFirstColumn="0" w:lastRowLastColumn="0"/>
            </w:pPr>
            <w:r>
              <w:t>Include secondary education in the P</w:t>
            </w:r>
            <w:r w:rsidR="008B5969">
              <w:t xml:space="preserve">artnerships for </w:t>
            </w:r>
            <w:r>
              <w:t>I</w:t>
            </w:r>
            <w:r w:rsidR="008B5969">
              <w:t xml:space="preserve">mproving </w:t>
            </w:r>
            <w:r>
              <w:t>E</w:t>
            </w:r>
            <w:r w:rsidR="008B5969">
              <w:t>ducation</w:t>
            </w:r>
            <w:r>
              <w:t xml:space="preserve"> design. </w:t>
            </w:r>
          </w:p>
          <w:p w14:paraId="3FF514AE" w14:textId="26CDE303" w:rsidR="00B95FCA" w:rsidRPr="00C2467E" w:rsidRDefault="00B95FCA" w:rsidP="008D2FB9">
            <w:pPr>
              <w:spacing w:after="0" w:line="264" w:lineRule="auto"/>
              <w:cnfStyle w:val="000000000000" w:firstRow="0" w:lastRow="0" w:firstColumn="0" w:lastColumn="0" w:oddVBand="0" w:evenVBand="0" w:oddHBand="0" w:evenHBand="0" w:firstRowFirstColumn="0" w:firstRowLastColumn="0" w:lastRowFirstColumn="0" w:lastRowLastColumn="0"/>
            </w:pPr>
            <w:r>
              <w:t xml:space="preserve">Internally discuss priority area of secondary education under overall </w:t>
            </w:r>
            <w:r w:rsidR="009D357E">
              <w:lastRenderedPageBreak/>
              <w:t>Education and Leadership Portfolio Plan</w:t>
            </w:r>
            <w:r w:rsidR="00FC09B0">
              <w:t xml:space="preserve"> including public diplomacy aims.</w:t>
            </w:r>
            <w:r w:rsidR="00801CB4">
              <w:t xml:space="preserve"> </w:t>
            </w:r>
          </w:p>
        </w:tc>
      </w:tr>
      <w:tr w:rsidR="00C37FFA" w:rsidRPr="00B01D45" w14:paraId="60EBDEDC" w14:textId="38271ADF" w:rsidTr="00AD03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5969F124" w14:textId="77777777" w:rsidR="00C37FFA" w:rsidRPr="00C86EDC" w:rsidRDefault="00C37FFA" w:rsidP="008D2FB9">
            <w:pPr>
              <w:spacing w:after="0" w:line="264" w:lineRule="auto"/>
            </w:pPr>
            <w:r w:rsidRPr="00C86EDC">
              <w:lastRenderedPageBreak/>
              <w:t>15.</w:t>
            </w:r>
          </w:p>
        </w:tc>
        <w:tc>
          <w:tcPr>
            <w:tcW w:w="0" w:type="dxa"/>
          </w:tcPr>
          <w:p w14:paraId="321C262E" w14:textId="60663B00" w:rsidR="00C37FFA" w:rsidRDefault="007A78C2" w:rsidP="008D2FB9">
            <w:pPr>
              <w:spacing w:after="0" w:line="264" w:lineRule="auto"/>
              <w:cnfStyle w:val="000000100000" w:firstRow="0" w:lastRow="0" w:firstColumn="0" w:lastColumn="0" w:oddVBand="0" w:evenVBand="0" w:oddHBand="1" w:evenHBand="0" w:firstRowFirstColumn="0" w:firstRowLastColumn="0" w:lastRowFirstColumn="0" w:lastRowLastColumn="0"/>
            </w:pPr>
            <w:r>
              <w:t xml:space="preserve">PASS initiative focuses on </w:t>
            </w:r>
            <w:r w:rsidR="005E6DEC">
              <w:t>‘</w:t>
            </w:r>
            <w:r>
              <w:t>connections</w:t>
            </w:r>
            <w:r w:rsidR="005E6DEC">
              <w:t>’</w:t>
            </w:r>
            <w:r>
              <w:t xml:space="preserve"> between PNG and Australian schools. There would be considerable benefit in extending the ‘connections’ in place at the school level to other levels within the PNG and Australian education systems.</w:t>
            </w:r>
          </w:p>
          <w:p w14:paraId="667FFB11" w14:textId="64351EE5" w:rsidR="006E2373" w:rsidRPr="00C86EDC" w:rsidRDefault="006E2373" w:rsidP="008D2FB9">
            <w:pPr>
              <w:spacing w:after="0" w:line="264" w:lineRule="auto"/>
              <w:cnfStyle w:val="000000100000" w:firstRow="0" w:lastRow="0" w:firstColumn="0" w:lastColumn="0" w:oddVBand="0" w:evenVBand="0" w:oddHBand="1" w:evenHBand="0" w:firstRowFirstColumn="0" w:firstRowLastColumn="0" w:lastRowFirstColumn="0" w:lastRowLastColumn="0"/>
            </w:pPr>
          </w:p>
        </w:tc>
        <w:tc>
          <w:tcPr>
            <w:tcW w:w="0" w:type="dxa"/>
          </w:tcPr>
          <w:p w14:paraId="589EC49C" w14:textId="0962F95A" w:rsidR="00C37FFA" w:rsidRPr="00552CED" w:rsidRDefault="00C37FFA" w:rsidP="008D2FB9">
            <w:pPr>
              <w:spacing w:after="0" w:line="264" w:lineRule="auto"/>
              <w:cnfStyle w:val="000000100000" w:firstRow="0" w:lastRow="0" w:firstColumn="0" w:lastColumn="0" w:oddVBand="0" w:evenVBand="0" w:oddHBand="1" w:evenHBand="0" w:firstRowFirstColumn="0" w:firstRowLastColumn="0" w:lastRowFirstColumn="0" w:lastRowLastColumn="0"/>
            </w:pPr>
            <w:r w:rsidRPr="00552CED">
              <w:t xml:space="preserve">Establish ‘twinning’ arrangements at different levels </w:t>
            </w:r>
            <w:r w:rsidR="00F06B41" w:rsidRPr="00552CED">
              <w:t>of</w:t>
            </w:r>
            <w:r w:rsidRPr="00552CED">
              <w:t xml:space="preserve"> PNG and Australia</w:t>
            </w:r>
            <w:r w:rsidR="002770F7">
              <w:t xml:space="preserve"> education systems. </w:t>
            </w:r>
          </w:p>
          <w:p w14:paraId="5054D13D" w14:textId="0F12A05D" w:rsidR="00C86E70" w:rsidRPr="00C86EDC" w:rsidRDefault="00C86E70" w:rsidP="008D2FB9">
            <w:pPr>
              <w:spacing w:after="0" w:line="264" w:lineRule="auto"/>
              <w:cnfStyle w:val="000000100000" w:firstRow="0" w:lastRow="0" w:firstColumn="0" w:lastColumn="0" w:oddVBand="0" w:evenVBand="0" w:oddHBand="1" w:evenHBand="0" w:firstRowFirstColumn="0" w:firstRowLastColumn="0" w:lastRowFirstColumn="0" w:lastRowLastColumn="0"/>
            </w:pPr>
          </w:p>
        </w:tc>
        <w:tc>
          <w:tcPr>
            <w:tcW w:w="0" w:type="dxa"/>
          </w:tcPr>
          <w:p w14:paraId="03F208D0" w14:textId="3504B3A2" w:rsidR="00C46146" w:rsidRDefault="00FC09B0" w:rsidP="008D2FB9">
            <w:pPr>
              <w:spacing w:after="0" w:line="264" w:lineRule="auto"/>
              <w:cnfStyle w:val="000000100000" w:firstRow="0" w:lastRow="0" w:firstColumn="0" w:lastColumn="0" w:oddVBand="0" w:evenVBand="0" w:oddHBand="1" w:evenHBand="0" w:firstRowFirstColumn="0" w:firstRowLastColumn="0" w:lastRowFirstColumn="0" w:lastRowLastColumn="0"/>
            </w:pPr>
            <w:r>
              <w:t>AGREE</w:t>
            </w:r>
          </w:p>
          <w:p w14:paraId="2EDE85DC" w14:textId="1F558D52" w:rsidR="00C46146" w:rsidRPr="0086569C" w:rsidRDefault="00C46146" w:rsidP="008D2FB9">
            <w:pPr>
              <w:spacing w:after="0" w:line="264" w:lineRule="auto"/>
              <w:cnfStyle w:val="000000100000" w:firstRow="0" w:lastRow="0" w:firstColumn="0" w:lastColumn="0" w:oddVBand="0" w:evenVBand="0" w:oddHBand="1" w:evenHBand="0" w:firstRowFirstColumn="0" w:firstRowLastColumn="0" w:lastRowFirstColumn="0" w:lastRowLastColumn="0"/>
              <w:rPr>
                <w:i/>
                <w:iCs/>
              </w:rPr>
            </w:pPr>
          </w:p>
        </w:tc>
        <w:tc>
          <w:tcPr>
            <w:tcW w:w="0" w:type="dxa"/>
          </w:tcPr>
          <w:p w14:paraId="7F3EEFDA" w14:textId="7348D3D5" w:rsidR="00746E77" w:rsidRDefault="00746E77" w:rsidP="008D2FB9">
            <w:pPr>
              <w:spacing w:after="0" w:line="264" w:lineRule="auto"/>
              <w:cnfStyle w:val="000000100000" w:firstRow="0" w:lastRow="0" w:firstColumn="0" w:lastColumn="0" w:oddVBand="0" w:evenVBand="0" w:oddHBand="1" w:evenHBand="0" w:firstRowFirstColumn="0" w:firstRowLastColumn="0" w:lastRowFirstColumn="0" w:lastRowLastColumn="0"/>
            </w:pPr>
            <w:r>
              <w:t>Q1 2023</w:t>
            </w:r>
          </w:p>
          <w:p w14:paraId="4F3EB7AD" w14:textId="60F59FAE" w:rsidR="00C37FFA" w:rsidRPr="00C86EDC" w:rsidRDefault="00FC09B0" w:rsidP="008D2FB9">
            <w:pPr>
              <w:spacing w:after="0" w:line="264" w:lineRule="auto"/>
              <w:cnfStyle w:val="000000100000" w:firstRow="0" w:lastRow="0" w:firstColumn="0" w:lastColumn="0" w:oddVBand="0" w:evenVBand="0" w:oddHBand="1" w:evenHBand="0" w:firstRowFirstColumn="0" w:firstRowLastColumn="0" w:lastRowFirstColumn="0" w:lastRowLastColumn="0"/>
            </w:pPr>
            <w:r>
              <w:t xml:space="preserve">A new design for future engagement in secondary should </w:t>
            </w:r>
            <w:r w:rsidR="00B373F2">
              <w:t xml:space="preserve">explore the </w:t>
            </w:r>
            <w:r w:rsidR="006A675C">
              <w:t xml:space="preserve">value for money </w:t>
            </w:r>
            <w:r w:rsidR="00B373F2">
              <w:t xml:space="preserve">proposition of twinning arrangements as an activity to achieve </w:t>
            </w:r>
            <w:r w:rsidR="006A675C">
              <w:t>end of program outcomes</w:t>
            </w:r>
            <w:r w:rsidR="00B373F2">
              <w:t>.</w:t>
            </w:r>
          </w:p>
        </w:tc>
      </w:tr>
      <w:tr w:rsidR="00C37FFA" w:rsidRPr="00B01D45" w14:paraId="251611C1" w14:textId="34193972" w:rsidTr="00AD037C">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53D1859F" w14:textId="77777777" w:rsidR="00C37FFA" w:rsidRPr="00C86EDC" w:rsidRDefault="00C37FFA" w:rsidP="008D2FB9">
            <w:pPr>
              <w:spacing w:after="0" w:line="264" w:lineRule="auto"/>
            </w:pPr>
            <w:r w:rsidRPr="00C86EDC">
              <w:t>16.</w:t>
            </w:r>
          </w:p>
        </w:tc>
        <w:tc>
          <w:tcPr>
            <w:tcW w:w="0" w:type="dxa"/>
          </w:tcPr>
          <w:p w14:paraId="6437878C" w14:textId="60911695" w:rsidR="006A675C" w:rsidRDefault="006A675C" w:rsidP="001D7A4D">
            <w:pPr>
              <w:spacing w:after="0" w:line="264" w:lineRule="auto"/>
              <w:cnfStyle w:val="000000000000" w:firstRow="0" w:lastRow="0" w:firstColumn="0" w:lastColumn="0" w:oddVBand="0" w:evenVBand="0" w:oddHBand="0" w:evenHBand="0" w:firstRowFirstColumn="0" w:firstRowLastColumn="0" w:lastRowFirstColumn="0" w:lastRowLastColumn="0"/>
            </w:pPr>
            <w:r>
              <w:t>The demand for quality secondary education in PNG outstrips the current ability of the Government of PNG to meet those demands. Population growth, economic imperatives for a knowledgeable and skilled workforce, and a government budget that is under pressure require that others be engaged in supporting the delivery of secondary education</w:t>
            </w:r>
            <w:r w:rsidR="008B5969">
              <w:t>.</w:t>
            </w:r>
          </w:p>
          <w:p w14:paraId="76F5F0B4" w14:textId="2B19E297" w:rsidR="00061CD8" w:rsidRPr="00AD037C" w:rsidRDefault="006A675C" w:rsidP="008D2FB9">
            <w:pPr>
              <w:spacing w:after="0" w:line="264" w:lineRule="auto"/>
              <w:cnfStyle w:val="000000000000" w:firstRow="0" w:lastRow="0" w:firstColumn="0" w:lastColumn="0" w:oddVBand="0" w:evenVBand="0" w:oddHBand="0" w:evenHBand="0" w:firstRowFirstColumn="0" w:firstRowLastColumn="0" w:lastRowFirstColumn="0" w:lastRowLastColumn="0"/>
              <w:rPr>
                <w:i/>
                <w:iCs/>
              </w:rPr>
            </w:pPr>
            <w:r>
              <w:t xml:space="preserve">Future Australian investments in secondary education should model engagement with communities, civil society, the private sector, church agencies, bilateral donors, and multilateral agencies potentially through the </w:t>
            </w:r>
            <w:r>
              <w:lastRenderedPageBreak/>
              <w:t>Local Education Group (Global Partnership for Education).</w:t>
            </w:r>
          </w:p>
        </w:tc>
        <w:tc>
          <w:tcPr>
            <w:tcW w:w="0" w:type="dxa"/>
          </w:tcPr>
          <w:p w14:paraId="28000D97" w14:textId="396E9A51" w:rsidR="00C37FFA" w:rsidRPr="00552CED" w:rsidRDefault="002770F7" w:rsidP="008D2FB9">
            <w:pPr>
              <w:spacing w:after="0" w:line="264" w:lineRule="auto"/>
              <w:cnfStyle w:val="000000000000" w:firstRow="0" w:lastRow="0" w:firstColumn="0" w:lastColumn="0" w:oddVBand="0" w:evenVBand="0" w:oddHBand="0" w:evenHBand="0" w:firstRowFirstColumn="0" w:firstRowLastColumn="0" w:lastRowFirstColumn="0" w:lastRowLastColumn="0"/>
            </w:pPr>
            <w:r w:rsidRPr="002770F7">
              <w:lastRenderedPageBreak/>
              <w:t>Support the NDoE and PDoEs to engage with other organisations in PNG to support improvements in secondary education – expanding access to specialised knowledge and skills, as well as resources.</w:t>
            </w:r>
          </w:p>
        </w:tc>
        <w:tc>
          <w:tcPr>
            <w:tcW w:w="0" w:type="dxa"/>
          </w:tcPr>
          <w:p w14:paraId="1601B86E" w14:textId="74FA9EBE" w:rsidR="00C37FFA" w:rsidRPr="00C86EDC" w:rsidRDefault="00FC09B0" w:rsidP="008D2FB9">
            <w:pPr>
              <w:spacing w:after="0" w:line="264" w:lineRule="auto"/>
              <w:cnfStyle w:val="000000000000" w:firstRow="0" w:lastRow="0" w:firstColumn="0" w:lastColumn="0" w:oddVBand="0" w:evenVBand="0" w:oddHBand="0" w:evenHBand="0" w:firstRowFirstColumn="0" w:firstRowLastColumn="0" w:lastRowFirstColumn="0" w:lastRowLastColumn="0"/>
            </w:pPr>
            <w:r>
              <w:t>AGREE</w:t>
            </w:r>
          </w:p>
        </w:tc>
        <w:tc>
          <w:tcPr>
            <w:tcW w:w="0" w:type="dxa"/>
          </w:tcPr>
          <w:p w14:paraId="369CA4EE" w14:textId="77777777" w:rsidR="00B373F2" w:rsidRDefault="00F36264" w:rsidP="008D2FB9">
            <w:pPr>
              <w:spacing w:after="0" w:line="264" w:lineRule="auto"/>
              <w:cnfStyle w:val="000000000000" w:firstRow="0" w:lastRow="0" w:firstColumn="0" w:lastColumn="0" w:oddVBand="0" w:evenVBand="0" w:oddHBand="0" w:evenHBand="0" w:firstRowFirstColumn="0" w:firstRowLastColumn="0" w:lastRowFirstColumn="0" w:lastRowLastColumn="0"/>
            </w:pPr>
            <w:r>
              <w:t xml:space="preserve">Ongoing. </w:t>
            </w:r>
          </w:p>
          <w:p w14:paraId="6649078A" w14:textId="4C256DB0" w:rsidR="00B95FCA" w:rsidRDefault="00B95FCA" w:rsidP="008D2FB9">
            <w:pPr>
              <w:spacing w:after="0" w:line="264" w:lineRule="auto"/>
              <w:cnfStyle w:val="000000000000" w:firstRow="0" w:lastRow="0" w:firstColumn="0" w:lastColumn="0" w:oddVBand="0" w:evenVBand="0" w:oddHBand="0" w:evenHBand="0" w:firstRowFirstColumn="0" w:firstRowLastColumn="0" w:lastRowFirstColumn="0" w:lastRowLastColumn="0"/>
            </w:pPr>
            <w:r>
              <w:t>Identify relevant organisations that can support</w:t>
            </w:r>
            <w:r w:rsidR="00B373F2">
              <w:t xml:space="preserve"> quality </w:t>
            </w:r>
            <w:r w:rsidR="006A675C">
              <w:t xml:space="preserve">secondary </w:t>
            </w:r>
            <w:r w:rsidR="00B373F2">
              <w:t>education delivery by</w:t>
            </w:r>
            <w:r>
              <w:t xml:space="preserve"> NDoE and PDoE</w:t>
            </w:r>
            <w:r w:rsidR="00962C2C">
              <w:t>.</w:t>
            </w:r>
          </w:p>
          <w:p w14:paraId="46BD9CD6" w14:textId="598EF336" w:rsidR="006A675C" w:rsidRPr="00C86EDC" w:rsidRDefault="006A675C" w:rsidP="008D2FB9">
            <w:pPr>
              <w:spacing w:after="0" w:line="264" w:lineRule="auto"/>
              <w:cnfStyle w:val="000000000000" w:firstRow="0" w:lastRow="0" w:firstColumn="0" w:lastColumn="0" w:oddVBand="0" w:evenVBand="0" w:oddHBand="0" w:evenHBand="0" w:firstRowFirstColumn="0" w:firstRowLastColumn="0" w:lastRowFirstColumn="0" w:lastRowLastColumn="0"/>
            </w:pPr>
            <w:r>
              <w:t xml:space="preserve">Establish the PASS </w:t>
            </w:r>
            <w:r w:rsidR="00962C2C">
              <w:t>Stakeholder and Technical Working Group in October 2021 to model this collaboration.</w:t>
            </w:r>
          </w:p>
        </w:tc>
      </w:tr>
    </w:tbl>
    <w:p w14:paraId="12D922F6" w14:textId="77777777" w:rsidR="002318E6" w:rsidRPr="00F70441" w:rsidRDefault="002318E6">
      <w:pPr>
        <w:rPr>
          <w:rFonts w:cstheme="minorHAnsi"/>
          <w:sz w:val="20"/>
          <w:szCs w:val="20"/>
        </w:rPr>
      </w:pPr>
    </w:p>
    <w:sectPr w:rsidR="002318E6" w:rsidRPr="00F70441" w:rsidSect="007412B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91" w:right="1701" w:bottom="993"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F4936" w14:textId="77777777" w:rsidR="00C76278" w:rsidRDefault="00C76278" w:rsidP="00D37B04">
      <w:r>
        <w:separator/>
      </w:r>
    </w:p>
  </w:endnote>
  <w:endnote w:type="continuationSeparator" w:id="0">
    <w:p w14:paraId="22B7A612" w14:textId="77777777" w:rsidR="00C76278" w:rsidRDefault="00C7627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860B4" w14:textId="77777777" w:rsidR="00A32C57" w:rsidRDefault="00A32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429426290"/>
      <w:docPartObj>
        <w:docPartGallery w:val="Page Numbers (Bottom of Page)"/>
        <w:docPartUnique/>
      </w:docPartObj>
    </w:sdtPr>
    <w:sdtEndPr/>
    <w:sdtContent>
      <w:p w14:paraId="4D878E17" w14:textId="42A5F1A7" w:rsidR="001D7A4D" w:rsidRPr="00AD037C" w:rsidRDefault="001D7A4D">
        <w:pPr>
          <w:pStyle w:val="Footer"/>
          <w:jc w:val="right"/>
          <w:rPr>
            <w:color w:val="auto"/>
          </w:rPr>
        </w:pPr>
        <w:r w:rsidRPr="00AD037C">
          <w:rPr>
            <w:color w:val="auto"/>
          </w:rPr>
          <w:t xml:space="preserve">Page | </w:t>
        </w:r>
        <w:r w:rsidRPr="00AD037C">
          <w:rPr>
            <w:color w:val="auto"/>
          </w:rPr>
          <w:fldChar w:fldCharType="begin"/>
        </w:r>
        <w:r w:rsidRPr="00AD037C">
          <w:rPr>
            <w:color w:val="auto"/>
          </w:rPr>
          <w:instrText xml:space="preserve"> PAGE   \* MERGEFORMAT </w:instrText>
        </w:r>
        <w:r w:rsidRPr="00AD037C">
          <w:rPr>
            <w:color w:val="auto"/>
          </w:rPr>
          <w:fldChar w:fldCharType="separate"/>
        </w:r>
        <w:r w:rsidRPr="00AD037C">
          <w:rPr>
            <w:noProof/>
            <w:color w:val="auto"/>
          </w:rPr>
          <w:t>2</w:t>
        </w:r>
        <w:r w:rsidRPr="00AD037C">
          <w:rPr>
            <w:noProof/>
            <w:color w:val="auto"/>
          </w:rPr>
          <w:fldChar w:fldCharType="end"/>
        </w:r>
        <w:r w:rsidRPr="00AD037C">
          <w:rPr>
            <w:color w:val="auto"/>
          </w:rPr>
          <w:t xml:space="preserve"> </w:t>
        </w:r>
      </w:p>
    </w:sdtContent>
  </w:sdt>
  <w:p w14:paraId="033EC7FD" w14:textId="11C85592" w:rsidR="001561D3" w:rsidRPr="00FC322F" w:rsidRDefault="001561D3" w:rsidP="00AD037C">
    <w:pPr>
      <w:pStyle w:val="Footer"/>
      <w:ind w:right="-882"/>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rPr>
      <w:id w:val="-932667260"/>
      <w:docPartObj>
        <w:docPartGallery w:val="Page Numbers (Bottom of Page)"/>
        <w:docPartUnique/>
      </w:docPartObj>
    </w:sdtPr>
    <w:sdtEndPr>
      <w:rPr>
        <w:color w:val="FFFFFF" w:themeColor="background1"/>
      </w:rPr>
    </w:sdtEndPr>
    <w:sdtContent>
      <w:p w14:paraId="4ADB18AB" w14:textId="3E2C8080" w:rsidR="001D7A4D" w:rsidRDefault="001D7A4D">
        <w:pPr>
          <w:pStyle w:val="Footer"/>
          <w:jc w:val="right"/>
        </w:pPr>
        <w:r w:rsidRPr="00A32C57">
          <w:rPr>
            <w:color w:val="000000" w:themeColor="text1"/>
          </w:rPr>
          <w:t xml:space="preserve">Page | </w:t>
        </w:r>
        <w:r w:rsidRPr="00A32C57">
          <w:rPr>
            <w:color w:val="000000" w:themeColor="text1"/>
          </w:rPr>
          <w:fldChar w:fldCharType="begin"/>
        </w:r>
        <w:r w:rsidRPr="00A32C57">
          <w:rPr>
            <w:color w:val="000000" w:themeColor="text1"/>
          </w:rPr>
          <w:instrText xml:space="preserve"> PAGE   \* MERGEFORMAT </w:instrText>
        </w:r>
        <w:r w:rsidRPr="00A32C57">
          <w:rPr>
            <w:color w:val="000000" w:themeColor="text1"/>
          </w:rPr>
          <w:fldChar w:fldCharType="separate"/>
        </w:r>
        <w:r w:rsidRPr="00A32C57">
          <w:rPr>
            <w:noProof/>
            <w:color w:val="000000" w:themeColor="text1"/>
          </w:rPr>
          <w:t>2</w:t>
        </w:r>
        <w:r w:rsidRPr="00A32C57">
          <w:rPr>
            <w:noProof/>
            <w:color w:val="000000" w:themeColor="text1"/>
          </w:rPr>
          <w:fldChar w:fldCharType="end"/>
        </w:r>
        <w:r>
          <w:t xml:space="preserve"> </w:t>
        </w:r>
      </w:p>
    </w:sdtContent>
  </w:sdt>
  <w:p w14:paraId="331C0C93" w14:textId="77777777" w:rsidR="001D7A4D" w:rsidRDefault="001D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D01B0" w14:textId="77777777" w:rsidR="00C76278" w:rsidRPr="008C5A0E" w:rsidRDefault="00C76278" w:rsidP="00D37B04">
      <w:pPr>
        <w:pStyle w:val="Footer"/>
      </w:pPr>
    </w:p>
  </w:footnote>
  <w:footnote w:type="continuationSeparator" w:id="0">
    <w:p w14:paraId="00B336C6" w14:textId="77777777" w:rsidR="00C76278" w:rsidRDefault="00C7627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413C" w14:textId="77777777" w:rsidR="00A32C57" w:rsidRDefault="00A32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3DF0" w14:textId="46E24458" w:rsidR="001561D3" w:rsidRPr="000854FD" w:rsidRDefault="001561D3" w:rsidP="002D5B25">
    <w:pPr>
      <w:pStyle w:val="Header"/>
    </w:pPr>
    <w:r w:rsidRPr="00943730">
      <w:rPr>
        <w:noProof/>
        <w:lang w:val="en-AU" w:eastAsia="en-AU"/>
      </w:rPr>
      <w:drawing>
        <wp:anchor distT="0" distB="0" distL="114300" distR="114300" simplePos="0" relativeHeight="251662336" behindDoc="1" locked="1" layoutInCell="1" allowOverlap="1" wp14:anchorId="0BEC0D8C" wp14:editId="3934DD9A">
          <wp:simplePos x="0" y="0"/>
          <wp:positionH relativeFrom="page">
            <wp:posOffset>13970</wp:posOffset>
          </wp:positionH>
          <wp:positionV relativeFrom="page">
            <wp:align>top</wp:align>
          </wp:positionV>
          <wp:extent cx="10425430" cy="1069276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2543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41711" w14:textId="604B77B4" w:rsidR="001561D3" w:rsidRPr="00943730" w:rsidRDefault="001561D3" w:rsidP="00943730">
    <w:pPr>
      <w:pStyle w:val="Header"/>
    </w:pPr>
    <w:r>
      <w:t xml:space="preserve">    </w:t>
    </w:r>
    <w:r w:rsidRPr="00943730">
      <w:fldChar w:fldCharType="begin"/>
    </w:r>
    <w:r w:rsidRPr="00943730">
      <w:instrText xml:space="preserve"> DATE  \@ "MMMM yyyy"  \* MERGEFORMAT </w:instrText>
    </w:r>
    <w:r w:rsidRPr="00943730">
      <w:fldChar w:fldCharType="separate"/>
    </w:r>
    <w:r w:rsidR="00A32C57">
      <w:rPr>
        <w:noProof/>
      </w:rPr>
      <w:t>October 2021</w:t>
    </w:r>
    <w:r w:rsidRPr="00943730">
      <w:fldChar w:fldCharType="end"/>
    </w:r>
    <w:r w:rsidRPr="00943730">
      <w:rPr>
        <w:noProof/>
        <w:lang w:val="en-AU" w:eastAsia="en-AU"/>
      </w:rPr>
      <w:drawing>
        <wp:anchor distT="0" distB="0" distL="114300" distR="114300" simplePos="0" relativeHeight="251657216" behindDoc="1" locked="1" layoutInCell="1" allowOverlap="1" wp14:anchorId="297E378B" wp14:editId="3C26295F">
          <wp:simplePos x="0" y="0"/>
          <wp:positionH relativeFrom="page">
            <wp:posOffset>1252855</wp:posOffset>
          </wp:positionH>
          <wp:positionV relativeFrom="margin">
            <wp:align>top</wp:align>
          </wp:positionV>
          <wp:extent cx="3166745" cy="5543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40E6E509" wp14:editId="1F0E05D8">
          <wp:simplePos x="0" y="0"/>
          <wp:positionH relativeFrom="margin">
            <wp:align>center</wp:align>
          </wp:positionH>
          <wp:positionV relativeFrom="page">
            <wp:align>top</wp:align>
          </wp:positionV>
          <wp:extent cx="10339070" cy="10692130"/>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339070" cy="10692130"/>
                  </a:xfrm>
                  <a:prstGeom prst="rect">
                    <a:avLst/>
                  </a:prstGeom>
                </pic:spPr>
              </pic:pic>
            </a:graphicData>
          </a:graphic>
          <wp14:sizeRelH relativeFrom="margin">
            <wp14:pctWidth>0</wp14:pctWidth>
          </wp14:sizeRelH>
          <wp14:sizeRelV relativeFrom="margin">
            <wp14:pctHeight>0</wp14:pctHeight>
          </wp14:sizeRelV>
        </wp:anchor>
      </w:drawing>
    </w:r>
    <w:r w:rsidR="00241E6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A5CE8"/>
    <w:multiLevelType w:val="hybridMultilevel"/>
    <w:tmpl w:val="8F4AAF26"/>
    <w:lvl w:ilvl="0" w:tplc="66067EA2">
      <w:start w:val="1"/>
      <w:numFmt w:val="bullet"/>
      <w:lvlText w:val=""/>
      <w:lvlJc w:val="left"/>
      <w:pPr>
        <w:ind w:left="284" w:hanging="11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110DFE"/>
    <w:multiLevelType w:val="hybridMultilevel"/>
    <w:tmpl w:val="BD16AAB2"/>
    <w:lvl w:ilvl="0" w:tplc="3F343B00">
      <w:start w:val="1"/>
      <w:numFmt w:val="decimal"/>
      <w:pStyle w:val="Bulletlist1HDMES"/>
      <w:lvlText w:val="%1."/>
      <w:lvlJc w:val="left"/>
      <w:pPr>
        <w:ind w:left="360" w:hanging="360"/>
      </w:pPr>
      <w:rPr>
        <w:rFonts w:hint="default"/>
        <w:b w:val="0"/>
        <w:i w:val="0"/>
        <w:sz w:val="22"/>
        <w:szCs w:val="3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9F16722"/>
    <w:multiLevelType w:val="hybridMultilevel"/>
    <w:tmpl w:val="AAE0E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F16A5B"/>
    <w:multiLevelType w:val="hybridMultilevel"/>
    <w:tmpl w:val="197AA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EB10600"/>
    <w:multiLevelType w:val="hybridMultilevel"/>
    <w:tmpl w:val="BFA82880"/>
    <w:lvl w:ilvl="0" w:tplc="16A640BC">
      <w:start w:val="1"/>
      <w:numFmt w:val="bullet"/>
      <w:lvlText w:val=""/>
      <w:lvlJc w:val="left"/>
      <w:pPr>
        <w:ind w:left="284" w:firstLine="76"/>
      </w:pPr>
      <w:rPr>
        <w:rFonts w:ascii="Symbol" w:hAnsi="Symbol" w:hint="default"/>
        <w:position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BA126D"/>
    <w:multiLevelType w:val="hybridMultilevel"/>
    <w:tmpl w:val="0DDE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31171"/>
    <w:multiLevelType w:val="hybridMultilevel"/>
    <w:tmpl w:val="962A5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553D9F"/>
    <w:multiLevelType w:val="multilevel"/>
    <w:tmpl w:val="A6FA45D0"/>
    <w:numStyleLink w:val="BulletsList"/>
  </w:abstractNum>
  <w:abstractNum w:abstractNumId="22" w15:restartNumberingAfterBreak="0">
    <w:nsid w:val="533552CF"/>
    <w:multiLevelType w:val="hybridMultilevel"/>
    <w:tmpl w:val="D116D228"/>
    <w:lvl w:ilvl="0" w:tplc="179E9086">
      <w:start w:val="1"/>
      <w:numFmt w:val="decimal"/>
      <w:pStyle w:val="Numberedlist1HDMES"/>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9944073"/>
    <w:multiLevelType w:val="hybridMultilevel"/>
    <w:tmpl w:val="992E1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3C1EA7"/>
    <w:multiLevelType w:val="multilevel"/>
    <w:tmpl w:val="A6FA45D0"/>
    <w:numStyleLink w:val="BulletsList"/>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8750E5E"/>
    <w:multiLevelType w:val="hybridMultilevel"/>
    <w:tmpl w:val="DCB48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397320"/>
    <w:multiLevelType w:val="hybridMultilevel"/>
    <w:tmpl w:val="E27AE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7"/>
  </w:num>
  <w:num w:numId="23">
    <w:abstractNumId w:val="17"/>
  </w:num>
  <w:num w:numId="24">
    <w:abstractNumId w:val="25"/>
  </w:num>
  <w:num w:numId="25">
    <w:abstractNumId w:val="25"/>
  </w:num>
  <w:num w:numId="26">
    <w:abstractNumId w:val="25"/>
  </w:num>
  <w:num w:numId="27">
    <w:abstractNumId w:val="23"/>
  </w:num>
  <w:num w:numId="28">
    <w:abstractNumId w:val="12"/>
  </w:num>
  <w:num w:numId="29">
    <w:abstractNumId w:val="12"/>
  </w:num>
  <w:num w:numId="30">
    <w:abstractNumId w:val="12"/>
  </w:num>
  <w:num w:numId="31">
    <w:abstractNumId w:val="14"/>
  </w:num>
  <w:num w:numId="32">
    <w:abstractNumId w:val="30"/>
  </w:num>
  <w:num w:numId="33">
    <w:abstractNumId w:val="21"/>
  </w:num>
  <w:num w:numId="34">
    <w:abstractNumId w:val="16"/>
  </w:num>
  <w:num w:numId="35">
    <w:abstractNumId w:val="18"/>
  </w:num>
  <w:num w:numId="36">
    <w:abstractNumId w:val="24"/>
  </w:num>
  <w:num w:numId="37">
    <w:abstractNumId w:val="15"/>
  </w:num>
  <w:num w:numId="38">
    <w:abstractNumId w:val="19"/>
  </w:num>
  <w:num w:numId="39">
    <w:abstractNumId w:val="10"/>
  </w:num>
  <w:num w:numId="40">
    <w:abstractNumId w:val="27"/>
  </w:num>
  <w:num w:numId="41">
    <w:abstractNumId w:val="20"/>
  </w:num>
  <w:num w:numId="42">
    <w:abstractNumId w:val="28"/>
  </w:num>
  <w:num w:numId="43">
    <w:abstractNumId w:val="11"/>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55"/>
    <w:rsid w:val="00001DA8"/>
    <w:rsid w:val="000020C1"/>
    <w:rsid w:val="000118A8"/>
    <w:rsid w:val="0001300D"/>
    <w:rsid w:val="000154B4"/>
    <w:rsid w:val="0002080A"/>
    <w:rsid w:val="000272DA"/>
    <w:rsid w:val="0002782F"/>
    <w:rsid w:val="00030CCC"/>
    <w:rsid w:val="00032AE8"/>
    <w:rsid w:val="00035BBF"/>
    <w:rsid w:val="00045ECB"/>
    <w:rsid w:val="00046F30"/>
    <w:rsid w:val="000470DC"/>
    <w:rsid w:val="00050806"/>
    <w:rsid w:val="00051EE6"/>
    <w:rsid w:val="0005248A"/>
    <w:rsid w:val="000546D9"/>
    <w:rsid w:val="00054E4D"/>
    <w:rsid w:val="00060073"/>
    <w:rsid w:val="000616C6"/>
    <w:rsid w:val="00061CD8"/>
    <w:rsid w:val="00071E60"/>
    <w:rsid w:val="00073DCD"/>
    <w:rsid w:val="000854FD"/>
    <w:rsid w:val="00086354"/>
    <w:rsid w:val="0008795D"/>
    <w:rsid w:val="00090FBA"/>
    <w:rsid w:val="000923F9"/>
    <w:rsid w:val="00096723"/>
    <w:rsid w:val="000A33FA"/>
    <w:rsid w:val="000A75B0"/>
    <w:rsid w:val="000B259D"/>
    <w:rsid w:val="000B37F5"/>
    <w:rsid w:val="000B4F63"/>
    <w:rsid w:val="000D5D79"/>
    <w:rsid w:val="000D66D6"/>
    <w:rsid w:val="000E3937"/>
    <w:rsid w:val="000F023F"/>
    <w:rsid w:val="000F2E22"/>
    <w:rsid w:val="001127D7"/>
    <w:rsid w:val="00113288"/>
    <w:rsid w:val="00114F5D"/>
    <w:rsid w:val="001214BE"/>
    <w:rsid w:val="0012165C"/>
    <w:rsid w:val="001306E5"/>
    <w:rsid w:val="001308BF"/>
    <w:rsid w:val="0013101C"/>
    <w:rsid w:val="00137E6D"/>
    <w:rsid w:val="00143F6B"/>
    <w:rsid w:val="00145C10"/>
    <w:rsid w:val="001461D6"/>
    <w:rsid w:val="001541EA"/>
    <w:rsid w:val="00155095"/>
    <w:rsid w:val="001561D3"/>
    <w:rsid w:val="00156639"/>
    <w:rsid w:val="001627C9"/>
    <w:rsid w:val="001631FC"/>
    <w:rsid w:val="00163FA4"/>
    <w:rsid w:val="001740F9"/>
    <w:rsid w:val="00197484"/>
    <w:rsid w:val="001B2F7E"/>
    <w:rsid w:val="001B4C69"/>
    <w:rsid w:val="001B7CD5"/>
    <w:rsid w:val="001C6CEB"/>
    <w:rsid w:val="001D663E"/>
    <w:rsid w:val="001D7435"/>
    <w:rsid w:val="001D7A4D"/>
    <w:rsid w:val="001E1DC0"/>
    <w:rsid w:val="001F47F9"/>
    <w:rsid w:val="00203277"/>
    <w:rsid w:val="00205B2E"/>
    <w:rsid w:val="00214D8D"/>
    <w:rsid w:val="002318E6"/>
    <w:rsid w:val="0023426C"/>
    <w:rsid w:val="00241E69"/>
    <w:rsid w:val="00246ED6"/>
    <w:rsid w:val="002528A4"/>
    <w:rsid w:val="00252C04"/>
    <w:rsid w:val="00252F15"/>
    <w:rsid w:val="00262164"/>
    <w:rsid w:val="002770F7"/>
    <w:rsid w:val="0028602A"/>
    <w:rsid w:val="00293456"/>
    <w:rsid w:val="00294FB1"/>
    <w:rsid w:val="002A4720"/>
    <w:rsid w:val="002B14E7"/>
    <w:rsid w:val="002B3E6A"/>
    <w:rsid w:val="002B5E10"/>
    <w:rsid w:val="002C0CB8"/>
    <w:rsid w:val="002C2A60"/>
    <w:rsid w:val="002C51CD"/>
    <w:rsid w:val="002C793D"/>
    <w:rsid w:val="002D5B25"/>
    <w:rsid w:val="002E1E50"/>
    <w:rsid w:val="002F21A8"/>
    <w:rsid w:val="002F410C"/>
    <w:rsid w:val="002F4F2B"/>
    <w:rsid w:val="002F5BA6"/>
    <w:rsid w:val="002F7D82"/>
    <w:rsid w:val="002F7EA6"/>
    <w:rsid w:val="003002C0"/>
    <w:rsid w:val="00301144"/>
    <w:rsid w:val="00302CE1"/>
    <w:rsid w:val="00303164"/>
    <w:rsid w:val="003031C6"/>
    <w:rsid w:val="00304984"/>
    <w:rsid w:val="0030720A"/>
    <w:rsid w:val="00312BF8"/>
    <w:rsid w:val="003148B7"/>
    <w:rsid w:val="003158C3"/>
    <w:rsid w:val="00317A5C"/>
    <w:rsid w:val="003258DB"/>
    <w:rsid w:val="003274CD"/>
    <w:rsid w:val="0032768E"/>
    <w:rsid w:val="00331FF5"/>
    <w:rsid w:val="00333501"/>
    <w:rsid w:val="003338BB"/>
    <w:rsid w:val="0033584F"/>
    <w:rsid w:val="00337BBB"/>
    <w:rsid w:val="00345336"/>
    <w:rsid w:val="003457C4"/>
    <w:rsid w:val="0035119D"/>
    <w:rsid w:val="003614FF"/>
    <w:rsid w:val="0036200C"/>
    <w:rsid w:val="00376425"/>
    <w:rsid w:val="003808CE"/>
    <w:rsid w:val="00384BF7"/>
    <w:rsid w:val="00384D40"/>
    <w:rsid w:val="0039135C"/>
    <w:rsid w:val="0039344A"/>
    <w:rsid w:val="00395163"/>
    <w:rsid w:val="00396EEA"/>
    <w:rsid w:val="003A1017"/>
    <w:rsid w:val="003A278E"/>
    <w:rsid w:val="003B485C"/>
    <w:rsid w:val="003B4F12"/>
    <w:rsid w:val="003B708E"/>
    <w:rsid w:val="003B73FA"/>
    <w:rsid w:val="003B745D"/>
    <w:rsid w:val="003D2624"/>
    <w:rsid w:val="003D283B"/>
    <w:rsid w:val="003D5A28"/>
    <w:rsid w:val="003E57AA"/>
    <w:rsid w:val="003F2041"/>
    <w:rsid w:val="003F5699"/>
    <w:rsid w:val="00402ACC"/>
    <w:rsid w:val="00405CCA"/>
    <w:rsid w:val="00406B43"/>
    <w:rsid w:val="00410E70"/>
    <w:rsid w:val="004120EC"/>
    <w:rsid w:val="004127B1"/>
    <w:rsid w:val="004131BF"/>
    <w:rsid w:val="004133A3"/>
    <w:rsid w:val="00421B69"/>
    <w:rsid w:val="00423F31"/>
    <w:rsid w:val="00431899"/>
    <w:rsid w:val="00434932"/>
    <w:rsid w:val="00436077"/>
    <w:rsid w:val="0043788C"/>
    <w:rsid w:val="00442055"/>
    <w:rsid w:val="00444B0D"/>
    <w:rsid w:val="00445EAF"/>
    <w:rsid w:val="00453DCA"/>
    <w:rsid w:val="00457177"/>
    <w:rsid w:val="00465E80"/>
    <w:rsid w:val="00480FE4"/>
    <w:rsid w:val="00482AE8"/>
    <w:rsid w:val="0048492D"/>
    <w:rsid w:val="00486804"/>
    <w:rsid w:val="00487BFA"/>
    <w:rsid w:val="004939C4"/>
    <w:rsid w:val="004A617F"/>
    <w:rsid w:val="004B0C6A"/>
    <w:rsid w:val="004B3775"/>
    <w:rsid w:val="004C0034"/>
    <w:rsid w:val="004C6342"/>
    <w:rsid w:val="004D0BA0"/>
    <w:rsid w:val="004E058F"/>
    <w:rsid w:val="004E09DE"/>
    <w:rsid w:val="004E0D63"/>
    <w:rsid w:val="004E3B87"/>
    <w:rsid w:val="004E3C3B"/>
    <w:rsid w:val="004E6776"/>
    <w:rsid w:val="004E777C"/>
    <w:rsid w:val="004F41B7"/>
    <w:rsid w:val="004F7ABC"/>
    <w:rsid w:val="00510921"/>
    <w:rsid w:val="00510AD3"/>
    <w:rsid w:val="00513348"/>
    <w:rsid w:val="00513AD8"/>
    <w:rsid w:val="00514447"/>
    <w:rsid w:val="005158D5"/>
    <w:rsid w:val="0052027E"/>
    <w:rsid w:val="005204D2"/>
    <w:rsid w:val="005217DF"/>
    <w:rsid w:val="00522396"/>
    <w:rsid w:val="0052563B"/>
    <w:rsid w:val="0052578E"/>
    <w:rsid w:val="00527EAC"/>
    <w:rsid w:val="0053095B"/>
    <w:rsid w:val="00533B5D"/>
    <w:rsid w:val="00540B1F"/>
    <w:rsid w:val="00540E77"/>
    <w:rsid w:val="00550D84"/>
    <w:rsid w:val="00552CED"/>
    <w:rsid w:val="005609A5"/>
    <w:rsid w:val="0059716B"/>
    <w:rsid w:val="005A20F6"/>
    <w:rsid w:val="005A60BB"/>
    <w:rsid w:val="005B1CCE"/>
    <w:rsid w:val="005B2276"/>
    <w:rsid w:val="005B55E8"/>
    <w:rsid w:val="005C4F20"/>
    <w:rsid w:val="005D3655"/>
    <w:rsid w:val="005E03CA"/>
    <w:rsid w:val="005E0794"/>
    <w:rsid w:val="005E24A4"/>
    <w:rsid w:val="005E4830"/>
    <w:rsid w:val="005E6DEC"/>
    <w:rsid w:val="006051CA"/>
    <w:rsid w:val="00612921"/>
    <w:rsid w:val="00612BDF"/>
    <w:rsid w:val="00622287"/>
    <w:rsid w:val="00622B86"/>
    <w:rsid w:val="00623BA1"/>
    <w:rsid w:val="006266C6"/>
    <w:rsid w:val="006346BC"/>
    <w:rsid w:val="00640AA7"/>
    <w:rsid w:val="00654324"/>
    <w:rsid w:val="0065468D"/>
    <w:rsid w:val="00656088"/>
    <w:rsid w:val="00664158"/>
    <w:rsid w:val="0066652A"/>
    <w:rsid w:val="00670AB2"/>
    <w:rsid w:val="006719C3"/>
    <w:rsid w:val="006767D2"/>
    <w:rsid w:val="00680522"/>
    <w:rsid w:val="00682167"/>
    <w:rsid w:val="00685841"/>
    <w:rsid w:val="00687053"/>
    <w:rsid w:val="006920F8"/>
    <w:rsid w:val="006958F5"/>
    <w:rsid w:val="006A1990"/>
    <w:rsid w:val="006A675C"/>
    <w:rsid w:val="006B61D4"/>
    <w:rsid w:val="006C42AF"/>
    <w:rsid w:val="006C516F"/>
    <w:rsid w:val="006C6C64"/>
    <w:rsid w:val="006C7C5B"/>
    <w:rsid w:val="006D092C"/>
    <w:rsid w:val="006E0E7D"/>
    <w:rsid w:val="006E2373"/>
    <w:rsid w:val="006E3E97"/>
    <w:rsid w:val="006E5091"/>
    <w:rsid w:val="006E5AD6"/>
    <w:rsid w:val="006F4865"/>
    <w:rsid w:val="006F7113"/>
    <w:rsid w:val="00711D8E"/>
    <w:rsid w:val="00712672"/>
    <w:rsid w:val="0071488B"/>
    <w:rsid w:val="007162F5"/>
    <w:rsid w:val="00725AEA"/>
    <w:rsid w:val="00725BEF"/>
    <w:rsid w:val="007320B6"/>
    <w:rsid w:val="00734E3F"/>
    <w:rsid w:val="00736985"/>
    <w:rsid w:val="007412BC"/>
    <w:rsid w:val="00745DF5"/>
    <w:rsid w:val="00746E77"/>
    <w:rsid w:val="00752088"/>
    <w:rsid w:val="00754046"/>
    <w:rsid w:val="0076250F"/>
    <w:rsid w:val="00763A98"/>
    <w:rsid w:val="00763C34"/>
    <w:rsid w:val="007706B8"/>
    <w:rsid w:val="00774EE4"/>
    <w:rsid w:val="00780FA5"/>
    <w:rsid w:val="007A78C2"/>
    <w:rsid w:val="007A7DBA"/>
    <w:rsid w:val="007B6200"/>
    <w:rsid w:val="007D5157"/>
    <w:rsid w:val="007D78A1"/>
    <w:rsid w:val="007E3395"/>
    <w:rsid w:val="007F3395"/>
    <w:rsid w:val="00801B9F"/>
    <w:rsid w:val="00801CB4"/>
    <w:rsid w:val="0080204D"/>
    <w:rsid w:val="00805A55"/>
    <w:rsid w:val="00805B9C"/>
    <w:rsid w:val="008065C9"/>
    <w:rsid w:val="00812673"/>
    <w:rsid w:val="00817ABC"/>
    <w:rsid w:val="00824DD4"/>
    <w:rsid w:val="0083052F"/>
    <w:rsid w:val="008331A6"/>
    <w:rsid w:val="00835E7B"/>
    <w:rsid w:val="008475F0"/>
    <w:rsid w:val="0085088B"/>
    <w:rsid w:val="008548E5"/>
    <w:rsid w:val="008557A7"/>
    <w:rsid w:val="008570D6"/>
    <w:rsid w:val="008607DA"/>
    <w:rsid w:val="00863E55"/>
    <w:rsid w:val="0086569C"/>
    <w:rsid w:val="008663C5"/>
    <w:rsid w:val="00870928"/>
    <w:rsid w:val="00876EF9"/>
    <w:rsid w:val="00883507"/>
    <w:rsid w:val="00885A62"/>
    <w:rsid w:val="00891FC6"/>
    <w:rsid w:val="0089405C"/>
    <w:rsid w:val="008959A4"/>
    <w:rsid w:val="00896D34"/>
    <w:rsid w:val="00897FA2"/>
    <w:rsid w:val="008A1A4D"/>
    <w:rsid w:val="008A3128"/>
    <w:rsid w:val="008A5AFE"/>
    <w:rsid w:val="008B116C"/>
    <w:rsid w:val="008B5969"/>
    <w:rsid w:val="008C2BF6"/>
    <w:rsid w:val="008C5A0E"/>
    <w:rsid w:val="008C6A5B"/>
    <w:rsid w:val="008C74D3"/>
    <w:rsid w:val="008D6419"/>
    <w:rsid w:val="008E34AE"/>
    <w:rsid w:val="008E5802"/>
    <w:rsid w:val="008F2DD7"/>
    <w:rsid w:val="008F341F"/>
    <w:rsid w:val="008F5497"/>
    <w:rsid w:val="008F623C"/>
    <w:rsid w:val="008F6D55"/>
    <w:rsid w:val="00913147"/>
    <w:rsid w:val="00916B17"/>
    <w:rsid w:val="0092517F"/>
    <w:rsid w:val="00926C88"/>
    <w:rsid w:val="009328B8"/>
    <w:rsid w:val="00937B56"/>
    <w:rsid w:val="00940414"/>
    <w:rsid w:val="00943055"/>
    <w:rsid w:val="00943730"/>
    <w:rsid w:val="00951D80"/>
    <w:rsid w:val="00952BB3"/>
    <w:rsid w:val="009610F2"/>
    <w:rsid w:val="00961E72"/>
    <w:rsid w:val="00962C2C"/>
    <w:rsid w:val="009657E3"/>
    <w:rsid w:val="00973103"/>
    <w:rsid w:val="00975CA5"/>
    <w:rsid w:val="00983AED"/>
    <w:rsid w:val="00984341"/>
    <w:rsid w:val="00986590"/>
    <w:rsid w:val="009871D3"/>
    <w:rsid w:val="00992C76"/>
    <w:rsid w:val="0099404A"/>
    <w:rsid w:val="00994181"/>
    <w:rsid w:val="009965E8"/>
    <w:rsid w:val="009969D6"/>
    <w:rsid w:val="009A3DD2"/>
    <w:rsid w:val="009A5E45"/>
    <w:rsid w:val="009A7BE0"/>
    <w:rsid w:val="009B4D3B"/>
    <w:rsid w:val="009B68BB"/>
    <w:rsid w:val="009B7942"/>
    <w:rsid w:val="009D357E"/>
    <w:rsid w:val="009D5D88"/>
    <w:rsid w:val="009D7407"/>
    <w:rsid w:val="009E0866"/>
    <w:rsid w:val="009E273C"/>
    <w:rsid w:val="009F1350"/>
    <w:rsid w:val="009F2C0C"/>
    <w:rsid w:val="009F638A"/>
    <w:rsid w:val="009F6423"/>
    <w:rsid w:val="00A04C5F"/>
    <w:rsid w:val="00A11EBC"/>
    <w:rsid w:val="00A175B3"/>
    <w:rsid w:val="00A1770A"/>
    <w:rsid w:val="00A24A62"/>
    <w:rsid w:val="00A253F1"/>
    <w:rsid w:val="00A31C9F"/>
    <w:rsid w:val="00A3217B"/>
    <w:rsid w:val="00A32C57"/>
    <w:rsid w:val="00A4144F"/>
    <w:rsid w:val="00A4560F"/>
    <w:rsid w:val="00A45D32"/>
    <w:rsid w:val="00A517A6"/>
    <w:rsid w:val="00A53BD2"/>
    <w:rsid w:val="00A60A93"/>
    <w:rsid w:val="00A61B4D"/>
    <w:rsid w:val="00A703F4"/>
    <w:rsid w:val="00A80F95"/>
    <w:rsid w:val="00A91795"/>
    <w:rsid w:val="00A97805"/>
    <w:rsid w:val="00A97BF1"/>
    <w:rsid w:val="00AA298A"/>
    <w:rsid w:val="00AA315B"/>
    <w:rsid w:val="00AA771F"/>
    <w:rsid w:val="00AB446D"/>
    <w:rsid w:val="00AC0447"/>
    <w:rsid w:val="00AC164A"/>
    <w:rsid w:val="00AD037C"/>
    <w:rsid w:val="00AD2249"/>
    <w:rsid w:val="00AE14D8"/>
    <w:rsid w:val="00AE40E8"/>
    <w:rsid w:val="00AE448A"/>
    <w:rsid w:val="00AE5DCE"/>
    <w:rsid w:val="00AF2050"/>
    <w:rsid w:val="00AF7D61"/>
    <w:rsid w:val="00B03398"/>
    <w:rsid w:val="00B03CA8"/>
    <w:rsid w:val="00B05EC8"/>
    <w:rsid w:val="00B21976"/>
    <w:rsid w:val="00B33C0A"/>
    <w:rsid w:val="00B34B76"/>
    <w:rsid w:val="00B373F2"/>
    <w:rsid w:val="00B40F54"/>
    <w:rsid w:val="00B47438"/>
    <w:rsid w:val="00B54884"/>
    <w:rsid w:val="00B55128"/>
    <w:rsid w:val="00B55E19"/>
    <w:rsid w:val="00B6118D"/>
    <w:rsid w:val="00B63122"/>
    <w:rsid w:val="00B6712F"/>
    <w:rsid w:val="00B81554"/>
    <w:rsid w:val="00B921B3"/>
    <w:rsid w:val="00B94758"/>
    <w:rsid w:val="00B95FCA"/>
    <w:rsid w:val="00BA4B6D"/>
    <w:rsid w:val="00BA7401"/>
    <w:rsid w:val="00BB26C5"/>
    <w:rsid w:val="00BC1C8B"/>
    <w:rsid w:val="00BC31BD"/>
    <w:rsid w:val="00BC69F4"/>
    <w:rsid w:val="00BC7D0E"/>
    <w:rsid w:val="00BE2A12"/>
    <w:rsid w:val="00BF4DE6"/>
    <w:rsid w:val="00C009C7"/>
    <w:rsid w:val="00C03C3E"/>
    <w:rsid w:val="00C06B13"/>
    <w:rsid w:val="00C12EB5"/>
    <w:rsid w:val="00C154EE"/>
    <w:rsid w:val="00C206E9"/>
    <w:rsid w:val="00C27D25"/>
    <w:rsid w:val="00C30799"/>
    <w:rsid w:val="00C36D7D"/>
    <w:rsid w:val="00C37FFA"/>
    <w:rsid w:val="00C42541"/>
    <w:rsid w:val="00C42CDE"/>
    <w:rsid w:val="00C46146"/>
    <w:rsid w:val="00C5182A"/>
    <w:rsid w:val="00C55245"/>
    <w:rsid w:val="00C55F14"/>
    <w:rsid w:val="00C6076E"/>
    <w:rsid w:val="00C63EE9"/>
    <w:rsid w:val="00C64C43"/>
    <w:rsid w:val="00C65AA2"/>
    <w:rsid w:val="00C67CAA"/>
    <w:rsid w:val="00C7035D"/>
    <w:rsid w:val="00C74AD0"/>
    <w:rsid w:val="00C76278"/>
    <w:rsid w:val="00C86E70"/>
    <w:rsid w:val="00C914D7"/>
    <w:rsid w:val="00C916D5"/>
    <w:rsid w:val="00CA16F3"/>
    <w:rsid w:val="00CA3521"/>
    <w:rsid w:val="00CA37B1"/>
    <w:rsid w:val="00CA3F43"/>
    <w:rsid w:val="00CA6E02"/>
    <w:rsid w:val="00CB1959"/>
    <w:rsid w:val="00CB1ABD"/>
    <w:rsid w:val="00CB43E2"/>
    <w:rsid w:val="00CC741B"/>
    <w:rsid w:val="00CD0E4B"/>
    <w:rsid w:val="00CE4C89"/>
    <w:rsid w:val="00CF07BA"/>
    <w:rsid w:val="00CF6B1C"/>
    <w:rsid w:val="00D0296C"/>
    <w:rsid w:val="00D03D0E"/>
    <w:rsid w:val="00D04D54"/>
    <w:rsid w:val="00D11B1C"/>
    <w:rsid w:val="00D1290E"/>
    <w:rsid w:val="00D143CC"/>
    <w:rsid w:val="00D221BC"/>
    <w:rsid w:val="00D22531"/>
    <w:rsid w:val="00D229C5"/>
    <w:rsid w:val="00D23FBD"/>
    <w:rsid w:val="00D27405"/>
    <w:rsid w:val="00D31E8D"/>
    <w:rsid w:val="00D32D6F"/>
    <w:rsid w:val="00D33DCE"/>
    <w:rsid w:val="00D37B04"/>
    <w:rsid w:val="00D4076C"/>
    <w:rsid w:val="00D540C6"/>
    <w:rsid w:val="00D64BD1"/>
    <w:rsid w:val="00D678FF"/>
    <w:rsid w:val="00D7275B"/>
    <w:rsid w:val="00D77948"/>
    <w:rsid w:val="00D91FF3"/>
    <w:rsid w:val="00D92254"/>
    <w:rsid w:val="00D94140"/>
    <w:rsid w:val="00D97713"/>
    <w:rsid w:val="00DB3287"/>
    <w:rsid w:val="00DC1237"/>
    <w:rsid w:val="00DC1CD8"/>
    <w:rsid w:val="00DC50BC"/>
    <w:rsid w:val="00DE084C"/>
    <w:rsid w:val="00DE5210"/>
    <w:rsid w:val="00E017A4"/>
    <w:rsid w:val="00E0404C"/>
    <w:rsid w:val="00E0408D"/>
    <w:rsid w:val="00E14F51"/>
    <w:rsid w:val="00E30F64"/>
    <w:rsid w:val="00E357B7"/>
    <w:rsid w:val="00E36F0C"/>
    <w:rsid w:val="00E40FB6"/>
    <w:rsid w:val="00E53800"/>
    <w:rsid w:val="00E55942"/>
    <w:rsid w:val="00E6081F"/>
    <w:rsid w:val="00E617E9"/>
    <w:rsid w:val="00E62074"/>
    <w:rsid w:val="00E630D5"/>
    <w:rsid w:val="00E75060"/>
    <w:rsid w:val="00E80043"/>
    <w:rsid w:val="00E827FA"/>
    <w:rsid w:val="00E8296D"/>
    <w:rsid w:val="00E83010"/>
    <w:rsid w:val="00E8457B"/>
    <w:rsid w:val="00EA04B2"/>
    <w:rsid w:val="00EA1454"/>
    <w:rsid w:val="00EA20F3"/>
    <w:rsid w:val="00EA5FAE"/>
    <w:rsid w:val="00EA6F43"/>
    <w:rsid w:val="00EC41CB"/>
    <w:rsid w:val="00EC7557"/>
    <w:rsid w:val="00ED2831"/>
    <w:rsid w:val="00ED43D1"/>
    <w:rsid w:val="00ED75A8"/>
    <w:rsid w:val="00EE01C0"/>
    <w:rsid w:val="00EE25F4"/>
    <w:rsid w:val="00EE4EE1"/>
    <w:rsid w:val="00EF0914"/>
    <w:rsid w:val="00EF312A"/>
    <w:rsid w:val="00EF4574"/>
    <w:rsid w:val="00EF5FB3"/>
    <w:rsid w:val="00F041B6"/>
    <w:rsid w:val="00F04C36"/>
    <w:rsid w:val="00F06B41"/>
    <w:rsid w:val="00F11BDB"/>
    <w:rsid w:val="00F139E1"/>
    <w:rsid w:val="00F15ADE"/>
    <w:rsid w:val="00F25A93"/>
    <w:rsid w:val="00F2684E"/>
    <w:rsid w:val="00F36264"/>
    <w:rsid w:val="00F44EFA"/>
    <w:rsid w:val="00F4592B"/>
    <w:rsid w:val="00F45F99"/>
    <w:rsid w:val="00F5404C"/>
    <w:rsid w:val="00F70441"/>
    <w:rsid w:val="00F729EF"/>
    <w:rsid w:val="00F744A2"/>
    <w:rsid w:val="00F77CAE"/>
    <w:rsid w:val="00F80D10"/>
    <w:rsid w:val="00F82271"/>
    <w:rsid w:val="00F83428"/>
    <w:rsid w:val="00F84004"/>
    <w:rsid w:val="00F91165"/>
    <w:rsid w:val="00F94A5A"/>
    <w:rsid w:val="00F96BB9"/>
    <w:rsid w:val="00FA0883"/>
    <w:rsid w:val="00FB4FAC"/>
    <w:rsid w:val="00FB5E13"/>
    <w:rsid w:val="00FB6765"/>
    <w:rsid w:val="00FC09B0"/>
    <w:rsid w:val="00FC322F"/>
    <w:rsid w:val="00FC49D6"/>
    <w:rsid w:val="00FC5337"/>
    <w:rsid w:val="00FC67CB"/>
    <w:rsid w:val="00FD6772"/>
    <w:rsid w:val="00FE6D51"/>
    <w:rsid w:val="00FE6F2A"/>
    <w:rsid w:val="00FF0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C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9A7BE0"/>
    <w:pPr>
      <w:keepNext/>
      <w:keepLines/>
      <w:numPr>
        <w:ilvl w:val="1"/>
      </w:numPr>
      <w:spacing w:before="60" w:after="300" w:line="380" w:lineRule="exact"/>
      <w:contextualSpacing/>
      <w:jc w:val="center"/>
      <w:outlineLvl w:val="0"/>
    </w:pPr>
    <w:rPr>
      <w:rFonts w:asciiTheme="majorHAnsi" w:eastAsiaTheme="majorEastAsia" w:hAnsiTheme="majorHAnsi" w:cstheme="majorBidi"/>
      <w:b/>
      <w:bCs/>
      <w:iCs/>
      <w:caps/>
      <w:spacing w:val="-10"/>
      <w:kern w:val="28"/>
      <w:sz w:val="40"/>
      <w:szCs w:val="40"/>
      <w:lang w:val="en-AU"/>
    </w:rPr>
  </w:style>
  <w:style w:type="paragraph" w:styleId="Heading2">
    <w:name w:val="heading 2"/>
    <w:basedOn w:val="Normal"/>
    <w:next w:val="Normal"/>
    <w:link w:val="Heading2Char"/>
    <w:uiPriority w:val="9"/>
    <w:unhideWhenUsed/>
    <w:qFormat/>
    <w:rsid w:val="009A7BE0"/>
    <w:pPr>
      <w:spacing w:before="0" w:after="0" w:line="276" w:lineRule="auto"/>
      <w:outlineLvl w:val="1"/>
    </w:pPr>
    <w:rPr>
      <w:b/>
      <w:bCs/>
      <w:sz w:val="24"/>
      <w:szCs w:val="24"/>
    </w:rPr>
  </w:style>
  <w:style w:type="paragraph" w:styleId="Heading3">
    <w:name w:val="heading 3"/>
    <w:basedOn w:val="Heading2"/>
    <w:next w:val="Normal"/>
    <w:link w:val="Heading3Char"/>
    <w:uiPriority w:val="9"/>
    <w:unhideWhenUsed/>
    <w:qFormat/>
    <w:rsid w:val="00ED2831"/>
    <w:pPr>
      <w:spacing w:line="360" w:lineRule="atLeast"/>
      <w:outlineLvl w:val="2"/>
    </w:pPr>
    <w:rPr>
      <w:bCs w:val="0"/>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BE0"/>
    <w:rPr>
      <w:rFonts w:asciiTheme="majorHAnsi" w:eastAsiaTheme="majorEastAsia" w:hAnsiTheme="majorHAnsi" w:cstheme="majorBidi"/>
      <w:b/>
      <w:bCs/>
      <w:iCs/>
      <w:caps/>
      <w:color w:val="495965" w:themeColor="text2"/>
      <w:spacing w:val="-10"/>
      <w:kern w:val="28"/>
      <w:sz w:val="40"/>
      <w:szCs w:val="40"/>
    </w:rPr>
  </w:style>
  <w:style w:type="character" w:customStyle="1" w:styleId="Heading2Char">
    <w:name w:val="Heading 2 Char"/>
    <w:basedOn w:val="DefaultParagraphFont"/>
    <w:link w:val="Heading2"/>
    <w:uiPriority w:val="9"/>
    <w:rsid w:val="009A7BE0"/>
    <w:rPr>
      <w:b/>
      <w:bCs/>
      <w:color w:val="495965" w:themeColor="text2"/>
      <w:sz w:val="24"/>
      <w:szCs w:val="24"/>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spacing w:after="300"/>
    </w:pPr>
    <w:rPr>
      <w:rFonts w:asciiTheme="minorHAnsi" w:hAnsiTheme="minorHAnsi"/>
      <w:b w:val="0"/>
      <w:iCs w:val="0"/>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ilvl w:val="0"/>
      </w:numPr>
      <w:ind w:left="567" w:hanging="567"/>
    </w:pPr>
  </w:style>
  <w:style w:type="paragraph" w:customStyle="1" w:styleId="Heading2Numbered">
    <w:name w:val="Heading 2 Numbered"/>
    <w:basedOn w:val="Heading2"/>
    <w:next w:val="Normal"/>
    <w:qFormat/>
    <w:rsid w:val="00ED2831"/>
    <w:pPr>
      <w:numPr>
        <w:ilvl w:val="1"/>
        <w:numId w:val="23"/>
      </w:numPr>
      <w:spacing w:after="60"/>
    </w:pPr>
    <w:rPr>
      <w:bCs w:val="0"/>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character" w:styleId="IntenseReference">
    <w:name w:val="Intense Reference"/>
    <w:basedOn w:val="DefaultParagraphFont"/>
    <w:uiPriority w:val="32"/>
    <w:qFormat/>
    <w:locked/>
    <w:rsid w:val="004127B1"/>
    <w:rPr>
      <w:rFonts w:asciiTheme="minorHAnsi" w:hAnsiTheme="minorHAnsi"/>
      <w:b/>
      <w:bCs/>
      <w:caps w:val="0"/>
      <w:smallCaps/>
      <w:color w:val="007C89" w:themeColor="accent6"/>
      <w:spacing w:val="5"/>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列出"/>
    <w:basedOn w:val="Normal"/>
    <w:link w:val="ListParagraphChar"/>
    <w:uiPriority w:val="34"/>
    <w:qFormat/>
    <w:locked/>
    <w:rsid w:val="004127B1"/>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GB"/>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4127B1"/>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B1ABD"/>
    <w:pPr>
      <w:suppressAutoHyphens w:val="0"/>
      <w:spacing w:before="0" w:after="150" w:line="240" w:lineRule="auto"/>
    </w:pPr>
    <w:rPr>
      <w:rFonts w:ascii="Times New Roman" w:eastAsia="Times New Roman" w:hAnsi="Times New Roman" w:cs="Times New Roman"/>
      <w:color w:val="auto"/>
      <w:sz w:val="24"/>
      <w:szCs w:val="24"/>
      <w:lang w:val="en-AU" w:eastAsia="en-AU"/>
    </w:rPr>
  </w:style>
  <w:style w:type="paragraph" w:customStyle="1" w:styleId="Bulletlist1HDMES">
    <w:name w:val="Bullet list 1  HDMES"/>
    <w:basedOn w:val="Normal"/>
    <w:qFormat/>
    <w:rsid w:val="00051EE6"/>
    <w:pPr>
      <w:numPr>
        <w:numId w:val="43"/>
      </w:numPr>
      <w:suppressAutoHyphens w:val="0"/>
      <w:spacing w:before="0" w:after="40" w:line="252" w:lineRule="auto"/>
    </w:pPr>
    <w:rPr>
      <w:rFonts w:ascii="Calibri" w:eastAsia="Calibri" w:hAnsi="Calibri" w:cs="Times New Roman"/>
      <w:color w:val="auto"/>
      <w:lang w:val="en-AU"/>
    </w:rPr>
  </w:style>
  <w:style w:type="character" w:customStyle="1" w:styleId="StyleguidetextHDMESChar">
    <w:name w:val="Styleguide text HDMES Char"/>
    <w:link w:val="StyleguidetextHDMES"/>
    <w:locked/>
    <w:rsid w:val="00763C34"/>
  </w:style>
  <w:style w:type="paragraph" w:customStyle="1" w:styleId="StyleguidetextHDMES">
    <w:name w:val="Styleguide text HDMES"/>
    <w:basedOn w:val="Normal"/>
    <w:link w:val="StyleguidetextHDMESChar"/>
    <w:qFormat/>
    <w:rsid w:val="00763C34"/>
    <w:pPr>
      <w:suppressAutoHyphens w:val="0"/>
      <w:spacing w:before="0" w:after="200" w:line="252" w:lineRule="auto"/>
    </w:pPr>
    <w:rPr>
      <w:color w:val="auto"/>
      <w:lang w:val="en-AU"/>
    </w:rPr>
  </w:style>
  <w:style w:type="paragraph" w:customStyle="1" w:styleId="StyleguidetextbulletleadHDMES">
    <w:name w:val="Styleguide text bullet lead HDMES"/>
    <w:basedOn w:val="StyleguidetextHDMES"/>
    <w:next w:val="StyleguidetextHDMES"/>
    <w:qFormat/>
    <w:rsid w:val="00763C34"/>
    <w:pPr>
      <w:spacing w:after="120"/>
    </w:pPr>
  </w:style>
  <w:style w:type="paragraph" w:customStyle="1" w:styleId="Numberedlist1HDMES">
    <w:name w:val="Numbered list 1 HDMES"/>
    <w:basedOn w:val="StyleguidetextHDMES"/>
    <w:link w:val="Numberedlist1HDMESChar"/>
    <w:qFormat/>
    <w:rsid w:val="00763C34"/>
    <w:pPr>
      <w:numPr>
        <w:numId w:val="44"/>
      </w:numPr>
      <w:tabs>
        <w:tab w:val="num" w:pos="360"/>
      </w:tabs>
      <w:spacing w:after="40"/>
      <w:ind w:left="0" w:firstLine="0"/>
    </w:pPr>
  </w:style>
  <w:style w:type="character" w:customStyle="1" w:styleId="Numberedlist1HDMESChar">
    <w:name w:val="Numbered list 1 HDMES Char"/>
    <w:link w:val="Numberedlist1HDMES"/>
    <w:locked/>
    <w:rsid w:val="00763C34"/>
  </w:style>
  <w:style w:type="table" w:styleId="GridTable1Light-Accent1">
    <w:name w:val="Grid Table 1 Light Accent 1"/>
    <w:basedOn w:val="TableNormal"/>
    <w:uiPriority w:val="46"/>
    <w:locked/>
    <w:rsid w:val="00F04C36"/>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4-Accent1">
    <w:name w:val="List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6Colorful-Accent1">
    <w:name w:val="List Table 6 Colorful Accent 1"/>
    <w:basedOn w:val="TableNormal"/>
    <w:uiPriority w:val="51"/>
    <w:locked/>
    <w:rsid w:val="00A3217B"/>
    <w:pPr>
      <w:spacing w:after="0" w:line="240" w:lineRule="auto"/>
    </w:pPr>
    <w:rPr>
      <w:color w:val="3DA18F" w:themeColor="accent1" w:themeShade="BF"/>
    </w:rPr>
    <w:tblPr>
      <w:tblStyleRowBandSize w:val="1"/>
      <w:tblStyleColBandSize w:val="1"/>
      <w:tblBorders>
        <w:top w:val="single" w:sz="4" w:space="0" w:color="65C5B4" w:themeColor="accent1"/>
        <w:bottom w:val="single" w:sz="4" w:space="0" w:color="65C5B4" w:themeColor="accent1"/>
      </w:tblBorders>
    </w:tblPr>
    <w:tblStylePr w:type="firstRow">
      <w:rPr>
        <w:b/>
        <w:bCs/>
      </w:rPr>
      <w:tblPr/>
      <w:tcPr>
        <w:tcBorders>
          <w:bottom w:val="single" w:sz="4" w:space="0" w:color="65C5B4" w:themeColor="accent1"/>
        </w:tcBorders>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Default">
    <w:name w:val="Default"/>
    <w:rsid w:val="002770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940">
      <w:bodyDiv w:val="1"/>
      <w:marLeft w:val="0"/>
      <w:marRight w:val="0"/>
      <w:marTop w:val="0"/>
      <w:marBottom w:val="0"/>
      <w:divBdr>
        <w:top w:val="none" w:sz="0" w:space="0" w:color="auto"/>
        <w:left w:val="none" w:sz="0" w:space="0" w:color="auto"/>
        <w:bottom w:val="none" w:sz="0" w:space="0" w:color="auto"/>
        <w:right w:val="none" w:sz="0" w:space="0" w:color="auto"/>
      </w:divBdr>
    </w:div>
    <w:div w:id="161166714">
      <w:bodyDiv w:val="1"/>
      <w:marLeft w:val="0"/>
      <w:marRight w:val="0"/>
      <w:marTop w:val="0"/>
      <w:marBottom w:val="0"/>
      <w:divBdr>
        <w:top w:val="none" w:sz="0" w:space="0" w:color="auto"/>
        <w:left w:val="none" w:sz="0" w:space="0" w:color="auto"/>
        <w:bottom w:val="none" w:sz="0" w:space="0" w:color="auto"/>
        <w:right w:val="none" w:sz="0" w:space="0" w:color="auto"/>
      </w:divBdr>
    </w:div>
    <w:div w:id="385104012">
      <w:bodyDiv w:val="1"/>
      <w:marLeft w:val="0"/>
      <w:marRight w:val="0"/>
      <w:marTop w:val="0"/>
      <w:marBottom w:val="0"/>
      <w:divBdr>
        <w:top w:val="none" w:sz="0" w:space="0" w:color="auto"/>
        <w:left w:val="none" w:sz="0" w:space="0" w:color="auto"/>
        <w:bottom w:val="none" w:sz="0" w:space="0" w:color="auto"/>
        <w:right w:val="none" w:sz="0" w:space="0" w:color="auto"/>
      </w:divBdr>
    </w:div>
    <w:div w:id="454639245">
      <w:bodyDiv w:val="1"/>
      <w:marLeft w:val="0"/>
      <w:marRight w:val="0"/>
      <w:marTop w:val="0"/>
      <w:marBottom w:val="0"/>
      <w:divBdr>
        <w:top w:val="none" w:sz="0" w:space="0" w:color="auto"/>
        <w:left w:val="none" w:sz="0" w:space="0" w:color="auto"/>
        <w:bottom w:val="none" w:sz="0" w:space="0" w:color="auto"/>
        <w:right w:val="none" w:sz="0" w:space="0" w:color="auto"/>
      </w:divBdr>
    </w:div>
    <w:div w:id="561059176">
      <w:bodyDiv w:val="1"/>
      <w:marLeft w:val="0"/>
      <w:marRight w:val="0"/>
      <w:marTop w:val="0"/>
      <w:marBottom w:val="0"/>
      <w:divBdr>
        <w:top w:val="none" w:sz="0" w:space="0" w:color="auto"/>
        <w:left w:val="none" w:sz="0" w:space="0" w:color="auto"/>
        <w:bottom w:val="none" w:sz="0" w:space="0" w:color="auto"/>
        <w:right w:val="none" w:sz="0" w:space="0" w:color="auto"/>
      </w:divBdr>
    </w:div>
    <w:div w:id="695228247">
      <w:bodyDiv w:val="1"/>
      <w:marLeft w:val="0"/>
      <w:marRight w:val="0"/>
      <w:marTop w:val="0"/>
      <w:marBottom w:val="0"/>
      <w:divBdr>
        <w:top w:val="none" w:sz="0" w:space="0" w:color="auto"/>
        <w:left w:val="none" w:sz="0" w:space="0" w:color="auto"/>
        <w:bottom w:val="none" w:sz="0" w:space="0" w:color="auto"/>
        <w:right w:val="none" w:sz="0" w:space="0" w:color="auto"/>
      </w:divBdr>
    </w:div>
    <w:div w:id="837503222">
      <w:bodyDiv w:val="1"/>
      <w:marLeft w:val="0"/>
      <w:marRight w:val="0"/>
      <w:marTop w:val="0"/>
      <w:marBottom w:val="0"/>
      <w:divBdr>
        <w:top w:val="none" w:sz="0" w:space="0" w:color="auto"/>
        <w:left w:val="none" w:sz="0" w:space="0" w:color="auto"/>
        <w:bottom w:val="none" w:sz="0" w:space="0" w:color="auto"/>
        <w:right w:val="none" w:sz="0" w:space="0" w:color="auto"/>
      </w:divBdr>
    </w:div>
    <w:div w:id="852574167">
      <w:bodyDiv w:val="1"/>
      <w:marLeft w:val="0"/>
      <w:marRight w:val="0"/>
      <w:marTop w:val="0"/>
      <w:marBottom w:val="0"/>
      <w:divBdr>
        <w:top w:val="none" w:sz="0" w:space="0" w:color="auto"/>
        <w:left w:val="none" w:sz="0" w:space="0" w:color="auto"/>
        <w:bottom w:val="none" w:sz="0" w:space="0" w:color="auto"/>
        <w:right w:val="none" w:sz="0" w:space="0" w:color="auto"/>
      </w:divBdr>
    </w:div>
    <w:div w:id="1038436733">
      <w:bodyDiv w:val="1"/>
      <w:marLeft w:val="0"/>
      <w:marRight w:val="0"/>
      <w:marTop w:val="0"/>
      <w:marBottom w:val="0"/>
      <w:divBdr>
        <w:top w:val="none" w:sz="0" w:space="0" w:color="auto"/>
        <w:left w:val="none" w:sz="0" w:space="0" w:color="auto"/>
        <w:bottom w:val="none" w:sz="0" w:space="0" w:color="auto"/>
        <w:right w:val="none" w:sz="0" w:space="0" w:color="auto"/>
      </w:divBdr>
    </w:div>
    <w:div w:id="1086267529">
      <w:bodyDiv w:val="1"/>
      <w:marLeft w:val="0"/>
      <w:marRight w:val="0"/>
      <w:marTop w:val="0"/>
      <w:marBottom w:val="0"/>
      <w:divBdr>
        <w:top w:val="none" w:sz="0" w:space="0" w:color="auto"/>
        <w:left w:val="none" w:sz="0" w:space="0" w:color="auto"/>
        <w:bottom w:val="none" w:sz="0" w:space="0" w:color="auto"/>
        <w:right w:val="none" w:sz="0" w:space="0" w:color="auto"/>
      </w:divBdr>
    </w:div>
    <w:div w:id="1146510732">
      <w:bodyDiv w:val="1"/>
      <w:marLeft w:val="0"/>
      <w:marRight w:val="0"/>
      <w:marTop w:val="0"/>
      <w:marBottom w:val="0"/>
      <w:divBdr>
        <w:top w:val="none" w:sz="0" w:space="0" w:color="auto"/>
        <w:left w:val="none" w:sz="0" w:space="0" w:color="auto"/>
        <w:bottom w:val="none" w:sz="0" w:space="0" w:color="auto"/>
        <w:right w:val="none" w:sz="0" w:space="0" w:color="auto"/>
      </w:divBdr>
    </w:div>
    <w:div w:id="1340959503">
      <w:bodyDiv w:val="1"/>
      <w:marLeft w:val="0"/>
      <w:marRight w:val="0"/>
      <w:marTop w:val="0"/>
      <w:marBottom w:val="0"/>
      <w:divBdr>
        <w:top w:val="none" w:sz="0" w:space="0" w:color="auto"/>
        <w:left w:val="none" w:sz="0" w:space="0" w:color="auto"/>
        <w:bottom w:val="none" w:sz="0" w:space="0" w:color="auto"/>
        <w:right w:val="none" w:sz="0" w:space="0" w:color="auto"/>
      </w:divBdr>
    </w:div>
    <w:div w:id="1411662318">
      <w:bodyDiv w:val="1"/>
      <w:marLeft w:val="0"/>
      <w:marRight w:val="0"/>
      <w:marTop w:val="0"/>
      <w:marBottom w:val="0"/>
      <w:divBdr>
        <w:top w:val="none" w:sz="0" w:space="0" w:color="auto"/>
        <w:left w:val="none" w:sz="0" w:space="0" w:color="auto"/>
        <w:bottom w:val="none" w:sz="0" w:space="0" w:color="auto"/>
        <w:right w:val="none" w:sz="0" w:space="0" w:color="auto"/>
      </w:divBdr>
    </w:div>
    <w:div w:id="1798177865">
      <w:bodyDiv w:val="1"/>
      <w:marLeft w:val="0"/>
      <w:marRight w:val="0"/>
      <w:marTop w:val="0"/>
      <w:marBottom w:val="0"/>
      <w:divBdr>
        <w:top w:val="none" w:sz="0" w:space="0" w:color="auto"/>
        <w:left w:val="none" w:sz="0" w:space="0" w:color="auto"/>
        <w:bottom w:val="none" w:sz="0" w:space="0" w:color="auto"/>
        <w:right w:val="none" w:sz="0" w:space="0" w:color="auto"/>
      </w:divBdr>
    </w:div>
    <w:div w:id="19176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CB33-23E8-4F73-ACD3-FA02322F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1789</Words>
  <Characters>10543</Characters>
  <Application>Microsoft Office Word</Application>
  <DocSecurity>0</DocSecurity>
  <Lines>429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PNGAUS partnership secondary schools initiative review</dc:title>
  <dc:subject/>
  <dc:creator/>
  <cp:keywords>[SEC=OFFICIAL]</cp:keywords>
  <cp:lastModifiedBy/>
  <cp:revision>1</cp:revision>
  <dcterms:created xsi:type="dcterms:W3CDTF">2021-10-29T04:38:00Z</dcterms:created>
  <dcterms:modified xsi:type="dcterms:W3CDTF">2021-10-29T04:38:00Z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02A84CDB70864C9D9932B0A208965B0E</vt:lpwstr>
  </property>
  <property fmtid="{D5CDD505-2E9C-101B-9397-08002B2CF9AE}" pid="9" name="PM_ProtectiveMarkingValue_Footer">
    <vt:lpwstr>OFFICIAL</vt:lpwstr>
  </property>
  <property fmtid="{D5CDD505-2E9C-101B-9397-08002B2CF9AE}" pid="10" name="PM_Originator_Hash_SHA1">
    <vt:lpwstr>0A2583B1B63A002CD9312FBEEB74A5493787F7E9</vt:lpwstr>
  </property>
  <property fmtid="{D5CDD505-2E9C-101B-9397-08002B2CF9AE}" pid="11" name="PM_OriginationTimeStamp">
    <vt:lpwstr>2021-10-29T04:38:19Z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F0584FEE67E32389FFD98241BE4A2B30</vt:lpwstr>
  </property>
  <property fmtid="{D5CDD505-2E9C-101B-9397-08002B2CF9AE}" pid="20" name="PM_Hash_Salt">
    <vt:lpwstr>6254342B64509C7EE696332CB0CE8866</vt:lpwstr>
  </property>
  <property fmtid="{D5CDD505-2E9C-101B-9397-08002B2CF9AE}" pid="21" name="PM_Hash_SHA1">
    <vt:lpwstr>EA4E7E622138E3EDFA0C69ABB7F046B42A16C835</vt:lpwstr>
  </property>
  <property fmtid="{D5CDD505-2E9C-101B-9397-08002B2CF9AE}" pid="22" name="PM_SecurityClassification_Prev">
    <vt:lpwstr>OFFICIAL</vt:lpwstr>
  </property>
  <property fmtid="{D5CDD505-2E9C-101B-9397-08002B2CF9AE}" pid="23" name="PM_Qualifier_Prev">
    <vt:lpwstr/>
  </property>
</Properties>
</file>