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EE49" w14:textId="4A7EA43B" w:rsidR="000A7D74" w:rsidRPr="007B5B04" w:rsidRDefault="72E68F01" w:rsidP="1CBD0135">
      <w:pPr>
        <w:rPr>
          <w:rFonts w:cs="Times New Roman"/>
          <w:b/>
          <w:bCs/>
          <w:color w:val="4472C4" w:themeColor="accent1"/>
          <w:sz w:val="32"/>
          <w:szCs w:val="32"/>
        </w:rPr>
      </w:pPr>
      <w:r w:rsidRPr="3A4449E0">
        <w:rPr>
          <w:rFonts w:cs="Times New Roman"/>
          <w:b/>
          <w:bCs/>
          <w:color w:val="4472C4" w:themeColor="accent1"/>
          <w:sz w:val="32"/>
          <w:szCs w:val="32"/>
        </w:rPr>
        <w:t>Independent End</w:t>
      </w:r>
      <w:r w:rsidR="00785BFE">
        <w:rPr>
          <w:rFonts w:cs="Times New Roman"/>
          <w:b/>
          <w:bCs/>
          <w:color w:val="4472C4" w:themeColor="accent1"/>
          <w:sz w:val="32"/>
          <w:szCs w:val="32"/>
        </w:rPr>
        <w:t>-</w:t>
      </w:r>
      <w:r w:rsidRPr="3A4449E0">
        <w:rPr>
          <w:rFonts w:cs="Times New Roman"/>
          <w:b/>
          <w:bCs/>
          <w:color w:val="4472C4" w:themeColor="accent1"/>
          <w:sz w:val="32"/>
          <w:szCs w:val="32"/>
        </w:rPr>
        <w:t>of</w:t>
      </w:r>
      <w:r w:rsidR="00785BFE">
        <w:rPr>
          <w:rFonts w:cs="Times New Roman"/>
          <w:b/>
          <w:bCs/>
          <w:color w:val="4472C4" w:themeColor="accent1"/>
          <w:sz w:val="32"/>
          <w:szCs w:val="32"/>
        </w:rPr>
        <w:t>-</w:t>
      </w:r>
      <w:r w:rsidRPr="3A4449E0">
        <w:rPr>
          <w:rFonts w:cs="Times New Roman"/>
          <w:b/>
          <w:bCs/>
          <w:color w:val="4472C4" w:themeColor="accent1"/>
          <w:sz w:val="32"/>
          <w:szCs w:val="32"/>
        </w:rPr>
        <w:t>Phase Evaluation of Partnerships for Social Protection</w:t>
      </w:r>
      <w:r w:rsidR="1D78664B" w:rsidRPr="3A4449E0">
        <w:rPr>
          <w:rFonts w:cs="Times New Roman"/>
          <w:b/>
          <w:bCs/>
          <w:color w:val="4472C4" w:themeColor="accent1"/>
          <w:sz w:val="32"/>
          <w:szCs w:val="32"/>
        </w:rPr>
        <w:t xml:space="preserve">: </w:t>
      </w:r>
      <w:r w:rsidR="7E0E2D24" w:rsidRPr="3A4449E0">
        <w:rPr>
          <w:rFonts w:cs="Times New Roman"/>
          <w:b/>
          <w:bCs/>
          <w:color w:val="4472C4" w:themeColor="accent1"/>
          <w:sz w:val="32"/>
          <w:szCs w:val="32"/>
        </w:rPr>
        <w:t xml:space="preserve">DFAT </w:t>
      </w:r>
      <w:r w:rsidR="000B1E02" w:rsidRPr="3A4449E0">
        <w:rPr>
          <w:rFonts w:cs="Times New Roman"/>
          <w:b/>
          <w:bCs/>
          <w:color w:val="4472C4" w:themeColor="accent1"/>
          <w:sz w:val="32"/>
          <w:szCs w:val="32"/>
        </w:rPr>
        <w:t xml:space="preserve">Management </w:t>
      </w:r>
      <w:r w:rsidR="000B1E02" w:rsidRPr="007B5B04">
        <w:rPr>
          <w:rFonts w:cs="Times New Roman"/>
          <w:b/>
          <w:bCs/>
          <w:color w:val="4472C4" w:themeColor="accent1"/>
          <w:sz w:val="32"/>
          <w:szCs w:val="32"/>
        </w:rPr>
        <w:t xml:space="preserve">Response </w:t>
      </w:r>
    </w:p>
    <w:p w14:paraId="26C908CE" w14:textId="77777777" w:rsidR="007B5B04" w:rsidRDefault="007B5B04" w:rsidP="3A4449E0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14:paraId="4E0C5F09" w14:textId="77777777" w:rsidR="007B5B04" w:rsidRDefault="007B5B04" w:rsidP="3A4449E0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14:paraId="2FDAAF46" w14:textId="0963A061" w:rsidR="003109E9" w:rsidRPr="007B5B04" w:rsidRDefault="00CE5872" w:rsidP="3A4449E0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In</w:t>
      </w:r>
      <w:r w:rsidR="00193E0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</w:t>
      </w:r>
      <w:r w:rsidR="001D373B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June</w:t>
      </w:r>
      <w:r w:rsidR="0040685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2024, DFAT commissioned an independent evaluation of the Partnerships for Social Protection </w:t>
      </w:r>
      <w:r w:rsidR="00970F24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(P4SP) </w:t>
      </w:r>
      <w:r w:rsidR="0040685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program</w:t>
      </w:r>
      <w:r w:rsidR="00FE40AB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</w:t>
      </w:r>
      <w:r w:rsidR="005D77E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against key evaluation questions related to effectiveness, efficiency, gender equality, disability equity, and monitoring, evaluation and learning (MEL)</w:t>
      </w:r>
      <w:r w:rsidR="003109E9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, as well as identifying le</w:t>
      </w:r>
      <w:r w:rsidR="005D77E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ssons for future programming.</w:t>
      </w:r>
      <w:r w:rsidR="00DE5F97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</w:t>
      </w:r>
      <w:r w:rsidR="00970F24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The </w:t>
      </w:r>
      <w:r w:rsidR="00FE40AB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evaluation </w:t>
      </w:r>
      <w:r w:rsidR="00970F24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report </w:t>
      </w:r>
      <w:r w:rsidR="00816EF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assessed overall program performance across the life of the program from September 2021 to </w:t>
      </w:r>
      <w:r w:rsidR="242D1761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end </w:t>
      </w:r>
      <w:r w:rsidR="00816EF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2024. </w:t>
      </w:r>
    </w:p>
    <w:p w14:paraId="0010C3DB" w14:textId="012BC5D7" w:rsidR="001F11C3" w:rsidRPr="007B5B04" w:rsidRDefault="003C5633" w:rsidP="3A4449E0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The evaluation report was </w:t>
      </w:r>
      <w:r w:rsidR="00933709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completed</w:t>
      </w:r>
      <w:r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in January 2025</w:t>
      </w:r>
      <w:r w:rsidR="003647B3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. The report includes </w:t>
      </w:r>
      <w:proofErr w:type="gramStart"/>
      <w:r w:rsidR="003647B3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a number of</w:t>
      </w:r>
      <w:proofErr w:type="gramEnd"/>
      <w:r w:rsidR="003647B3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useful findings and practical recommendations to help inform the new phase of the P4SP investment, which are summarised in the table below. </w:t>
      </w:r>
      <w:r w:rsidR="008D258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The </w:t>
      </w:r>
      <w:r w:rsidR="0059402C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lead</w:t>
      </w:r>
      <w:r w:rsidR="008D258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recommendation</w:t>
      </w:r>
      <w:r w:rsidR="001F11C3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was </w:t>
      </w:r>
      <w:r w:rsidR="008D258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to extend the program into a second phase</w:t>
      </w:r>
      <w:r w:rsidR="1F6A3974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. </w:t>
      </w:r>
      <w:r w:rsidR="001F11C3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The program has been extended by another four years</w:t>
      </w:r>
      <w:r w:rsidR="000D528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until </w:t>
      </w:r>
      <w:r w:rsidR="009811F7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September </w:t>
      </w:r>
      <w:r w:rsidR="000D528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2029. </w:t>
      </w:r>
    </w:p>
    <w:p w14:paraId="3E30AAA1" w14:textId="54D2EFA9" w:rsidR="00913793" w:rsidRDefault="15171120" w:rsidP="00913793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R</w:t>
      </w:r>
      <w:r w:rsidR="00DE5F97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ecommendations are in the table below.</w:t>
      </w:r>
      <w:r w:rsidR="001F11C3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</w:t>
      </w:r>
      <w:r w:rsidR="0040685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DFAT agrees or partially agrees with all </w:t>
      </w:r>
      <w:r w:rsidR="00DA7FA6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fifteen</w:t>
      </w:r>
      <w:r w:rsidR="00406855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 of the recommendations</w:t>
      </w:r>
      <w:r w:rsidR="008D2582" w:rsidRPr="007B5B04">
        <w:rPr>
          <w:rFonts w:asciiTheme="minorHAnsi" w:eastAsiaTheme="minorEastAsia" w:hAnsiTheme="minorHAnsi"/>
          <w:color w:val="000000" w:themeColor="text1"/>
          <w:sz w:val="24"/>
          <w:szCs w:val="24"/>
        </w:rPr>
        <w:t>.</w:t>
      </w:r>
      <w:r w:rsidR="00913793">
        <w:rPr>
          <w:rFonts w:asciiTheme="minorHAnsi" w:eastAsiaTheme="minorEastAsia" w:hAnsiTheme="minorHAnsi"/>
          <w:color w:val="000000" w:themeColor="text1"/>
          <w:sz w:val="24"/>
          <w:szCs w:val="24"/>
        </w:rPr>
        <w:br w:type="page"/>
      </w:r>
    </w:p>
    <w:tbl>
      <w:tblPr>
        <w:tblStyle w:val="CHTable1"/>
        <w:tblpPr w:leftFromText="180" w:rightFromText="180" w:vertAnchor="page" w:horzAnchor="margin" w:tblpY="8441"/>
        <w:tblW w:w="13948" w:type="dxa"/>
        <w:tblLook w:val="0420" w:firstRow="1" w:lastRow="0" w:firstColumn="0" w:lastColumn="0" w:noHBand="0" w:noVBand="1"/>
      </w:tblPr>
      <w:tblGrid>
        <w:gridCol w:w="537"/>
        <w:gridCol w:w="5949"/>
        <w:gridCol w:w="1369"/>
        <w:gridCol w:w="6093"/>
      </w:tblGrid>
      <w:tr w:rsidR="00036A92" w:rsidRPr="00A313E3" w14:paraId="47C72916" w14:textId="77777777" w:rsidTr="00913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14:paraId="3B7903F7" w14:textId="77777777" w:rsidR="00163D27" w:rsidRPr="00A313E3" w:rsidRDefault="00163D27" w:rsidP="007B5B04">
            <w:r w:rsidRPr="00A313E3">
              <w:lastRenderedPageBreak/>
              <w:t>#</w:t>
            </w:r>
          </w:p>
        </w:tc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</w:tcPr>
          <w:p w14:paraId="2C99E549" w14:textId="77777777" w:rsidR="00163D27" w:rsidRPr="00A313E3" w:rsidRDefault="00163D27" w:rsidP="007B5B04">
            <w:r>
              <w:t>Recommendation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</w:tcPr>
          <w:p w14:paraId="26FDF118" w14:textId="77777777" w:rsidR="00163D27" w:rsidRPr="00A313E3" w:rsidRDefault="00163D27" w:rsidP="007B5B04">
            <w:r>
              <w:t>Supported (Y/N)</w:t>
            </w:r>
          </w:p>
        </w:tc>
        <w:tc>
          <w:tcPr>
            <w:tcW w:w="6093" w:type="dxa"/>
            <w:tcBorders>
              <w:top w:val="single" w:sz="4" w:space="0" w:color="auto"/>
              <w:right w:val="single" w:sz="4" w:space="0" w:color="auto"/>
            </w:tcBorders>
          </w:tcPr>
          <w:p w14:paraId="7716FBCF" w14:textId="77777777" w:rsidR="00163D27" w:rsidRDefault="00163D27" w:rsidP="007B5B04">
            <w:r>
              <w:t>Comments</w:t>
            </w:r>
          </w:p>
        </w:tc>
      </w:tr>
      <w:tr w:rsidR="00504C8E" w:rsidRPr="00A313E3" w14:paraId="3D207EFB" w14:textId="77777777" w:rsidTr="007B5B04">
        <w:trPr>
          <w:trHeight w:val="706"/>
        </w:trPr>
        <w:tc>
          <w:tcPr>
            <w:tcW w:w="537" w:type="dxa"/>
            <w:tcBorders>
              <w:left w:val="single" w:sz="4" w:space="0" w:color="auto"/>
            </w:tcBorders>
          </w:tcPr>
          <w:p w14:paraId="3E80189E" w14:textId="77777777" w:rsidR="00163D27" w:rsidRPr="00A313E3" w:rsidRDefault="00163D27" w:rsidP="007B5B04">
            <w:r w:rsidRPr="00A313E3">
              <w:t>1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533D4741" w14:textId="77777777" w:rsidR="00163D27" w:rsidRPr="00A313E3" w:rsidRDefault="00163D27" w:rsidP="007B5B04">
            <w:r w:rsidRPr="009A3C03">
              <w:rPr>
                <w:b/>
                <w:bCs/>
              </w:rPr>
              <w:t>The program should be extended into a second phase</w:t>
            </w:r>
            <w:r w:rsidRPr="00A313E3">
              <w:t>.</w:t>
            </w:r>
          </w:p>
          <w:p w14:paraId="70E36AFE" w14:textId="3E267E74" w:rsidR="00163D27" w:rsidRPr="008E54B8" w:rsidRDefault="00163D27" w:rsidP="007B5B04"/>
        </w:tc>
        <w:tc>
          <w:tcPr>
            <w:tcW w:w="1369" w:type="dxa"/>
            <w:tcBorders>
              <w:right w:val="single" w:sz="4" w:space="0" w:color="auto"/>
            </w:tcBorders>
          </w:tcPr>
          <w:p w14:paraId="5F8C7F11" w14:textId="77777777" w:rsidR="00163D27" w:rsidRPr="00EE7FBB" w:rsidRDefault="00163D27" w:rsidP="007B5B04">
            <w:r w:rsidRPr="00EE7FBB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2BF3A57D" w14:textId="1395CD34" w:rsidR="00163D27" w:rsidRPr="00EE7FBB" w:rsidRDefault="7ABDBA76" w:rsidP="007B5B04">
            <w:r w:rsidRPr="1CBD0135">
              <w:rPr>
                <w:b/>
                <w:bCs/>
              </w:rPr>
              <w:t xml:space="preserve">Agree. </w:t>
            </w:r>
            <w:r w:rsidR="00163D27">
              <w:t xml:space="preserve">DFAT </w:t>
            </w:r>
            <w:r w:rsidR="04EF2B34">
              <w:t xml:space="preserve">recognises the high </w:t>
            </w:r>
            <w:r w:rsidR="3A8E83BB">
              <w:t>value offered by P4SP to counterparts in the region and</w:t>
            </w:r>
            <w:r w:rsidR="04EF2B34">
              <w:t xml:space="preserve"> </w:t>
            </w:r>
            <w:r w:rsidR="5DEED941">
              <w:t xml:space="preserve">has extended the program into a second phase. </w:t>
            </w:r>
            <w:r w:rsidR="00163D27">
              <w:t xml:space="preserve"> </w:t>
            </w:r>
          </w:p>
        </w:tc>
      </w:tr>
      <w:tr w:rsidR="00504C8E" w:rsidRPr="00A313E3" w14:paraId="0BE56FF4" w14:textId="77777777" w:rsidTr="007B5B04">
        <w:trPr>
          <w:trHeight w:val="1033"/>
        </w:trPr>
        <w:tc>
          <w:tcPr>
            <w:tcW w:w="537" w:type="dxa"/>
            <w:tcBorders>
              <w:left w:val="single" w:sz="4" w:space="0" w:color="auto"/>
            </w:tcBorders>
          </w:tcPr>
          <w:p w14:paraId="22B44378" w14:textId="77777777" w:rsidR="00163D27" w:rsidRPr="00A313E3" w:rsidRDefault="00163D27" w:rsidP="007B5B04">
            <w:r>
              <w:t>2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7D2C433" w14:textId="5BB5C930" w:rsidR="00163D27" w:rsidRPr="00A313E3" w:rsidRDefault="00163D27" w:rsidP="007B5B04">
            <w:pPr>
              <w:rPr>
                <w:sz w:val="22"/>
                <w:szCs w:val="22"/>
              </w:rPr>
            </w:pPr>
            <w:r w:rsidRPr="177AC3CB">
              <w:rPr>
                <w:b/>
                <w:bCs/>
              </w:rPr>
              <w:t xml:space="preserve">DFAT could leverage P4SP for broader </w:t>
            </w:r>
            <w:r w:rsidR="007B28E3" w:rsidRPr="177AC3CB">
              <w:rPr>
                <w:b/>
                <w:bCs/>
              </w:rPr>
              <w:t xml:space="preserve">Australian </w:t>
            </w:r>
            <w:r w:rsidRPr="177AC3CB">
              <w:rPr>
                <w:b/>
                <w:bCs/>
              </w:rPr>
              <w:t>regional objectives</w:t>
            </w:r>
            <w:r w:rsidR="0C5E704A" w:rsidRPr="177AC3CB">
              <w:rPr>
                <w:b/>
                <w:bCs/>
              </w:rPr>
              <w:t>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1BBDBF69" w14:textId="6E87D4D3" w:rsidR="00163D27" w:rsidRPr="00E85D60" w:rsidRDefault="00E85D60" w:rsidP="007B5B04">
            <w:r w:rsidRPr="00E85D60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5964D252" w14:textId="1648BCEF" w:rsidR="0085366F" w:rsidRPr="00D3446D" w:rsidRDefault="0579368E" w:rsidP="007B5B04">
            <w:r w:rsidRPr="71285B0E">
              <w:rPr>
                <w:b/>
                <w:bCs/>
              </w:rPr>
              <w:t>Agree.</w:t>
            </w:r>
            <w:r>
              <w:t xml:space="preserve"> </w:t>
            </w:r>
            <w:r w:rsidR="72C27772">
              <w:t xml:space="preserve">In Phase II of </w:t>
            </w:r>
            <w:r w:rsidR="5C069E99">
              <w:t xml:space="preserve">P4SP, the program and DFAT </w:t>
            </w:r>
            <w:r w:rsidR="6F5002C3">
              <w:t xml:space="preserve">will </w:t>
            </w:r>
            <w:r w:rsidR="7F186D9E">
              <w:t xml:space="preserve">build stronger </w:t>
            </w:r>
            <w:r w:rsidR="6F5002C3">
              <w:t>link</w:t>
            </w:r>
            <w:r w:rsidR="67275343">
              <w:t xml:space="preserve">s </w:t>
            </w:r>
            <w:r w:rsidR="6F5002C3">
              <w:t xml:space="preserve">between </w:t>
            </w:r>
            <w:r w:rsidR="33A7C6DD">
              <w:t xml:space="preserve">social protection </w:t>
            </w:r>
            <w:r w:rsidR="6F5002C3">
              <w:t>and broader regional objectives</w:t>
            </w:r>
            <w:r w:rsidR="201549D8">
              <w:t xml:space="preserve"> such as </w:t>
            </w:r>
            <w:r w:rsidR="25CB68FA">
              <w:t xml:space="preserve">climate financing, </w:t>
            </w:r>
            <w:r w:rsidR="3282F257">
              <w:t>labour mobility</w:t>
            </w:r>
            <w:r w:rsidR="281EEFAE">
              <w:t>, and</w:t>
            </w:r>
            <w:r w:rsidR="0F567AA3">
              <w:t xml:space="preserve"> </w:t>
            </w:r>
            <w:proofErr w:type="gramStart"/>
            <w:r w:rsidR="7700CEEF">
              <w:t>b</w:t>
            </w:r>
            <w:r w:rsidR="4A2BF124">
              <w:t>road based</w:t>
            </w:r>
            <w:proofErr w:type="gramEnd"/>
            <w:r w:rsidR="4A2BF124">
              <w:t xml:space="preserve"> inclusive growth.</w:t>
            </w:r>
          </w:p>
        </w:tc>
      </w:tr>
      <w:tr w:rsidR="00504C8E" w:rsidRPr="00A313E3" w14:paraId="6675D1C1" w14:textId="77777777" w:rsidTr="007B5B04">
        <w:trPr>
          <w:trHeight w:val="1094"/>
        </w:trPr>
        <w:tc>
          <w:tcPr>
            <w:tcW w:w="537" w:type="dxa"/>
            <w:tcBorders>
              <w:left w:val="single" w:sz="4" w:space="0" w:color="auto"/>
            </w:tcBorders>
          </w:tcPr>
          <w:p w14:paraId="7C04A726" w14:textId="77777777" w:rsidR="00163D27" w:rsidRPr="00A313E3" w:rsidRDefault="00163D27" w:rsidP="007B5B04">
            <w:r>
              <w:t>3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598D4FE5" w14:textId="77777777" w:rsidR="00163D27" w:rsidRDefault="00163D27" w:rsidP="007B5B04">
            <w:r w:rsidRPr="009A3C03">
              <w:rPr>
                <w:b/>
                <w:bCs/>
              </w:rPr>
              <w:t>Where there is momentum and appetite, the program should scale up bilateral investments</w:t>
            </w:r>
            <w:r w:rsidRPr="00A313E3">
              <w:t>.</w:t>
            </w:r>
          </w:p>
          <w:p w14:paraId="4C310E41" w14:textId="77777777" w:rsidR="00FA7152" w:rsidRPr="00A313E3" w:rsidRDefault="00FA7152" w:rsidP="007B5B04"/>
          <w:p w14:paraId="1D3EDE08" w14:textId="2D4A0B3E" w:rsidR="00163D27" w:rsidRPr="00A313E3" w:rsidRDefault="00163D27" w:rsidP="007B5B04">
            <w:pPr>
              <w:rPr>
                <w:rFonts w:cstheme="minorBidi"/>
                <w:color w:val="auto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0FD8AA95" w14:textId="54D86537" w:rsidR="00163D27" w:rsidRPr="00461E81" w:rsidRDefault="00222818" w:rsidP="007B5B04">
            <w:r w:rsidRPr="00461E81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0614C929" w14:textId="031C034A" w:rsidR="00163D27" w:rsidRPr="00461E81" w:rsidRDefault="089FF9EA" w:rsidP="007B5B04">
            <w:r w:rsidRPr="177AC3CB">
              <w:rPr>
                <w:b/>
                <w:bCs/>
              </w:rPr>
              <w:t xml:space="preserve">Partially agree. </w:t>
            </w:r>
            <w:r>
              <w:t>In Phase II</w:t>
            </w:r>
            <w:r w:rsidR="1646A007">
              <w:t xml:space="preserve">, P4SP and DFAT </w:t>
            </w:r>
            <w:r>
              <w:t xml:space="preserve">will need to balance scale up </w:t>
            </w:r>
            <w:r w:rsidR="11AE37AC">
              <w:t xml:space="preserve">in existing bilateral engagements with </w:t>
            </w:r>
            <w:r w:rsidR="1F19ECDF">
              <w:t xml:space="preserve">responding to requests from new bilateral engagements. </w:t>
            </w:r>
            <w:r w:rsidR="00D61982">
              <w:t xml:space="preserve">Resources will be determined jointly with </w:t>
            </w:r>
            <w:r w:rsidR="2F41F4D5">
              <w:t xml:space="preserve">partner governments, </w:t>
            </w:r>
            <w:r w:rsidR="00D61982">
              <w:t>DFAT Canberra and Post.</w:t>
            </w:r>
          </w:p>
        </w:tc>
      </w:tr>
      <w:tr w:rsidR="00504C8E" w:rsidRPr="00A313E3" w14:paraId="680E3737" w14:textId="77777777" w:rsidTr="007B5B04">
        <w:trPr>
          <w:trHeight w:val="2128"/>
        </w:trPr>
        <w:tc>
          <w:tcPr>
            <w:tcW w:w="537" w:type="dxa"/>
            <w:tcBorders>
              <w:left w:val="single" w:sz="4" w:space="0" w:color="auto"/>
            </w:tcBorders>
          </w:tcPr>
          <w:p w14:paraId="50FCCB3A" w14:textId="77777777" w:rsidR="00163D27" w:rsidRPr="00A313E3" w:rsidRDefault="00163D27" w:rsidP="007B5B04">
            <w:r>
              <w:t>4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14F0D3FE" w14:textId="0798207C" w:rsidR="00163D27" w:rsidRPr="00A313E3" w:rsidRDefault="00163D27" w:rsidP="007B5B04">
            <w:r w:rsidRPr="009A3C03">
              <w:rPr>
                <w:b/>
                <w:bCs/>
              </w:rPr>
              <w:t>Increase the spend on research, training and influencing</w:t>
            </w:r>
            <w:r w:rsidR="00AB308E">
              <w:rPr>
                <w:b/>
                <w:bCs/>
              </w:rPr>
              <w:t>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76016C65" w14:textId="76030051" w:rsidR="00163D27" w:rsidRPr="00976E92" w:rsidRDefault="00A020CC" w:rsidP="007B5B04">
            <w:r w:rsidRPr="00976E92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2FA85694" w14:textId="7DBF71FC" w:rsidR="001E5B75" w:rsidRPr="00976E92" w:rsidRDefault="2AB4E54D" w:rsidP="007B5B04">
            <w:r w:rsidRPr="177AC3CB">
              <w:rPr>
                <w:b/>
                <w:bCs/>
              </w:rPr>
              <w:t>Agree.</w:t>
            </w:r>
            <w:r>
              <w:t xml:space="preserve"> </w:t>
            </w:r>
            <w:r w:rsidR="1F9FF122">
              <w:t xml:space="preserve">In Phase II </w:t>
            </w:r>
            <w:r w:rsidR="45D7715B">
              <w:t xml:space="preserve">of P4SP, </w:t>
            </w:r>
            <w:r w:rsidR="1F9FF122">
              <w:t xml:space="preserve">the program will </w:t>
            </w:r>
            <w:r w:rsidR="002045A7">
              <w:t xml:space="preserve">build upon </w:t>
            </w:r>
            <w:r w:rsidR="47B7F6D8">
              <w:t xml:space="preserve">the </w:t>
            </w:r>
            <w:r w:rsidR="002045A7">
              <w:t xml:space="preserve">significant progress and momentum </w:t>
            </w:r>
            <w:r w:rsidR="271CABC5">
              <w:t xml:space="preserve">from Phase I </w:t>
            </w:r>
            <w:r w:rsidR="008D489C">
              <w:t>in</w:t>
            </w:r>
            <w:r w:rsidR="004F49EE">
              <w:t xml:space="preserve"> deliver</w:t>
            </w:r>
            <w:r w:rsidR="20C2F55C">
              <w:t>ing</w:t>
            </w:r>
            <w:r w:rsidR="008D489C">
              <w:t xml:space="preserve"> regular</w:t>
            </w:r>
            <w:r w:rsidR="3FDCB5C5">
              <w:t>,</w:t>
            </w:r>
            <w:r w:rsidR="008D489C">
              <w:t xml:space="preserve"> bespoke training for Pacific audiences. </w:t>
            </w:r>
            <w:r w:rsidR="6708D906">
              <w:t xml:space="preserve">Investing in research will continue to be a priority in Phase II, with </w:t>
            </w:r>
            <w:r w:rsidR="470D3603">
              <w:t xml:space="preserve">research </w:t>
            </w:r>
            <w:r w:rsidR="6708D906">
              <w:t>topics determined by DFAT and the program on an annual basis</w:t>
            </w:r>
            <w:r w:rsidR="68493D81">
              <w:t>, in consultation with partner governments.</w:t>
            </w:r>
            <w:r w:rsidR="6708D906">
              <w:t xml:space="preserve"> </w:t>
            </w:r>
          </w:p>
        </w:tc>
      </w:tr>
      <w:tr w:rsidR="00504C8E" w:rsidRPr="00A313E3" w14:paraId="1BF5F9B9" w14:textId="77777777" w:rsidTr="007B5B04">
        <w:trPr>
          <w:cantSplit w:val="0"/>
          <w:trHeight w:val="540"/>
        </w:trPr>
        <w:tc>
          <w:tcPr>
            <w:tcW w:w="537" w:type="dxa"/>
            <w:tcBorders>
              <w:left w:val="single" w:sz="4" w:space="0" w:color="auto"/>
            </w:tcBorders>
          </w:tcPr>
          <w:p w14:paraId="046935D1" w14:textId="337A5611" w:rsidR="00163D27" w:rsidRDefault="0044415B" w:rsidP="007B5B04">
            <w:r>
              <w:lastRenderedPageBreak/>
              <w:t>5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0B580B78" w14:textId="1A86489B" w:rsidR="00163D27" w:rsidRPr="00284F8A" w:rsidRDefault="009611DC" w:rsidP="007B5B04">
            <w:r w:rsidRPr="0086286F">
              <w:rPr>
                <w:b/>
                <w:bCs/>
              </w:rPr>
              <w:t xml:space="preserve">DFAT to consider new approaches to bilateral engagement in PICs with no/limited formal social assistance.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4BBCA6BA" w14:textId="183A5DEA" w:rsidR="00163D27" w:rsidRPr="0011365C" w:rsidRDefault="0011365C" w:rsidP="007B5B04">
            <w:r w:rsidRPr="0011365C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1F5506E3" w14:textId="63568471" w:rsidR="00163D27" w:rsidRPr="00D45B7A" w:rsidRDefault="009611DC" w:rsidP="007B5B04">
            <w:r w:rsidRPr="177AC3CB">
              <w:rPr>
                <w:b/>
                <w:bCs/>
              </w:rPr>
              <w:t xml:space="preserve">Partially agree. </w:t>
            </w:r>
            <w:r w:rsidR="01E2D3A9">
              <w:t>DFAT</w:t>
            </w:r>
            <w:r w:rsidR="00B177D2">
              <w:t xml:space="preserve"> will </w:t>
            </w:r>
            <w:r w:rsidR="2B9BF3C5">
              <w:t xml:space="preserve">engage in </w:t>
            </w:r>
            <w:r w:rsidR="4A0DDBBC">
              <w:t xml:space="preserve">providing technical advice on social protection to </w:t>
            </w:r>
            <w:r w:rsidR="2B9BF3C5">
              <w:t>new countr</w:t>
            </w:r>
            <w:r w:rsidR="249E3762">
              <w:t>y partners</w:t>
            </w:r>
            <w:r w:rsidR="2B9BF3C5">
              <w:t xml:space="preserve"> when</w:t>
            </w:r>
            <w:r w:rsidR="00B177D2">
              <w:t xml:space="preserve"> </w:t>
            </w:r>
            <w:r w:rsidR="3A508156">
              <w:t xml:space="preserve">there is demand </w:t>
            </w:r>
            <w:r w:rsidR="009234DA">
              <w:t xml:space="preserve">by </w:t>
            </w:r>
            <w:r w:rsidR="00B177D2">
              <w:t>partner governments</w:t>
            </w:r>
            <w:r w:rsidR="76AF43A4">
              <w:t xml:space="preserve"> and our Posts</w:t>
            </w:r>
            <w:r w:rsidR="273C68B8">
              <w:t>.</w:t>
            </w:r>
          </w:p>
        </w:tc>
      </w:tr>
      <w:tr w:rsidR="00504C8E" w:rsidRPr="00A313E3" w14:paraId="1A4ECD84" w14:textId="77777777" w:rsidTr="007B5B04">
        <w:trPr>
          <w:cantSplit w:val="0"/>
          <w:trHeight w:val="144"/>
        </w:trPr>
        <w:tc>
          <w:tcPr>
            <w:tcW w:w="537" w:type="dxa"/>
            <w:tcBorders>
              <w:left w:val="single" w:sz="4" w:space="0" w:color="auto"/>
            </w:tcBorders>
          </w:tcPr>
          <w:p w14:paraId="4679FE15" w14:textId="4A7A9B20" w:rsidR="00163D27" w:rsidRPr="00A313E3" w:rsidRDefault="0044415B" w:rsidP="007B5B04">
            <w:r>
              <w:t>6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201F6187" w14:textId="066B04F7" w:rsidR="00163D27" w:rsidRPr="00A313E3" w:rsidRDefault="00BE7503" w:rsidP="007B5B04">
            <w:r w:rsidRPr="177AC3CB">
              <w:rPr>
                <w:b/>
                <w:bCs/>
              </w:rPr>
              <w:t xml:space="preserve">DFAT and P4SP </w:t>
            </w:r>
            <w:r w:rsidR="00EE6D98" w:rsidRPr="177AC3CB">
              <w:rPr>
                <w:b/>
                <w:bCs/>
              </w:rPr>
              <w:t>could be</w:t>
            </w:r>
            <w:r w:rsidR="00163D27" w:rsidRPr="177AC3CB">
              <w:rPr>
                <w:b/>
                <w:bCs/>
              </w:rPr>
              <w:t xml:space="preserve"> more ambitious and focused on gender equality</w:t>
            </w:r>
            <w:r w:rsidR="297D8944" w:rsidRPr="177AC3CB">
              <w:rPr>
                <w:b/>
                <w:bCs/>
              </w:rPr>
              <w:t>.</w:t>
            </w:r>
            <w:r w:rsidR="00163D27" w:rsidRPr="177AC3CB"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6EED2E37" w14:textId="77777777" w:rsidR="00163D27" w:rsidRPr="002C4557" w:rsidRDefault="00163D27" w:rsidP="007B5B04">
            <w:r w:rsidRPr="002C4557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1C12DA56" w14:textId="10E23B57" w:rsidR="00163D27" w:rsidRPr="002C4557" w:rsidRDefault="009100F0" w:rsidP="007B5B04">
            <w:r w:rsidRPr="71285B0E">
              <w:rPr>
                <w:b/>
                <w:bCs/>
              </w:rPr>
              <w:t xml:space="preserve">Agreed. </w:t>
            </w:r>
            <w:r w:rsidR="005D38EC">
              <w:t xml:space="preserve">This is a priority for </w:t>
            </w:r>
            <w:r w:rsidR="2784D568">
              <w:t xml:space="preserve">DFAT and </w:t>
            </w:r>
            <w:r w:rsidR="005D38EC">
              <w:t>P4SP</w:t>
            </w:r>
            <w:r w:rsidR="3E14F231">
              <w:t xml:space="preserve">. </w:t>
            </w:r>
            <w:r w:rsidR="63550B99">
              <w:t xml:space="preserve">Within the </w:t>
            </w:r>
            <w:r w:rsidR="4CDB4C86">
              <w:t>program’s theory of change, a</w:t>
            </w:r>
            <w:r w:rsidR="0008149E">
              <w:t xml:space="preserve">n </w:t>
            </w:r>
            <w:r w:rsidR="00E10742">
              <w:t xml:space="preserve">intermediate outcome </w:t>
            </w:r>
            <w:r w:rsidR="0008149E">
              <w:t xml:space="preserve">focused on gender equality has been included for </w:t>
            </w:r>
            <w:r w:rsidR="7A5278B3">
              <w:t>Phase II</w:t>
            </w:r>
            <w:r w:rsidR="0B97660E">
              <w:t xml:space="preserve">. This will </w:t>
            </w:r>
            <w:r w:rsidR="00E10742">
              <w:t>increase</w:t>
            </w:r>
            <w:r w:rsidR="43321409">
              <w:t xml:space="preserve"> the program’s</w:t>
            </w:r>
            <w:r w:rsidR="00E10742">
              <w:t xml:space="preserve"> attention </w:t>
            </w:r>
            <w:r w:rsidR="6CCD7D5A">
              <w:t xml:space="preserve">to </w:t>
            </w:r>
            <w:r w:rsidR="00E10742">
              <w:t>gender equality</w:t>
            </w:r>
            <w:r w:rsidR="04BDFEB2">
              <w:t xml:space="preserve"> and </w:t>
            </w:r>
            <w:r w:rsidR="62BC6A35">
              <w:t xml:space="preserve">improve reporting on this </w:t>
            </w:r>
            <w:r w:rsidR="6983C34F">
              <w:t>dimension of program performance.</w:t>
            </w:r>
          </w:p>
        </w:tc>
      </w:tr>
      <w:tr w:rsidR="00743745" w:rsidRPr="00A313E3" w14:paraId="52916F16" w14:textId="77777777" w:rsidTr="007B5B04">
        <w:trPr>
          <w:trHeight w:val="144"/>
        </w:trPr>
        <w:tc>
          <w:tcPr>
            <w:tcW w:w="537" w:type="dxa"/>
            <w:tcBorders>
              <w:left w:val="single" w:sz="4" w:space="0" w:color="auto"/>
            </w:tcBorders>
          </w:tcPr>
          <w:p w14:paraId="55659BB8" w14:textId="2660C578" w:rsidR="00743745" w:rsidRDefault="0044415B" w:rsidP="007B5B04">
            <w:r>
              <w:t>7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3613CDD1" w14:textId="396B921E" w:rsidR="00743745" w:rsidRPr="009A3C03" w:rsidRDefault="007D603C" w:rsidP="007B5B04">
            <w:pPr>
              <w:rPr>
                <w:b/>
                <w:bCs/>
              </w:rPr>
            </w:pPr>
            <w:r w:rsidRPr="007D603C">
              <w:rPr>
                <w:b/>
                <w:bCs/>
              </w:rPr>
              <w:t>Continue the focus and ambition on disability equity in social protection</w:t>
            </w:r>
            <w:r w:rsidR="00211339">
              <w:rPr>
                <w:b/>
                <w:bCs/>
              </w:rPr>
              <w:t>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30CB9AF3" w14:textId="3F04D073" w:rsidR="00743745" w:rsidRPr="00F73BCD" w:rsidRDefault="00743745" w:rsidP="007B5B04">
            <w:pPr>
              <w:rPr>
                <w:color w:val="auto"/>
                <w:highlight w:val="yellow"/>
              </w:rPr>
            </w:pPr>
            <w:r w:rsidRPr="00F73BCD">
              <w:rPr>
                <w:color w:val="auto"/>
              </w:rPr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0E0435D2" w14:textId="6DBA3995" w:rsidR="00743745" w:rsidRPr="00F73BCD" w:rsidRDefault="007D603C" w:rsidP="007B5B04">
            <w:pPr>
              <w:rPr>
                <w:color w:val="auto"/>
              </w:rPr>
            </w:pPr>
            <w:r w:rsidRPr="71285B0E">
              <w:rPr>
                <w:b/>
                <w:bCs/>
                <w:color w:val="auto"/>
              </w:rPr>
              <w:t>Agreed</w:t>
            </w:r>
            <w:r w:rsidRPr="71285B0E">
              <w:rPr>
                <w:color w:val="auto"/>
              </w:rPr>
              <w:t xml:space="preserve">. </w:t>
            </w:r>
            <w:r w:rsidR="3F6D29E0" w:rsidRPr="71285B0E">
              <w:rPr>
                <w:color w:val="auto"/>
              </w:rPr>
              <w:t>It is a h</w:t>
            </w:r>
            <w:r w:rsidRPr="71285B0E">
              <w:rPr>
                <w:color w:val="auto"/>
              </w:rPr>
              <w:t xml:space="preserve">igh priority for DFAT and P4SP to continue focusing on disability equity in social protection. </w:t>
            </w:r>
            <w:r w:rsidR="00CA7F05" w:rsidRPr="71285B0E">
              <w:rPr>
                <w:color w:val="auto"/>
              </w:rPr>
              <w:t xml:space="preserve">Social protection is one of the six preconditions for disability </w:t>
            </w:r>
            <w:r w:rsidR="00A85BA6" w:rsidRPr="71285B0E">
              <w:rPr>
                <w:color w:val="auto"/>
              </w:rPr>
              <w:t xml:space="preserve">equity and </w:t>
            </w:r>
            <w:r w:rsidR="00CA7F05" w:rsidRPr="71285B0E">
              <w:rPr>
                <w:color w:val="auto"/>
              </w:rPr>
              <w:t>inclusion</w:t>
            </w:r>
            <w:r w:rsidR="00401B0F" w:rsidRPr="71285B0E">
              <w:rPr>
                <w:color w:val="auto"/>
              </w:rPr>
              <w:t xml:space="preserve"> </w:t>
            </w:r>
            <w:r w:rsidR="1843A67F" w:rsidRPr="71285B0E">
              <w:rPr>
                <w:color w:val="auto"/>
              </w:rPr>
              <w:t>withi</w:t>
            </w:r>
            <w:r w:rsidR="00401B0F" w:rsidRPr="71285B0E">
              <w:rPr>
                <w:color w:val="auto"/>
              </w:rPr>
              <w:t xml:space="preserve">n </w:t>
            </w:r>
            <w:r w:rsidR="00F83DD5" w:rsidRPr="71285B0E">
              <w:rPr>
                <w:i/>
                <w:iCs/>
                <w:color w:val="auto"/>
              </w:rPr>
              <w:t>Australia’s International Disability Equity and Rights Strategy</w:t>
            </w:r>
            <w:r w:rsidR="00F83DD5" w:rsidRPr="71285B0E">
              <w:rPr>
                <w:color w:val="auto"/>
              </w:rPr>
              <w:t xml:space="preserve"> and </w:t>
            </w:r>
            <w:r w:rsidR="00AC2A12" w:rsidRPr="71285B0E">
              <w:rPr>
                <w:color w:val="auto"/>
              </w:rPr>
              <w:t xml:space="preserve">the </w:t>
            </w:r>
            <w:r w:rsidR="575A4889" w:rsidRPr="71285B0E">
              <w:rPr>
                <w:i/>
                <w:iCs/>
                <w:color w:val="auto"/>
              </w:rPr>
              <w:t>Implementation Plan</w:t>
            </w:r>
            <w:r w:rsidR="575A4889" w:rsidRPr="71285B0E">
              <w:rPr>
                <w:color w:val="auto"/>
              </w:rPr>
              <w:t xml:space="preserve"> for the </w:t>
            </w:r>
            <w:r w:rsidR="575A4889" w:rsidRPr="71285B0E">
              <w:rPr>
                <w:i/>
                <w:iCs/>
                <w:color w:val="auto"/>
              </w:rPr>
              <w:t>Pacific Island Forum 2050 Strategy for the Blue Pacific Continent</w:t>
            </w:r>
            <w:r w:rsidR="575A4889" w:rsidRPr="71285B0E">
              <w:rPr>
                <w:color w:val="auto"/>
              </w:rPr>
              <w:t xml:space="preserve">. </w:t>
            </w:r>
          </w:p>
        </w:tc>
      </w:tr>
      <w:tr w:rsidR="004125B5" w:rsidRPr="00A313E3" w14:paraId="4E887644" w14:textId="77777777" w:rsidTr="007B5B04">
        <w:trPr>
          <w:trHeight w:val="656"/>
        </w:trPr>
        <w:tc>
          <w:tcPr>
            <w:tcW w:w="537" w:type="dxa"/>
            <w:tcBorders>
              <w:left w:val="single" w:sz="4" w:space="0" w:color="auto"/>
            </w:tcBorders>
          </w:tcPr>
          <w:p w14:paraId="7CB055E4" w14:textId="2CC51E96" w:rsidR="004125B5" w:rsidRDefault="006A59B7" w:rsidP="007B5B04">
            <w:r>
              <w:t>8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13DC0584" w14:textId="01231AC7" w:rsidR="004125B5" w:rsidRPr="00F73BCD" w:rsidRDefault="006A59B7" w:rsidP="007B5B04">
            <w:pPr>
              <w:rPr>
                <w:b/>
                <w:bCs/>
              </w:rPr>
            </w:pPr>
            <w:r w:rsidRPr="71285B0E">
              <w:rPr>
                <w:b/>
                <w:bCs/>
              </w:rPr>
              <w:t>DFAT and P4SP could invest in pursuing locally led development more intentionally</w:t>
            </w:r>
            <w:r w:rsidR="00211339" w:rsidRPr="71285B0E">
              <w:rPr>
                <w:b/>
                <w:bCs/>
              </w:rPr>
              <w:t>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7ACC4BD4" w14:textId="0A0EF6BF" w:rsidR="004125B5" w:rsidRPr="003C16F4" w:rsidRDefault="006A7499" w:rsidP="007B5B04">
            <w:r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0A85EAAC" w14:textId="088F1923" w:rsidR="004125B5" w:rsidRDefault="7963EB1F" w:rsidP="007B5B04">
            <w:r w:rsidRPr="71285B0E">
              <w:rPr>
                <w:b/>
                <w:bCs/>
              </w:rPr>
              <w:t>A</w:t>
            </w:r>
            <w:r w:rsidR="00DE12BC" w:rsidRPr="71285B0E">
              <w:rPr>
                <w:b/>
                <w:bCs/>
              </w:rPr>
              <w:t>greed.</w:t>
            </w:r>
            <w:r w:rsidR="00DE12BC">
              <w:t xml:space="preserve"> </w:t>
            </w:r>
            <w:r w:rsidR="375C480F">
              <w:t xml:space="preserve">In Phase II, </w:t>
            </w:r>
            <w:r w:rsidR="5A3315FC">
              <w:t xml:space="preserve">DFAT and P4SP </w:t>
            </w:r>
            <w:r w:rsidR="7E28CEBD">
              <w:t xml:space="preserve">will </w:t>
            </w:r>
            <w:r w:rsidR="5A3315FC">
              <w:t>ensure appropriate resources to support</w:t>
            </w:r>
            <w:r w:rsidR="1408815E">
              <w:t xml:space="preserve"> meaningful</w:t>
            </w:r>
            <w:r w:rsidR="5A3315FC">
              <w:t xml:space="preserve"> localisation.</w:t>
            </w:r>
          </w:p>
        </w:tc>
      </w:tr>
      <w:tr w:rsidR="00504C8E" w:rsidRPr="00A313E3" w14:paraId="323C3732" w14:textId="77777777" w:rsidTr="007B5B04">
        <w:trPr>
          <w:trHeight w:val="1346"/>
        </w:trPr>
        <w:tc>
          <w:tcPr>
            <w:tcW w:w="537" w:type="dxa"/>
            <w:tcBorders>
              <w:left w:val="single" w:sz="4" w:space="0" w:color="auto"/>
            </w:tcBorders>
          </w:tcPr>
          <w:p w14:paraId="6A42A793" w14:textId="59F2F629" w:rsidR="00163D27" w:rsidRPr="00A313E3" w:rsidRDefault="00FC19E1" w:rsidP="007B5B04">
            <w:r>
              <w:t>9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1A23B335" w14:textId="77777777" w:rsidR="00163D27" w:rsidRDefault="00163D27" w:rsidP="007B5B04">
            <w:r w:rsidRPr="009A3C03">
              <w:rPr>
                <w:b/>
                <w:bCs/>
              </w:rPr>
              <w:t>Allow the program to continue to increase its annual spending rate</w:t>
            </w:r>
            <w:r>
              <w:t>.</w:t>
            </w:r>
          </w:p>
          <w:p w14:paraId="669EB4F2" w14:textId="4B1E1CA8" w:rsidR="00163D27" w:rsidRPr="00284F8A" w:rsidRDefault="00163D27" w:rsidP="007B5B04"/>
        </w:tc>
        <w:tc>
          <w:tcPr>
            <w:tcW w:w="1369" w:type="dxa"/>
            <w:tcBorders>
              <w:right w:val="single" w:sz="4" w:space="0" w:color="auto"/>
            </w:tcBorders>
          </w:tcPr>
          <w:p w14:paraId="719086B2" w14:textId="50848F40" w:rsidR="00163D27" w:rsidRPr="003C16F4" w:rsidRDefault="003C16F4" w:rsidP="007B5B04">
            <w:r w:rsidRPr="003C16F4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508C5240" w14:textId="430A5355" w:rsidR="00474CEA" w:rsidRPr="003C16F4" w:rsidRDefault="009100F0" w:rsidP="007B5B04">
            <w:r w:rsidRPr="71285B0E">
              <w:rPr>
                <w:b/>
                <w:bCs/>
              </w:rPr>
              <w:t xml:space="preserve">Agreed. </w:t>
            </w:r>
            <w:r w:rsidR="00EE0F8D">
              <w:t xml:space="preserve">Increasing the annual spending rate will be a key aspect of the </w:t>
            </w:r>
            <w:r w:rsidR="00A2089A">
              <w:t xml:space="preserve">planning for </w:t>
            </w:r>
            <w:r w:rsidR="00EE0F8D">
              <w:t>the next phase</w:t>
            </w:r>
            <w:r w:rsidR="00A2089A">
              <w:t xml:space="preserve"> of P4SP.</w:t>
            </w:r>
            <w:r w:rsidR="00755724">
              <w:t xml:space="preserve"> </w:t>
            </w:r>
            <w:r w:rsidR="005F042D">
              <w:t xml:space="preserve">DFAT and P4SP are developing </w:t>
            </w:r>
            <w:r w:rsidR="0074009E">
              <w:t xml:space="preserve">a </w:t>
            </w:r>
            <w:r w:rsidR="005F042D">
              <w:t xml:space="preserve">budget strategy to </w:t>
            </w:r>
            <w:r w:rsidR="0074009E">
              <w:t>guide the allocation of funds across the remaining financial year</w:t>
            </w:r>
            <w:r w:rsidR="0CB4661B">
              <w:t xml:space="preserve">s. This will </w:t>
            </w:r>
            <w:r w:rsidR="0074009E">
              <w:t>inform DFAT</w:t>
            </w:r>
            <w:r w:rsidR="5D226813">
              <w:t>’</w:t>
            </w:r>
            <w:r w:rsidR="0074009E">
              <w:t>s forward procurement plan.</w:t>
            </w:r>
          </w:p>
        </w:tc>
      </w:tr>
      <w:tr w:rsidR="00504C8E" w:rsidRPr="00A313E3" w14:paraId="7C0E8ADB" w14:textId="77777777" w:rsidTr="00913793">
        <w:trPr>
          <w:trHeight w:val="1420"/>
        </w:trPr>
        <w:tc>
          <w:tcPr>
            <w:tcW w:w="537" w:type="dxa"/>
            <w:tcBorders>
              <w:left w:val="single" w:sz="4" w:space="0" w:color="auto"/>
            </w:tcBorders>
          </w:tcPr>
          <w:p w14:paraId="4B1E39C0" w14:textId="5D3E4753" w:rsidR="00163D27" w:rsidRPr="00A313E3" w:rsidRDefault="00FC19E1" w:rsidP="007B5B04">
            <w:r>
              <w:t>10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78B4692E" w14:textId="3D7C6E8F" w:rsidR="00163D27" w:rsidRPr="003A0CB5" w:rsidRDefault="00163D27" w:rsidP="007B5B04">
            <w:r w:rsidRPr="000568FB">
              <w:rPr>
                <w:b/>
                <w:bCs/>
              </w:rPr>
              <w:t>Consider taking Timor-Leste out of the program</w:t>
            </w:r>
            <w:r w:rsidR="00D31656">
              <w:rPr>
                <w:b/>
                <w:bCs/>
              </w:rPr>
              <w:t>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3C33F89B" w14:textId="1800392B" w:rsidR="00163D27" w:rsidRPr="008C7389" w:rsidRDefault="008C7389" w:rsidP="007B5B04">
            <w:r w:rsidRPr="008C7389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30D5258E" w14:textId="1E8D54CA" w:rsidR="00163D27" w:rsidRPr="008C7389" w:rsidRDefault="009D3975" w:rsidP="007B5B04">
            <w:r w:rsidRPr="3A4449E0">
              <w:rPr>
                <w:b/>
                <w:bCs/>
              </w:rPr>
              <w:t xml:space="preserve">Agreed. </w:t>
            </w:r>
            <w:r w:rsidR="00F2632A">
              <w:t>T</w:t>
            </w:r>
            <w:r w:rsidR="78E175E8">
              <w:t>he independent evaluation of P4SP demonstrated that t</w:t>
            </w:r>
            <w:r w:rsidR="00F2632A">
              <w:t>here is increasing demand for support from P4SP across</w:t>
            </w:r>
            <w:r w:rsidR="00E310C5">
              <w:t xml:space="preserve"> </w:t>
            </w:r>
            <w:r w:rsidR="3062AE7D">
              <w:t>the Pacific</w:t>
            </w:r>
            <w:r w:rsidR="2ABF46F7">
              <w:t xml:space="preserve"> and </w:t>
            </w:r>
            <w:r w:rsidR="0DD061A6">
              <w:t xml:space="preserve">that </w:t>
            </w:r>
            <w:r w:rsidR="00E310C5">
              <w:t>resources within</w:t>
            </w:r>
            <w:r w:rsidR="5A160711">
              <w:t xml:space="preserve"> the program </w:t>
            </w:r>
            <w:r w:rsidR="00E310C5">
              <w:t>are finite</w:t>
            </w:r>
            <w:r w:rsidR="00CF5D43">
              <w:t>.</w:t>
            </w:r>
            <w:r w:rsidR="002808E0">
              <w:t xml:space="preserve"> </w:t>
            </w:r>
            <w:r w:rsidR="20F98934">
              <w:t xml:space="preserve">This </w:t>
            </w:r>
            <w:r w:rsidR="04614E4E">
              <w:t xml:space="preserve">aligns with </w:t>
            </w:r>
            <w:r w:rsidR="002808E0">
              <w:t>DFAT’s Development Partners</w:t>
            </w:r>
            <w:r w:rsidR="00D82FA5">
              <w:t>h</w:t>
            </w:r>
            <w:r w:rsidR="002808E0">
              <w:t>ip Plan</w:t>
            </w:r>
            <w:r w:rsidR="00D82FA5">
              <w:t xml:space="preserve"> (DPP)</w:t>
            </w:r>
            <w:r w:rsidR="002808E0">
              <w:t xml:space="preserve"> with Timor-Leste</w:t>
            </w:r>
            <w:r w:rsidR="56A58A88">
              <w:t xml:space="preserve">. </w:t>
            </w:r>
          </w:p>
        </w:tc>
      </w:tr>
      <w:tr w:rsidR="00504C8E" w:rsidRPr="00A313E3" w14:paraId="5D08DD05" w14:textId="77777777" w:rsidTr="007B5B04">
        <w:trPr>
          <w:trHeight w:val="1472"/>
        </w:trPr>
        <w:tc>
          <w:tcPr>
            <w:tcW w:w="537" w:type="dxa"/>
            <w:tcBorders>
              <w:left w:val="single" w:sz="4" w:space="0" w:color="auto"/>
            </w:tcBorders>
          </w:tcPr>
          <w:p w14:paraId="54F1DE55" w14:textId="69AA4940" w:rsidR="00163D27" w:rsidRDefault="00163D27" w:rsidP="007B5B04">
            <w:r>
              <w:lastRenderedPageBreak/>
              <w:t>1</w:t>
            </w:r>
            <w:r w:rsidR="00D31656">
              <w:t>1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5215264F" w14:textId="4AD252C8" w:rsidR="00163D27" w:rsidRPr="0067555D" w:rsidRDefault="00996AF1" w:rsidP="007B5B04">
            <w:pPr>
              <w:rPr>
                <w:b/>
                <w:bCs/>
              </w:rPr>
            </w:pPr>
            <w:r w:rsidRPr="0086286F">
              <w:rPr>
                <w:b/>
                <w:bCs/>
              </w:rPr>
              <w:t>Consider including an Intermediate Outcome on climate change.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106B7A92" w14:textId="16E7C460" w:rsidR="00163D27" w:rsidRPr="009B2B80" w:rsidRDefault="001A4F10" w:rsidP="007B5B04">
            <w:r w:rsidRPr="009B2B80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0649ECAA" w14:textId="4245AAAA" w:rsidR="00163D27" w:rsidRPr="009B2B80" w:rsidRDefault="001A4F10" w:rsidP="007B5B04">
            <w:r w:rsidRPr="3A4449E0">
              <w:rPr>
                <w:b/>
                <w:bCs/>
              </w:rPr>
              <w:t>Agreed</w:t>
            </w:r>
            <w:r w:rsidR="00577CF7">
              <w:t>. I</w:t>
            </w:r>
            <w:r w:rsidR="009B2B80">
              <w:t xml:space="preserve">ncreasing </w:t>
            </w:r>
            <w:r w:rsidR="00324C6A">
              <w:t xml:space="preserve">P4SP’s </w:t>
            </w:r>
            <w:r w:rsidR="009B2B80">
              <w:t>focus on the linkages between social protection and climate</w:t>
            </w:r>
            <w:r w:rsidR="5FAC012D">
              <w:t xml:space="preserve"> change</w:t>
            </w:r>
            <w:r w:rsidR="009B2B80">
              <w:t xml:space="preserve"> is a key priority for the program moving forward.</w:t>
            </w:r>
            <w:r w:rsidR="00324C6A">
              <w:t xml:space="preserve"> </w:t>
            </w:r>
            <w:r w:rsidR="00324C6A" w:rsidRPr="007B5B04">
              <w:rPr>
                <w:szCs w:val="20"/>
              </w:rPr>
              <w:t xml:space="preserve">An additional </w:t>
            </w:r>
            <w:r w:rsidR="6312ED32" w:rsidRPr="007B5B04">
              <w:rPr>
                <w:szCs w:val="20"/>
              </w:rPr>
              <w:t>i</w:t>
            </w:r>
            <w:r w:rsidR="00AB6E8E" w:rsidRPr="007B5B04">
              <w:rPr>
                <w:szCs w:val="20"/>
              </w:rPr>
              <w:t xml:space="preserve">ntermediate </w:t>
            </w:r>
            <w:r w:rsidR="46C8C8E5" w:rsidRPr="007B5B04">
              <w:rPr>
                <w:szCs w:val="20"/>
              </w:rPr>
              <w:t>o</w:t>
            </w:r>
            <w:r w:rsidR="00AB6E8E" w:rsidRPr="007B5B04">
              <w:rPr>
                <w:szCs w:val="20"/>
              </w:rPr>
              <w:t>utcome</w:t>
            </w:r>
            <w:r w:rsidR="00324C6A" w:rsidRPr="007B5B04">
              <w:rPr>
                <w:szCs w:val="20"/>
              </w:rPr>
              <w:t xml:space="preserve"> on climate change would </w:t>
            </w:r>
            <w:r w:rsidR="00C54763" w:rsidRPr="007B5B04">
              <w:rPr>
                <w:szCs w:val="20"/>
              </w:rPr>
              <w:t>enhance this focus</w:t>
            </w:r>
            <w:r w:rsidR="00AB6E8E" w:rsidRPr="007B5B04">
              <w:rPr>
                <w:szCs w:val="20"/>
              </w:rPr>
              <w:t xml:space="preserve">, including for disaster response and for </w:t>
            </w:r>
            <w:r w:rsidR="00D82FA5" w:rsidRPr="007B5B04">
              <w:rPr>
                <w:szCs w:val="20"/>
              </w:rPr>
              <w:t>climate financing</w:t>
            </w:r>
            <w:r w:rsidR="00AB6E8E" w:rsidRPr="007B5B04">
              <w:rPr>
                <w:szCs w:val="20"/>
              </w:rPr>
              <w:t xml:space="preserve">. </w:t>
            </w:r>
            <w:r w:rsidR="44394AA6" w:rsidRPr="007B5B04">
              <w:rPr>
                <w:szCs w:val="20"/>
              </w:rPr>
              <w:t xml:space="preserve">It also brings the program into line with </w:t>
            </w:r>
            <w:r w:rsidR="6BA3A1EC" w:rsidRPr="007B5B04">
              <w:rPr>
                <w:rFonts w:eastAsia="Aptos" w:cs="Aptos"/>
                <w:i/>
                <w:iCs/>
                <w:szCs w:val="20"/>
              </w:rPr>
              <w:t>Australia’s International Development Performance and Delivery Framework</w:t>
            </w:r>
            <w:r w:rsidR="6BA3A1EC" w:rsidRPr="007B5B04">
              <w:rPr>
                <w:rFonts w:eastAsia="Aptos" w:cs="Aptos"/>
                <w:szCs w:val="20"/>
              </w:rPr>
              <w:t>.</w:t>
            </w:r>
          </w:p>
        </w:tc>
      </w:tr>
      <w:tr w:rsidR="00504C8E" w:rsidRPr="00A313E3" w14:paraId="27FAE864" w14:textId="77777777" w:rsidTr="007B5B04">
        <w:trPr>
          <w:trHeight w:val="1305"/>
        </w:trPr>
        <w:tc>
          <w:tcPr>
            <w:tcW w:w="537" w:type="dxa"/>
            <w:tcBorders>
              <w:left w:val="single" w:sz="4" w:space="0" w:color="auto"/>
            </w:tcBorders>
          </w:tcPr>
          <w:p w14:paraId="3813E98D" w14:textId="42861F87" w:rsidR="00163D27" w:rsidRPr="00A313E3" w:rsidRDefault="00163D27" w:rsidP="007B5B04">
            <w:r>
              <w:t>1</w:t>
            </w:r>
            <w:r w:rsidR="002C3066">
              <w:t>2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0B6E9FD3" w14:textId="2625EBC5" w:rsidR="00163D27" w:rsidRPr="009A3C03" w:rsidRDefault="00163D27" w:rsidP="007B5B04">
            <w:r w:rsidRPr="009A3C03">
              <w:rPr>
                <w:b/>
                <w:bCs/>
              </w:rPr>
              <w:t xml:space="preserve">Expand the investment in MEL and maintain some </w:t>
            </w:r>
            <w:r w:rsidR="004756E8" w:rsidRPr="0086286F">
              <w:rPr>
                <w:b/>
                <w:bCs/>
              </w:rPr>
              <w:t>independence</w:t>
            </w:r>
            <w:r w:rsidRPr="009A3C03">
              <w:t>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2DF60911" w14:textId="0D613D23" w:rsidR="00163D27" w:rsidRPr="009A5C50" w:rsidRDefault="00683F8C" w:rsidP="007B5B04">
            <w:r w:rsidRPr="009A5C50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52C6997B" w14:textId="6D7A2FA8" w:rsidR="00163D27" w:rsidRPr="009A5C50" w:rsidRDefault="00577CF7" w:rsidP="007B5B04">
            <w:r w:rsidRPr="71285B0E">
              <w:rPr>
                <w:b/>
                <w:bCs/>
              </w:rPr>
              <w:t>Agreed</w:t>
            </w:r>
            <w:r>
              <w:t xml:space="preserve">. </w:t>
            </w:r>
            <w:r w:rsidR="00D82FA5">
              <w:t xml:space="preserve">Investment in MEL will increase in </w:t>
            </w:r>
            <w:r w:rsidR="45E74F78">
              <w:t xml:space="preserve">Phase II </w:t>
            </w:r>
            <w:r w:rsidR="00D82FA5">
              <w:t xml:space="preserve">of the program. DFAT and P4SP have agreed to </w:t>
            </w:r>
            <w:r w:rsidR="009423BC">
              <w:t xml:space="preserve">bring MEL services in-house </w:t>
            </w:r>
            <w:r w:rsidR="00BF5905">
              <w:t>in the extension phase. DFAT will consider whether additional oversight is required</w:t>
            </w:r>
            <w:r w:rsidR="47FD9501">
              <w:t xml:space="preserve">, for example through </w:t>
            </w:r>
            <w:r w:rsidR="00BF5905">
              <w:t>a technical advisory group.</w:t>
            </w:r>
          </w:p>
        </w:tc>
      </w:tr>
      <w:tr w:rsidR="00504C8E" w:rsidRPr="00A313E3" w14:paraId="48C4851E" w14:textId="77777777" w:rsidTr="007B5B04">
        <w:trPr>
          <w:trHeight w:val="842"/>
        </w:trPr>
        <w:tc>
          <w:tcPr>
            <w:tcW w:w="537" w:type="dxa"/>
            <w:tcBorders>
              <w:left w:val="single" w:sz="4" w:space="0" w:color="auto"/>
            </w:tcBorders>
          </w:tcPr>
          <w:p w14:paraId="5FB1FC99" w14:textId="17D2AE39" w:rsidR="00163D27" w:rsidRPr="00A313E3" w:rsidRDefault="00163D27" w:rsidP="007B5B04">
            <w:r>
              <w:t>1</w:t>
            </w:r>
            <w:r w:rsidR="00F41FA9">
              <w:t>3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781E0F99" w14:textId="31F11861" w:rsidR="00163D27" w:rsidRPr="00DE5F97" w:rsidRDefault="00866485" w:rsidP="007B5B04">
            <w:pPr>
              <w:rPr>
                <w:b/>
                <w:bCs/>
              </w:rPr>
            </w:pPr>
            <w:r w:rsidRPr="3A4449E0">
              <w:rPr>
                <w:b/>
                <w:bCs/>
              </w:rPr>
              <w:t>Where there is a sizable bilateral investment, Country Engagement Plans could include intended outcomes / country level theories of change and a MEL framework</w:t>
            </w:r>
            <w:r w:rsidR="294E99E0" w:rsidRPr="3A4449E0">
              <w:rPr>
                <w:b/>
                <w:bCs/>
              </w:rPr>
              <w:t>.</w:t>
            </w:r>
            <w:r w:rsidRPr="3A4449E0"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3449577F" w14:textId="150B930C" w:rsidR="00163D27" w:rsidRPr="00F97A92" w:rsidRDefault="00F97A92" w:rsidP="007B5B04">
            <w:r w:rsidRPr="00F97A92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7CAE60CD" w14:textId="4C4939C4" w:rsidR="00163D27" w:rsidRPr="00F97A92" w:rsidRDefault="008F5046" w:rsidP="007B5B04">
            <w:r w:rsidRPr="3A4449E0">
              <w:rPr>
                <w:b/>
                <w:bCs/>
              </w:rPr>
              <w:t>Agreed</w:t>
            </w:r>
            <w:r>
              <w:t xml:space="preserve">, particularly for sizeable bilateral </w:t>
            </w:r>
            <w:r w:rsidR="6D5C2BAB">
              <w:t>engage</w:t>
            </w:r>
            <w:r>
              <w:t>ments.</w:t>
            </w:r>
            <w:r w:rsidR="00351B29">
              <w:t xml:space="preserve"> </w:t>
            </w:r>
          </w:p>
        </w:tc>
      </w:tr>
      <w:tr w:rsidR="00504C8E" w:rsidRPr="00A313E3" w14:paraId="0B14B132" w14:textId="77777777" w:rsidTr="007B5B04">
        <w:trPr>
          <w:trHeight w:val="528"/>
        </w:trPr>
        <w:tc>
          <w:tcPr>
            <w:tcW w:w="537" w:type="dxa"/>
            <w:tcBorders>
              <w:left w:val="single" w:sz="4" w:space="0" w:color="auto"/>
            </w:tcBorders>
          </w:tcPr>
          <w:p w14:paraId="3633B86D" w14:textId="6AE2429D" w:rsidR="00163D27" w:rsidRPr="00A313E3" w:rsidRDefault="00163D27" w:rsidP="007B5B04">
            <w:r w:rsidRPr="00A313E3">
              <w:t>1</w:t>
            </w:r>
            <w:r w:rsidR="006A54F3">
              <w:t>4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7936EFFB" w14:textId="05226C90" w:rsidR="00163D27" w:rsidRPr="00DE5F97" w:rsidRDefault="00762078" w:rsidP="007B5B04">
            <w:pPr>
              <w:rPr>
                <w:b/>
                <w:bCs/>
              </w:rPr>
            </w:pPr>
            <w:r w:rsidRPr="71285B0E">
              <w:rPr>
                <w:b/>
                <w:bCs/>
              </w:rPr>
              <w:t>DFAT and P4SP could explore opportunities to coordinate and collaborate more intentionally with other development partners.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4BA16DD7" w14:textId="36BD3E4B" w:rsidR="00163D27" w:rsidRPr="00F97A92" w:rsidRDefault="00F97A92" w:rsidP="007B5B04">
            <w:r w:rsidRPr="00F97A92">
              <w:t>Y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14:paraId="0AFF9C1D" w14:textId="4D350509" w:rsidR="00163D27" w:rsidRPr="00C1399D" w:rsidRDefault="38B7B7D5" w:rsidP="007B5B04">
            <w:r w:rsidRPr="3A4449E0">
              <w:rPr>
                <w:b/>
                <w:bCs/>
              </w:rPr>
              <w:t>A</w:t>
            </w:r>
            <w:r w:rsidR="00622A20" w:rsidRPr="3A4449E0">
              <w:rPr>
                <w:b/>
                <w:bCs/>
              </w:rPr>
              <w:t>greed</w:t>
            </w:r>
            <w:r w:rsidR="00622A20">
              <w:t xml:space="preserve">. </w:t>
            </w:r>
            <w:r w:rsidR="26E8E4CD">
              <w:t>DFAT and P4SP will continue to look for opportunities to coordinate and collaborate with other development partners</w:t>
            </w:r>
            <w:r w:rsidR="348F9086">
              <w:t xml:space="preserve">, including through relevant regional fora. </w:t>
            </w:r>
          </w:p>
        </w:tc>
      </w:tr>
      <w:tr w:rsidR="00504C8E" w:rsidRPr="00A313E3" w14:paraId="7169F3D3" w14:textId="77777777" w:rsidTr="007B5B04">
        <w:trPr>
          <w:trHeight w:val="87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14:paraId="33DE8888" w14:textId="26185BB8" w:rsidR="00163D27" w:rsidRPr="00A313E3" w:rsidRDefault="00163D27" w:rsidP="007B5B04">
            <w:r>
              <w:t>1</w:t>
            </w:r>
            <w:r w:rsidR="005B5B30">
              <w:t>5</w:t>
            </w:r>
          </w:p>
        </w:tc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</w:tcPr>
          <w:p w14:paraId="41D08C60" w14:textId="07944848" w:rsidR="00163D27" w:rsidRPr="00F73BCD" w:rsidRDefault="00163D27" w:rsidP="007B5B04">
            <w:pPr>
              <w:rPr>
                <w:b/>
                <w:bCs/>
              </w:rPr>
            </w:pPr>
            <w:r w:rsidRPr="71285B0E">
              <w:rPr>
                <w:b/>
                <w:bCs/>
              </w:rPr>
              <w:t>Explore opportunities to engage more intentionally with CSOs</w:t>
            </w:r>
            <w:r w:rsidR="00097674" w:rsidRPr="71285B0E">
              <w:rPr>
                <w:b/>
                <w:bCs/>
              </w:rPr>
              <w:t>.</w:t>
            </w:r>
            <w:r w:rsidRPr="71285B0E"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4" w:space="0" w:color="auto"/>
            </w:tcBorders>
          </w:tcPr>
          <w:p w14:paraId="78A60AED" w14:textId="12DC0326" w:rsidR="00163D27" w:rsidRPr="0057771B" w:rsidRDefault="0057771B" w:rsidP="007B5B04">
            <w:r w:rsidRPr="0057771B">
              <w:t>Y</w:t>
            </w:r>
          </w:p>
        </w:tc>
        <w:tc>
          <w:tcPr>
            <w:tcW w:w="6093" w:type="dxa"/>
            <w:tcBorders>
              <w:bottom w:val="single" w:sz="4" w:space="0" w:color="auto"/>
              <w:right w:val="single" w:sz="4" w:space="0" w:color="auto"/>
            </w:tcBorders>
          </w:tcPr>
          <w:p w14:paraId="14FE0DF4" w14:textId="3056FAF6" w:rsidR="00163D27" w:rsidRPr="0057771B" w:rsidRDefault="0093719F" w:rsidP="007B5B04">
            <w:r>
              <w:rPr>
                <w:b/>
                <w:bCs/>
              </w:rPr>
              <w:t>A</w:t>
            </w:r>
            <w:r w:rsidR="009C113D" w:rsidRPr="00F73BCD">
              <w:rPr>
                <w:b/>
                <w:bCs/>
              </w:rPr>
              <w:t>greed</w:t>
            </w:r>
            <w:r w:rsidR="009C113D">
              <w:t xml:space="preserve">. </w:t>
            </w:r>
            <w:r w:rsidR="00405CA7">
              <w:t>Priority CSOs to engage with include g</w:t>
            </w:r>
            <w:r w:rsidR="007C1876">
              <w:t>ender equality and disability inclusive CSOs</w:t>
            </w:r>
            <w:r w:rsidR="000F0CDD">
              <w:t xml:space="preserve"> at the bilateral and regional level</w:t>
            </w:r>
            <w:r w:rsidR="00405CA7">
              <w:t xml:space="preserve">. </w:t>
            </w:r>
          </w:p>
        </w:tc>
      </w:tr>
    </w:tbl>
    <w:p w14:paraId="70F86874" w14:textId="77777777" w:rsidR="00193A09" w:rsidRDefault="00193A09" w:rsidP="00913793"/>
    <w:sectPr w:rsidR="00193A09" w:rsidSect="00913793">
      <w:pgSz w:w="16838" w:h="11906" w:orient="landscape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8412" w14:textId="77777777" w:rsidR="00CC72A5" w:rsidRDefault="00CC72A5" w:rsidP="00CF4730">
      <w:pPr>
        <w:spacing w:before="0" w:after="0"/>
      </w:pPr>
      <w:r>
        <w:separator/>
      </w:r>
    </w:p>
  </w:endnote>
  <w:endnote w:type="continuationSeparator" w:id="0">
    <w:p w14:paraId="7B23A2ED" w14:textId="77777777" w:rsidR="00CC72A5" w:rsidRDefault="00CC72A5" w:rsidP="00CF47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1F98" w14:textId="77777777" w:rsidR="00CC72A5" w:rsidRDefault="00CC72A5" w:rsidP="00CF4730">
      <w:pPr>
        <w:spacing w:before="0" w:after="0"/>
      </w:pPr>
      <w:r>
        <w:separator/>
      </w:r>
    </w:p>
  </w:footnote>
  <w:footnote w:type="continuationSeparator" w:id="0">
    <w:p w14:paraId="3925C520" w14:textId="77777777" w:rsidR="00CC72A5" w:rsidRDefault="00CC72A5" w:rsidP="00CF47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825"/>
    <w:multiLevelType w:val="hybridMultilevel"/>
    <w:tmpl w:val="8726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105A"/>
    <w:multiLevelType w:val="hybridMultilevel"/>
    <w:tmpl w:val="DF5A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F9"/>
    <w:multiLevelType w:val="hybridMultilevel"/>
    <w:tmpl w:val="8102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C61"/>
    <w:multiLevelType w:val="hybridMultilevel"/>
    <w:tmpl w:val="F086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F4B62"/>
    <w:multiLevelType w:val="hybridMultilevel"/>
    <w:tmpl w:val="680E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5109"/>
    <w:multiLevelType w:val="hybridMultilevel"/>
    <w:tmpl w:val="17D6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366A"/>
    <w:multiLevelType w:val="hybridMultilevel"/>
    <w:tmpl w:val="D01437CC"/>
    <w:lvl w:ilvl="0" w:tplc="60E00194"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79C4"/>
    <w:multiLevelType w:val="hybridMultilevel"/>
    <w:tmpl w:val="511E6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05C26"/>
    <w:multiLevelType w:val="hybridMultilevel"/>
    <w:tmpl w:val="3CE8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66380"/>
    <w:multiLevelType w:val="hybridMultilevel"/>
    <w:tmpl w:val="E880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62BBF"/>
    <w:multiLevelType w:val="multilevel"/>
    <w:tmpl w:val="D84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D1A09A"/>
    <w:multiLevelType w:val="hybridMultilevel"/>
    <w:tmpl w:val="2786C5D8"/>
    <w:lvl w:ilvl="0" w:tplc="AA040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EF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28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8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04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4C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9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E4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EF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7947">
    <w:abstractNumId w:val="11"/>
  </w:num>
  <w:num w:numId="2" w16cid:durableId="2005426833">
    <w:abstractNumId w:val="9"/>
  </w:num>
  <w:num w:numId="3" w16cid:durableId="1496265638">
    <w:abstractNumId w:val="8"/>
  </w:num>
  <w:num w:numId="4" w16cid:durableId="2089157522">
    <w:abstractNumId w:val="4"/>
  </w:num>
  <w:num w:numId="5" w16cid:durableId="1559515529">
    <w:abstractNumId w:val="5"/>
  </w:num>
  <w:num w:numId="6" w16cid:durableId="1590507957">
    <w:abstractNumId w:val="2"/>
  </w:num>
  <w:num w:numId="7" w16cid:durableId="1814835079">
    <w:abstractNumId w:val="1"/>
  </w:num>
  <w:num w:numId="8" w16cid:durableId="536818243">
    <w:abstractNumId w:val="0"/>
  </w:num>
  <w:num w:numId="9" w16cid:durableId="222064911">
    <w:abstractNumId w:val="3"/>
  </w:num>
  <w:num w:numId="10" w16cid:durableId="2060855319">
    <w:abstractNumId w:val="6"/>
  </w:num>
  <w:num w:numId="11" w16cid:durableId="72554053">
    <w:abstractNumId w:val="10"/>
  </w:num>
  <w:num w:numId="12" w16cid:durableId="1975941350">
    <w:abstractNumId w:val="8"/>
  </w:num>
  <w:num w:numId="13" w16cid:durableId="875964119">
    <w:abstractNumId w:val="7"/>
  </w:num>
  <w:num w:numId="14" w16cid:durableId="1269385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30"/>
    <w:rsid w:val="00013D2E"/>
    <w:rsid w:val="00015472"/>
    <w:rsid w:val="00030503"/>
    <w:rsid w:val="00036A92"/>
    <w:rsid w:val="00041FA7"/>
    <w:rsid w:val="000461F0"/>
    <w:rsid w:val="0005619B"/>
    <w:rsid w:val="000568FB"/>
    <w:rsid w:val="0007417F"/>
    <w:rsid w:val="0008149E"/>
    <w:rsid w:val="00097674"/>
    <w:rsid w:val="000A7D74"/>
    <w:rsid w:val="000B1E02"/>
    <w:rsid w:val="000B687E"/>
    <w:rsid w:val="000C492D"/>
    <w:rsid w:val="000D5282"/>
    <w:rsid w:val="000F0CDD"/>
    <w:rsid w:val="000F747B"/>
    <w:rsid w:val="0011365C"/>
    <w:rsid w:val="001155DE"/>
    <w:rsid w:val="00145E18"/>
    <w:rsid w:val="00151127"/>
    <w:rsid w:val="00163D27"/>
    <w:rsid w:val="00193A09"/>
    <w:rsid w:val="00193E05"/>
    <w:rsid w:val="001A4F10"/>
    <w:rsid w:val="001D373B"/>
    <w:rsid w:val="001E5B75"/>
    <w:rsid w:val="001F11C3"/>
    <w:rsid w:val="001F5160"/>
    <w:rsid w:val="002045A7"/>
    <w:rsid w:val="002050C6"/>
    <w:rsid w:val="00211339"/>
    <w:rsid w:val="00211E6C"/>
    <w:rsid w:val="002170DF"/>
    <w:rsid w:val="00222818"/>
    <w:rsid w:val="002479C4"/>
    <w:rsid w:val="002700D9"/>
    <w:rsid w:val="002767B1"/>
    <w:rsid w:val="002808E0"/>
    <w:rsid w:val="002948FE"/>
    <w:rsid w:val="00295260"/>
    <w:rsid w:val="002A3319"/>
    <w:rsid w:val="002B4D55"/>
    <w:rsid w:val="002C3066"/>
    <w:rsid w:val="002C4557"/>
    <w:rsid w:val="002D24B4"/>
    <w:rsid w:val="002F190E"/>
    <w:rsid w:val="002F3EBB"/>
    <w:rsid w:val="002F405F"/>
    <w:rsid w:val="003109E9"/>
    <w:rsid w:val="003150E4"/>
    <w:rsid w:val="00316073"/>
    <w:rsid w:val="00324C6A"/>
    <w:rsid w:val="003259C6"/>
    <w:rsid w:val="00351B29"/>
    <w:rsid w:val="003628C3"/>
    <w:rsid w:val="003647B3"/>
    <w:rsid w:val="00374947"/>
    <w:rsid w:val="00387F30"/>
    <w:rsid w:val="003B6CF3"/>
    <w:rsid w:val="003C16F4"/>
    <w:rsid w:val="003C5633"/>
    <w:rsid w:val="003C72B2"/>
    <w:rsid w:val="00401B0F"/>
    <w:rsid w:val="00403A3D"/>
    <w:rsid w:val="00405CA7"/>
    <w:rsid w:val="00406855"/>
    <w:rsid w:val="004125B5"/>
    <w:rsid w:val="0044415B"/>
    <w:rsid w:val="00461E81"/>
    <w:rsid w:val="00474CEA"/>
    <w:rsid w:val="004756E8"/>
    <w:rsid w:val="00482397"/>
    <w:rsid w:val="004B04ED"/>
    <w:rsid w:val="004B6672"/>
    <w:rsid w:val="004D31CA"/>
    <w:rsid w:val="004E36BE"/>
    <w:rsid w:val="004F49EE"/>
    <w:rsid w:val="00504C8E"/>
    <w:rsid w:val="0057771B"/>
    <w:rsid w:val="00577CF7"/>
    <w:rsid w:val="0059273D"/>
    <w:rsid w:val="0059402C"/>
    <w:rsid w:val="005A3A9E"/>
    <w:rsid w:val="005B5B30"/>
    <w:rsid w:val="005D38EC"/>
    <w:rsid w:val="005D77E2"/>
    <w:rsid w:val="005E05EC"/>
    <w:rsid w:val="005F042D"/>
    <w:rsid w:val="00605738"/>
    <w:rsid w:val="00615588"/>
    <w:rsid w:val="00622A20"/>
    <w:rsid w:val="006367E8"/>
    <w:rsid w:val="0064116F"/>
    <w:rsid w:val="00683F8C"/>
    <w:rsid w:val="00684C65"/>
    <w:rsid w:val="006904B1"/>
    <w:rsid w:val="00694417"/>
    <w:rsid w:val="006A4450"/>
    <w:rsid w:val="006A54F3"/>
    <w:rsid w:val="006A59B7"/>
    <w:rsid w:val="006A7499"/>
    <w:rsid w:val="006C2C3A"/>
    <w:rsid w:val="0070774C"/>
    <w:rsid w:val="00710224"/>
    <w:rsid w:val="00720423"/>
    <w:rsid w:val="00721720"/>
    <w:rsid w:val="0074009E"/>
    <w:rsid w:val="00743745"/>
    <w:rsid w:val="00745C94"/>
    <w:rsid w:val="00755724"/>
    <w:rsid w:val="00762078"/>
    <w:rsid w:val="00784845"/>
    <w:rsid w:val="00785BFE"/>
    <w:rsid w:val="00791576"/>
    <w:rsid w:val="007B28E3"/>
    <w:rsid w:val="007B5B04"/>
    <w:rsid w:val="007C1876"/>
    <w:rsid w:val="007D603C"/>
    <w:rsid w:val="007F01A3"/>
    <w:rsid w:val="00805BEA"/>
    <w:rsid w:val="00813EA5"/>
    <w:rsid w:val="00816EF5"/>
    <w:rsid w:val="0082197B"/>
    <w:rsid w:val="008311DD"/>
    <w:rsid w:val="00833D48"/>
    <w:rsid w:val="008469B7"/>
    <w:rsid w:val="0085366F"/>
    <w:rsid w:val="00861F0A"/>
    <w:rsid w:val="00866485"/>
    <w:rsid w:val="00881FA7"/>
    <w:rsid w:val="00890097"/>
    <w:rsid w:val="00894C73"/>
    <w:rsid w:val="008C7389"/>
    <w:rsid w:val="008D2582"/>
    <w:rsid w:val="008D489C"/>
    <w:rsid w:val="008E54B8"/>
    <w:rsid w:val="008E5984"/>
    <w:rsid w:val="008F5046"/>
    <w:rsid w:val="009100F0"/>
    <w:rsid w:val="009103F3"/>
    <w:rsid w:val="00913793"/>
    <w:rsid w:val="009234DA"/>
    <w:rsid w:val="00933709"/>
    <w:rsid w:val="0093719F"/>
    <w:rsid w:val="009423BC"/>
    <w:rsid w:val="009611DC"/>
    <w:rsid w:val="00963D38"/>
    <w:rsid w:val="00970F24"/>
    <w:rsid w:val="00976E92"/>
    <w:rsid w:val="009811F7"/>
    <w:rsid w:val="00993AE7"/>
    <w:rsid w:val="00996AF1"/>
    <w:rsid w:val="009A5C50"/>
    <w:rsid w:val="009B2B80"/>
    <w:rsid w:val="009B7741"/>
    <w:rsid w:val="009C0260"/>
    <w:rsid w:val="009C113D"/>
    <w:rsid w:val="009C73EF"/>
    <w:rsid w:val="009D3975"/>
    <w:rsid w:val="009E4016"/>
    <w:rsid w:val="009E53E3"/>
    <w:rsid w:val="009F14E8"/>
    <w:rsid w:val="00A017A0"/>
    <w:rsid w:val="00A020CC"/>
    <w:rsid w:val="00A2089A"/>
    <w:rsid w:val="00A57BB5"/>
    <w:rsid w:val="00A700B2"/>
    <w:rsid w:val="00A733C8"/>
    <w:rsid w:val="00A73AD4"/>
    <w:rsid w:val="00A85BA6"/>
    <w:rsid w:val="00AA319E"/>
    <w:rsid w:val="00AB308E"/>
    <w:rsid w:val="00AB6E8E"/>
    <w:rsid w:val="00AC1B26"/>
    <w:rsid w:val="00AC2A12"/>
    <w:rsid w:val="00B00A43"/>
    <w:rsid w:val="00B0210F"/>
    <w:rsid w:val="00B177D2"/>
    <w:rsid w:val="00B41932"/>
    <w:rsid w:val="00B6575A"/>
    <w:rsid w:val="00B841F3"/>
    <w:rsid w:val="00B85A05"/>
    <w:rsid w:val="00BA2A12"/>
    <w:rsid w:val="00BA7BAA"/>
    <w:rsid w:val="00BC0BA3"/>
    <w:rsid w:val="00BD1002"/>
    <w:rsid w:val="00BE4413"/>
    <w:rsid w:val="00BE7503"/>
    <w:rsid w:val="00BF5905"/>
    <w:rsid w:val="00C12F82"/>
    <w:rsid w:val="00C15D2C"/>
    <w:rsid w:val="00C17C66"/>
    <w:rsid w:val="00C26875"/>
    <w:rsid w:val="00C26CE3"/>
    <w:rsid w:val="00C53F62"/>
    <w:rsid w:val="00C54763"/>
    <w:rsid w:val="00C7671C"/>
    <w:rsid w:val="00C84C59"/>
    <w:rsid w:val="00CA0249"/>
    <w:rsid w:val="00CA449D"/>
    <w:rsid w:val="00CA7F05"/>
    <w:rsid w:val="00CC72A5"/>
    <w:rsid w:val="00CE5872"/>
    <w:rsid w:val="00CF11CD"/>
    <w:rsid w:val="00CF4730"/>
    <w:rsid w:val="00CF5D43"/>
    <w:rsid w:val="00D14BBB"/>
    <w:rsid w:val="00D272A6"/>
    <w:rsid w:val="00D31656"/>
    <w:rsid w:val="00D3446D"/>
    <w:rsid w:val="00D45B7A"/>
    <w:rsid w:val="00D45F1D"/>
    <w:rsid w:val="00D503D4"/>
    <w:rsid w:val="00D61982"/>
    <w:rsid w:val="00D62F9F"/>
    <w:rsid w:val="00D82FA5"/>
    <w:rsid w:val="00D907F3"/>
    <w:rsid w:val="00D91C63"/>
    <w:rsid w:val="00DA7FA6"/>
    <w:rsid w:val="00DE12BC"/>
    <w:rsid w:val="00DE5F97"/>
    <w:rsid w:val="00E10742"/>
    <w:rsid w:val="00E139D1"/>
    <w:rsid w:val="00E310C5"/>
    <w:rsid w:val="00E3434C"/>
    <w:rsid w:val="00E37C2C"/>
    <w:rsid w:val="00E85D60"/>
    <w:rsid w:val="00E9272B"/>
    <w:rsid w:val="00E95114"/>
    <w:rsid w:val="00E975CF"/>
    <w:rsid w:val="00E97DAD"/>
    <w:rsid w:val="00EB6EBB"/>
    <w:rsid w:val="00EC2C91"/>
    <w:rsid w:val="00EC624B"/>
    <w:rsid w:val="00EE0F8D"/>
    <w:rsid w:val="00EE6D98"/>
    <w:rsid w:val="00EE7FBB"/>
    <w:rsid w:val="00EF20DE"/>
    <w:rsid w:val="00EF2214"/>
    <w:rsid w:val="00F2632A"/>
    <w:rsid w:val="00F41FA9"/>
    <w:rsid w:val="00F656EA"/>
    <w:rsid w:val="00F672E8"/>
    <w:rsid w:val="00F73BCD"/>
    <w:rsid w:val="00F75564"/>
    <w:rsid w:val="00F83DD5"/>
    <w:rsid w:val="00F97A92"/>
    <w:rsid w:val="00FA7152"/>
    <w:rsid w:val="00FC19E1"/>
    <w:rsid w:val="00FD0CEA"/>
    <w:rsid w:val="00FD4C3C"/>
    <w:rsid w:val="00FE40AB"/>
    <w:rsid w:val="0131D98E"/>
    <w:rsid w:val="01E2D3A9"/>
    <w:rsid w:val="02856728"/>
    <w:rsid w:val="042FCFB6"/>
    <w:rsid w:val="04614E4E"/>
    <w:rsid w:val="04BDFEB2"/>
    <w:rsid w:val="04EF2B34"/>
    <w:rsid w:val="05470D88"/>
    <w:rsid w:val="055A0186"/>
    <w:rsid w:val="0579368E"/>
    <w:rsid w:val="065F4AF2"/>
    <w:rsid w:val="06698739"/>
    <w:rsid w:val="08112762"/>
    <w:rsid w:val="089FF9EA"/>
    <w:rsid w:val="09590DBC"/>
    <w:rsid w:val="095C7EE1"/>
    <w:rsid w:val="09937AD7"/>
    <w:rsid w:val="09C0A67D"/>
    <w:rsid w:val="0ADE8D2E"/>
    <w:rsid w:val="0B97660E"/>
    <w:rsid w:val="0C5E704A"/>
    <w:rsid w:val="0CB4661B"/>
    <w:rsid w:val="0D78BCD3"/>
    <w:rsid w:val="0DD061A6"/>
    <w:rsid w:val="0F1A70A5"/>
    <w:rsid w:val="0F567AA3"/>
    <w:rsid w:val="0FF80990"/>
    <w:rsid w:val="10047B4D"/>
    <w:rsid w:val="10AD44EE"/>
    <w:rsid w:val="10B47599"/>
    <w:rsid w:val="10D57D3B"/>
    <w:rsid w:val="119BC289"/>
    <w:rsid w:val="11AE37AC"/>
    <w:rsid w:val="1227F659"/>
    <w:rsid w:val="1408815E"/>
    <w:rsid w:val="15171120"/>
    <w:rsid w:val="1646A007"/>
    <w:rsid w:val="16D8598F"/>
    <w:rsid w:val="1736BD4B"/>
    <w:rsid w:val="177AC3CB"/>
    <w:rsid w:val="17ADC69D"/>
    <w:rsid w:val="1843A67F"/>
    <w:rsid w:val="1904CD2F"/>
    <w:rsid w:val="1CBD0135"/>
    <w:rsid w:val="1D726A70"/>
    <w:rsid w:val="1D78664B"/>
    <w:rsid w:val="1E8224B3"/>
    <w:rsid w:val="1F19ECDF"/>
    <w:rsid w:val="1F6A3974"/>
    <w:rsid w:val="1F9FF122"/>
    <w:rsid w:val="201549D8"/>
    <w:rsid w:val="20C2F55C"/>
    <w:rsid w:val="20C3F9E6"/>
    <w:rsid w:val="20F98934"/>
    <w:rsid w:val="215B35BB"/>
    <w:rsid w:val="23AF67A9"/>
    <w:rsid w:val="242D1761"/>
    <w:rsid w:val="249E3762"/>
    <w:rsid w:val="2588A0BB"/>
    <w:rsid w:val="25CB68FA"/>
    <w:rsid w:val="25D2C1C9"/>
    <w:rsid w:val="26428278"/>
    <w:rsid w:val="26E8E4CD"/>
    <w:rsid w:val="271CABC5"/>
    <w:rsid w:val="273C68B8"/>
    <w:rsid w:val="2784D568"/>
    <w:rsid w:val="280CD471"/>
    <w:rsid w:val="281EEFAE"/>
    <w:rsid w:val="282D9211"/>
    <w:rsid w:val="28322A22"/>
    <w:rsid w:val="2925D83C"/>
    <w:rsid w:val="294E99E0"/>
    <w:rsid w:val="297D8944"/>
    <w:rsid w:val="2A682E42"/>
    <w:rsid w:val="2AB4E54D"/>
    <w:rsid w:val="2ABF46F7"/>
    <w:rsid w:val="2B26E63E"/>
    <w:rsid w:val="2B78D308"/>
    <w:rsid w:val="2B9BF3C5"/>
    <w:rsid w:val="2C46B8AB"/>
    <w:rsid w:val="2C9B4262"/>
    <w:rsid w:val="2CA3205A"/>
    <w:rsid w:val="2F1FF812"/>
    <w:rsid w:val="2F41F4D5"/>
    <w:rsid w:val="3062AE7D"/>
    <w:rsid w:val="30BECAD1"/>
    <w:rsid w:val="30FED6B7"/>
    <w:rsid w:val="31AAC46A"/>
    <w:rsid w:val="3282F257"/>
    <w:rsid w:val="32D6CF55"/>
    <w:rsid w:val="33A7C6DD"/>
    <w:rsid w:val="348F9086"/>
    <w:rsid w:val="34F51DF4"/>
    <w:rsid w:val="3522304A"/>
    <w:rsid w:val="35F6E28A"/>
    <w:rsid w:val="36393EAE"/>
    <w:rsid w:val="36D95D38"/>
    <w:rsid w:val="3735E1EC"/>
    <w:rsid w:val="37413ED1"/>
    <w:rsid w:val="375C480F"/>
    <w:rsid w:val="38B7B7D5"/>
    <w:rsid w:val="39942172"/>
    <w:rsid w:val="3A24C6D3"/>
    <w:rsid w:val="3A4449E0"/>
    <w:rsid w:val="3A508156"/>
    <w:rsid w:val="3A8E83BB"/>
    <w:rsid w:val="3AA45C8C"/>
    <w:rsid w:val="3B0DA5EC"/>
    <w:rsid w:val="3B348E19"/>
    <w:rsid w:val="3E14F231"/>
    <w:rsid w:val="3E48A7C3"/>
    <w:rsid w:val="3F6D29E0"/>
    <w:rsid w:val="3FDCB5C5"/>
    <w:rsid w:val="417B3CFA"/>
    <w:rsid w:val="43321409"/>
    <w:rsid w:val="4373B4E0"/>
    <w:rsid w:val="44394AA6"/>
    <w:rsid w:val="4504AA14"/>
    <w:rsid w:val="45D7715B"/>
    <w:rsid w:val="45E35616"/>
    <w:rsid w:val="45E74F78"/>
    <w:rsid w:val="46C8C8E5"/>
    <w:rsid w:val="46D30302"/>
    <w:rsid w:val="470D3603"/>
    <w:rsid w:val="47B7F6D8"/>
    <w:rsid w:val="47F7D6DF"/>
    <w:rsid w:val="47FD9501"/>
    <w:rsid w:val="493F07E5"/>
    <w:rsid w:val="496D7427"/>
    <w:rsid w:val="49BFB6B1"/>
    <w:rsid w:val="4A0DDBBC"/>
    <w:rsid w:val="4A2BF124"/>
    <w:rsid w:val="4B600732"/>
    <w:rsid w:val="4B692933"/>
    <w:rsid w:val="4CDAF35E"/>
    <w:rsid w:val="4CDB4C86"/>
    <w:rsid w:val="4CE4D5E5"/>
    <w:rsid w:val="4F1EE646"/>
    <w:rsid w:val="526BB2FD"/>
    <w:rsid w:val="54C3748C"/>
    <w:rsid w:val="552D8CCC"/>
    <w:rsid w:val="56A58A88"/>
    <w:rsid w:val="56F5800C"/>
    <w:rsid w:val="575A4889"/>
    <w:rsid w:val="57DEFB77"/>
    <w:rsid w:val="5A160711"/>
    <w:rsid w:val="5A3315FC"/>
    <w:rsid w:val="5C069E99"/>
    <w:rsid w:val="5D226813"/>
    <w:rsid w:val="5D3675F2"/>
    <w:rsid w:val="5DEED941"/>
    <w:rsid w:val="5E6B53F5"/>
    <w:rsid w:val="5EB850D3"/>
    <w:rsid w:val="5FAC012D"/>
    <w:rsid w:val="607ABB1D"/>
    <w:rsid w:val="6083DC4F"/>
    <w:rsid w:val="60CEA9A4"/>
    <w:rsid w:val="61349864"/>
    <w:rsid w:val="61A34A31"/>
    <w:rsid w:val="623D5B0C"/>
    <w:rsid w:val="62BC6A35"/>
    <w:rsid w:val="6312ED32"/>
    <w:rsid w:val="631481CC"/>
    <w:rsid w:val="63550B99"/>
    <w:rsid w:val="64A1EA2D"/>
    <w:rsid w:val="64DF77CC"/>
    <w:rsid w:val="65F70203"/>
    <w:rsid w:val="6708D906"/>
    <w:rsid w:val="670BFF81"/>
    <w:rsid w:val="67275343"/>
    <w:rsid w:val="68493D81"/>
    <w:rsid w:val="68611CA0"/>
    <w:rsid w:val="6983C34F"/>
    <w:rsid w:val="6BA3A1EC"/>
    <w:rsid w:val="6CCD7D5A"/>
    <w:rsid w:val="6CEEF33F"/>
    <w:rsid w:val="6D3A4A79"/>
    <w:rsid w:val="6D5C2BAB"/>
    <w:rsid w:val="6DC5A151"/>
    <w:rsid w:val="6F399D7D"/>
    <w:rsid w:val="6F3B157E"/>
    <w:rsid w:val="6F5002C3"/>
    <w:rsid w:val="7092CFD5"/>
    <w:rsid w:val="71285B0E"/>
    <w:rsid w:val="72C27772"/>
    <w:rsid w:val="72E68F01"/>
    <w:rsid w:val="759D9B65"/>
    <w:rsid w:val="75DB0920"/>
    <w:rsid w:val="76AF43A4"/>
    <w:rsid w:val="7700CEEF"/>
    <w:rsid w:val="771F13AC"/>
    <w:rsid w:val="77D31468"/>
    <w:rsid w:val="783AB141"/>
    <w:rsid w:val="785CADC4"/>
    <w:rsid w:val="78BA25AD"/>
    <w:rsid w:val="78E175E8"/>
    <w:rsid w:val="7963EB1F"/>
    <w:rsid w:val="7A26A5B6"/>
    <w:rsid w:val="7A5278B3"/>
    <w:rsid w:val="7ABDBA76"/>
    <w:rsid w:val="7CB0D58B"/>
    <w:rsid w:val="7DFA94BD"/>
    <w:rsid w:val="7E0E2D24"/>
    <w:rsid w:val="7E28CEBD"/>
    <w:rsid w:val="7E558E05"/>
    <w:rsid w:val="7F1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6B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30"/>
    <w:pPr>
      <w:spacing w:before="120" w:after="120" w:line="240" w:lineRule="auto"/>
    </w:pPr>
    <w:rPr>
      <w:rFonts w:ascii="Aptos" w:hAnsi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 paras,Bulleted Para,CV text,Dot pt,F5 List Paragraph,FooterText,L,List Paragraph1,List Paragraph11,List Paragraph111,List Paragraph2,Medium Grid 1 - Accent 21,NFP GP Bulleted List,Numbered Paragraph,Recommendation,Table tex"/>
    <w:basedOn w:val="Normal"/>
    <w:link w:val="ListParagraphChar"/>
    <w:uiPriority w:val="34"/>
    <w:qFormat/>
    <w:rsid w:val="00CF4730"/>
    <w:pPr>
      <w:ind w:left="720"/>
      <w:contextualSpacing/>
    </w:pPr>
  </w:style>
  <w:style w:type="character" w:customStyle="1" w:styleId="ListParagraphChar">
    <w:name w:val="List Paragraph Char"/>
    <w:aliases w:val="Bullets Char,Bullet paras Char,Bulleted Para Char,CV text Char,Dot pt Char,F5 List Paragraph Char,FooterText Char,L Char,List Paragraph1 Char,List Paragraph11 Char,List Paragraph111 Char,List Paragraph2 Char,NFP GP Bulleted List Char"/>
    <w:basedOn w:val="DefaultParagraphFont"/>
    <w:link w:val="ListParagraph"/>
    <w:uiPriority w:val="34"/>
    <w:qFormat/>
    <w:locked/>
    <w:rsid w:val="00CF4730"/>
    <w:rPr>
      <w:rFonts w:ascii="Aptos" w:hAnsi="Aptos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F4730"/>
    <w:rPr>
      <w:rFonts w:asciiTheme="majorHAnsi" w:eastAsiaTheme="minorEastAsia" w:hAnsiTheme="majorHAnsi"/>
      <w:bCs/>
      <w:smallCaps/>
      <w:color w:val="44546A" w:themeColor="text2"/>
      <w:spacing w:val="6"/>
      <w:szCs w:val="18"/>
    </w:rPr>
  </w:style>
  <w:style w:type="table" w:customStyle="1" w:styleId="CHTable1">
    <w:name w:val="CH Table 1"/>
    <w:basedOn w:val="TableNormal"/>
    <w:uiPriority w:val="99"/>
    <w:rsid w:val="00CF4730"/>
    <w:pPr>
      <w:spacing w:before="100" w:after="100" w:line="240" w:lineRule="auto"/>
    </w:pPr>
    <w:rPr>
      <w:rFonts w:cs="Times New Roman"/>
      <w:color w:val="000000" w:themeColor="text1"/>
      <w:kern w:val="0"/>
      <w:sz w:val="20"/>
      <w:szCs w:val="21"/>
      <w14:ligatures w14:val="none"/>
    </w:rPr>
    <w:tblPr>
      <w:tblStyleRowBandSize w:val="1"/>
      <w:tblStyleColBandSize w:val="1"/>
      <w:tblBorders>
        <w:insideH w:val="single" w:sz="4" w:space="0" w:color="FFC000" w:themeColor="accent4"/>
        <w:insideV w:val="single" w:sz="4" w:space="0" w:color="FFC000" w:themeColor="accent4"/>
      </w:tblBorders>
    </w:tblPr>
    <w:trPr>
      <w:cantSplit/>
    </w:trPr>
    <w:tblStylePr w:type="firstRow">
      <w:rPr>
        <w:b/>
        <w:color w:val="FFFFFF" w:themeColor="background1"/>
        <w:sz w:val="24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BE441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4413"/>
    <w:rPr>
      <w:rFonts w:ascii="Aptos" w:hAnsi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441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4413"/>
    <w:rPr>
      <w:rFonts w:ascii="Aptos" w:hAnsi="Aptos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5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724"/>
    <w:rPr>
      <w:rFonts w:ascii="Aptos" w:hAnsi="Apto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724"/>
    <w:rPr>
      <w:rFonts w:ascii="Aptos" w:hAnsi="Aptos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907F3"/>
    <w:pPr>
      <w:spacing w:after="0" w:line="240" w:lineRule="auto"/>
    </w:pPr>
    <w:rPr>
      <w:rFonts w:ascii="Aptos" w:hAnsi="Aptos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83D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4881</Characters>
  <Application>Microsoft Office Word</Application>
  <DocSecurity>0</DocSecurity>
  <Lines>139</Lines>
  <Paragraphs>68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End-of-Phase Evaluation of Partnerships for Social Protection: DFAT Management Response</dc:title>
  <dc:subject/>
  <dc:creator/>
  <cp:keywords>[SEC=OFFICIAL]</cp:keywords>
  <dc:description/>
  <cp:lastModifiedBy/>
  <cp:revision>1</cp:revision>
  <dcterms:created xsi:type="dcterms:W3CDTF">2025-07-16T03:54:00Z</dcterms:created>
  <dcterms:modified xsi:type="dcterms:W3CDTF">2025-07-16T03:54:00Z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v=2022.1;a=SHA256;h=50B3FC981D129CE1D99707E5397A3A0784954962F54DD614932D57DAA4CC5B30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2024-11-18T04:48:38Z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7CA8494622534FE5974971C6C012015F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BFD82B0D789372FE3886E447E3BF6DD6</vt:lpwstr>
  </property>
  <property fmtid="{D5CDD505-2E9C-101B-9397-08002B2CF9AE}" pid="24" name="PM_Hash_Salt">
    <vt:lpwstr>D7881FAB0950757EBEC4C0E518B68DA8</vt:lpwstr>
  </property>
  <property fmtid="{D5CDD505-2E9C-101B-9397-08002B2CF9AE}" pid="25" name="PM_Hash_SHA1">
    <vt:lpwstr>DC23329E0CD2BC512937F06354042D37A3F9C53E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